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54.png" ContentType="image/png"/>
  <Override PartName="/word/media/rId157.png" ContentType="image/png"/>
  <Override PartName="/word/media/rId160.png" ContentType="image/png"/>
  <Override PartName="/word/media/rId163.png" ContentType="image/png"/>
  <Override PartName="/word/media/rId166.png" ContentType="image/png"/>
  <Override PartName="/word/media/rId170.png" ContentType="image/png"/>
  <Override PartName="/word/media/rId111.png" ContentType="image/png"/>
  <Override PartName="/word/media/rId119.png" ContentType="image/png"/>
  <Override PartName="/word/media/rId122.png" ContentType="image/png"/>
  <Override PartName="/word/media/rId127.png" ContentType="image/png"/>
  <Override PartName="/word/media/rId138.png" ContentType="image/png"/>
  <Override PartName="/word/media/rId142.png" ContentType="image/png"/>
  <Override PartName="/word/media/rId14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0" w:name="X8bf6248c9f3f97f4894a761f3e01800d2c2c84f"/>
    <w:p>
      <w:pPr>
        <w:pStyle w:val="Heading1"/>
      </w:pPr>
      <w:r>
        <w:t xml:space="preserve">Explaining the Spatial Structure of Phases: An Example from the Lower Mississippi River Valley</w:t>
      </w:r>
    </w:p>
    <w:p>
      <w:pPr>
        <w:pStyle w:val="FirstParagraph"/>
      </w:pPr>
      <w:r>
        <w:rPr>
          <w:b/>
          <w:bCs/>
        </w:rPr>
        <w:t xml:space="preserve">Carl P. Lipo, Beau J. DiNapoli, and Mark E. Madsen</w:t>
      </w:r>
    </w:p>
    <w:bookmarkStart w:id="109" w:name="abstract"/>
    <w:p>
      <w:pPr>
        <w:pStyle w:val="Heading2"/>
      </w:pPr>
      <w:r>
        <w:t xml:space="preserve">Abstract</w:t>
      </w:r>
    </w:p>
    <w:p>
      <w:pPr>
        <w:pStyle w:val="FirstParagraph"/>
      </w:pPr>
      <w:r>
        <w:t xml:space="preserve">Archaeologists group assemblages into phases and then treat those phases as groups, giving them the qualities of communities or polities. Copying among neighbors produces spatial structure in stylistic frequencies whatever else is happening, so a phase can have the qualities of a group only if its frequencies show properties that spatially structured drift cannot produce. We ask what explains the decorated-type frequencies of the Late Mississippian St. Francis basin in northeastern Arkansas, including the Parkin phase, long read as a polity, and whether any of their variation requires processes beyond drift. Neutral copying on the real site map, tuned to the assemblages’ own diversity, reproduces the differences among assemblages at the scale of the phases, and a spatial model with no groups assigns 99 percent of the variation to location. No boundary develops through the sequence. A small excess appears only at finer scales, in the most thinly sampled clusters rather than around Parkin, and new styles arising locally reproduce it. The phases look like groups because settlement is clustered and similarity fades with distance: the site map alone recovers them, their boundaries fall where the pottery changes least, and simulated pottery sorts into them as readily as real pottery.</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109"/>
    <w:bookmarkStart w:id="110" w:name="resumen"/>
    <w:p>
      <w:pPr>
        <w:pStyle w:val="Heading2"/>
      </w:pPr>
      <w:r>
        <w:t xml:space="preserve">Resumen</w:t>
      </w:r>
    </w:p>
    <w:p>
      <w:pPr>
        <w:pStyle w:val="FirstParagraph"/>
      </w:pPr>
      <w:r>
        <w:t xml:space="preserve">Los arqueólogos agrupan los conjuntos cerámicos en fases y luego tratan esas fases como grupos, atribuyéndoles las cualidades de comunidades o entidades políticas. La copia entre vecinos produce estructura espacial en las frecuencias estilísticas ocurra lo que ocurra, de modo que una fase solo puede tener las cualidades de un grupo si sus frecuencias muestran propiedades que la deriva estructurada espacialmente no puede producir. Preguntamos qué explica las frecuencias de los tipos decorados del Misisipiano tardío en la cuenca del río St. Francis, en el noreste de Arkansas, incluida la fase Parkin, interpretada durante mucho tiempo como una entidad política, y si alguna parte de su variación requiere procesos además de la deriva. La copia neutral sobre el mapa real de sitios, ajustada a la diversidad propia de los conjuntos, reproduce las diferencias entre conjuntos a la escala de las fases, y un modelo espacial sin grupos atribuye el 99 % de la variación a la ubicación. Ninguna frontera se desarrolla a lo largo de la secuencia. Un pequeño exceso aparece solo a escalas más finas, en los agrupamientos con muestras más escasas y no alrededor de Parkin, y la aparición local de nuevos estilos lo reproduce. Las fases parecen grupos porque los asentamientos están agrupados y la semejanza disminuye con la distancia: el mapa de sitios por sí solo las recupera, sus límites caen donde la cerámica cambia menos, y la cerámica simulada se clasifica en ellas con la misma facilidad que la cerámica real.</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10"/>
    <w:bookmarkStart w:id="114" w:name="introduction"/>
    <w:p>
      <w:pPr>
        <w:pStyle w:val="Heading2"/>
      </w:pPr>
      <w:r>
        <w:t xml:space="preserve">Introduction</w:t>
      </w:r>
    </w:p>
    <w:p>
      <w:pPr>
        <w:pStyle w:val="FirstParagraph"/>
      </w:pPr>
      <w:r>
        <w:t xml:space="preserve">Archaeologists divide the late pre-contact record of the Lower Mississippi River Valley into spatially and temporally bounded units known as phases (Figure 1). These include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The Parkin phase stands out because it contains the Parkin site, the largest moated and palisaded town in the St. Francis basin of northeastern Arkansas. The chronicles of the Hernando de Soto expedition identify it as Casqui, the seat of a paramount chief that the expedition met in 1541</w:t>
      </w:r>
      <w:r>
        <w:t xml:space="preserve"> </w:t>
      </w:r>
      <w:r>
        <w:t xml:space="preserve">(Hudson et al. 1990; Mitchem 2001; Phyllis A. Morse 1990)</w:t>
      </w:r>
      <w:r>
        <w:t xml:space="preserve">. Because of its size, fortification, platform mound, and ethnohistoric identification, Parkin is routinely read as the center of a Mississippian polity, following the long-standing assumption that a dominant mound center marks the apex of a ranked society</w:t>
      </w:r>
      <w:r>
        <w:t xml:space="preserve"> </w:t>
      </w:r>
      <w:r>
        <w:t xml:space="preserve">(Peebles and Kus 1977)</w:t>
      </w:r>
      <w:r>
        <w:t xml:space="preserve">. That reading makes a specific claim: the Parkin phase was a bounded, hierarchically organized society with Parkin at its head.</w:t>
      </w:r>
    </w:p>
    <w:p>
      <w:pPr>
        <w:pStyle w:val="CaptionedFigure"/>
      </w:pPr>
      <w:r>
        <w:drawing>
          <wp:inline>
            <wp:extent cx="4114800" cy="8037789"/>
            <wp:effectExtent b="0" l="0" r="0" t="0"/>
            <wp:docPr descr="Figure 1. Decorated-ceramic assemblages of the lower Mississippi Valley and the culture-historical phase scheme this paper tests. Five of the seven Late Mississippian phases (Parkin, Nodena, Kent, Walls, and Parchman) are drawn as territories; Jones Bayou and Tipton, in western Tennessee, have no assemblage with decorated counts in this study’s matrix and appear only in the legend. Assemblages without a phase assignment are not drawn. Each territory is built by assigning every point on the map to its nearest assemblage and then merging those areas according to the phase Mainfort (1996b) assigns each assemblage, with a gap drawn between adjacent territories for legibility. Territories are drawn over the HydroRIVERS river network (Lehner and Grill 2013), with line width scaled by flow order. Markers show each assemblage’s phase, and Parkin is starred. The bounded territories illustrate the premise under test, that each hosted a distinct, internally interacting society. The mapped assemblages fall in Arkansas, Tennessee, and Mississippi; Missouri lies just north of the frame. Inset: location in North America." title="" id="112" name="Picture"/>
            <a:graphic>
              <a:graphicData uri="http://schemas.openxmlformats.org/drawingml/2006/picture">
                <pic:pic>
                  <pic:nvPicPr>
                    <pic:cNvPr descr="../../figures/fig1_phases.png" id="113" name="Picture"/>
                    <pic:cNvPicPr>
                      <a:picLocks noChangeArrowheads="1" noChangeAspect="1"/>
                    </pic:cNvPicPr>
                  </pic:nvPicPr>
                  <pic:blipFill>
                    <a:blip r:embed="rId111"/>
                    <a:stretch>
                      <a:fillRect/>
                    </a:stretch>
                  </pic:blipFill>
                  <pic:spPr bwMode="auto">
                    <a:xfrm>
                      <a:off x="0" y="0"/>
                      <a:ext cx="4114800" cy="8037789"/>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lower Mississippi Valley and the culture-historical phase scheme this paper tests. Five of the seven Late Mississippian phases (Parkin, Nodena, Kent, Walls, and Parchman) are drawn as territories; Jones Bayou and Tipton, in western Tennessee, have no assemblage with decorated counts in this study’s matrix and appear only in the legend. Assemblages without a phase assignment are not drawn. Each territory is built by assigning every point on the map to its nearest assemblage and then merging those areas according to the phase Mainfort</w:t>
      </w:r>
      <w:r>
        <w:t xml:space="preserve"> </w:t>
      </w:r>
      <w:r>
        <w:t xml:space="preserve">(1996b)</w:t>
      </w:r>
      <w:r>
        <w:t xml:space="preserve"> </w:t>
      </w:r>
      <w:r>
        <w:t xml:space="preserve">assigns each assemblage, with a gap drawn between adjacent territories for legibility. Territories are drawn over the HydroRIVERS river network</w:t>
      </w:r>
      <w:r>
        <w:t xml:space="preserve"> </w:t>
      </w:r>
      <w:r>
        <w:t xml:space="preserve">(Lehner and Grill 2013)</w:t>
      </w:r>
      <w:r>
        <w:t xml:space="preserve">, with line width scaled by flow order. Markers show each assemblage’s phase, and Parkin is starred. The bounded territories illustrate the premise under test, that each hosted a distinct, internally interacting society. The mapped assemblages fall in Arkansas, Tennessee, and Mississippi; Missouri lies just north of the frame. Inset: location in North America.</w:t>
      </w:r>
    </w:p>
    <w:p>
      <w:pPr>
        <w:pStyle w:val="BodyText"/>
      </w:pPr>
      <w:r>
        <w:t xml:space="preserve">That claim makes the Parkin phase a good place to ask what a phase is. Of all the late Mississippian phases, it has the strongest independent reason to be a real social unit, since a documented paramountcy is said to sit at its center. If phases record bounded societies anywhere, the pattern should be visible here. Settlement form alone cannot settle the matter, because a large center with a palisade and a platform mound is as compatible with competing peer communities as with a consolidated hierarchy</w:t>
      </w:r>
      <w:r>
        <w:t xml:space="preserve"> </w:t>
      </w:r>
      <w:r>
        <w:t xml:space="preserve">(King and Freer 1995; Rees 2001)</w:t>
      </w:r>
      <w:r>
        <w:t xml:space="preserve">. The chronicles are equivocal as well, having been read both as describing rivalry among peers and as describing a ranked order</w:t>
      </w:r>
      <w:r>
        <w:t xml:space="preserve"> </w:t>
      </w:r>
      <w:r>
        <w:t xml:space="preserve">(Hudson et al. 1990; Phyllis A. Morse 1990)</w:t>
      </w:r>
      <w:r>
        <w:t xml:space="preserve">. Within the basin, settlement size is graded rather than organized around a single redistributive center, and the chert hoes whose control would mark an economic apex were produced across the region and moved down the line rather than through central redistribution</w:t>
      </w:r>
      <w:r>
        <w:t xml:space="preserve"> </w:t>
      </w:r>
      <w:r>
        <w:t xml:space="preserve">(Cobb 2000)</w:t>
      </w:r>
      <w:r>
        <w:t xml:space="preserve">.</w:t>
      </w:r>
    </w:p>
    <w:p>
      <w:pPr>
        <w:pStyle w:val="BodyText"/>
      </w:pPr>
      <w:r>
        <w:t xml:space="preserve">The more revealing question is why the phases were taken for societies in the first place. A phase is a culture-history construct: a set of assemblages grouped together because their decorated-class frequencies seriate, meaning they can be placed in one sequence of gradually changing frequencies, and because the sites lie near one another</w:t>
      </w:r>
      <w:r>
        <w:t xml:space="preserve"> </w:t>
      </w:r>
      <w:r>
        <w:t xml:space="preserve">(Phillips et al. 1951)</w:t>
      </w:r>
      <w:r>
        <w:t xml:space="preserve">. In the Phillips-Ford-Griffin framework the phase is the basic space-time-cultural unit, and its definition contains no social criterion</w:t>
      </w:r>
      <w:r>
        <w:t xml:space="preserve"> </w:t>
      </w:r>
      <w:r>
        <w:t xml:space="preserve">(Phillips and Willey 1953; Willey and Phillips 1958)</w:t>
      </w:r>
      <w:r>
        <w:t xml:space="preserve">. In practice, however, researchers have treated phases as societies. Willey and Phillips</w:t>
      </w:r>
      <w:r>
        <w:t xml:space="preserve"> </w:t>
      </w:r>
      <w:r>
        <w:t xml:space="preserve">(1958:48–49)</w:t>
      </w:r>
      <w:r>
        <w:t xml:space="preserve"> </w:t>
      </w:r>
      <w:r>
        <w:t xml:space="preserve">set out the reasoning that makes a phase a society, rejected it, and then treated phases as societies anyway. Williams</w:t>
      </w:r>
      <w:r>
        <w:t xml:space="preserve"> </w:t>
      </w:r>
      <w:r>
        <w:t xml:space="preserve">(1954)</w:t>
      </w:r>
      <w:r>
        <w:t xml:space="preserve">, defining the southeast-Missouri phases on which the regional scheme rests, wrote that a phase</w:t>
      </w:r>
      <w:r>
        <w:t xml:space="preserve"> </w:t>
      </w:r>
      <w:r>
        <w:t xml:space="preserve">“probably”</w:t>
      </w:r>
      <w:r>
        <w:t xml:space="preserve"> </w:t>
      </w:r>
      <w:r>
        <w:t xml:space="preserve">equals a society. The premise underneath is rarely stated. It holds that assemblages more similar to one another than to their neighbors record a bounded group of people who interacted mainly with each other. Once such a group is paired with a dominant center, the phase becomes a polity, and the social unit has been assumed before any evidence for it has been weighed</w:t>
      </w:r>
      <w:r>
        <w:t xml:space="preserve"> </w:t>
      </w:r>
      <w:r>
        <w:t xml:space="preserve">(Lyman 2021)</w:t>
      </w:r>
      <w:r>
        <w:t xml:space="preserve">.</w:t>
      </w:r>
    </w:p>
    <w:p>
      <w:pPr>
        <w:pStyle w:val="BodyText"/>
      </w:pPr>
      <w:r>
        <w:t xml:space="preserve">The phase concept has been questioned on this ground before. Fox</w:t>
      </w:r>
      <w:r>
        <w:t xml:space="preserve"> </w:t>
      </w:r>
      <w:r>
        <w:t xml:space="preserve">(1998)</w:t>
      </w:r>
      <w:r>
        <w:t xml:space="preserve"> </w:t>
      </w:r>
      <w:r>
        <w:t xml:space="preserve">used cluster analysis and ordination to show that the southeast-Missouri phases fail as both groups and classes, with member assemblages falling into statistical clusters at random rather than by phase. Mainfort</w:t>
      </w:r>
      <w:r>
        <w:t xml:space="preserve"> </w:t>
      </w:r>
      <w:r>
        <w:t xml:space="preserve">(2003)</w:t>
      </w:r>
      <w:r>
        <w:t xml:space="preserve"> </w:t>
      </w:r>
      <w:r>
        <w:t xml:space="preserve">put the same question to very nearly the record we use, ordinating ten decorated types from 39 sites and finding</w:t>
      </w:r>
      <w:r>
        <w:t xml:space="preserve"> </w:t>
      </w:r>
      <w:r>
        <w:t xml:space="preserve">“little evidence for the integrity of the traditional late period phases,”</w:t>
      </w:r>
      <w:r>
        <w:t xml:space="preserve"> </w:t>
      </w:r>
      <w:r>
        <w:t xml:space="preserve">with no clear grouping even though</w:t>
      </w:r>
      <w:r>
        <w:t xml:space="preserve"> </w:t>
      </w:r>
      <w:r>
        <w:t xml:space="preserve">“most sites assigned to most phases are located in the general vicinity of each other in ordination space”</w:t>
      </w:r>
      <w:r>
        <w:t xml:space="preserve"> </w:t>
      </w:r>
      <w:r>
        <w:t xml:space="preserve">(Mainfort 2003:180)</w:t>
      </w:r>
      <w:r>
        <w:t xml:space="preserve">. Lipo</w:t>
      </w:r>
      <w:r>
        <w:t xml:space="preserve"> </w:t>
      </w:r>
      <w:r>
        <w:t xml:space="preserve">(2001)</w:t>
      </w:r>
      <w:r>
        <w:t xml:space="preserve"> </w:t>
      </w:r>
      <w:r>
        <w:t xml:space="preserve">reached a similar view through frequency seriation, suggesting that</w:t>
      </w:r>
      <w:r>
        <w:t xml:space="preserve"> </w:t>
      </w:r>
      <w:r>
        <w:t xml:space="preserve">“the phases themselves might be simply arbitrary spatial and temporal slices of a single interacting population that is much larger in size”</w:t>
      </w:r>
      <w:r>
        <w:t xml:space="preserve"> </w:t>
      </w:r>
      <w:r>
        <w:t xml:space="preserve">(Lipo 2001:60)</w:t>
      </w:r>
      <w:r>
        <w:t xml:space="preserve">. These studies show that the phases do not separate cleanly. None of them explains why the phases looked real to the people who drew them, and an ordination alone cannot, because loosely clustered assemblages are what both bounded groups and unbounded copying across distance would produce.</w:t>
      </w:r>
    </w:p>
    <w:p>
      <w:pPr>
        <w:pStyle w:val="BodyText"/>
      </w:pPr>
      <w:r>
        <w:t xml:space="preserve">That explanation is what this paper sets out to provide. Under the neutral model of cultural transmission, decorative style behaves as a selectively neutral trait whose frequencies change by chance copying in a finite population of learners</w:t>
      </w:r>
      <w:r>
        <w:t xml:space="preserve"> </w:t>
      </w:r>
      <w:r>
        <w:t xml:space="preserve">(Bentley et al. 2004; Dunnell 1978; Eerkens and Lipo 2007; Fogarty et al. 2024; Neiman 1995)</w:t>
      </w:r>
      <w:r>
        <w:t xml:space="preserve">. When potters copy near neighbors more often than distant ones, similarity is highest over short distances and fades with distance. Cut into discrete units, that smooth gradient can look like a set of distinct groups even though no boundary exists anywhere</w:t>
      </w:r>
      <w:r>
        <w:t xml:space="preserve"> </w:t>
      </w:r>
      <w:r>
        <w:t xml:space="preserve">(Lipo et al. 1997, 2021)</w:t>
      </w:r>
      <w:r>
        <w:t xml:space="preserve">. The culture historians were responding to structure that is really in the assemblages. Our question is whether that structure requires bounded social groups or whether distance-limited copying across the settlement pattern produces it on its own</w:t>
      </w:r>
      <w:r>
        <w:t xml:space="preserve"> </w:t>
      </w:r>
      <w:r>
        <w:t xml:space="preserve">(Riede et al. 2019)</w:t>
      </w:r>
      <w:r>
        <w:t xml:space="preserve">.</w:t>
      </w:r>
    </w:p>
    <w:p>
      <w:pPr>
        <w:pStyle w:val="BodyText"/>
      </w:pPr>
      <w:r>
        <w:t xml:space="preserve">The logic of the test follows from that. Copying across space produces spatial structure in stylistic frequencies no matter what else is happening, so spatial structure alone cannot show that a phase was a community or a polity. A phase has the qualities of a group only if its stylistic frequencies carry properties that spatially structured drift cannot produce: differences between phases larger than distance predicts, boundaries where the pottery changes fastest, divergence that grows as interaction narrows, or a center around which the pattern is organized. Our question is therefore twofold. What explains the decorated-type frequencies we observe, and is there any variability that requires a process in addition to drift? Answering the first also explains why the phases looked like groups to the people who drew them. Two requirements shape the answer. A record must first be shown able to detect a boundary before its failure to show one means anything, and a model of copying with no groups must be shown to reproduce the diversity of the real assemblages before it is credited with explaining their differences.</w:t>
      </w:r>
    </w:p>
    <w:p>
      <w:pPr>
        <w:pStyle w:val="BodyText"/>
      </w:pPr>
      <w:r>
        <w:t xml:space="preserve">The late pre-contact St. Francis basin suits the test. Its decorated assemblages are well documented, the decorated classes are the long-established Phillips-Ford-Griffin types, and European contact and the demographic collapse that followed ended the sequence before any later reorganization could overwrite it</w:t>
      </w:r>
      <w:r>
        <w:t xml:space="preserve"> </w:t>
      </w:r>
      <w:r>
        <w:t xml:space="preserve">(Lipo 2001; Morse and Morse 1996)</w:t>
      </w:r>
      <w:r>
        <w:t xml:space="preserve">. Its assemblages are time-averaged surface collections, built up over many years of use and discard. We treat them as the accumulated product of copying across a population, to be measured and explained as they are, rather than as degraded snapshots of a single moment that must be reconstructed</w:t>
      </w:r>
      <w:r>
        <w:t xml:space="preserve"> </w:t>
      </w:r>
      <w:r>
        <w:t xml:space="preserve">(Dunnell 1995a; Holdaway and Wandsnider 2008; Lipo et al. 2015; Neiman 1995; Perreault 2019; Schiffer 1972)</w:t>
      </w:r>
      <w:r>
        <w:t xml:space="preserve">. Their coarse resolution sets what questions they can answer rather than disqualifying them.</w:t>
      </w:r>
    </w:p>
    <w:bookmarkEnd w:id="114"/>
    <w:bookmarkStart w:id="118" w:name="background"/>
    <w:p>
      <w:pPr>
        <w:pStyle w:val="Heading2"/>
      </w:pPr>
      <w:r>
        <w:t xml:space="preserve">Background</w:t>
      </w:r>
    </w:p>
    <w:bookmarkStart w:id="115" w:name="phases-groups-and-gradients"/>
    <w:p>
      <w:pPr>
        <w:pStyle w:val="Heading3"/>
      </w:pPr>
      <w:r>
        <w:t xml:space="preserve">Phases, groups, and gradients</w:t>
      </w:r>
    </w:p>
    <w:p>
      <w:pPr>
        <w:pStyle w:val="FirstParagraph"/>
      </w:pPr>
      <w:r>
        <w:t xml:space="preserve">We approach the phase from the standpoint of population thinking, which Dunnell</w:t>
      </w:r>
      <w:r>
        <w:t xml:space="preserve"> </w:t>
      </w:r>
      <w:r>
        <w:t xml:space="preserve">(1980)</w:t>
      </w:r>
      <w:r>
        <w:t xml:space="preserve"> </w:t>
      </w:r>
      <w:r>
        <w:t xml:space="preserve">brought to archaeology from Mayr</w:t>
      </w:r>
      <w:r>
        <w:t xml:space="preserve"> </w:t>
      </w:r>
      <w:r>
        <w:t xml:space="preserve">(1959)</w:t>
      </w:r>
      <w:r>
        <w:t xml:space="preserve">. Archaeologists often treat the past as made of bounded units, the phase, the polity, the society, each with members and edges, and read a cluster of similar assemblages as one such unit. That is typological thinking, in which the type is the real object and variation around it is noise. Population thinking reverses the priority. Variation is the reality, and the type is an abstraction from it. We accordingly treat the transmission of decoration as a continuous field of copying among potters with no built-in boundaries, in which interaction falls off with distance and is more local in some places than in others.</w:t>
      </w:r>
    </w:p>
    <w:p>
      <w:pPr>
        <w:pStyle w:val="BodyText"/>
      </w:pPr>
      <w:r>
        <w:t xml:space="preserve">On this view a social group is not a thing with an edge but a place where copying is more concentrated than distance alone would make it. Potters everywhere interact more with near neighbors than with distant ones, and that tendency alone produces clustering, a pattern known as isolation by distance</w:t>
      </w:r>
      <w:r>
        <w:t xml:space="preserve"> </w:t>
      </w:r>
      <w:r>
        <w:t xml:space="preserve">(Neiman 1995; Shennan et al. 2015; Wright 1943)</w:t>
      </w:r>
      <w:r>
        <w:t xml:space="preserve">. What marks a social group is the excess over that expectation: interaction that narrows further than distance predicts. We call that narrowing</w:t>
      </w:r>
      <w:r>
        <w:t xml:space="preserve"> </w:t>
      </w:r>
      <w:r>
        <w:rPr>
          <w:i/>
          <w:iCs/>
        </w:rPr>
        <w:t xml:space="preserve">closure</w:t>
      </w:r>
      <w:r>
        <w:t xml:space="preserve">. It is a quantity rather than a condition, running from none, where distance fully accounts for who copied whom, up to complete, where groups are sealed off from one another. Neither extreme is expected in a real settlement system. The question for a phase is how much closure the record carries. Every comparison below therefore measures the observed structure against a model run on the real geography of the assemblages, so that whatever is left over is by construction the part geography does not explain.</w:t>
      </w:r>
    </w:p>
    <w:bookmarkEnd w:id="115"/>
    <w:bookmarkStart w:id="116" w:name="why-decorated-ceramics"/>
    <w:p>
      <w:pPr>
        <w:pStyle w:val="Heading3"/>
      </w:pPr>
      <w:r>
        <w:t xml:space="preserve">Why decorated ceramics</w:t>
      </w:r>
    </w:p>
    <w:p>
      <w:pPr>
        <w:pStyle w:val="FirstParagraph"/>
      </w:pPr>
      <w:r>
        <w:t xml:space="preserve">Under the neutral model, stylistic variants behave like selectively neutral alleles whose frequencies are governed by innovation and chance copying</w:t>
      </w:r>
      <w:r>
        <w:t xml:space="preserve"> </w:t>
      </w:r>
      <w:r>
        <w:t xml:space="preserve">(Bentley et al. 2004; Bentley 2008; Dunnell 1978; Eerkens and Lipo 2005; Neiman 1995)</w:t>
      </w:r>
      <w:r>
        <w:t xml:space="preserve">. Assemblages drawn from a single interacting community share one drifting pool of variants, and their decorated-class frequencies form one battleship-curve seriation, an ordering in which each type rises to a single peak and then declines</w:t>
      </w:r>
      <w:r>
        <w:t xml:space="preserve"> </w:t>
      </w:r>
      <w:r>
        <w:t xml:space="preserve">(Dunnell 1995b; Lipo 2001; Lipo et al. 2015; Lipo and Madsen 2001; O’Brien and Leonard 2001)</w:t>
      </w:r>
      <w:r>
        <w:t xml:space="preserve">. If copying becomes restricted within groups, and especially if potters within a group favor whatever is already common among them, each group’s range of variants narrows, the groups diverge, and the single pool breaks apart</w:t>
      </w:r>
      <w:r>
        <w:t xml:space="preserve"> </w:t>
      </w:r>
      <w:r>
        <w:t xml:space="preserve">(Crema et al. 2016; Henrich 2001; Henrich and Boyd 1998)</w:t>
      </w:r>
      <w:r>
        <w:t xml:space="preserve">. Decoration would then act as a marker of group membership rather than as neutral style.</w:t>
      </w:r>
    </w:p>
    <w:p>
      <w:pPr>
        <w:pStyle w:val="BodyText"/>
      </w:pPr>
      <w:r>
        <w:t xml:space="preserve">No single frequency pattern identifies the process that produced it. A departure from neutral copying can reflect conformity, a preference for novelty, a bias toward particular content, or the fact that durable objects rather than people accumulate in a deposit</w:t>
      </w:r>
      <w:r>
        <w:t xml:space="preserve"> </w:t>
      </w:r>
      <w:r>
        <w:t xml:space="preserve">(Crema et al. 2016, 2024; Henrich 2001)</w:t>
      </w:r>
      <w:r>
        <w:t xml:space="preserve">. Time-averaging makes the problem harder, because deposits that accumulate over a use-life inflate richness, flatten evenness, and bias neutrality statistics</w:t>
      </w:r>
      <w:r>
        <w:t xml:space="preserve"> </w:t>
      </w:r>
      <w:r>
        <w:t xml:space="preserve">(Madsen 2012; Premo 2014)</w:t>
      </w:r>
      <w:r>
        <w:t xml:space="preserve">. Several processes can therefore produce the same population-level pattern, and where a discriminating signal survives at all it tends to lie in the rarest types</w:t>
      </w:r>
      <w:r>
        <w:t xml:space="preserve"> </w:t>
      </w:r>
      <w:r>
        <w:t xml:space="preserve">(Carrignon et al. 2019; Kandler et al. 2017; Mesoudi 2021; O’Dwyer and Kandler 2017)</w:t>
      </w:r>
      <w:r>
        <w:t xml:space="preserve">. For this reason we do not rely on any one statistic. We compare processes by simulating them on the real geography and asking which one reproduces the record.</w:t>
      </w:r>
    </w:p>
    <w:bookmarkEnd w:id="116"/>
    <w:bookmarkStart w:id="117" w:name="two-readings-of-the-parkin-phase"/>
    <w:p>
      <w:pPr>
        <w:pStyle w:val="Heading3"/>
      </w:pPr>
      <w:r>
        <w:t xml:space="preserve">Two readings of the Parkin phase</w:t>
      </w:r>
    </w:p>
    <w:p>
      <w:pPr>
        <w:pStyle w:val="FirstParagraph"/>
      </w:pPr>
      <w:r>
        <w:t xml:space="preserve">The late pre-contact lower valley supports two readings of the same record. The first holds that the region was moving toward greater political complexity. The Parkin phase (ca. 1400 to 1600 CE) is a dense cluster of fortified, moated St. Francis-type towns along the St. Francis and Tyronza rivers, and Parkin dominates it: a palisaded center of about 17 acres with a platform mound more than 6 m high, placed by the De Soto chronicles as the seat of Casqui</w:t>
      </w:r>
      <w:r>
        <w:t xml:space="preserve"> </w:t>
      </w:r>
      <w:r>
        <w:t xml:space="preserve">(Dye and Cox 1990; Mitchem 2001; Phyllis A. Morse 1990)</w:t>
      </w:r>
      <w:r>
        <w:t xml:space="preserve">. On this reading, Parkin’s position on agriculturally poor soil implies that it drew tribute from surrounding villages, a hallmark of an emerging chiefly hierarchy that contact then cut short</w:t>
      </w:r>
      <w:r>
        <w:t xml:space="preserve"> </w:t>
      </w:r>
      <w:r>
        <w:t xml:space="preserve">(Morse and Morse 1996:17–18; Phyllis A. Morse 1990)</w:t>
      </w:r>
      <w:r>
        <w:t xml:space="preserve">. The second reading holds that the lower valley was a stable arrangement of competing peer polities that never consolidated into a regional hierarchy</w:t>
      </w:r>
      <w:r>
        <w:t xml:space="preserve"> </w:t>
      </w:r>
      <w:r>
        <w:t xml:space="preserve">(Anderson 1996; Beck 2003; Blitz 1999; King and Freer 1995; Lulewicz 2019; Milner 1998; Rees 2001)</w:t>
      </w:r>
      <w:r>
        <w:t xml:space="preserve">. In the chronicles, Casqui and its neighbor Pacaha appear in open conflict, as peers would, although the same sources have also been read as ranking Casqui below Pacaha</w:t>
      </w:r>
      <w:r>
        <w:t xml:space="preserve"> </w:t>
      </w:r>
      <w:r>
        <w:t xml:space="preserve">(Hudson et al. 1990; Mitchem 2001; Phyllis A. Morse 1990)</w:t>
      </w:r>
      <w:r>
        <w:t xml:space="preserve">. The first reading predicts that the Parkin phase should show closure; the second does not require it.</w:t>
      </w:r>
    </w:p>
    <w:bookmarkEnd w:id="117"/>
    <w:bookmarkEnd w:id="118"/>
    <w:bookmarkStart w:id="125" w:name="X63a04b856a0e0f0ea4c1ac23e9bd6846a39082a"/>
    <w:p>
      <w:pPr>
        <w:pStyle w:val="Heading2"/>
      </w:pPr>
      <w:r>
        <w:t xml:space="preserve">How a social boundary would show in pottery</w:t>
      </w:r>
    </w:p>
    <w:p>
      <w:pPr>
        <w:pStyle w:val="FirstParagraph"/>
      </w:pPr>
      <w:r>
        <w:t xml:space="preserve">A process that genuinely divides a population into groups should leave its mark on every aspect of how decoration was copied, whereas a process that only resembles it leaves a mark on some aspects and not others. We use four measures, each a different consequence of closure, and state each in plain terms before naming it.</w:t>
      </w:r>
    </w:p>
    <w:p>
      <w:pPr>
        <w:pStyle w:val="BodyText"/>
      </w:pPr>
      <w:r>
        <w:t xml:space="preserve">The first asks whether potters copied at random or with a bias. Under random copying, two independent measures of an assemblage’s diversity agree: one based on the chance that two sherds drawn at random share a class, the other on the number of classes present. Conformity, in which potters favor what is already common, concentrates sherds on a few classes without removing the rare ones, and the two measures come apart</w:t>
      </w:r>
      <w:r>
        <w:t xml:space="preserve"> </w:t>
      </w:r>
      <w:r>
        <w:t xml:space="preserve">(Neiman 1995; Shennan and Wilkinson 2001)</w:t>
      </w:r>
      <w:r>
        <w:t xml:space="preserve">. A group enforcing a shared decorative marker would copy conformist fashion.</w:t>
      </w:r>
    </w:p>
    <w:p>
      <w:pPr>
        <w:pStyle w:val="BodyText"/>
      </w:pPr>
      <w:r>
        <w:t xml:space="preserve">The second asks whether the assemblages belong to one interacting community or to several. It rests on frequency seriation. A set of assemblages is co-seriable when a single ordering makes every decorated class rise to one peak and then decline, which is what one continuously interacting population produces</w:t>
      </w:r>
      <w:r>
        <w:t xml:space="preserve"> </w:t>
      </w:r>
      <w:r>
        <w:t xml:space="preserve">(Dunnell 1970)</w:t>
      </w:r>
      <w:r>
        <w:t xml:space="preserve">. When learning splits into separate groups, no single ordering satisfies them all, and the assemblages break into several incompatible orderings whose number measures how divided past interaction was</w:t>
      </w:r>
      <w:r>
        <w:t xml:space="preserve"> </w:t>
      </w:r>
      <w:r>
        <w:t xml:space="preserve">(Lipo et al. 1997, 2015)</w:t>
      </w:r>
      <w:r>
        <w:t xml:space="preserve">. An assemblage that falls into several orderings links sequences rather than forming the core of a bounded community.</w:t>
      </w:r>
    </w:p>
    <w:p>
      <w:pPr>
        <w:pStyle w:val="BodyText"/>
      </w:pPr>
      <w:r>
        <w:t xml:space="preserve">The third asks how much of the variation in decoration lies between groups rather than within them. Its measure is a cultural version of Wright’s</w:t>
      </w:r>
      <w:r>
        <w:t xml:space="preserve"> </w:t>
      </w:r>
      <m:oMath>
        <m:sSub>
          <m:e>
            <m:r>
              <m:t>F</m:t>
            </m:r>
          </m:e>
          <m:sub>
            <m:r>
              <m:t>S</m:t>
            </m:r>
            <m:r>
              <m:t>T</m:t>
            </m:r>
          </m:sub>
        </m:sSub>
      </m:oMath>
      <w:r>
        <w:t xml:space="preserve"> </w:t>
      </w:r>
      <w:r>
        <w:t xml:space="preserve">(Wright 1951)</w:t>
      </w:r>
      <w:r>
        <w:t xml:space="preserve">, an index of how differentiated groups are from one another</w:t>
      </w:r>
      <w:r>
        <w:t xml:space="preserve"> </w:t>
      </w:r>
      <w:r>
        <w:t xml:space="preserve">(Bell et al. 2009)</w:t>
      </w:r>
      <w:r>
        <w:t xml:space="preserve">. We measure decorated diversity with the Gini-Simpson index, the probability that two sherds drawn at random belong to different classes. Cultural</w:t>
      </w:r>
      <w:r>
        <w:t xml:space="preserve"> </w:t>
      </w:r>
      <m:oMath>
        <m:sSub>
          <m:e>
            <m:r>
              <m:t>F</m:t>
            </m:r>
          </m:e>
          <m:sub>
            <m:r>
              <m:t>S</m:t>
            </m:r>
            <m:r>
              <m:t>T</m:t>
            </m:r>
          </m:sub>
        </m:sSub>
      </m:oMath>
      <w:r>
        <w:t xml:space="preserve"> </w:t>
      </w:r>
      <w:r>
        <w:t xml:space="preserve">is how much more diverse the pooled assemblages are than the average group, as a fraction of the pooled diversity. When all groups draw on one shared pool it sits near zero, and as groups come to favor distinct repertoires it climbs</w:t>
      </w:r>
      <w:r>
        <w:t xml:space="preserve"> </w:t>
      </w:r>
      <w:r>
        <w:t xml:space="preserve">(Neiman 1995)</w:t>
      </w:r>
      <w:r>
        <w:t xml:space="preserve">. One caveat matters throughout. Copying across space produces between-group variation on its own, because small or poorly connected places drift toward depleted, idiosyncratic repertoires</w:t>
      </w:r>
      <w:r>
        <w:t xml:space="preserve"> </w:t>
      </w:r>
      <w:r>
        <w:t xml:space="preserve">(Lipo et al. 2021)</w:t>
      </w:r>
      <w:r>
        <w:t xml:space="preserve">.</w:t>
      </w:r>
      <w:r>
        <w:t xml:space="preserve"> </w:t>
      </w:r>
      <m:oMath>
        <m:sSub>
          <m:e>
            <m:r>
              <m:t>F</m:t>
            </m:r>
          </m:e>
          <m:sub>
            <m:r>
              <m:t>S</m:t>
            </m:r>
            <m:r>
              <m:t>T</m:t>
            </m:r>
          </m:sub>
        </m:sSub>
      </m:oMath>
      <w:r>
        <w:t xml:space="preserve"> </w:t>
      </w:r>
      <w:r>
        <w:t xml:space="preserve">must therefore be judged against what copying with no groups produces on the same geography, not against zero.</w:t>
      </w:r>
    </w:p>
    <w:p>
      <w:pPr>
        <w:pStyle w:val="BodyText"/>
      </w:pPr>
      <w:r>
        <w:t xml:space="preserve">The fourth asks whether assemblages on the same side of a boundary are more alike than assemblages the same distance apart on opposite sides. Similarity normally fades smoothly with distance. A real social boundary adds a step to that fade, which we measure as a boundary excess, the loss of similarity across a boundary beyond what distance predicts. Copying on a finite network can itself produce a positive excess</w:t>
      </w:r>
      <w:r>
        <w:t xml:space="preserve"> </w:t>
      </w:r>
      <w:r>
        <w:t xml:space="preserve">(Lipo et al. 2021)</w:t>
      </w:r>
      <w:r>
        <w:t xml:space="preserve">.</w:t>
      </w:r>
    </w:p>
    <w:p>
      <w:pPr>
        <w:pStyle w:val="BodyText"/>
      </w:pPr>
      <w:r>
        <w:t xml:space="preserve">Only a bounded interaction group drives all four measures together (Table 1). Environmental patchiness, in which similar people occupy distinct ecological zones, produces spatial structure without departing from neutral copying or breaking the seriation. Conformity within a single community departs from neutral copying without creating any boundaries. Smooth distance-limited copying produces only a fading of similarity with distance. Copying on a finite network, however, is less tidy than that smooth ideal, because chance divergence among places raises</w:t>
      </w:r>
      <w:r>
        <w:t xml:space="preserve"> </w:t>
      </w:r>
      <m:oMath>
        <m:sSub>
          <m:e>
            <m:r>
              <m:t>F</m:t>
            </m:r>
          </m:e>
          <m:sub>
            <m:r>
              <m:t>S</m:t>
            </m:r>
            <m:r>
              <m:t>T</m:t>
            </m:r>
          </m:sub>
        </m:sSub>
      </m:oMath>
      <w:r>
        <w:t xml:space="preserve"> </w:t>
      </w:r>
      <w:r>
        <w:t xml:space="preserve">and the boundary excess with no social boundary present. That is the difficulty the rest of the paper works around.</w:t>
      </w:r>
    </w:p>
    <w:p>
      <w:pPr>
        <w:pStyle w:val="BodyText"/>
      </w:pPr>
      <w:r>
        <w:rPr>
          <w:b/>
          <w:bCs/>
        </w:rPr>
        <w:t xml:space="preserve">Table 1.</w:t>
      </w:r>
      <w:r>
        <w:t xml:space="preserve"> </w:t>
      </w:r>
      <w:r>
        <w:t xml:space="preserve">What each process does to the four measures, and which measure this record can use. A filled circle (●) marks a measure the process drives and an open circle (○) one it does not. The last column reports the recovery experiment described below, which tests each measure against this record.</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Measure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Conformity in one community</w:t>
            </w:r>
          </w:p>
        </w:tc>
        <w:tc>
          <w:tcPr/>
          <w:p>
            <w:pPr>
              <w:pStyle w:val="Compact"/>
              <w:jc w:val="center"/>
            </w:pPr>
            <w:r>
              <w:t xml:space="preserve">Smooth distance-limited copying</w:t>
            </w:r>
          </w:p>
        </w:tc>
        <w:tc>
          <w:tcPr/>
          <w:p>
            <w:pPr>
              <w:pStyle w:val="Compact"/>
              <w:jc w:val="center"/>
            </w:pPr>
            <w:r>
              <w:t xml:space="preserve">Copying on a finite network</w:t>
            </w:r>
          </w:p>
        </w:tc>
        <w:tc>
          <w:tcPr/>
          <w:p>
            <w:pPr>
              <w:pStyle w:val="Compact"/>
              <w:jc w:val="center"/>
            </w:pPr>
            <w:r>
              <w:t xml:space="preserve">Usable on this record?</w:t>
            </w:r>
          </w:p>
        </w:tc>
      </w:tr>
      <w:tr>
        <w:tc>
          <w:tcPr/>
          <w:p>
            <w:pPr>
              <w:pStyle w:val="Compact"/>
            </w:pPr>
            <w:r>
              <w:t xml:space="preserve">Departure from neutral copying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Breakdown of a single seriation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w:t>
            </w:r>
            <w:r>
              <w:t xml:space="preserve"> </w:t>
            </w:r>
            <m:oMath>
              <m:sSub>
                <m:e>
                  <m:r>
                    <m:t>F</m:t>
                  </m:r>
                </m:e>
                <m:sub>
                  <m:r>
                    <m:t>S</m:t>
                  </m:r>
                  <m:r>
                    <m:t>T</m:t>
                  </m:r>
                </m:sub>
              </m:sSub>
            </m:oMath>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CaptionedFigure"/>
      </w:pPr>
      <w:r>
        <w:drawing>
          <wp:inline>
            <wp:extent cx="5334000" cy="4683019"/>
            <wp:effectExtent b="0" l="0" r="0" t="0"/>
            <wp:docPr descr="Figure 2. The four measures on idealized data. Trajectories of the four measures along the sequence under each of four simulated processes, using large, clean synthetic assemblages. Only a bounded interaction group drives all four together (starred). Across 500 random seeds the bounded-group case was identified in 493 (95 percent interval 0.97 to 0.99), and none of the three other processes was identified at all (95 percent upper bound 0.007). Right panel: the mean absolute correlation among the four measures, about 0.88 under closure and 0.18 to 0.28 under the other processes, so their joint movement is informative rather than redundant." title="" id="120" name="Picture"/>
            <a:graphic>
              <a:graphicData uri="http://schemas.openxmlformats.org/drawingml/2006/picture">
                <pic:pic>
                  <pic:nvPicPr>
                    <pic:cNvPr descr="../../figures/fig2_validation.png" id="121" name="Picture"/>
                    <pic:cNvPicPr>
                      <a:picLocks noChangeArrowheads="1" noChangeAspect="1"/>
                    </pic:cNvPicPr>
                  </pic:nvPicPr>
                  <pic:blipFill>
                    <a:blip r:embed="rId119"/>
                    <a:stretch>
                      <a:fillRect/>
                    </a:stretch>
                  </pic:blipFill>
                  <pic:spPr bwMode="auto">
                    <a:xfrm>
                      <a:off x="0" y="0"/>
                      <a:ext cx="5334000" cy="4683019"/>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The four measures on idealized data. Trajectories of the four measures along the sequence under each of four simulated processes, using large, clean synthetic assemblages. Only a bounded interaction group drives all four together (starred). Across 500 random seeds the bounded-group case was identified in 493 (95 percent interval 0.97 to 0.99), and none of the three other processes was identified at all (95 percent upper bound 0.007). Right panel: the mean absolute correlation among the four measures, about 0.88 under closure and 0.18 to 0.28 under the other processes, so their joint movement is informative rather than redundant.</w:t>
      </w:r>
    </w:p>
    <w:p>
      <w:pPr>
        <w:pStyle w:val="BodyText"/>
      </w:pPr>
      <w:r>
        <w:t xml:space="preserve">Figure 2 shows these expectations on idealized data, where the four measures separate the processes cleanly. A real record is smaller, noisier, and time-averaged, so a measure that works in principle may fail in practice. We therefore test each measure against synthetic assemblages built to match the Parkin record before using it, and we treat a measure as usable only if it recovers closure that we deliberately put into those synthetic assemblages</w:t>
      </w:r>
      <w:r>
        <w:t xml:space="preserve"> </w:t>
      </w:r>
      <w:r>
        <w:t xml:space="preserve">(Holdaway and Wandsnider 2008; Perreault 2019)</w:t>
      </w:r>
      <w:r>
        <w:t xml:space="preserve">. Figure 3 previews what the test can and cannot distinguish.</w:t>
      </w:r>
    </w:p>
    <w:p>
      <w:pPr>
        <w:pStyle w:val="CaptionedFigure"/>
      </w:pPr>
      <w:r>
        <w:drawing>
          <wp:inline>
            <wp:extent cx="5334000" cy="4404980"/>
            <wp:effectExtent b="0" l="0" r="0" t="0"/>
            <wp:docPr descr="Figure 3. What the test distinguishes, shown with synthetic assemblages matched to the record. Top: the basin assemblages in a two-dimensional map of decorated dissimilarity, in which more similar assemblages sit closer together (points colored by the two spatial clusters that best fit the site layout), as they would appear if the Parkin phase were a bounded interaction group (left, sharp clusters), under copying that fades with distance (center, a continuous gradient), and as observed (right, a diffuse scatter that resembles the gradient). Bottom: the trend of cultural F_{ST} along the sequence recovered from synthetic assemblages as imposed closure rises from 0 (no groups) to 1 (strong groups). The dashed line is the observed trend, a rank correlation of -0.048, not an F_{ST} value; the band around it is the range of -0.80 to +0.40 that a single random subsample returns. The shaded vertical band is the 95 percent credible interval for the closure consistent with that observation (0.00 to 0.37, median 0.15)." title="" id="123" name="Picture"/>
            <a:graphic>
              <a:graphicData uri="http://schemas.openxmlformats.org/drawingml/2006/picture">
                <pic:pic>
                  <pic:nvPicPr>
                    <pic:cNvPr descr="../../figures/fig3_concept.png" id="124" name="Picture"/>
                    <pic:cNvPicPr>
                      <a:picLocks noChangeArrowheads="1" noChangeAspect="1"/>
                    </pic:cNvPicPr>
                  </pic:nvPicPr>
                  <pic:blipFill>
                    <a:blip r:embed="rId122"/>
                    <a:stretch>
                      <a:fillRect/>
                    </a:stretch>
                  </pic:blipFill>
                  <pic:spPr bwMode="auto">
                    <a:xfrm>
                      <a:off x="0" y="0"/>
                      <a:ext cx="5334000" cy="4404980"/>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What the test distinguishes, shown with synthetic assemblages matched to the record. Top: the basin assemblages in a two-dimensional map of decorated dissimilarity, in which more similar assemblages sit closer together (points colored by the two spatial clusters that best fit the site layout), as they would appear if the Parkin phase were a bounded interaction group (left, sharp clusters), under copying that fades with distance (center, a continuous gradient), and as observed (right, a diffuse scatter that resembles the gradient). Bottom: the trend of cultural</w:t>
      </w:r>
      <w:r>
        <w:t xml:space="preserve"> </w:t>
      </w:r>
      <m:oMath>
        <m:sSub>
          <m:e>
            <m:r>
              <m:t>F</m:t>
            </m:r>
          </m:e>
          <m:sub>
            <m:r>
              <m:t>S</m:t>
            </m:r>
            <m:r>
              <m:t>T</m:t>
            </m:r>
          </m:sub>
        </m:sSub>
      </m:oMath>
      <w:r>
        <w:t xml:space="preserve"> </w:t>
      </w:r>
      <w:r>
        <w:t xml:space="preserve">along the sequence recovered from synthetic assemblages as imposed closure rises from 0 (no groups) to 1 (strong groups). The dashed line is the observed trend, a rank correlation of -0.048, not an</w:t>
      </w:r>
      <w:r>
        <w:t xml:space="preserve"> </w:t>
      </w:r>
      <m:oMath>
        <m:sSub>
          <m:e>
            <m:r>
              <m:t>F</m:t>
            </m:r>
          </m:e>
          <m:sub>
            <m:r>
              <m:t>S</m:t>
            </m:r>
            <m:r>
              <m:t>T</m:t>
            </m:r>
          </m:sub>
        </m:sSub>
      </m:oMath>
      <w:r>
        <w:t xml:space="preserve"> </w:t>
      </w:r>
      <w:r>
        <w:t xml:space="preserve">value; the band around it is the range of -0.80 to +0.40 that a single random subsample returns. The shaded vertical band is the 95 percent credible interval for the closure consistent with that observation (0.00 to 0.37, median 0.15).</w:t>
      </w:r>
    </w:p>
    <w:bookmarkEnd w:id="125"/>
    <w:bookmarkStart w:id="136" w:name="materials-and-methods"/>
    <w:p>
      <w:pPr>
        <w:pStyle w:val="Heading2"/>
      </w:pPr>
      <w:r>
        <w:t xml:space="preserve">Materials and methods</w:t>
      </w:r>
    </w:p>
    <w:bookmarkStart w:id="126" w:name="data"/>
    <w:p>
      <w:pPr>
        <w:pStyle w:val="Heading3"/>
      </w:pPr>
      <w:r>
        <w:t xml:space="preserve">Data</w:t>
      </w:r>
    </w:p>
    <w:p>
      <w:pPr>
        <w:pStyle w:val="FirstParagraph"/>
      </w:pPr>
      <w:r>
        <w:t xml:space="preserve">The ceramic data are decorated-class counts from the Lower Mississippi Valley Survey collections of Phillips, Ford, and Griffin</w:t>
      </w:r>
      <w:r>
        <w:t xml:space="preserve"> </w:t>
      </w:r>
      <w:r>
        <w:t xml:space="preserve">(1951)</w:t>
      </w:r>
      <w:r>
        <w:t xml:space="preserve">, as compiled by Lipo</w:t>
      </w:r>
      <w:r>
        <w:t xml:space="preserve"> </w:t>
      </w:r>
      <w:r>
        <w:t xml:space="preserve">(2001)</w:t>
      </w:r>
      <w:r>
        <w:t xml:space="preserve">. We use decorated classes only, on theoretical grounds. The neutral model applies to stylistic variation, variants that make no difference to how a pot performs and whose frequencies therefore change through copying and chance</w:t>
      </w:r>
      <w:r>
        <w:t xml:space="preserve"> </w:t>
      </w:r>
      <w:r>
        <w:t xml:space="preserve">(Dunnell 1978; Neiman 1995)</w:t>
      </w:r>
      <w:r>
        <w:t xml:space="preserve">. Plain wares are everything without decoration, and their abundance tracks vessel function, paste, and the activities carried out at a site, none of which a copying model represents. Mississippi Plain and Bell Plain, which differ only in paste, make up 87 percent of the sherds in the one published table for the region that reports them</w:t>
      </w:r>
      <w:r>
        <w:t xml:space="preserve"> </w:t>
      </w:r>
      <w:r>
        <w:t xml:space="preserve">(Mainfort 2003)</w:t>
      </w:r>
      <w:r>
        <w:t xml:space="preserve">. Ten decorated classes remain, one pooling Barton Incised, Kent Incised, and Mound Place Incised and one pooling the painted types Old Town Red, Nodena Red and White, and Avenue Polychrome. Each class is a culture-history type, a unit of measurement built by analysts, not a category assumed to have existed in the past.</w:t>
      </w:r>
    </w:p>
    <w:p>
      <w:pPr>
        <w:pStyle w:val="BodyText"/>
      </w:pPr>
      <w:r>
        <w:t xml:space="preserve">Each assemblage takes its counts from a single source, and no counts are summed across sources. Of the 38 assemblages in the matrix, 20 come from Lipo’s compilation, which adds controlled surface collections and limited excavation in 1996 and 1997 at seven sites, six of them recollections of sites the original survey sampled and one, Holden Lake, a new collection</w:t>
      </w:r>
      <w:r>
        <w:t xml:space="preserve"> </w:t>
      </w:r>
      <w:r>
        <w:t xml:space="preserve">(Lipo 2001)</w:t>
      </w:r>
      <w:r>
        <w:t xml:space="preserve">. The other 18 carry the original survey counts alone. Mainfort</w:t>
      </w:r>
      <w:r>
        <w:t xml:space="preserve"> </w:t>
      </w:r>
      <w:r>
        <w:t xml:space="preserve">(2003)</w:t>
      </w:r>
      <w:r>
        <w:t xml:space="preserve"> </w:t>
      </w:r>
      <w:r>
        <w:t xml:space="preserve">compiled a separate table of 39 sites, each with at least 800 sherds, drawn largely from the same survey files. His counts match the survey at 11 of the 21 sites the two tables share and exceed it at the other ten, which we infer reflects later collections he reports analyzing at the C. H. Nash Museum</w:t>
      </w:r>
      <w:r>
        <w:t xml:space="preserve"> </w:t>
      </w:r>
      <w:r>
        <w:t xml:space="preserve">(Mainfort 2003:182)</w:t>
      </w:r>
      <w:r>
        <w:t xml:space="preserve">. Because his counts are not independent of ours, we never combine them. We use his table only for a second, separate test under his own phase assignments. The wider 266-assemblage compilation of the survey counts</w:t>
      </w:r>
      <w:r>
        <w:t xml:space="preserve"> </w:t>
      </w:r>
      <w:r>
        <w:t xml:space="preserve">(Lipo 2001)</w:t>
      </w:r>
      <w:r>
        <w:t xml:space="preserve"> </w:t>
      </w:r>
      <w:r>
        <w:t xml:space="preserve">enters only regional comparisons and settlement checks.</w:t>
      </w:r>
    </w:p>
    <w:p>
      <w:pPr>
        <w:pStyle w:val="BodyText"/>
      </w:pPr>
      <w:r>
        <w:t xml:space="preserve">The phases are the unit under test, so an assemblage enters the analysis when Mainfort</w:t>
      </w:r>
      <w:r>
        <w:t xml:space="preserve"> </w:t>
      </w:r>
      <w:r>
        <w:t xml:space="preserve">(1996b)</w:t>
      </w:r>
      <w:r>
        <w:t xml:space="preserve"> </w:t>
      </w:r>
      <w:r>
        <w:t xml:space="preserve">assigns it to one of the basin’s phases, or when it falls inside the territory his assignments define. Two further rules apply. The Parchman phase is excluded on geography: its three assemblages lie across the Mississippi in Coahoma County, 30 to 46 km from the nearest other assemblage. An assemblage also needs at least 75 decorated sherds. We chose that number by measurement. Sampling alone creates apparent differences between two assemblages drawn from one and the same population of pots. Drawing pairs of samples from the basin’s pooled class profile, so that everything between them is sampling, the spurious</w:t>
      </w:r>
      <w:r>
        <w:t xml:space="preserve"> </w:t>
      </w:r>
      <m:oMath>
        <m:sSub>
          <m:e>
            <m:r>
              <m:t>F</m:t>
            </m:r>
          </m:e>
          <m:sub>
            <m:r>
              <m:t>S</m:t>
            </m:r>
            <m:r>
              <m:t>T</m:t>
            </m:r>
          </m:sub>
        </m:sSub>
      </m:oMath>
      <w:r>
        <w:t xml:space="preserve"> </w:t>
      </w:r>
      <w:r>
        <w:t xml:space="preserve">has a median of about half the observed five-cluster value at 25 sherds, a quarter at 50, a seventh at 75, and a ninth at 100 (Supplemental Text). We measure against the five-cluster value because that is the scale at which the record departs from the copying model, and so the scale at which a sampling artifact could be mistaken for a real difference. At 75 sherds the artifact’s 95th percentile lies well below that value, whereas at 50 it roughly equals it; seventy-five is the smallest sample at which sampling alone could not produce the observed difference. Mainfort’s 800-sherd rule corresponds to about 100 decorated sherds, so ours is slightly more permissive.</w:t>
      </w:r>
    </w:p>
    <w:p>
      <w:pPr>
        <w:pStyle w:val="BodyText"/>
      </w:pPr>
      <w:r>
        <w:t xml:space="preserve">These rules leave 28 assemblages holding 14,101 decorated sherds (median 251 per assemblage, range 79 to 1,709) in three phases: Parkin with 11 assemblages, Kent with 8, and Walls with 9. Twenty-five carry Mainfort’s assignment and three the territory’s. Figure 1 shows seven phases, and the analysis tests three, for three reasons. Jones Bayou and Tipton, in western Tennessee, have decorated counts only in Mainfort’s table. Parchman is excluded on geography. Nodena’s three assemblages hold 47, 38, and 153 decorated sherds, so only one survives the minimum, and a phase of one assemblage has no internal variation to compare. The three phases tested are therefore the ones whose assemblages the survey and our own collections sampled well enough for a between-group measure to mean something. As drawn, they extend beyond the drainage that names them, and the farthest member lies 40.5 km from the St. Francis system.</w:t>
      </w:r>
    </w:p>
    <w:p>
      <w:pPr>
        <w:pStyle w:val="BodyText"/>
      </w:pPr>
      <w:r>
        <w:t xml:space="preserve">We georeferenced each assemblage from the Lower Mississippi Survey site files. Where a location derives from a survey coordinate, we read it in the survey’s original 1927 datum; the correction moves 13 of the 28 assemblages by 209 m and changes no result (Supplemental Text). Settlement attributes, namely site size, mound count and height, and the presence of ditches and St. Francis-type fortification, come from a regional database</w:t>
      </w:r>
      <w:r>
        <w:t xml:space="preserve"> </w:t>
      </w:r>
      <w:r>
        <w:t xml:space="preserve">(Lipo and Dunnell 2007)</w:t>
      </w:r>
      <w:r>
        <w:t xml:space="preserve">.</w:t>
      </w:r>
    </w:p>
    <w:p>
      <w:pPr>
        <w:pStyle w:val="BodyText"/>
      </w:pPr>
      <w:r>
        <w:t xml:space="preserve">Two properties of the data limit what any transmission analysis can claim. The assemblages are time-averaged, so sherds made at different times are counted together, which distorts diversity and neutrality measures in proportion to how long variants remain in use</w:t>
      </w:r>
      <w:r>
        <w:t xml:space="preserve"> </w:t>
      </w:r>
      <w:r>
        <w:t xml:space="preserve">(Madsen 2012; Miller-Atkins and Premo 2018)</w:t>
      </w:r>
      <w:r>
        <w:t xml:space="preserve">. The neutral model also describes people copying one another, whereas an assemblage counts durable objects, so its expectations apply to this record only approximately</w:t>
      </w:r>
      <w:r>
        <w:t xml:space="preserve"> </w:t>
      </w:r>
      <w:r>
        <w:t xml:space="preserve">(Crema et al. 2024)</w:t>
      </w:r>
      <w:r>
        <w:t xml:space="preserve">.</w:t>
      </w:r>
    </w:p>
    <w:bookmarkEnd w:id="126"/>
    <w:bookmarkStart w:id="130" w:name="chronology"/>
    <w:p>
      <w:pPr>
        <w:pStyle w:val="Heading3"/>
      </w:pPr>
      <w:r>
        <w:t xml:space="preserve">Chronology</w:t>
      </w:r>
    </w:p>
    <w:p>
      <w:pPr>
        <w:pStyle w:val="FirstParagraph"/>
      </w:pPr>
      <w:r>
        <w:t xml:space="preserve">Mainfort’s</w:t>
      </w:r>
      <w:r>
        <w:t xml:space="preserve"> </w:t>
      </w:r>
      <w:r>
        <w:t xml:space="preserve">(2001)</w:t>
      </w:r>
      <w:r>
        <w:t xml:space="preserve"> </w:t>
      </w:r>
      <w:r>
        <w:t xml:space="preserve">compilation provides 108 radiocarbon determinations for this part of the valley, 40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they place the basin occupation in the fourteenth to sixteenth centuries (summed-probability median AD 1428; Parkin, AD 1483), with a decline across the contact interval (Supplemental Text). A calibration plateau across that interval prevents year-scale resolution</w:t>
      </w:r>
      <w:r>
        <w:t xml:space="preserve"> </w:t>
      </w:r>
      <w:r>
        <w:t xml:space="preserve">(Holland-Lulewicz and Ritchison 2021)</w:t>
      </w:r>
      <w:r>
        <w:t xml:space="preserve">, so we order the assemblages by seriation instead. We use the first axis of a correspondence analysis of the decorated-class frequencies, which arranges assemblages by the similarity of their frequencies, as a relative chronological order (Figure 4)</w:t>
      </w:r>
      <w:r>
        <w:t xml:space="preserve"> </w:t>
      </w:r>
      <w:r>
        <w:t xml:space="preserve">(Baxter 1994; Peeples and Schachner 2012; Smith and Neiman 2007)</w:t>
      </w:r>
      <w:r>
        <w:t xml:space="preserve">. Only four dated proveniences match our assemblages (26 dates pooled), and they cannot establish which end of the axis is later: using pooled calibrated medians, age and position correlate at Spearman 0.40 in magnitude, with Clay Hill out of order, and using one-sigma calibrated midpoints the correlation is zero. We therefore use the axis in its computed orientation, treat it as an order rather than a calendar, and report every result that depends on its direction both ways.</w:t>
      </w:r>
    </w:p>
    <w:p>
      <w:pPr>
        <w:pStyle w:val="CaptionedFigure"/>
      </w:pPr>
      <w:r>
        <w:drawing>
          <wp:inline>
            <wp:extent cx="5334000" cy="3639186"/>
            <wp:effectExtent b="0" l="0" r="0" t="0"/>
            <wp:docPr descr="Figure 4. Correspondence-analysis seriation of the 28 decorated assemblages, plotted on the first two dimensions and colored by rank on the first, the relative chronological order (shown in its computed orientation, since the four radiocarbon-dated assemblages do not establish which end is later). Parkin is starred. The assemblages form a continuum rather than discrete clusters, echoing Mainfort’s (2003) independent ordination." title="" id="128" name="Picture"/>
            <a:graphic>
              <a:graphicData uri="http://schemas.openxmlformats.org/drawingml/2006/picture">
                <pic:pic>
                  <pic:nvPicPr>
                    <pic:cNvPr descr="../../figures/fig4_ca_ordination.png" id="129" name="Picture"/>
                    <pic:cNvPicPr>
                      <a:picLocks noChangeArrowheads="1" noChangeAspect="1"/>
                    </pic:cNvPicPr>
                  </pic:nvPicPr>
                  <pic:blipFill>
                    <a:blip r:embed="rId127"/>
                    <a:stretch>
                      <a:fillRect/>
                    </a:stretch>
                  </pic:blipFill>
                  <pic:spPr bwMode="auto">
                    <a:xfrm>
                      <a:off x="0" y="0"/>
                      <a:ext cx="5334000" cy="3639186"/>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Correspondence-analysis seriation of the 28 decorated assemblages, plotted on the first two dimensions and colored by rank on the first, the relative chronological order (shown in its computed orientation, since the four radiocarbon-dated assemblages do not establish which end is later). Parkin is starred. The assemblages form a continuum rather than discrete clusters, echoing Mainfort’s (2003) independent ordination.</w:t>
      </w:r>
    </w:p>
    <w:bookmarkEnd w:id="130"/>
    <w:bookmarkStart w:id="131" w:name="measuring-the-four-signals"/>
    <w:p>
      <w:pPr>
        <w:pStyle w:val="Heading3"/>
      </w:pPr>
      <w:r>
        <w:t xml:space="preserve">Measuring the four signals</w:t>
      </w:r>
    </w:p>
    <w:p>
      <w:pPr>
        <w:pStyle w:val="FirstParagraph"/>
      </w:pPr>
      <w:r>
        <w:t xml:space="preserve">The departure from neutral copying is the ratio of two estimates of Neiman’s</w:t>
      </w:r>
      <w:r>
        <w:t xml:space="preserve"> </w:t>
      </w:r>
      <w:r>
        <w:t xml:space="preserve">(1995)</w:t>
      </w:r>
      <w:r>
        <w:t xml:space="preserve"> </w:t>
      </w:r>
      <w:r>
        <w:t xml:space="preserve">transmission parameter, one from an assemblage’s homozygosity and one from its number of classes through the Ewens sampling formula</w:t>
      </w:r>
      <w:r>
        <w:t xml:space="preserve"> </w:t>
      </w:r>
      <w:r>
        <w:t xml:space="preserve">(Ewens 1972; Shennan and Wilkinson 2001)</w:t>
      </w:r>
      <w:r>
        <w:t xml:space="preserve">. Seriation structure is the number of maximal co-seriable groups returned by the iterative deterministic method of Lipo, Madsen, and Dunnell</w:t>
      </w:r>
      <w:r>
        <w:t xml:space="preserve"> </w:t>
      </w:r>
      <w:r>
        <w:t xml:space="preserve">(2015)</w:t>
      </w:r>
      <w:r>
        <w:t xml:space="preserve">, together with the number of groups each assemblage joins. Cultural</w:t>
      </w:r>
      <w:r>
        <w:t xml:space="preserve"> </w:t>
      </w:r>
      <m:oMath>
        <m:sSub>
          <m:e>
            <m:r>
              <m:t>F</m:t>
            </m:r>
          </m:e>
          <m:sub>
            <m:r>
              <m:t>S</m:t>
            </m:r>
            <m:r>
              <m:t>T</m:t>
            </m:r>
          </m:sub>
        </m:sSub>
      </m:oMath>
      <w:r>
        <w:t xml:space="preserve"> </w:t>
      </w:r>
      <w:r>
        <w:t xml:space="preserve">is computed on Gini-Simpson diversity across spatial clusters, weighted by assemblage size</w:t>
      </w:r>
      <w:r>
        <w:t xml:space="preserve"> </w:t>
      </w:r>
      <w:r>
        <w:t xml:space="preserve">(Bell et al. 2009)</w:t>
      </w:r>
      <w:r>
        <w:t xml:space="preserve">. Similarity between assemblages uses the Brainerd-Robinson coefficient</w:t>
      </w:r>
      <w:r>
        <w:t xml:space="preserve"> </w:t>
      </w:r>
      <w:r>
        <w:t xml:space="preserve">(Brainerd 1951; Robinson 1951)</w:t>
      </w:r>
      <w:r>
        <w:t xml:space="preserve">, which runs from 0 for no overlap to 200 for identical proportions, and the boundary excess is the loss of that similarity across a boundary beyond what distance predicts. Full definitions are in the Supplemental Text.</w:t>
      </w:r>
    </w:p>
    <w:p>
      <w:pPr>
        <w:pStyle w:val="BodyText"/>
      </w:pPr>
      <w:r>
        <w:t xml:space="preserve">Spatial clusters are formed by</w:t>
      </w:r>
      <w:r>
        <w:t xml:space="preserve"> </w:t>
      </w:r>
      <w:r>
        <w:rPr>
          <w:i/>
          <w:iCs/>
        </w:rPr>
        <w:t xml:space="preserve">k</w:t>
      </w:r>
      <w:r>
        <w:t xml:space="preserve">-means on the assemblage coordinates. The site layout is best described by two clusters, judged by the silhouette score, which rewards clusters that are compact and well separated. Because cultural</w:t>
      </w:r>
      <w:r>
        <w:t xml:space="preserve"> </w:t>
      </w:r>
      <m:oMath>
        <m:sSub>
          <m:e>
            <m:r>
              <m:t>F</m:t>
            </m:r>
          </m:e>
          <m:sub>
            <m:r>
              <m:t>S</m:t>
            </m:r>
            <m:r>
              <m:t>T</m:t>
            </m:r>
          </m:sub>
        </m:sSub>
      </m:oMath>
      <w:r>
        <w:t xml:space="preserve"> </w:t>
      </w:r>
      <w:r>
        <w:t xml:space="preserve">depends on how many clusters the basin is cut into, we also fit a model that uses no clusters at all. It treats decorated-class composition as a continuous surface over the map, with a separate term for whatever is specific to each site, and asks how much of the variation among assemblages follows location and how much belongs to individual sites. Bounded groups would leave site-specific character that location does not explain.</w:t>
      </w:r>
    </w:p>
    <w:p>
      <w:pPr>
        <w:pStyle w:val="BodyText"/>
      </w:pPr>
      <w:r>
        <w:t xml:space="preserve">Assemblage size rises along the seriation (Spearman +0.61), and several measures are sensitive to sample size, so a measure could move along the sequence through sampling alone. Before scoring any trend we therefore subsample every assemblage, without replacement, to a common 50 sherds, a procedure known as rarefaction</w:t>
      </w:r>
      <w:r>
        <w:t xml:space="preserve"> </w:t>
      </w:r>
      <w:r>
        <w:t xml:space="preserve">(Hurlbert 1971)</w:t>
      </w:r>
      <w:r>
        <w:t xml:space="preserve">.</w:t>
      </w:r>
    </w:p>
    <w:bookmarkEnd w:id="131"/>
    <w:bookmarkStart w:id="132" w:name="neutral-copying-on-the-real-map"/>
    <w:p>
      <w:pPr>
        <w:pStyle w:val="Heading3"/>
      </w:pPr>
      <w:r>
        <w:t xml:space="preserve">Neutral copying on the real map</w:t>
      </w:r>
    </w:p>
    <w:p>
      <w:pPr>
        <w:pStyle w:val="FirstParagraph"/>
      </w:pPr>
      <w:r>
        <w:t xml:space="preserve">The central comparison runs a model of copying with no groups on the real geography of the assemblages and asks whether it reproduces the record. The model follows the finite-population network model of Lipo, DiNapoli, Madsen, and Hunt</w:t>
      </w:r>
      <w:r>
        <w:t xml:space="preserve"> </w:t>
      </w:r>
      <w:r>
        <w:t xml:space="preserve">(2021)</w:t>
      </w:r>
      <w:r>
        <w:t xml:space="preserve">. Each assemblage is a node holding a finite population of learners, who copy decorated classes mostly within their node and occasionally from other nodes, with a probability that falls off with distance along the rivers. New variants enter at a constant rate, and deposition is pooled over a trailing window of eight time steps to reproduce time-averaging. The simulated assemblages are sampled at each real assemblage’s position in the sequence and subsampled to its real sherd count. A second version adds a boundary: every copying link that crosses a cluster boundary is weakened by a factor between 0.5 and 0.03.</w:t>
      </w:r>
    </w:p>
    <w:p>
      <w:pPr>
        <w:pStyle w:val="BodyText"/>
      </w:pPr>
      <w:r>
        <w:t xml:space="preserve">Two design choices matter. The first concerns what a class is. The standard assumption lets new variants fall into any class with equal probability, which treats the ten types as interchangeable. We also run a version in which new variants fall into each class in proportion to its share of the region’s pooled counts, which reflects that the types lump unequal numbers of decorative variants. The second choice is calibration. A copying model’s predictions about differences between groups depend on population size, innovation rate, and mixing rate together, so we first tune those three to reproduce the diversity within the real assemblages: mean within-assemblage diversity, mean number of classes present, and the diversity of all assemblages pooled. None of these involves the groups being tested. We simulate a grid of 297 parameter combinations and call a combination matched when all three summaries fall within 10 percent of the observed values. Each combination is screened at six simulations, and every matched combination is then rerun at fifty to confirm the match. Among the confirmed combinations we use the one that produces the most between-group difference, so the comparison is as favorable to the no-groups model as the grid allows. That combination is run 500 times, and we report where the observed value falls among those runs.</w:t>
      </w:r>
    </w:p>
    <w:bookmarkEnd w:id="132"/>
    <w:bookmarkStart w:id="133" w:name="can-the-record-detect-a-boundary"/>
    <w:p>
      <w:pPr>
        <w:pStyle w:val="Heading3"/>
      </w:pPr>
      <w:r>
        <w:t xml:space="preserve">Can the record detect a boundary?</w:t>
      </w:r>
    </w:p>
    <w:p>
      <w:pPr>
        <w:pStyle w:val="FirstParagraph"/>
      </w:pPr>
      <w:r>
        <w:t xml:space="preserve">We ran two simulation experiments before looking at the real trend. The first used large, clean synthetic assemblages to check that the four measures can separate a bounded group from the three processes that resemble it (Figure 2). Its generator copies decorated variants in proportion to their frequency</w:t>
      </w:r>
      <w:r>
        <w:t xml:space="preserve"> </w:t>
      </w:r>
      <w:r>
        <w:t xml:space="preserve">(Bentley et al. 2004; Neiman 1995)</w:t>
      </w:r>
      <w:r>
        <w:t xml:space="preserve"> </w:t>
      </w:r>
      <w:r>
        <w:t xml:space="preserve">and has three controls: how far group profiles diverge, how strongly potters conform within groups, and how profiles are placed on the landscape</w:t>
      </w:r>
      <w:r>
        <w:t xml:space="preserve"> </w:t>
      </w:r>
      <w:r>
        <w:t xml:space="preserve">(Mesoudi 2021)</w:t>
      </w:r>
      <w:r>
        <w:t xml:space="preserve">.</w:t>
      </w:r>
    </w:p>
    <w:p>
      <w:pPr>
        <w:pStyle w:val="BodyText"/>
      </w:pPr>
      <w:r>
        <w:t xml:space="preserve">The second experiment matched the real record. We built one synthetic assemblage for each real one, at its real sample size, spatial cluster, and position in the sequence, and imposed closure of a known strength</w:t>
      </w:r>
      <w:r>
        <w:t xml:space="preserve"> </w:t>
      </w:r>
      <w:r>
        <w:rPr>
          <w:i/>
          <w:iCs/>
        </w:rPr>
        <w:t xml:space="preserve">s</w:t>
      </w:r>
      <w:r>
        <w:t xml:space="preserve">, from 0 (no groups) to 1 (sharply separated groups), rising along the sequence. We time-averaged the synthetic assemblages by blending neighboring periods, subsampled them exactly as we did the real ones, and asked which measures recovered the imposed closure</w:t>
      </w:r>
      <w:r>
        <w:t xml:space="preserve"> </w:t>
      </w:r>
      <w:r>
        <w:t xml:space="preserve">(Crema et al. 2014; Kandler and Shennan 2015)</w:t>
      </w:r>
      <w:r>
        <w:t xml:space="preserve">. Treating the simulation series as a likelihood then turns the observed trend into a posterior distribution for how much closure the basin could contain, under a uniform prior over</w:t>
      </w:r>
      <w:r>
        <w:t xml:space="preserve"> </w:t>
      </w:r>
      <w:r>
        <w:rPr>
          <w:i/>
          <w:iCs/>
        </w:rPr>
        <w:t xml:space="preserve">s</w:t>
      </w:r>
      <w:r>
        <w:t xml:space="preserve">. This posterior refers to closure that grows along the sequence; a boundary present from the start would not produce a trend, and the comparison in the next section addresses that case.</w:t>
      </w:r>
    </w:p>
    <w:bookmarkEnd w:id="133"/>
    <w:bookmarkStart w:id="134" w:name="where-the-phase-lines-fall"/>
    <w:p>
      <w:pPr>
        <w:pStyle w:val="Heading3"/>
      </w:pPr>
      <w:r>
        <w:t xml:space="preserve">Where the phase lines fall</w:t>
      </w:r>
    </w:p>
    <w:p>
      <w:pPr>
        <w:pStyle w:val="FirstParagraph"/>
      </w:pPr>
      <w:r>
        <w:t xml:space="preserve">Five further tests ask whether the published phase boundaries behave as the edges of groups would. First, we compared the between-group</w:t>
      </w:r>
      <w:r>
        <w:t xml:space="preserve"> </w:t>
      </w:r>
      <m:oMath>
        <m:sSub>
          <m:e>
            <m:r>
              <m:t>F</m:t>
            </m:r>
          </m:e>
          <m:sub>
            <m:r>
              <m:t>S</m:t>
            </m:r>
            <m:r>
              <m:t>T</m:t>
            </m:r>
          </m:sub>
        </m:sSub>
      </m:oMath>
      <w:r>
        <w:t xml:space="preserve"> </w:t>
      </w:r>
      <w:r>
        <w:t xml:space="preserve">under the phase assignments with 1,000 alternative divisions of the same assemblages into groups of the same sizes (8, 11, and 9), drawn either around randomly placed centers or to be as spatially compact as possible. Second, we clustered the assemblages using site coordinates and decorated-class composition together, varying how much weight composition carries, and measured agreement with Mainfort’s assignments with the adjusted Rand index, which is zero on average for unrelated divisions and one for identical ones. Third, we mapped the local rate at which composition changes across the basin and asked whether the phase boundaries fall where it changes fastest. Fourth, we ran the neutral copying model on the real map and clustered its simulated pottery exactly as we clustered the real pottery. Fifth, we asked whether the phase boundaries run through gaps in late-period settlement, using sites independent of the analyzed assemblages.</w:t>
      </w:r>
    </w:p>
    <w:bookmarkEnd w:id="134"/>
    <w:bookmarkStart w:id="135" w:name="settlement-and-exchange"/>
    <w:p>
      <w:pPr>
        <w:pStyle w:val="Heading3"/>
      </w:pPr>
      <w:r>
        <w:t xml:space="preserve">Settlement and exchange</w:t>
      </w:r>
    </w:p>
    <w:p>
      <w:pPr>
        <w:pStyle w:val="FirstParagraph"/>
      </w:pPr>
      <w:r>
        <w:t xml:space="preserve">A polity should also leave traces outside the pottery. We examined the distribution of maximum mound height within the basin, the one attribute recorded the same way at every site, to ask whether a single center stands above the rest as a redistributive apex</w:t>
      </w:r>
      <w:r>
        <w:t xml:space="preserve"> </w:t>
      </w:r>
      <w:r>
        <w:t xml:space="preserve">(Peebles and Kus 1977)</w:t>
      </w:r>
      <w:r>
        <w:t xml:space="preserve">. For exchange we drew on Cobb’s</w:t>
      </w:r>
      <w:r>
        <w:t xml:space="preserve"> </w:t>
      </w:r>
      <w:r>
        <w:t xml:space="preserve">(2000)</w:t>
      </w:r>
      <w:r>
        <w:t xml:space="preserve"> </w:t>
      </w:r>
      <w:r>
        <w:t xml:space="preserve">regional analysis of the production and distribution of Mill Creek and Dover chert hoes, goods whose control would mark economic centralization.</w:t>
      </w:r>
    </w:p>
    <w:bookmarkEnd w:id="135"/>
    <w:bookmarkEnd w:id="136"/>
    <w:bookmarkStart w:id="174" w:name="results"/>
    <w:p>
      <w:pPr>
        <w:pStyle w:val="Heading2"/>
      </w:pPr>
      <w:r>
        <w:t xml:space="preserve">Results</w:t>
      </w:r>
    </w:p>
    <w:bookmarkStart w:id="137" w:name="what-spatially-structured-drift-explains"/>
    <w:p>
      <w:pPr>
        <w:pStyle w:val="Heading3"/>
      </w:pPr>
      <w:r>
        <w:t xml:space="preserve">What spatially structured drift explains</w:t>
      </w:r>
    </w:p>
    <w:p>
      <w:pPr>
        <w:pStyle w:val="FirstParagraph"/>
      </w:pPr>
      <w:r>
        <w:t xml:space="preserve">Copying across space produces differences among assemblages whatever else is happening, so the first question is how much of the observed variation it accounts for. We answer it with the neutral copying model run on the real map and tuned to the real assemblages. Tuning the model is itself informative. A model that treats the ten classes as interchangeable matches the record’s diversity at only one of the 297 parameter combinations, at the corner of the grid where mixing is highest. The obstacle is the record’s shape: two classes hold 86 percent of all sherds, yet the average assemblage contains six of the ten classes, and copying strong enough to produce that skew removes the rare classes. Letting new variants fall into each class in proportion to its regional share resolves the conflict. Fifty-six combinations then match on the six-run screen, and 49 still match when rerun fifty times (Supplemental Text, Figure S4).</w:t>
      </w:r>
    </w:p>
    <w:p>
      <w:pPr>
        <w:pStyle w:val="BodyText"/>
      </w:pPr>
      <w:r>
        <w:t xml:space="preserve">At the matched combination most favorable to it, copying with no groups produces the observed differences between the basin’s two spatial clusters (Figure S2). The observed between-cluster cultural</w:t>
      </w:r>
      <w:r>
        <w:t xml:space="preserve"> </w:t>
      </w:r>
      <m:oMath>
        <m:sSub>
          <m:e>
            <m:r>
              <m:t>F</m:t>
            </m:r>
          </m:e>
          <m:sub>
            <m:r>
              <m:t>S</m:t>
            </m:r>
            <m:r>
              <m:t>T</m:t>
            </m:r>
          </m:sub>
        </m:sSub>
      </m:oMath>
      <w:r>
        <w:t xml:space="preserve"> </w:t>
      </w:r>
      <w:r>
        <w:t xml:space="preserve">of 0.0062 lies inside the model’s 95 percent range of 0.0003 to 0.0153 (median 0.0026). Sixteen percent of simulated datasets reach the observed value when assemblages are sampled in seriation order, 16 percent in reverse order, and 22 percent when they are treated as contemporaneous. Across all 49 matched combinations, 19 include the observed value within their 95 percent range. The model also reproduces the fading of similarity with distance (observed correlation -0.21 against a simulated range of -0.29 to +0.08).</w:t>
      </w:r>
    </w:p>
    <w:p>
      <w:pPr>
        <w:pStyle w:val="BodyText"/>
      </w:pPr>
      <w:r>
        <w:t xml:space="preserve">A model with no groups also produces the clustered look of the record. When the simulated assemblages are sorted into communities by their similarity, the model returns a single community in 325 of 500 runs and two or more in the rest, so apparent communities arise a third of the time with no boundary anywhere. Where the model returns two or more, the difference between them ranges from 0.008 to 0.043, against an observed 0.039, which 1 of those 175 runs reaches. The number of apparent communities therefore says little; how different they are is the stronger evidence.</w:t>
      </w:r>
    </w:p>
    <w:p>
      <w:pPr>
        <w:pStyle w:val="BodyText"/>
      </w:pPr>
      <w:r>
        <w:t xml:space="preserve">Two measures fall outside what the model produces. Assemblages on the same side of the cluster boundary are more alike than assemblages the same distance apart across it, a boundary excess of +14.0 against a simulated range of -9.7 to +8.7. Adding a boundary to the model does not reproduce this either. Weakening every cross-boundary link to between half and three percent of its strength leaves the median</w:t>
      </w:r>
      <w:r>
        <w:t xml:space="preserve"> </w:t>
      </w:r>
      <m:oMath>
        <m:sSub>
          <m:e>
            <m:r>
              <m:t>F</m:t>
            </m:r>
          </m:e>
          <m:sub>
            <m:r>
              <m:t>S</m:t>
            </m:r>
            <m:r>
              <m:t>T</m:t>
            </m:r>
          </m:sub>
        </m:sSub>
      </m:oMath>
      <w:r>
        <w:t xml:space="preserve"> </w:t>
      </w:r>
      <w:r>
        <w:t xml:space="preserve">between 0.0020 and 0.0037, and 20 to 30 percent of the 30 runs at each setting reach the observed value, no more than the 23 to 33 percent reached with no boundary at all. A boundary in copying, the mechanism the phase-as-group hypothesis requires, adds almost nothing to what distance already produces. Part of the reason lies in the model: new variants arrive from a region-wide pool that no boundary interrupts, which mutes any boundary’s effect.</w:t>
      </w:r>
    </w:p>
    <w:p>
      <w:pPr>
        <w:pStyle w:val="BodyText"/>
      </w:pPr>
      <w:r>
        <w:t xml:space="preserve">The model with no clusters gives the same answer from a different direction. It assigns 99.6 percent of the variation in composition among assemblages to location (95 percent credible interval 0.972 to 1.000), leaving almost none of the site-specific character that bounded groups would produce. Without containing any groups, it also reproduces the observed between-cluster</w:t>
      </w:r>
      <w:r>
        <w:t xml:space="preserve"> </w:t>
      </w:r>
      <m:oMath>
        <m:sSub>
          <m:e>
            <m:r>
              <m:t>F</m:t>
            </m:r>
          </m:e>
          <m:sub>
            <m:r>
              <m:t>S</m:t>
            </m:r>
            <m:r>
              <m:t>T</m:t>
            </m:r>
          </m:sub>
        </m:sSub>
      </m:oMath>
      <w:r>
        <w:t xml:space="preserve"> </w:t>
      </w:r>
      <w:r>
        <w:t xml:space="preserve">at three clusters, the fading of similarity with distance, and the spread of diversity among assemblages (Supplemental Text).</w:t>
      </w:r>
    </w:p>
    <w:bookmarkEnd w:id="137"/>
    <w:bookmarkStart w:id="141" w:name="Xb5854cf276628e16f42312eac8ef8b0866a2b4a"/>
    <w:p>
      <w:pPr>
        <w:pStyle w:val="Heading3"/>
      </w:pPr>
      <w:r>
        <w:t xml:space="preserve">Could the record show a boundary if there were one?</w:t>
      </w:r>
    </w:p>
    <w:p>
      <w:pPr>
        <w:pStyle w:val="FirstParagraph"/>
      </w:pPr>
      <w:r>
        <w:t xml:space="preserve">Before asking whether any variation requires more than drift, we need to know whether this record could reveal it. On idealized data the four measures behave as designed. When interaction narrows toward closed groups all four rise together, whereas the three other processes each move only some of them. Under closure the four are tightly correlated (mean absolute correlation 0.88), and under the other processes they are nearly independent (0.18 to 0.28), so their joint movement carries information (Figure 2).</w:t>
      </w:r>
    </w:p>
    <w:p>
      <w:pPr>
        <w:pStyle w:val="BodyText"/>
      </w:pPr>
      <w:r>
        <w:t xml:space="preserve">On synthetic assemblages matched to the real record, only one measure survives (Figure 5). Cultural</w:t>
      </w:r>
      <w:r>
        <w:t xml:space="preserve"> </w:t>
      </w:r>
      <m:oMath>
        <m:sSub>
          <m:e>
            <m:r>
              <m:t>F</m:t>
            </m:r>
          </m:e>
          <m:sub>
            <m:r>
              <m:t>S</m:t>
            </m:r>
            <m:r>
              <m:t>T</m:t>
            </m:r>
          </m:sub>
        </m:sSub>
      </m:oMath>
      <w:r>
        <w:t xml:space="preserve"> </w:t>
      </w:r>
      <w:r>
        <w:t xml:space="preserve">rises steadily as imposed closure increases. The departure from neutral copying does not move in one direction as conformity increases, the boundary excess does not respond at all to the two spatial clusters the site layout supports, and the number of seriation groups does not rise as closure predicts. At this record’s size and time-averaging, cultural</w:t>
      </w:r>
      <w:r>
        <w:t xml:space="preserve"> </w:t>
      </w:r>
      <m:oMath>
        <m:sSub>
          <m:e>
            <m:r>
              <m:t>F</m:t>
            </m:r>
          </m:e>
          <m:sub>
            <m:r>
              <m:t>S</m:t>
            </m:r>
            <m:r>
              <m:t>T</m:t>
            </m:r>
          </m:sub>
        </m:sSub>
      </m:oMath>
      <w:r>
        <w:t xml:space="preserve"> </w:t>
      </w:r>
      <w:r>
        <w:t xml:space="preserve">is the only measure that can tell a bounded group from copying across distance. We report the other three for completeness and draw no inference from them.</w:t>
      </w:r>
    </w:p>
    <w:p>
      <w:pPr>
        <w:pStyle w:val="CaptionedFigure"/>
      </w:pPr>
      <w:r>
        <w:drawing>
          <wp:inline>
            <wp:extent cx="5334000" cy="2692949"/>
            <wp:effectExtent b="0" l="0" r="0" t="0"/>
            <wp:docPr descr="Figure 5. Which measures can detect a boundary on a record like this one. Left: each measure’s response (its rank-correlation trend along the sequence) to closure of known strength imposed on synthetic assemblages built to the real record’s 28 sample sizes, clusters, and sequence positions, subsampled to a common count. Only cultural F_{ST} tracks the imposed closure steadily. Right: the posterior over closure strength given the observed trend, with and without the record’s time-averaging. The median is 0.15 (interval 0.00 to 0.37) without time-averaging and 0.22 (0.00 to 0.57) with it, and the probability of closure of 0.5 or more is 0.001 and 0.088. The observed trend is a rank correlation of -0.048, averaged over 4,000 subsamples, against a draw-to-draw spread of -0.80 to +0.40." title="" id="139" name="Picture"/>
            <a:graphic>
              <a:graphicData uri="http://schemas.openxmlformats.org/drawingml/2006/picture">
                <pic:pic>
                  <pic:nvPicPr>
                    <pic:cNvPr descr="../../figures/fig5_recovery.png" id="140" name="Picture"/>
                    <pic:cNvPicPr>
                      <a:picLocks noChangeArrowheads="1" noChangeAspect="1"/>
                    </pic:cNvPicPr>
                  </pic:nvPicPr>
                  <pic:blipFill>
                    <a:blip r:embed="rId138"/>
                    <a:stretch>
                      <a:fillRect/>
                    </a:stretch>
                  </pic:blipFill>
                  <pic:spPr bwMode="auto">
                    <a:xfrm>
                      <a:off x="0" y="0"/>
                      <a:ext cx="5334000" cy="2692949"/>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Which measures can detect a boundary on a record like this one. Left: each measure’s response (its rank-correlation trend along the sequence) to closure of known strength imposed on synthetic assemblages built to the real record’s 28 sample sizes, clusters, and sequence positions, subsampled to a common count. Only cultural</w:t>
      </w:r>
      <w:r>
        <w:t xml:space="preserve"> </w:t>
      </w:r>
      <m:oMath>
        <m:sSub>
          <m:e>
            <m:r>
              <m:t>F</m:t>
            </m:r>
          </m:e>
          <m:sub>
            <m:r>
              <m:t>S</m:t>
            </m:r>
            <m:r>
              <m:t>T</m:t>
            </m:r>
          </m:sub>
        </m:sSub>
      </m:oMath>
      <w:r>
        <w:t xml:space="preserve"> </w:t>
      </w:r>
      <w:r>
        <w:t xml:space="preserve">tracks the imposed closure steadily. Right: the posterior over closure strength given the observed trend, with and without the record’s time-averaging. The median is 0.15 (interval 0.00 to 0.37) without time-averaging and 0.22 (0.00 to 0.57) with it, and the probability of closure of 0.5 or more is 0.001 and 0.088. The observed trend is a rank correlation of -0.048, averaged over 4,000 subsamples, against a draw-to-draw spread of -0.80 to +0.40.</w:t>
      </w:r>
    </w:p>
    <w:bookmarkEnd w:id="141"/>
    <w:bookmarkStart w:id="145" w:name="did-interaction-narrow-over-time"/>
    <w:p>
      <w:pPr>
        <w:pStyle w:val="Heading3"/>
      </w:pPr>
      <w:r>
        <w:t xml:space="preserve">Did interaction narrow over time?</w:t>
      </w:r>
    </w:p>
    <w:p>
      <w:pPr>
        <w:pStyle w:val="FirstParagraph"/>
      </w:pPr>
      <w:r>
        <w:t xml:space="preserve">If phases were becoming bounded groups, differences between them should grow as interaction narrows. They do not (Figure 6). The raw trend in cultural</w:t>
      </w:r>
      <w:r>
        <w:t xml:space="preserve"> </w:t>
      </w:r>
      <m:oMath>
        <m:sSub>
          <m:e>
            <m:r>
              <m:t>F</m:t>
            </m:r>
          </m:e>
          <m:sub>
            <m:r>
              <m:t>S</m:t>
            </m:r>
            <m:r>
              <m:t>T</m:t>
            </m:r>
          </m:sub>
        </m:sSub>
      </m:oMath>
      <w:r>
        <w:t xml:space="preserve"> </w:t>
      </w:r>
      <w:r>
        <w:t xml:space="preserve">along the sequence is strongly negative, a rank correlation of -0.80, but that trend is a sampling artifact: assemblage size also rises along the sequence. Once every assemblage is subsampled to a common count, the trend averages -0.048 over 4,000 subsamples, and a single subsample returns anything from -0.80 to +0.40. The record resolves no trend at all. Two of the six periods hold assemblages from a single spatial cluster and carry no between-cluster variance, so the trend rests on four.</w:t>
      </w:r>
    </w:p>
    <w:p>
      <w:pPr>
        <w:pStyle w:val="BodyText"/>
      </w:pPr>
      <w:r>
        <w:t xml:space="preserve">Read against the recovery experiment, a trend this small corresponds to closure with a posterior median of 0.15 and a 95 percent credible interval of 0.00 to 0.37, with a probability of 0.001 on closure of 0.5 or more. Once the record’s time-averaging is built into the simulations, the posterior widens to a median of 0.22 and an interval of 0.00 to 0.57, and 9 percent of it lies at 0.5 or above. Reversing the order, in case its later end is the other one, barely changes this: the median becomes 0.17 (0.00 to 0.39), or 0.25 (0.00 to 0.60) with time-averaging. The record is consistent with no closure and with weak closure. It shows no moderate or strong closure of the kind that would register as growing divergence.</w:t>
      </w:r>
    </w:p>
    <w:p>
      <w:pPr>
        <w:pStyle w:val="CaptionedFigure"/>
      </w:pPr>
      <w:r>
        <w:drawing>
          <wp:inline>
            <wp:extent cx="5334000" cy="3952347"/>
            <wp:effectExtent b="0" l="0" r="0" t="0"/>
            <wp:docPr descr="Figure 6. The four measures along the seriation sequence for the 28 basin assemblages in six periods, after subsampling every assemblage to a common 50 sherds. Two periods hold assemblages from a single spatial cluster and so carry no between-cluster F_{ST}. Cultural F_{ST}, the one usable measure, shows no resolvable trend (rank correlation -0.048 averaged over 4,000 subsamples, against a draw-to-draw spread of -0.80 to +0.40; the raw -0.80 is a sample-size artifact). The other three measures cannot discriminate at this resolution (Figure 5) and are shown for completeness, averaged over 400 subsamples. Each panel is annotated with its rank correlation." title="" id="143" name="Picture"/>
            <a:graphic>
              <a:graphicData uri="http://schemas.openxmlformats.org/drawingml/2006/picture">
                <pic:pic>
                  <pic:nvPicPr>
                    <pic:cNvPr descr="../../figures/fig6_empirical_trajectory.png" id="144" name="Picture"/>
                    <pic:cNvPicPr>
                      <a:picLocks noChangeArrowheads="1" noChangeAspect="1"/>
                    </pic:cNvPicPr>
                  </pic:nvPicPr>
                  <pic:blipFill>
                    <a:blip r:embed="rId142"/>
                    <a:stretch>
                      <a:fillRect/>
                    </a:stretch>
                  </pic:blipFill>
                  <pic:spPr bwMode="auto">
                    <a:xfrm>
                      <a:off x="0" y="0"/>
                      <a:ext cx="5334000" cy="3952347"/>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The four measures along the seriation sequence for the 28 basin assemblages in six periods, after subsampling every assemblage to a common 50 sherds. Two periods hold assemblages from a single spatial cluster and so carry no between-cluster</w:t>
      </w:r>
      <w:r>
        <w:t xml:space="preserve"> </w:t>
      </w:r>
      <m:oMath>
        <m:sSub>
          <m:e>
            <m:r>
              <m:t>F</m:t>
            </m:r>
          </m:e>
          <m:sub>
            <m:r>
              <m:t>S</m:t>
            </m:r>
            <m:r>
              <m:t>T</m:t>
            </m:r>
          </m:sub>
        </m:sSub>
      </m:oMath>
      <w:r>
        <w:t xml:space="preserve">. Cultural</w:t>
      </w:r>
      <w:r>
        <w:t xml:space="preserve"> </w:t>
      </w:r>
      <m:oMath>
        <m:sSub>
          <m:e>
            <m:r>
              <m:t>F</m:t>
            </m:r>
          </m:e>
          <m:sub>
            <m:r>
              <m:t>S</m:t>
            </m:r>
            <m:r>
              <m:t>T</m:t>
            </m:r>
          </m:sub>
        </m:sSub>
      </m:oMath>
      <w:r>
        <w:t xml:space="preserve">, the one usable measure, shows no resolvable trend (rank correlation -0.048 averaged over 4,000 subsamples, against a draw-to-draw spread of -0.80 to +0.40; the raw -0.80 is a sample-size artifact). The other three measures cannot discriminate at this resolution (Figure 5) and are shown for completeness, averaged over 400 subsamples. Each panel is annotated with its rank correlation.</w:t>
      </w:r>
    </w:p>
    <w:p>
      <w:pPr>
        <w:pStyle w:val="BodyText"/>
      </w:pPr>
      <w:r>
        <w:t xml:space="preserve">Three checks in the time domain agree (Supplemental Text). A hierarchical model of the frequency changes of all ten classes finds no population-level departure from unbiased copying (posterior median +0.008, 95 percent credible interval -0.040 to +0.081, where unbiased copying implies zero)</w:t>
      </w:r>
      <w:r>
        <w:t xml:space="preserve"> </w:t>
      </w:r>
      <w:r>
        <w:t xml:space="preserve">(Feder et al. 2014)</w:t>
      </w:r>
      <w:r>
        <w:t xml:space="preserve">. A neutral model whose parameters are drawn from the fitted posterior reproduces the observed diversity in all six periods (Bayesian predictive p 0.885)</w:t>
      </w:r>
      <w:r>
        <w:t xml:space="preserve"> </w:t>
      </w:r>
      <w:r>
        <w:t xml:space="preserve">(Kandler and Shennan 2013)</w:t>
      </w:r>
      <w:r>
        <w:t xml:space="preserve">. Neiman’s distance between assemblages shows no trend toward divergence, and within-assemblage diversity is weakly and negatively related to distance from the other assemblages (posterior median rank correlation -0.14, 95 percent credible interval -0.44 to +0.20), the direction a single shared community produces (Figure S1)</w:t>
      </w:r>
      <w:r>
        <w:t xml:space="preserve"> </w:t>
      </w:r>
      <w:r>
        <w:t xml:space="preserve">(Neiman 1995)</w:t>
      </w:r>
      <w:r>
        <w:t xml:space="preserve">.</w:t>
      </w:r>
    </w:p>
    <w:bookmarkEnd w:id="145"/>
    <w:bookmarkStart w:id="146" w:name="variation-beyond-what-drift-produces"/>
    <w:p>
      <w:pPr>
        <w:pStyle w:val="Heading3"/>
      </w:pPr>
      <w:r>
        <w:t xml:space="preserve">Variation beyond what drift produces</w:t>
      </w:r>
    </w:p>
    <w:p>
      <w:pPr>
        <w:pStyle w:val="FirstParagraph"/>
      </w:pPr>
      <w:r>
        <w:t xml:space="preserve">The comparison above uses the two clusters the site layout supports. Cutting the basin into more pieces isolates smaller neighborhoods, and the observed differences then grow faster than the model’s (Table 2). This is the one place where the frequencies show variation that spatially structured drift, as first modeled, does not produce. The model covers the observed value with two, three, and four clusters, the scales that span the three published phases, and falls short from five clusters on, where each group spans about 10 km or less.</w:t>
      </w:r>
    </w:p>
    <w:p>
      <w:pPr>
        <w:pStyle w:val="BodyText"/>
      </w:pPr>
      <w:r>
        <w:rPr>
          <w:b/>
          <w:bCs/>
        </w:rPr>
        <w:t xml:space="preserve">Table 2.</w:t>
      </w:r>
      <w:r>
        <w:t xml:space="preserve"> </w:t>
      </w:r>
      <w:r>
        <w:t xml:space="preserve">Observed between-cluster cultural</w:t>
      </w:r>
      <w:r>
        <w:t xml:space="preserve"> </w:t>
      </w:r>
      <m:oMath>
        <m:sSub>
          <m:e>
            <m:r>
              <m:t>F</m:t>
            </m:r>
          </m:e>
          <m:sub>
            <m:r>
              <m:t>S</m:t>
            </m:r>
            <m:r>
              <m:t>T</m:t>
            </m:r>
          </m:sub>
        </m:sSub>
      </m:oMath>
      <w:r>
        <w:t xml:space="preserve"> </w:t>
      </w:r>
      <w:r>
        <w:t xml:space="preserve">and the neutral copying model as the basin is divided into more clusters, over 300 simulations at the calibrated combination. Radius is the median distance from an assemblage to its cluster center.</w:t>
      </w:r>
    </w:p>
    <w:tbl>
      <w:tblPr>
        <w:tblStyle w:val="Table"/>
        <w:tblW w:type="pct" w:w="5000"/>
        <w:tblLayout w:type="fixed"/>
        <w:tblLook w:firstRow="1" w:lastRow="0" w:firstColumn="0" w:lastColumn="0" w:noHBand="0" w:noVBand="0" w:val="0020"/>
      </w:tblPr>
      <w:tblGrid>
        <w:gridCol w:w="1320"/>
        <w:gridCol w:w="1320"/>
        <w:gridCol w:w="1320"/>
        <w:gridCol w:w="1320"/>
        <w:gridCol w:w="990"/>
        <w:gridCol w:w="1650"/>
      </w:tblGrid>
      <w:tr>
        <w:trPr>
          <w:tblHeader w:val="on"/>
        </w:trPr>
        <w:tc>
          <w:tcPr/>
          <w:p>
            <w:pPr>
              <w:pStyle w:val="Compact"/>
              <w:jc w:val="right"/>
            </w:pPr>
            <w:r>
              <w:t xml:space="preserve">Clusters</w:t>
            </w:r>
          </w:p>
        </w:tc>
        <w:tc>
          <w:tcPr/>
          <w:p>
            <w:pPr>
              <w:pStyle w:val="Compact"/>
              <w:jc w:val="right"/>
            </w:pPr>
            <w:r>
              <w:t xml:space="preserve">Radius (km)</w:t>
            </w:r>
          </w:p>
        </w:tc>
        <w:tc>
          <w:tcPr/>
          <w:p>
            <w:pPr>
              <w:pStyle w:val="Compact"/>
              <w:jc w:val="right"/>
            </w:pPr>
            <w:r>
              <w:t xml:space="preserve">Observed</w:t>
            </w:r>
          </w:p>
        </w:tc>
        <w:tc>
          <w:tcPr/>
          <w:p>
            <w:pPr>
              <w:pStyle w:val="Compact"/>
              <w:jc w:val="right"/>
            </w:pPr>
            <w:r>
              <w:t xml:space="preserve">Model median</w:t>
            </w:r>
          </w:p>
        </w:tc>
        <w:tc>
          <w:tcPr/>
          <w:p>
            <w:pPr>
              <w:pStyle w:val="Compact"/>
            </w:pPr>
            <w:r>
              <w:t xml:space="preserve">Model 95 percent range</w:t>
            </w:r>
          </w:p>
        </w:tc>
        <w:tc>
          <w:tcPr/>
          <w:p>
            <w:pPr>
              <w:pStyle w:val="Compact"/>
              <w:jc w:val="center"/>
            </w:pPr>
            <w:r>
              <w:t xml:space="preserve">Observed inside?</w:t>
            </w:r>
          </w:p>
        </w:tc>
      </w:tr>
      <w:tr>
        <w:tc>
          <w:tcPr/>
          <w:p>
            <w:pPr>
              <w:pStyle w:val="Compact"/>
              <w:jc w:val="right"/>
            </w:pPr>
            <w:r>
              <w:t xml:space="preserve">2</w:t>
            </w:r>
          </w:p>
        </w:tc>
        <w:tc>
          <w:tcPr/>
          <w:p>
            <w:pPr>
              <w:pStyle w:val="Compact"/>
              <w:jc w:val="right"/>
            </w:pPr>
            <w:r>
              <w:t xml:space="preserve">17.5</w:t>
            </w:r>
          </w:p>
        </w:tc>
        <w:tc>
          <w:tcPr/>
          <w:p>
            <w:pPr>
              <w:pStyle w:val="Compact"/>
              <w:jc w:val="right"/>
            </w:pPr>
            <w:r>
              <w:t xml:space="preserve">0.0062</w:t>
            </w:r>
          </w:p>
        </w:tc>
        <w:tc>
          <w:tcPr/>
          <w:p>
            <w:pPr>
              <w:pStyle w:val="Compact"/>
              <w:jc w:val="right"/>
            </w:pPr>
            <w:r>
              <w:t xml:space="preserve">0.0025</w:t>
            </w:r>
          </w:p>
        </w:tc>
        <w:tc>
          <w:tcPr/>
          <w:p>
            <w:pPr>
              <w:pStyle w:val="Compact"/>
            </w:pPr>
            <w:r>
              <w:t xml:space="preserve">0.0002 to 0.0157</w:t>
            </w:r>
          </w:p>
        </w:tc>
        <w:tc>
          <w:tcPr/>
          <w:p>
            <w:pPr>
              <w:pStyle w:val="Compact"/>
              <w:jc w:val="center"/>
            </w:pPr>
            <w:r>
              <w:t xml:space="preserve">yes</w:t>
            </w:r>
          </w:p>
        </w:tc>
      </w:tr>
      <w:tr>
        <w:tc>
          <w:tcPr/>
          <w:p>
            <w:pPr>
              <w:pStyle w:val="Compact"/>
              <w:jc w:val="right"/>
            </w:pPr>
            <w:r>
              <w:t xml:space="preserve">3</w:t>
            </w:r>
          </w:p>
        </w:tc>
        <w:tc>
          <w:tcPr/>
          <w:p>
            <w:pPr>
              <w:pStyle w:val="Compact"/>
              <w:jc w:val="right"/>
            </w:pPr>
            <w:r>
              <w:t xml:space="preserve">13.7</w:t>
            </w:r>
          </w:p>
        </w:tc>
        <w:tc>
          <w:tcPr/>
          <w:p>
            <w:pPr>
              <w:pStyle w:val="Compact"/>
              <w:jc w:val="right"/>
            </w:pPr>
            <w:r>
              <w:t xml:space="preserve">0.0156</w:t>
            </w:r>
          </w:p>
        </w:tc>
        <w:tc>
          <w:tcPr/>
          <w:p>
            <w:pPr>
              <w:pStyle w:val="Compact"/>
              <w:jc w:val="right"/>
            </w:pPr>
            <w:r>
              <w:t xml:space="preserve">0.0047</w:t>
            </w:r>
          </w:p>
        </w:tc>
        <w:tc>
          <w:tcPr/>
          <w:p>
            <w:pPr>
              <w:pStyle w:val="Compact"/>
            </w:pPr>
            <w:r>
              <w:t xml:space="preserve">0.0011 to 0.0186</w:t>
            </w:r>
          </w:p>
        </w:tc>
        <w:tc>
          <w:tcPr/>
          <w:p>
            <w:pPr>
              <w:pStyle w:val="Compact"/>
              <w:jc w:val="center"/>
            </w:pPr>
            <w:r>
              <w:t xml:space="preserve">yes</w:t>
            </w:r>
          </w:p>
        </w:tc>
      </w:tr>
      <w:tr>
        <w:tc>
          <w:tcPr/>
          <w:p>
            <w:pPr>
              <w:pStyle w:val="Compact"/>
              <w:jc w:val="right"/>
            </w:pPr>
            <w:r>
              <w:t xml:space="preserve">4</w:t>
            </w:r>
          </w:p>
        </w:tc>
        <w:tc>
          <w:tcPr/>
          <w:p>
            <w:pPr>
              <w:pStyle w:val="Compact"/>
              <w:jc w:val="right"/>
            </w:pPr>
            <w:r>
              <w:t xml:space="preserve">11.7</w:t>
            </w:r>
          </w:p>
        </w:tc>
        <w:tc>
          <w:tcPr/>
          <w:p>
            <w:pPr>
              <w:pStyle w:val="Compact"/>
              <w:jc w:val="right"/>
            </w:pPr>
            <w:r>
              <w:t xml:space="preserve">0.0186</w:t>
            </w:r>
          </w:p>
        </w:tc>
        <w:tc>
          <w:tcPr/>
          <w:p>
            <w:pPr>
              <w:pStyle w:val="Compact"/>
              <w:jc w:val="right"/>
            </w:pPr>
            <w:r>
              <w:t xml:space="preserve">0.0057</w:t>
            </w:r>
          </w:p>
        </w:tc>
        <w:tc>
          <w:tcPr/>
          <w:p>
            <w:pPr>
              <w:pStyle w:val="Compact"/>
            </w:pPr>
            <w:r>
              <w:t xml:space="preserve">0.0016 to 0.0210</w:t>
            </w:r>
          </w:p>
        </w:tc>
        <w:tc>
          <w:tcPr/>
          <w:p>
            <w:pPr>
              <w:pStyle w:val="Compact"/>
              <w:jc w:val="center"/>
            </w:pPr>
            <w:r>
              <w:t xml:space="preserve">yes</w:t>
            </w:r>
          </w:p>
        </w:tc>
      </w:tr>
      <w:tr>
        <w:tc>
          <w:tcPr/>
          <w:p>
            <w:pPr>
              <w:pStyle w:val="Compact"/>
              <w:jc w:val="right"/>
            </w:pPr>
            <w:r>
              <w:t xml:space="preserve">5</w:t>
            </w:r>
          </w:p>
        </w:tc>
        <w:tc>
          <w:tcPr/>
          <w:p>
            <w:pPr>
              <w:pStyle w:val="Compact"/>
              <w:jc w:val="right"/>
            </w:pPr>
            <w:r>
              <w:t xml:space="preserve">10.6</w:t>
            </w:r>
          </w:p>
        </w:tc>
        <w:tc>
          <w:tcPr/>
          <w:p>
            <w:pPr>
              <w:pStyle w:val="Compact"/>
              <w:jc w:val="right"/>
            </w:pPr>
            <w:r>
              <w:t xml:space="preserve">0.0307</w:t>
            </w:r>
          </w:p>
        </w:tc>
        <w:tc>
          <w:tcPr/>
          <w:p>
            <w:pPr>
              <w:pStyle w:val="Compact"/>
              <w:jc w:val="right"/>
            </w:pPr>
            <w:r>
              <w:t xml:space="preserve">0.0067</w:t>
            </w:r>
          </w:p>
        </w:tc>
        <w:tc>
          <w:tcPr/>
          <w:p>
            <w:pPr>
              <w:pStyle w:val="Compact"/>
            </w:pPr>
            <w:r>
              <w:t xml:space="preserve">0.0022 to 0.0214</w:t>
            </w:r>
          </w:p>
        </w:tc>
        <w:tc>
          <w:tcPr/>
          <w:p>
            <w:pPr>
              <w:pStyle w:val="Compact"/>
              <w:jc w:val="center"/>
            </w:pPr>
            <w:r>
              <w:t xml:space="preserve">no</w:t>
            </w:r>
          </w:p>
        </w:tc>
      </w:tr>
    </w:tbl>
    <w:p>
      <w:pPr>
        <w:pStyle w:val="BodyText"/>
      </w:pPr>
      <w:r>
        <w:t xml:space="preserve">That finer-scale difference is not spread evenly, and it is not centered on Parkin. Dividing the basin into five clusters and comparing each cluster’s contribution with 300 simulations, the two most thinly sampled clusters, five Kent-phase assemblages around Kent Place holding 765 sherds and five around Walls holding 918, exceed the model 30-fold and 7-fold and together supply 63 percent of the observed statistic. The cluster containing Parkin and nine neighbors, the best sampled in the basin at 6,555 sherds, exceeds it 4-fold, and the two clusters along the Mississippi exceed it 2.3- and 2.2-fold. The simulated assemblages are drawn at the real sherd counts, so sampling alone does not produce this pattern, and it does not follow which source the counts came from (Supplemental Text). At these scales, though, the clusters approach the spacing of the assemblages themselves, a median of 4.3 km to the nearest neighbor, which is as fine as the record can resolve.</w:t>
      </w:r>
    </w:p>
    <w:p>
      <w:pPr>
        <w:pStyle w:val="BodyText"/>
      </w:pPr>
      <w:r>
        <w:t xml:space="preserve">We tested four ways the model could be too simple (Table 3). Unequal site populations raise differentiation about fivefold across the range we tried, but they also lower the average population, which speeds drift everywhere and pulls within-assemblage diversity below what the record shows. Changing how copying falls off with distance, whether along rivers or in a straight line, with exponential, Gaussian, or power-law decay, over lengths from 6 to 96 km, moves the median by no more than a few thousandths while diversity stays matched. Letting deposits accumulate over unequal spans barely moves the statistic. Only one change reproduces the finer-scale difference while keeping diversity matched. When each cluster draws its new variants from a slightly different version of the regional profile, with a fifth of the classes reordered, the median</w:t>
      </w:r>
      <w:r>
        <w:t xml:space="preserve"> </w:t>
      </w:r>
      <m:oMath>
        <m:sSub>
          <m:e>
            <m:r>
              <m:t>F</m:t>
            </m:r>
          </m:e>
          <m:sub>
            <m:r>
              <m:t>S</m:t>
            </m:r>
            <m:r>
              <m:t>T</m:t>
            </m:r>
          </m:sub>
        </m:sSub>
      </m:oMath>
      <w:r>
        <w:t xml:space="preserve"> </w:t>
      </w:r>
      <w:r>
        <w:t xml:space="preserve">is 0.0059 against the observed 0.0062, and diversity stays matched as the reordered share rises to 0.3. This is still neutral copying. Nothing in it restricts who copies whom; it only lets new styles arise locally rather than at the same rates everywhere. Individual simulations under it are very widely spread, with a 95 percent range of 0.0004 to 0.16, so it is consistent with the record rather than demonstrated by it.</w:t>
      </w:r>
    </w:p>
    <w:p>
      <w:pPr>
        <w:pStyle w:val="BodyText"/>
      </w:pPr>
      <w:r>
        <w:rPr>
          <w:b/>
          <w:bCs/>
        </w:rPr>
        <w:t xml:space="preserve">Table 3.</w:t>
      </w:r>
      <w:r>
        <w:t xml:space="preserve"> </w:t>
      </w:r>
      <w:r>
        <w:t xml:space="preserve">Every account of the basin’s decorated-type frequencies tested here, what it predicts, and how it fared. The first row is the baseline that operates whatever else happens. The second is the process that would give phases the qualities of groups. The rest are candidate additional processes for the finer-scale difference the baseline leaves. An account meets the standard only if it reaches the observed between-cluster</w:t>
      </w:r>
      <w:r>
        <w:t xml:space="preserve"> </w:t>
      </w:r>
      <m:oMath>
        <m:sSub>
          <m:e>
            <m:r>
              <m:t>F</m:t>
            </m:r>
          </m:e>
          <m:sub>
            <m:r>
              <m:t>S</m:t>
            </m:r>
            <m:r>
              <m:t>T</m:t>
            </m:r>
          </m:sub>
        </m:sSub>
      </m:oMath>
      <w:r>
        <w:t xml:space="preserve"> </w:t>
      </w:r>
      <w:r>
        <w:t xml:space="preserve">of 0.0062</w:t>
      </w:r>
      <w:r>
        <w:t xml:space="preserve"> </w:t>
      </w:r>
      <w:r>
        <w:rPr>
          <w:i/>
          <w:iCs/>
        </w:rPr>
        <w:t xml:space="preserve">and</w:t>
      </w:r>
      <w:r>
        <w:t xml:space="preserve"> </w:t>
      </w:r>
      <w:r>
        <w:t xml:space="preserve">keeps all three within-assemblage diversity summaries within 10 percent of the observed values. Full grids and diagnostics are in the Supplemental Text.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Account</w:t>
            </w:r>
          </w:p>
        </w:tc>
        <w:tc>
          <w:tcPr/>
          <w:p>
            <w:pPr>
              <w:pStyle w:val="Compact"/>
            </w:pPr>
            <w:r>
              <w:t xml:space="preserve">What it predicts</w:t>
            </w:r>
          </w:p>
        </w:tc>
        <w:tc>
          <w:tcPr/>
          <w:p>
            <w:pPr>
              <w:pStyle w:val="Compact"/>
            </w:pPr>
            <w:r>
              <w:t xml:space="preserve">How tested</w:t>
            </w:r>
          </w:p>
        </w:tc>
        <w:tc>
          <w:tcPr/>
          <w:p>
            <w:pPr>
              <w:pStyle w:val="Compact"/>
            </w:pPr>
            <w:r>
              <w:t xml:space="preserve">Outcome</w:t>
            </w:r>
          </w:p>
        </w:tc>
      </w:tr>
      <w:tr>
        <w:tc>
          <w:tcPr/>
          <w:p>
            <w:pPr>
              <w:pStyle w:val="Compact"/>
            </w:pPr>
            <w:r>
              <w:t xml:space="preserve">Neutral copying across space (baseline)</w:t>
            </w:r>
          </w:p>
        </w:tc>
        <w:tc>
          <w:tcPr/>
          <w:p>
            <w:pPr>
              <w:pStyle w:val="Compact"/>
            </w:pPr>
            <w:r>
              <w:t xml:space="preserve">Differences among assemblages, the fade of similarity with distance, and the phases themselves, with no group anywhere</w:t>
            </w:r>
          </w:p>
        </w:tc>
        <w:tc>
          <w:tcPr/>
          <w:p>
            <w:pPr>
              <w:pStyle w:val="Compact"/>
            </w:pPr>
            <w:r>
              <w:t xml:space="preserve">Neutral copying on the real map, tuned to the assemblages’ diversity (Figure S2)</w:t>
            </w:r>
          </w:p>
        </w:tc>
        <w:tc>
          <w:tcPr/>
          <w:p>
            <w:pPr>
              <w:pStyle w:val="Compact"/>
            </w:pPr>
            <w:r>
              <w:rPr>
                <w:b/>
                <w:bCs/>
              </w:rPr>
              <w:t xml:space="preserve">Explains most of the record.</w:t>
            </w:r>
            <w:r>
              <w:t xml:space="preserve"> </w:t>
            </w:r>
            <w:r>
              <w:t xml:space="preserve">Observed</w:t>
            </w:r>
            <w:r>
              <w:t xml:space="preserve"> </w:t>
            </w:r>
            <m:oMath>
              <m:sSub>
                <m:e>
                  <m:r>
                    <m:t>F</m:t>
                  </m:r>
                </m:e>
                <m:sub>
                  <m:r>
                    <m:t>S</m:t>
                  </m:r>
                  <m:r>
                    <m:t>T</m:t>
                  </m:r>
                </m:sub>
              </m:sSub>
            </m:oMath>
            <w:r>
              <w:t xml:space="preserve"> </w:t>
            </w:r>
            <w:r>
              <w:t xml:space="preserve">inside the model’s range with two to four clusters; simulated pottery sorts into the phases as readily as real pottery; falls short from five clusters on</w:t>
            </w:r>
          </w:p>
        </w:tc>
      </w:tr>
      <w:tr>
        <w:tc>
          <w:tcPr/>
          <w:p>
            <w:pPr>
              <w:pStyle w:val="Compact"/>
            </w:pPr>
            <w:r>
              <w:t xml:space="preserve">Bounded groups, giving phases the qualities of communities or polities</w:t>
            </w:r>
          </w:p>
        </w:tc>
        <w:tc>
          <w:tcPr/>
          <w:p>
            <w:pPr>
              <w:pStyle w:val="Compact"/>
            </w:pPr>
            <w:r>
              <w:t xml:space="preserve">Divergence that grows as interaction narrows; boundaries where the pottery changes; pottery rather than location recovers the phases</w:t>
            </w:r>
          </w:p>
        </w:tc>
        <w:tc>
          <w:tcPr/>
          <w:p>
            <w:pPr>
              <w:pStyle w:val="Compact"/>
            </w:pPr>
            <w:r>
              <w:t xml:space="preserve">Recovery experiment and the observed trend (Figures 5, 6); the phase-line tests reported below</w:t>
            </w:r>
          </w:p>
        </w:tc>
        <w:tc>
          <w:tcPr/>
          <w:p>
            <w:pPr>
              <w:pStyle w:val="Compact"/>
            </w:pPr>
            <w:r>
              <w:rPr>
                <w:b/>
                <w:bCs/>
              </w:rPr>
              <w:t xml:space="preserve">Not supported.</w:t>
            </w:r>
            <w:r>
              <w:t xml:space="preserve"> </w:t>
            </w:r>
            <w:r>
              <w:t xml:space="preserve">No resolvable trend (closure 0.15, 0.00 to 0.37); boundaries fall where pottery changes least; location alone recovers the phases</w:t>
            </w:r>
          </w:p>
        </w:tc>
      </w:tr>
      <w:tr>
        <w:tc>
          <w:tcPr/>
          <w:p>
            <w:pPr>
              <w:pStyle w:val="Compact"/>
            </w:pPr>
            <w:r>
              <w:t xml:space="preserve">Restricted copying across boundaries</w:t>
            </w:r>
          </w:p>
        </w:tc>
        <w:tc>
          <w:tcPr/>
          <w:p>
            <w:pPr>
              <w:pStyle w:val="Compact"/>
            </w:pPr>
            <w:r>
              <w:t xml:space="preserve">Higher between-cluster</w:t>
            </w:r>
            <w:r>
              <w:t xml:space="preserve"> </w:t>
            </w:r>
            <m:oMath>
              <m:sSub>
                <m:e>
                  <m:r>
                    <m:t>F</m:t>
                  </m:r>
                </m:e>
                <m:sub>
                  <m:r>
                    <m:t>S</m:t>
                  </m:r>
                  <m:r>
                    <m:t>T</m:t>
                  </m:r>
                </m:sub>
              </m:sSub>
            </m:oMath>
          </w:p>
        </w:tc>
        <w:tc>
          <w:tcPr/>
          <w:p>
            <w:pPr>
              <w:pStyle w:val="Compact"/>
            </w:pPr>
            <w:r>
              <w:t xml:space="preserve">Cross-boundary copying weakened to 0.5, 0.1, and 0.03 of its strength</w:t>
            </w:r>
          </w:p>
        </w:tc>
        <w:tc>
          <w:tcPr/>
          <w:p>
            <w:pPr>
              <w:pStyle w:val="Compact"/>
            </w:pPr>
            <w:r>
              <w:rPr>
                <w:b/>
                <w:bCs/>
              </w:rPr>
              <w:t xml:space="preserve">Fails.</w:t>
            </w:r>
            <w:r>
              <w:t xml:space="preserve"> </w:t>
            </w:r>
            <w:r>
              <w:t xml:space="preserve">Medians 0.0020 to 0.0037; the observed value is reached in 20 to 30 percent of runs, no more often than without a boundary</w:t>
            </w:r>
          </w:p>
        </w:tc>
      </w:tr>
      <w:tr>
        <w:tc>
          <w:tcPr/>
          <w:p>
            <w:pPr>
              <w:pStyle w:val="Compact"/>
            </w:pPr>
            <w:r>
              <w:t xml:space="preserve">Unequal site populations</w:t>
            </w:r>
          </w:p>
        </w:tc>
        <w:tc>
          <w:tcPr/>
          <w:p>
            <w:pPr>
              <w:pStyle w:val="Compact"/>
            </w:pPr>
            <w:r>
              <w:t xml:space="preserve">Small settlements drift faster, raising differentiation</w:t>
            </w:r>
          </w:p>
        </w:tc>
        <w:tc>
          <w:tcPr/>
          <w:p>
            <w:pPr>
              <w:pStyle w:val="Compact"/>
            </w:pPr>
            <w:r>
              <w:t xml:space="preserve">Populations varied with a coefficient of variation of 0 to 3, against the 0.9 to 1.8 implied by mound height</w:t>
            </w:r>
          </w:p>
        </w:tc>
        <w:tc>
          <w:tcPr/>
          <w:p>
            <w:pPr>
              <w:pStyle w:val="Compact"/>
            </w:pPr>
            <w:r>
              <w:rPr>
                <w:b/>
                <w:bCs/>
              </w:rPr>
              <w:t xml:space="preserve">Fails.</w:t>
            </w:r>
            <w:r>
              <w:t xml:space="preserve"> </w:t>
            </w:r>
            <m:oMath>
              <m:sSub>
                <m:e>
                  <m:r>
                    <m:t>F</m:t>
                  </m:r>
                </m:e>
                <m:sub>
                  <m:r>
                    <m:t>S</m:t>
                  </m:r>
                  <m:r>
                    <m:t>T</m:t>
                  </m:r>
                </m:sub>
              </m:sSub>
            </m:oMath>
            <w:r>
              <w:t xml:space="preserve"> </w:t>
            </w:r>
            <w:r>
              <w:t xml:space="preserve">rises from 0.0026 to 0.0122, but diversity no longer matches from a coefficient of variation of 1.0</w:t>
            </w:r>
          </w:p>
        </w:tc>
      </w:tr>
      <w:tr>
        <w:tc>
          <w:tcPr/>
          <w:p>
            <w:pPr>
              <w:pStyle w:val="Compact"/>
            </w:pPr>
            <w:r>
              <w:t xml:space="preserve">A different transport geography</w:t>
            </w:r>
          </w:p>
        </w:tc>
        <w:tc>
          <w:tcPr/>
          <w:p>
            <w:pPr>
              <w:pStyle w:val="Compact"/>
            </w:pPr>
            <w:r>
              <w:t xml:space="preserve">Copying that isolates distant sites raises differentiation</w:t>
            </w:r>
          </w:p>
        </w:tc>
        <w:tc>
          <w:tcPr/>
          <w:p>
            <w:pPr>
              <w:pStyle w:val="Compact"/>
            </w:pPr>
            <w:r>
              <w:t xml:space="preserve">River and straight-line distance, lengths of 6 to 96 km, three decay shapes</w:t>
            </w:r>
          </w:p>
        </w:tc>
        <w:tc>
          <w:tcPr/>
          <w:p>
            <w:pPr>
              <w:pStyle w:val="Compact"/>
            </w:pPr>
            <w:r>
              <w:rPr>
                <w:b/>
                <w:bCs/>
              </w:rPr>
              <w:t xml:space="preserve">Fails.</w:t>
            </w:r>
            <w:r>
              <w:t xml:space="preserve"> </w:t>
            </w:r>
            <w:r>
              <w:t xml:space="preserve">The best matched setting, straight-line exponential decay at 6 km, leaves a 2.1-fold shortfall; a Gaussian at 6 km reaches 1.5-fold but breaks the match</w:t>
            </w:r>
          </w:p>
        </w:tc>
      </w:tr>
      <w:tr>
        <w:tc>
          <w:tcPr/>
          <w:p>
            <w:pPr>
              <w:pStyle w:val="Compact"/>
            </w:pPr>
            <w:r>
              <w:t xml:space="preserve">Unequal accumulation spans</w:t>
            </w:r>
          </w:p>
        </w:tc>
        <w:tc>
          <w:tcPr/>
          <w:p>
            <w:pPr>
              <w:pStyle w:val="Compact"/>
            </w:pPr>
            <w:r>
              <w:t xml:space="preserve">Deposits from narrow time slices look more distinct</w:t>
            </w:r>
          </w:p>
        </w:tc>
        <w:tc>
          <w:tcPr/>
          <w:p>
            <w:pPr>
              <w:pStyle w:val="Compact"/>
            </w:pPr>
            <w:r>
              <w:t xml:space="preserve">Accumulation windows varied around eight steps by up to six</w:t>
            </w:r>
          </w:p>
        </w:tc>
        <w:tc>
          <w:tcPr/>
          <w:p>
            <w:pPr>
              <w:pStyle w:val="Compact"/>
            </w:pPr>
            <w:r>
              <w:rPr>
                <w:b/>
                <w:bCs/>
              </w:rPr>
              <w:t xml:space="preserve">Fails.</w:t>
            </w:r>
            <w:r>
              <w:t xml:space="preserve"> </w:t>
            </w:r>
            <w:r>
              <w:t xml:space="preserve">The median stays at 0.0023 to 0.0026</w:t>
            </w:r>
          </w:p>
        </w:tc>
      </w:tr>
      <w:tr>
        <w:tc>
          <w:tcPr/>
          <w:p>
            <w:pPr>
              <w:pStyle w:val="Compact"/>
            </w:pPr>
            <w:r>
              <w:t xml:space="preserve">New styles arising locally, with neutral copying otherwise</w:t>
            </w:r>
          </w:p>
        </w:tc>
        <w:tc>
          <w:tcPr/>
          <w:p>
            <w:pPr>
              <w:pStyle w:val="Compact"/>
            </w:pPr>
            <w:r>
              <w:t xml:space="preserve">Higher differentiation with no change in diversity</w:t>
            </w:r>
          </w:p>
        </w:tc>
        <w:tc>
          <w:tcPr/>
          <w:p>
            <w:pPr>
              <w:pStyle w:val="Compact"/>
            </w:pPr>
            <w:r>
              <w:t xml:space="preserve">Each cluster innovates from a partly reordered regional profile, share reordered 0 to 1, 1,200 simulations per setting</w:t>
            </w:r>
          </w:p>
        </w:tc>
        <w:tc>
          <w:tcPr/>
          <w:p>
            <w:pPr>
              <w:pStyle w:val="Compact"/>
            </w:pPr>
            <w:r>
              <w:rPr>
                <w:b/>
                <w:bCs/>
              </w:rPr>
              <w:t xml:space="preserve">Meets the standard.</w:t>
            </w:r>
            <w:r>
              <w:t xml:space="preserve"> </w:t>
            </w:r>
            <w:r>
              <w:t xml:space="preserve">At a reordered share of 0.2 the median is 0.0059; diversity stays matched through 0.3; simulations are widely spread</w:t>
            </w:r>
          </w:p>
        </w:tc>
      </w:tr>
    </w:tbl>
    <w:bookmarkEnd w:id="146"/>
    <w:bookmarkStart w:id="153" w:name="X3dc28483acd424ad0147c5be504e1fec0e13650"/>
    <w:p>
      <w:pPr>
        <w:pStyle w:val="Heading3"/>
      </w:pPr>
      <w:r>
        <w:t xml:space="preserve">Does Parkin have the properties of a polity center?</w:t>
      </w:r>
    </w:p>
    <w:p>
      <w:pPr>
        <w:pStyle w:val="FirstParagraph"/>
      </w:pPr>
      <w:r>
        <w:t xml:space="preserve">A phase read as a polity implies a center around which the pattern is organized. Parkin sits between seriation orderings rather than at the center of one. Deterministic seriation of the basin assemblages returns 34 maximal co-seriable groups at a continuity threshold of 0.1, none larger than four assemblages, and 18 of the 28 assemblages belong to more than one (Figure 7). Groups that had actually closed would give orderings that are incompatible and separate, whereas here most assemblages belong to several at once. That overlap is what a continuous field too varied to fit one ordering produces, not a set of bounded traditions. Parkin belongs to three groups, a bridge between orderings, though not the most connected one: Barton Ranch and Williamson each belong to six. Lipo, Madsen, and Dunnell</w:t>
      </w:r>
      <w:r>
        <w:t xml:space="preserve"> </w:t>
      </w:r>
      <w:r>
        <w:t xml:space="preserve">(2015)</w:t>
      </w:r>
      <w:r>
        <w:t xml:space="preserve"> </w:t>
      </w:r>
      <w:r>
        <w:t xml:space="preserve">found the same position and read it as a possible sign of emerging hierarchy; we read it as a place where interaction concentrated.</w:t>
      </w:r>
    </w:p>
    <w:p>
      <w:pPr>
        <w:pStyle w:val="CaptionedFigure"/>
      </w:pPr>
      <w:r>
        <w:drawing>
          <wp:inline>
            <wp:extent cx="5334000" cy="3603744"/>
            <wp:effectExtent b="0" l="0" r="0" t="0"/>
            <wp:docPr descr="Figure 7. Deterministic seriation structure of the basin assemblages. Left: the distribution of co-seriable group sizes, a fragmented structure of 34 maximal groups with a maximum size of four. Right: the most connected assemblages ranked by the number of groups they belong to, with Parkin highlighted as a bridge (member of three groups) between orderings rather than at the center of one." title="" id="148" name="Picture"/>
            <a:graphic>
              <a:graphicData uri="http://schemas.openxmlformats.org/drawingml/2006/picture">
                <pic:pic>
                  <pic:nvPicPr>
                    <pic:cNvPr descr="../../figures/fig7_idss_structure.png" id="149" name="Picture"/>
                    <pic:cNvPicPr>
                      <a:picLocks noChangeArrowheads="1" noChangeAspect="1"/>
                    </pic:cNvPicPr>
                  </pic:nvPicPr>
                  <pic:blipFill>
                    <a:blip r:embed="rId147"/>
                    <a:stretch>
                      <a:fillRect/>
                    </a:stretch>
                  </pic:blipFill>
                  <pic:spPr bwMode="auto">
                    <a:xfrm>
                      <a:off x="0" y="0"/>
                      <a:ext cx="5334000" cy="3603744"/>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Deterministic seriation structure of the basin assemblages. Left: the distribution of co-seriable group sizes, a fragmented structure of 34 maximal groups with a maximum size of four. Right: the most connected assemblages ranked by the number of groups they belong to, with Parkin highlighted as a bridge (member of three groups) between orderings rather than at the center of one.</w:t>
      </w:r>
    </w:p>
    <w:p>
      <w:pPr>
        <w:pStyle w:val="BodyText"/>
      </w:pPr>
      <w:r>
        <w:t xml:space="preserve">The settlement record tells the same story. Parkin’s principal mound is a flat-topped platform 6.5 m (21.3 ft) high on the western edge of the site, overlooking the St. Francis River, with six smaller mounds near it; the site covers 17 acres (6.9 ha), is ditched on three sides, and its deposits rise 3 m above the floodplain</w:t>
      </w:r>
      <w:r>
        <w:t xml:space="preserve"> </w:t>
      </w:r>
      <w:r>
        <w:t xml:space="preserve">(Morse 1981, 1990)</w:t>
      </w:r>
      <w:r>
        <w:t xml:space="preserve">. Its mound is the second tallest of the 55 basin sites with a recorded height, behind one at 23 ft, and the tallest exceeds the second by a ratio of only 1.08 (Figure 8). Parkin’s height comes from excavation reports, whereas the others come from a regional compilation without per-site sources, which we cannot correct. Mound heights form a graded series with a prominent center, not a separate administrative tier</w:t>
      </w:r>
      <w:r>
        <w:t xml:space="preserve"> </w:t>
      </w:r>
      <w:r>
        <w:t xml:space="preserve">(Hally 1993, 1996)</w:t>
      </w:r>
      <w:r>
        <w:t xml:space="preserve">. The chert-hoe economy points the same way: hoes were produced across the region and passed down the line rather than through a central redistributor</w:t>
      </w:r>
      <w:r>
        <w:t xml:space="preserve"> </w:t>
      </w:r>
      <w:r>
        <w:t xml:space="preserve">(Cobb 2000)</w:t>
      </w:r>
      <w:r>
        <w:t xml:space="preserve">, although that evidence is regional rather than specific to the basin.</w:t>
      </w:r>
    </w:p>
    <w:p>
      <w:pPr>
        <w:pStyle w:val="CaptionedFigure"/>
      </w:pPr>
      <w:r>
        <w:drawing>
          <wp:inline>
            <wp:extent cx="5334000" cy="3332419"/>
            <wp:effectExtent b="0" l="0" r="0" t="0"/>
            <wp:docPr descr="Figure 8. Settlement cross-check. Main panel: maximum mound height ranked across the basin, the one attribute recorded the same way for every site (mound area is recorded as zero for Parkin and is not used). Parkin’s principal mound is 21.3 ft (6.5 m) after Morse (1981, 1990), second among the 55 basin sites with a recorded height; the compilation otherwise used gives Parkin 23 ft, and that substitution is recorded in data/raw/mound_height_corrections.csv. The distribution is graded, with no gap at the top (tallest-to-second ratio 1.08). Inset: the proportion of sites with a mound, a defensive ditch, and St. Francis-type fortification across the basin set (n = 92)." title="" id="151" name="Picture"/>
            <a:graphic>
              <a:graphicData uri="http://schemas.openxmlformats.org/drawingml/2006/picture">
                <pic:pic>
                  <pic:nvPicPr>
                    <pic:cNvPr descr="../../figures/fig8_ranksize.png" id="152" name="Picture"/>
                    <pic:cNvPicPr>
                      <a:picLocks noChangeArrowheads="1" noChangeAspect="1"/>
                    </pic:cNvPicPr>
                  </pic:nvPicPr>
                  <pic:blipFill>
                    <a:blip r:embed="rId150"/>
                    <a:stretch>
                      <a:fillRect/>
                    </a:stretch>
                  </pic:blipFill>
                  <pic:spPr bwMode="auto">
                    <a:xfrm>
                      <a:off x="0" y="0"/>
                      <a:ext cx="5334000" cy="3332419"/>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Settlement cross-check. Main panel: maximum mound height ranked across the basin, the one attribute recorded the same way for every site (mound area is recorded as zero for Parkin and is not used). Parkin’s principal mound is 21.3 ft (6.5 m) after Morse (1981, 1990), second among the 55 basin sites with a recorded height; the compilation otherwise used gives Parkin 23 ft, and that substitution is recorded in data/raw/mound_height_corrections.csv. The distribution is graded, with no gap at the top (tallest-to-second ratio 1.08). Inset: the proportion of sites with a mound, a defensive ditch, and St. Francis-type fortification across the basin set (n = 92).</w:t>
      </w:r>
    </w:p>
    <w:bookmarkEnd w:id="153"/>
    <w:bookmarkStart w:id="169" w:name="why-the-phases-look-like-groups"/>
    <w:p>
      <w:pPr>
        <w:pStyle w:val="Heading3"/>
      </w:pPr>
      <w:r>
        <w:t xml:space="preserve">Why the phases look like groups</w:t>
      </w:r>
    </w:p>
    <w:p>
      <w:pPr>
        <w:pStyle w:val="FirstParagraph"/>
      </w:pPr>
      <w:r>
        <w:t xml:space="preserve">If spatially structured drift explains the frequencies, the phases themselves should be what that structure looks like when sites are sorted by resemblance and proximity. If the phases were groups instead, their boundaries should be where the pottery changes. They are not. The between-group</w:t>
      </w:r>
      <w:r>
        <w:t xml:space="preserve"> </w:t>
      </w:r>
      <m:oMath>
        <m:sSub>
          <m:e>
            <m:r>
              <m:t>F</m:t>
            </m:r>
          </m:e>
          <m:sub>
            <m:r>
              <m:t>S</m:t>
            </m:r>
            <m:r>
              <m:t>T</m:t>
            </m:r>
          </m:sub>
        </m:sSub>
      </m:oMath>
      <w:r>
        <w:t xml:space="preserve"> </w:t>
      </w:r>
      <w:r>
        <w:t xml:space="preserve">under the phase assignments is 0.0110. Shuffling the phase labels among assemblages at random, which destroys geography, gives a lower value in 1,832 of 2,000 draws, so neighboring assemblages do resemble one another, as copying across distance produces on its own. Against 1,000 divisions of the same assemblages into groups of the same sizes around randomly placed centers, however, the phases sit at the 18th percentile (median 0.0154), and against 1,000 divisions drawn to be as compact as possible, at the 5th percentile (median 0.0171) (Figure 9B, C). Arbitrary lines separate the pottery better than the phase lines do.</w:t>
      </w:r>
    </w:p>
    <w:p>
      <w:pPr>
        <w:pStyle w:val="BodyText"/>
      </w:pPr>
      <w:r>
        <w:t xml:space="preserve">What the phase lines do follow is the map. Their within-group spread, 190.5 km² per assemblage, is the tightest three-way division of these assemblages at these group sizes that our search found. A search that minimizes spatial spread and never sees a potsherd returned the phase division exactly in 154 of 1,000 random starts and found nothing tighter in any of them. The phases are the most compact way to divide the sites into groups of those sizes. The same comparison across scales, plotted in Figure 9A, shows the observed differences staying inside the model’s range through four clusters.</w:t>
      </w:r>
    </w:p>
    <w:p>
      <w:pPr>
        <w:pStyle w:val="CaptionedFigure"/>
      </w:pPr>
      <w:r>
        <w:drawing>
          <wp:inline>
            <wp:extent cx="5334000" cy="2584123"/>
            <wp:effectExtent b="0" l="0" r="0" t="0"/>
            <wp:docPr descr="Figure 9. Scale and boundaries. (A) Observed between-cluster cultural F_{ST} against the neutral copying model as the basin is divided into two through six clusters. The model’s range rises slowly; the observed values stay inside it through four clusters and leave it from five. (B) Within-group spatial spread against cultural F_{ST} for 1,000 divisions with the phases’ group sizes around randomly placed centers (light) and 1,000 drawn to minimize spread (dark); the star is the phase division. Differentiation is unrelated to compactness among the random divisions (Spearman -0.01) and moderately related among the compact ones (+0.47), and no division in either set is tighter than the phases. (C) The phase division’s F_{ST} (solid line) against the compact divisions, among which it sits at the 5th percentile." title="" id="155" name="Picture"/>
            <a:graphic>
              <a:graphicData uri="http://schemas.openxmlformats.org/drawingml/2006/picture">
                <pic:pic>
                  <pic:nvPicPr>
                    <pic:cNvPr descr="../../figures/fig12_phase_partition.png" id="156" name="Picture"/>
                    <pic:cNvPicPr>
                      <a:picLocks noChangeArrowheads="1" noChangeAspect="1"/>
                    </pic:cNvPicPr>
                  </pic:nvPicPr>
                  <pic:blipFill>
                    <a:blip r:embed="rId154"/>
                    <a:stretch>
                      <a:fillRect/>
                    </a:stretch>
                  </pic:blipFill>
                  <pic:spPr bwMode="auto">
                    <a:xfrm>
                      <a:off x="0" y="0"/>
                      <a:ext cx="5334000" cy="2584123"/>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Scale and boundaries. (A) Observed between-cluster cultural</w:t>
      </w:r>
      <w:r>
        <w:t xml:space="preserve"> </w:t>
      </w:r>
      <m:oMath>
        <m:sSub>
          <m:e>
            <m:r>
              <m:t>F</m:t>
            </m:r>
          </m:e>
          <m:sub>
            <m:r>
              <m:t>S</m:t>
            </m:r>
            <m:r>
              <m:t>T</m:t>
            </m:r>
          </m:sub>
        </m:sSub>
      </m:oMath>
      <w:r>
        <w:t xml:space="preserve"> </w:t>
      </w:r>
      <w:r>
        <w:t xml:space="preserve">against the neutral copying model as the basin is divided into two through six clusters. The model’s range rises slowly; the observed values stay inside it through four clusters and leave it from five. (B) Within-group spatial spread against cultural</w:t>
      </w:r>
      <w:r>
        <w:t xml:space="preserve"> </w:t>
      </w:r>
      <m:oMath>
        <m:sSub>
          <m:e>
            <m:r>
              <m:t>F</m:t>
            </m:r>
          </m:e>
          <m:sub>
            <m:r>
              <m:t>S</m:t>
            </m:r>
            <m:r>
              <m:t>T</m:t>
            </m:r>
          </m:sub>
        </m:sSub>
      </m:oMath>
      <w:r>
        <w:t xml:space="preserve"> </w:t>
      </w:r>
      <w:r>
        <w:t xml:space="preserve">for 1,000 divisions with the phases’ group sizes around randomly placed centers (light) and 1,000 drawn to minimize spread (dark); the star is the phase division. Differentiation is unrelated to compactness among the random divisions (Spearman -0.01) and moderately related among the compact ones (+0.47), and no division in either set is tighter than the phases. (C) The phase division’s</w:t>
      </w:r>
      <w:r>
        <w:t xml:space="preserve"> </w:t>
      </w:r>
      <m:oMath>
        <m:sSub>
          <m:e>
            <m:r>
              <m:t>F</m:t>
            </m:r>
          </m:e>
          <m:sub>
            <m:r>
              <m:t>S</m:t>
            </m:r>
            <m:r>
              <m:t>T</m:t>
            </m:r>
          </m:sub>
        </m:sSub>
      </m:oMath>
      <w:r>
        <w:t xml:space="preserve"> </w:t>
      </w:r>
      <w:r>
        <w:t xml:space="preserve">(solid line) against the compact divisions, among which it sits at the 5th percentile.</w:t>
      </w:r>
    </w:p>
    <w:p>
      <w:pPr>
        <w:pStyle w:val="BodyText"/>
      </w:pPr>
      <w:r>
        <w:t xml:space="preserve">The boundaries also fall where composition changes slowly. Mapping the local rate at which composition changes across the basin (Figure 10A), an edge between communities should appear as a ridge of fast change. The phase boundaries do not follow ridges. Median change along them is 0.0104 per kilometer, against 0.0124 along boundaries built the same way from 200 same-size divisions around randomly placed centers, and none of those 200 runs through slower-changing country than the phase boundaries do (Figure 10B). We report that matched comparison rather than one against the whole mapped area, which would place the phase boundaries at the 24th percentile but is misleading, because boundaries of this kind necessarily fall in the interior of the site distribution, where the surface is best supported and changes least.</w:t>
      </w:r>
    </w:p>
    <w:p>
      <w:pPr>
        <w:pStyle w:val="CaptionedFigure"/>
      </w:pPr>
      <w:r>
        <w:drawing>
          <wp:inline>
            <wp:extent cx="5334000" cy="3028550"/>
            <wp:effectExtent b="0" l="0" r="0" t="0"/>
            <wp:docPr descr="Figure 10. Composition as a continuous surface. (A) The local rate of change in the ten decorated-class proportions, computed on a 220 by 220 grid with a 15 km Gaussian bandwidth and masked where fewer than two assemblages support the estimate. Circles are assemblages. (B) The same surface with the published phase boundaries overlaid; the rate of change along them is lower than along the boundaries of any of 200 same-size divisions around randomly placed centers. (C) Observed cultural F_{ST} against cluster radius in kilometers, with the neutral copying model’s range behind it, from coarse to fine. The observed value rises from 0.0062 at an 18 km radius, inside the range, to 0.048 at 5 km, while the range’s upper edge rises from 0.016 to 0.028. Below a radius of about 10 km the clusters begin to isolate single assemblages, so the finest divisions should not be read as structure." title="" id="158" name="Picture"/>
            <a:graphic>
              <a:graphicData uri="http://schemas.openxmlformats.org/drawingml/2006/picture">
                <pic:pic>
                  <pic:nvPicPr>
                    <pic:cNvPr descr="../../figures/fig13_groupness_surface.png" id="159" name="Picture"/>
                    <pic:cNvPicPr>
                      <a:picLocks noChangeArrowheads="1" noChangeAspect="1"/>
                    </pic:cNvPicPr>
                  </pic:nvPicPr>
                  <pic:blipFill>
                    <a:blip r:embed="rId157"/>
                    <a:stretch>
                      <a:fillRect/>
                    </a:stretch>
                  </pic:blipFill>
                  <pic:spPr bwMode="auto">
                    <a:xfrm>
                      <a:off x="0" y="0"/>
                      <a:ext cx="5334000" cy="3028550"/>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Composition as a continuous surface. (A) The local rate of change in the ten decorated-class proportions, computed on a 220 by 220 grid with a 15 km Gaussian bandwidth and masked where fewer than two assemblages support the estimate. Circles are assemblages. (B) The same surface with the published phase boundaries overlaid; the rate of change along them is lower than along the boundaries of any of 200 same-size divisions around randomly placed centers. (C) Observed cultural</w:t>
      </w:r>
      <w:r>
        <w:t xml:space="preserve"> </w:t>
      </w:r>
      <m:oMath>
        <m:sSub>
          <m:e>
            <m:r>
              <m:t>F</m:t>
            </m:r>
          </m:e>
          <m:sub>
            <m:r>
              <m:t>S</m:t>
            </m:r>
            <m:r>
              <m:t>T</m:t>
            </m:r>
          </m:sub>
        </m:sSub>
      </m:oMath>
      <w:r>
        <w:t xml:space="preserve"> </w:t>
      </w:r>
      <w:r>
        <w:t xml:space="preserve">against cluster radius in kilometers, with the neutral copying model’s range behind it, from coarse to fine. The observed value rises from 0.0062 at an 18 km radius, inside the range, to 0.048 at 5 km, while the range’s upper edge rises from 0.016 to 0.028. Below a radius of about 10 km the clusters begin to isolate single assemblages, so the finest divisions should not be read as structure.</w:t>
      </w:r>
    </w:p>
    <w:p>
      <w:pPr>
        <w:pStyle w:val="BodyText"/>
      </w:pPr>
      <w:r>
        <w:t xml:space="preserve">The site map alone recovers the phases. Clustering the assemblages on their coordinates alone reproduces Mainfort’s assignments exactly, with an adjusted Rand index of 1.000 as the median over 40 starting configurations (Figure 11). Adding composition lowers the agreement at every weight: from a tenth of the coordinates’ weight up to equal weight the median is 0.607, and composition alone reaches 0.215. Divisions with the phases’ group sizes around random centers reach 0.566, which is what three groups of these sizes produce by chance. The three assemblages placed by territory rather than by Mainfort are left out of this score, since measuring a geographic rule against geography would build in the agreement. The pottery, when it enters, moves the answer away from the published phases rather than toward them. We report the chi-square transform of composition because it has no free parameter; 38 percent of the matrix cells are zero, and log-ratio transforms move the agreement at half weight between 0.53 and 0.77 depending on how zeros are treated (Supplemental Text).</w:t>
      </w:r>
    </w:p>
    <w:p>
      <w:pPr>
        <w:pStyle w:val="CaptionedFigure"/>
      </w:pPr>
      <w:r>
        <w:drawing>
          <wp:inline>
            <wp:extent cx="3412944" cy="2730967"/>
            <wp:effectExtent b="0" l="0" r="0" t="0"/>
            <wp:docPr descr="Figure 11. What recovers the phases. Agreement with Mainfort’s phase assignments, measured by the adjusted Rand index over the 25 assemblages he assigned, as the median over 40 starting configurations, for clusterings on site coordinates and decorated-class composition as the weight on composition varies. Zero weight is the site map alone. Three transforms of composition are shown; the text quotes the chi-square transform, the only one with no free parameter. The dash-dotted line is the agreement reached by divisions with the phases’ group sizes around random centers. Agreement is complete with the site map alone and falls as composition enters." title="" id="161" name="Picture"/>
            <a:graphic>
              <a:graphicData uri="http://schemas.openxmlformats.org/drawingml/2006/picture">
                <pic:pic>
                  <pic:nvPicPr>
                    <pic:cNvPr descr="../../figures/fig14_phase_recovery.png" id="162" name="Picture"/>
                    <pic:cNvPicPr>
                      <a:picLocks noChangeArrowheads="1" noChangeAspect="1"/>
                    </pic:cNvPicPr>
                  </pic:nvPicPr>
                  <pic:blipFill>
                    <a:blip r:embed="rId160"/>
                    <a:stretch>
                      <a:fillRect/>
                    </a:stretch>
                  </pic:blipFill>
                  <pic:spPr bwMode="auto">
                    <a:xfrm>
                      <a:off x="0" y="0"/>
                      <a:ext cx="3412944" cy="2730967"/>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What recovers the phases. Agreement with Mainfort’s phase assignments, measured by the adjusted Rand index over the 25 assemblages he assigned, as the median over 40 starting configurations, for clusterings on site coordinates and decorated-class composition as the weight on composition varies. Zero weight is the site map alone. Three transforms of composition are shown; the text quotes the chi-square transform, the only one with no free parameter. The dash-dotted line is the agreement reached by divisions with the phases’ group sizes around random centers. Agreement is complete with the site map alone and falls as composition enters.</w:t>
      </w:r>
    </w:p>
    <w:p>
      <w:pPr>
        <w:pStyle w:val="BodyText"/>
      </w:pPr>
      <w:r>
        <w:t xml:space="preserve">Pottery made by copying with no groups sorts into the phases as readily as the real pottery. We ran the neutral copying model on the real site map 300 times, sampled its pottery at the real sherd counts, and clustered each simulated record the same way as the real one, taking the median over 10 starting configurations rather than 40 (Figure 12). Wherever site location enters the clustering, the simulated pottery matches the phases as well as the real pottery does, and usually better. With a quarter weight on composition, the real record’s agreement of 0.607 is at or below every one of the 300 simulated records (median 0.938); at equal weight it sits at the 53rd percentile (median 0.581). With pottery alone, where location cannot help, the real record agrees with the phases somewhat better than the simulations, 0.237 against a median of 0.031, a level that 3 percent of simulated records reach. That small margin is the same finer-scale difference described above, seen from another side.</w:t>
      </w:r>
    </w:p>
    <w:p>
      <w:pPr>
        <w:pStyle w:val="CaptionedFigure"/>
      </w:pPr>
      <w:r>
        <w:drawing>
          <wp:inline>
            <wp:extent cx="3272267" cy="2715676"/>
            <wp:effectExtent b="0" l="0" r="0" t="0"/>
            <wp:docPr descr="Figure 12. Would a culture historian have found these phases in pottery made by copying with no groups? Agreement with Mainfort’s phase assignments, by adjusted Rand index over the 25 assemblages he assigned, as the weight on decorated-class composition relative to site coordinates varies from the map alone to pottery alone. The line with markers is the real record; the band is the 95 percent range over 300 runs of the neutral copying model, which contains no groups, sampled at the real sherd counts and clustered the same way. The zero-weight point is identical by construction." title="" id="164" name="Picture"/>
            <a:graphic>
              <a:graphicData uri="http://schemas.openxmlformats.org/drawingml/2006/picture">
                <pic:pic>
                  <pic:nvPicPr>
                    <pic:cNvPr descr="../../figures/fig15_phases_under_drift.png" id="165" name="Picture"/>
                    <pic:cNvPicPr>
                      <a:picLocks noChangeArrowheads="1" noChangeAspect="1"/>
                    </pic:cNvPicPr>
                  </pic:nvPicPr>
                  <pic:blipFill>
                    <a:blip r:embed="rId163"/>
                    <a:stretch>
                      <a:fillRect/>
                    </a:stretch>
                  </pic:blipFill>
                  <pic:spPr bwMode="auto">
                    <a:xfrm>
                      <a:off x="0" y="0"/>
                      <a:ext cx="3272267" cy="2715676"/>
                    </a:xfrm>
                    <a:prstGeom prst="rect">
                      <a:avLst/>
                    </a:prstGeom>
                    <a:noFill/>
                    <a:ln w="9525">
                      <a:noFill/>
                      <a:headEnd/>
                      <a:tailEnd/>
                    </a:ln>
                  </pic:spPr>
                </pic:pic>
              </a:graphicData>
            </a:graphic>
          </wp:inline>
        </w:drawing>
      </w:r>
    </w:p>
    <w:p>
      <w:pPr>
        <w:pStyle w:val="ImageCaption"/>
      </w:pPr>
      <w:r>
        <w:rPr>
          <w:b/>
          <w:bCs/>
        </w:rPr>
        <w:t xml:space="preserve">Figure 12.</w:t>
      </w:r>
      <w:r>
        <w:t xml:space="preserve"> </w:t>
      </w:r>
      <w:r>
        <w:t xml:space="preserve">Would a culture historian have found these phases in pottery made by copying with no groups? Agreement with Mainfort’s phase assignments, by adjusted Rand index over the 25 assemblages he assigned, as the weight on decorated-class composition relative to site coordinates varies from the map alone to pottery alone. The line with markers is the real record; the band is the 95 percent range over 300 runs of the neutral copying model, which contains no groups, sampled at the real sherd counts and clustered the same way. The zero-weight point is identical by construction.</w:t>
      </w:r>
    </w:p>
    <w:p>
      <w:pPr>
        <w:pStyle w:val="BodyText"/>
      </w:pPr>
      <w:r>
        <w:t xml:space="preserve">The phase boundaries do not follow gaps in settlement either. The settlement compilation records 83 sites with a late pre-contact component in the mapped area, and dropping the 27 within a kilometer of an analyzed assemblage leaves 56 whose positions are independent of the pottery. Measuring the density of those sites along the phase boundaries and along the boundaries of 300 same-size divisions (Figure 13), 64 percent of divisions around random centers and 61 percent of compact divisions run through denser settlement than the phase boundaries at an 8 km bandwidth; at 5 km the figures are 40 and 14 percent, and at 3 km 18 and 15 percent. Apart from the coarsest bandwidth, then, the two boundaries between the tested phases, Parkin against Kent and Kent against Walls, run through country no emptier than a boundary drawn elsewhere. Empty country is what separates the untested Nodena and Parchman phases from these three.</w:t>
      </w:r>
    </w:p>
    <w:p>
      <w:pPr>
        <w:pStyle w:val="BodyText"/>
      </w:pPr>
      <w:r>
        <w:t xml:space="preserve">What makes the settlement clumped is partly the rivers. Late-period sites lie a median 1.8 km from a major river, against 3.6 km for random points in the same area, so the rivers set the band in which people lived. Points placed as close to the rivers as the sites are, however, come out randomly spaced (Clark-Evans ratio 0.99 against the sites’ 0.64), so the clusters form on particular reaches of river for reasons proximity alone does not supply. Ceramic similarity between phases follows straight-line distance rather than distance along the rivers, and we therefore report both measures of distance; the river measure is the one more favorable to the no-groups model (Supplemental Text).</w:t>
      </w:r>
    </w:p>
    <w:p>
      <w:pPr>
        <w:pStyle w:val="CaptionedFigure"/>
      </w:pPr>
      <w:r>
        <w:drawing>
          <wp:inline>
            <wp:extent cx="5238686" cy="3223336"/>
            <wp:effectExtent b="0" l="0" r="0" t="0"/>
            <wp:docPr descr="Figure 13. Do the phase boundaries follow gaps in settlement? (A) Density of the 56 late-period sites more than 1 km from any analyzed assemblage (5 km bandwidth), with the assemblages as open circles and the phase boundaries as points. (B) Median settlement density along the phase boundaries (vertical line) against the same quantity for the boundaries of 300 divisions with the phases’ group sizes, around random centers (light) and drawn to be compact (dark)." title="" id="167" name="Picture"/>
            <a:graphic>
              <a:graphicData uri="http://schemas.openxmlformats.org/drawingml/2006/picture">
                <pic:pic>
                  <pic:nvPicPr>
                    <pic:cNvPr descr="../../figures/fig16_settlement_gaps.png" id="168" name="Picture"/>
                    <pic:cNvPicPr>
                      <a:picLocks noChangeArrowheads="1" noChangeAspect="1"/>
                    </pic:cNvPicPr>
                  </pic:nvPicPr>
                  <pic:blipFill>
                    <a:blip r:embed="rId166"/>
                    <a:stretch>
                      <a:fillRect/>
                    </a:stretch>
                  </pic:blipFill>
                  <pic:spPr bwMode="auto">
                    <a:xfrm>
                      <a:off x="0" y="0"/>
                      <a:ext cx="5238686" cy="3223336"/>
                    </a:xfrm>
                    <a:prstGeom prst="rect">
                      <a:avLst/>
                    </a:prstGeom>
                    <a:noFill/>
                    <a:ln w="9525">
                      <a:noFill/>
                      <a:headEnd/>
                      <a:tailEnd/>
                    </a:ln>
                  </pic:spPr>
                </pic:pic>
              </a:graphicData>
            </a:graphic>
          </wp:inline>
        </w:drawing>
      </w:r>
    </w:p>
    <w:p>
      <w:pPr>
        <w:pStyle w:val="ImageCaption"/>
      </w:pPr>
      <w:r>
        <w:rPr>
          <w:b/>
          <w:bCs/>
        </w:rPr>
        <w:t xml:space="preserve">Figure 13.</w:t>
      </w:r>
      <w:r>
        <w:t xml:space="preserve"> </w:t>
      </w:r>
      <w:r>
        <w:t xml:space="preserve">Do the phase boundaries follow gaps in settlement? (A) Density of the 56 late-period sites more than 1 km from any analyzed assemblage (5 km bandwidth), with the assemblages as open circles and the phase boundaries as points. (B) Median settlement density along the phase boundaries (vertical line) against the same quantity for the boundaries of 300 divisions with the phases’ group sizes, around random centers (light) and drawn to be compact (dark).</w:t>
      </w:r>
    </w:p>
    <w:bookmarkEnd w:id="169"/>
    <w:bookmarkStart w:id="173" w:name="Xb4a0a395e221470d8befd6776e147cfdc236abc"/>
    <w:p>
      <w:pPr>
        <w:pStyle w:val="Heading3"/>
      </w:pPr>
      <w:r>
        <w:t xml:space="preserve">A second phase scheme drawn from the pottery</w:t>
      </w:r>
    </w:p>
    <w:p>
      <w:pPr>
        <w:pStyle w:val="FirstParagraph"/>
      </w:pPr>
      <w:r>
        <w:t xml:space="preserve">Mainfort</w:t>
      </w:r>
      <w:r>
        <w:t xml:space="preserve"> </w:t>
      </w:r>
      <w:r>
        <w:t xml:space="preserve">(2003)</w:t>
      </w:r>
      <w:r>
        <w:t xml:space="preserve"> </w:t>
      </w:r>
      <w:r>
        <w:t xml:space="preserve">drew a different set of phase lines through much the same sites after ordinating their pottery. He adopted Smith’s</w:t>
      </w:r>
      <w:r>
        <w:t xml:space="preserve"> </w:t>
      </w:r>
      <w:r>
        <w:t xml:space="preserve">(1990)</w:t>
      </w:r>
      <w:r>
        <w:t xml:space="preserve"> </w:t>
      </w:r>
      <w:r>
        <w:t xml:space="preserve">Horseshoe Lake phase, which takes Beck, Belle Meade, Mound Place, and Young out of Walls, and he moved Hollywood and Commerce from Walls to Kent, Castile Landing from Kent to Parkin, and Carson Lake from Nodena to Walls. Nine sites are assigned differently in the two schemes. A second scheme drawn through the same ground is a useful check. If phases were groups, both schemes should track the same boundaries. If they are what a spatial gradient looks like when sites are sorted, a scheme drawn by proximity and a scheme drawn from the pottery should behave differently.</w:t>
      </w:r>
    </w:p>
    <w:p>
      <w:pPr>
        <w:pStyle w:val="BodyText"/>
      </w:pPr>
      <w:r>
        <w:t xml:space="preserve">We ran the phase-line tests on Mainfort’s own counts, using decorated types only and his assignments, with a minimum of 100 decorated sherds. That leaves 29 sites and 13,296 decorated sherds in five phases: Kent with 9 sites, Parkin with 7, Walls with 6, Horseshoe Lake with 4, and Jones Bayou with 3 (Figure 14). Tipton keeps only one site and is not carried. His table shares collections with ours at 21 sites, so this is a second tally of largely the same material rather than an independent record, and we do not repeat the copying model, which is tuned to our own matrix.</w:t>
      </w:r>
    </w:p>
    <w:p>
      <w:pPr>
        <w:pStyle w:val="BodyText"/>
      </w:pPr>
      <w:r>
        <w:t xml:space="preserve">Location again carries most of the scheme. The site map alone recovers Mainfort’s assignments with an adjusted Rand index of 0.51, the pottery alone 0.25, and same-size divisions around random centers 0.29. His boundaries, however, separate the pottery far better than the earlier scheme’s do. The between-group</w:t>
      </w:r>
      <w:r>
        <w:t xml:space="preserve"> </w:t>
      </w:r>
      <m:oMath>
        <m:sSub>
          <m:e>
            <m:r>
              <m:t>F</m:t>
            </m:r>
          </m:e>
          <m:sub>
            <m:r>
              <m:t>S</m:t>
            </m:r>
            <m:r>
              <m:t>T</m:t>
            </m:r>
          </m:sub>
        </m:sSub>
      </m:oMath>
      <w:r>
        <w:t xml:space="preserve"> </w:t>
      </w:r>
      <w:r>
        <w:t xml:space="preserve">under his phases is 0.047, higher than all 1,000 same-size divisions around random centers and higher than 99 percent of compact divisions, and the compactness search never returns his division. Giving composition half the weight of the coordinates also raises the agreement with his scheme, to 0.60, above the map alone, whereas for the earlier scheme composition lowers the agreement at every weight.</w:t>
      </w:r>
    </w:p>
    <w:p>
      <w:pPr>
        <w:pStyle w:val="BodyText"/>
      </w:pPr>
      <w:r>
        <w:t xml:space="preserve">The sites the two schemes assign differently show why. For each, we measured how far its decorated profile lies from each candidate phase’s pooled profile, leaving the site itself out. Beck lies at 0.33 from Horseshoe Lake and 0.71 from Walls, Belle Meade at 0.26 and 0.68, Hollywood at 0.33 from Kent and 0.91 from Walls, and Commerce at 0.61 and 1.10. Young and Castile Landing sit about equally close to their two candidates, and Mound Place leans toward Horseshoe Lake like its neighbors. Where the two schemes disagree, the pottery sides with Mainfort’s assignment, usually by a wide margin.</w:t>
      </w:r>
    </w:p>
    <w:p>
      <w:pPr>
        <w:pStyle w:val="BodyText"/>
      </w:pPr>
      <w:r>
        <w:t xml:space="preserve">That is what the two schemes’ origins predict. Phillips drew phases by inspection and proximity, and his lines divide the map. Mainfort redrew them after ordering the pottery, and a scheme drawn from the pottery will sit where the pottery differs. The comparison does not show that Mainfort’s phases are bounded groups: they sit on the same continuous gradient, and location still recovers most of them. It shows that phase lines can be made to follow the pottery if the pottery draws them, and that the inherited scheme was not drawn that way.</w:t>
      </w:r>
    </w:p>
    <w:p>
      <w:pPr>
        <w:pStyle w:val="CaptionedFigure"/>
      </w:pPr>
      <w:r>
        <w:drawing>
          <wp:inline>
            <wp:extent cx="5334000" cy="2684917"/>
            <wp:effectExtent b="0" l="0" r="0" t="0"/>
            <wp:docPr descr="Figure 14. The phase tests on Mainfort’s (2003) table, under his own phases. (A) Agreement with his assignments, by adjusted Rand index over the 29 sites with at least 100 decorated sherds, for clusterings on site coordinates and decorated-class composition as the weight on composition varies from the map alone to pottery alone; the band is the range over 40 starting configurations, and the dash-dotted line is the agreement reached by same-size divisions around random centers. (B) For the sites the two schemes assign differently, the chi-square distance from the site’s profile to the pooled profile of the phase Mainfort assigned (dark) and of the phase in Figure 1 (light), with the site itself left out of both." title="" id="171" name="Picture"/>
            <a:graphic>
              <a:graphicData uri="http://schemas.openxmlformats.org/drawingml/2006/picture">
                <pic:pic>
                  <pic:nvPicPr>
                    <pic:cNvPr descr="../../figures/fig17_mainfort_replication.png" id="172" name="Picture"/>
                    <pic:cNvPicPr>
                      <a:picLocks noChangeArrowheads="1" noChangeAspect="1"/>
                    </pic:cNvPicPr>
                  </pic:nvPicPr>
                  <pic:blipFill>
                    <a:blip r:embed="rId170"/>
                    <a:stretch>
                      <a:fillRect/>
                    </a:stretch>
                  </pic:blipFill>
                  <pic:spPr bwMode="auto">
                    <a:xfrm>
                      <a:off x="0" y="0"/>
                      <a:ext cx="5334000" cy="2684917"/>
                    </a:xfrm>
                    <a:prstGeom prst="rect">
                      <a:avLst/>
                    </a:prstGeom>
                    <a:noFill/>
                    <a:ln w="9525">
                      <a:noFill/>
                      <a:headEnd/>
                      <a:tailEnd/>
                    </a:ln>
                  </pic:spPr>
                </pic:pic>
              </a:graphicData>
            </a:graphic>
          </wp:inline>
        </w:drawing>
      </w:r>
    </w:p>
    <w:p>
      <w:pPr>
        <w:pStyle w:val="ImageCaption"/>
      </w:pPr>
      <w:r>
        <w:rPr>
          <w:b/>
          <w:bCs/>
        </w:rPr>
        <w:t xml:space="preserve">Figure 14.</w:t>
      </w:r>
      <w:r>
        <w:t xml:space="preserve"> </w:t>
      </w:r>
      <w:r>
        <w:t xml:space="preserve">The phase tests on Mainfort’s (2003) table, under his own phases. (A) Agreement with his assignments, by adjusted Rand index over the 29 sites with at least 100 decorated sherds, for clusterings on site coordinates and decorated-class composition as the weight on composition varies from the map alone to pottery alone; the band is the range over 40 starting configurations, and the dash-dotted line is the agreement reached by same-size divisions around random centers. (B) For the sites the two schemes assign differently, the chi-square distance from the site’s profile to the pooled profile of the phase Mainfort assigned (dark) and of the phase in Figure 1 (light), with the site itself left out of both.</w:t>
      </w:r>
    </w:p>
    <w:bookmarkEnd w:id="173"/>
    <w:bookmarkEnd w:id="174"/>
    <w:bookmarkStart w:id="180" w:name="discussion"/>
    <w:p>
      <w:pPr>
        <w:pStyle w:val="Heading2"/>
      </w:pPr>
      <w:r>
        <w:t xml:space="preserve">Discussion</w:t>
      </w:r>
    </w:p>
    <w:bookmarkStart w:id="175" w:name="X3991c311b3367494d15d093182f3c17f43585c1"/>
    <w:p>
      <w:pPr>
        <w:pStyle w:val="Heading3"/>
      </w:pPr>
      <w:r>
        <w:t xml:space="preserve">What explains the decorated-type frequencies</w:t>
      </w:r>
    </w:p>
    <w:p>
      <w:pPr>
        <w:pStyle w:val="FirstParagraph"/>
      </w:pPr>
      <w:r>
        <w:t xml:space="preserve">Spatially structured drift explains nearly all of the variation in the basin’s decorated-type frequencies. Neutral copying on the real map, tuned to the assemblages’ diversity, reproduces the differences among assemblages at the scales at which the phases were drawn, the fade of similarity with distance, and the phases themselves, and a model with no groups assigns 99.6 percent of the variation to location. Nothing in the frequencies grows over the sequence as closure would require. The variability that drift does not produce is small and lies at finer scales, from five clusters on, where clusters shrink toward the spacing of the assemblages themselves.</w:t>
      </w:r>
    </w:p>
    <w:p>
      <w:pPr>
        <w:pStyle w:val="BodyText"/>
      </w:pPr>
      <w:r>
        <w:t xml:space="preserve">The remaining difference lies mostly in the two most thinly sampled clusters, not around Parkin, and it appears only where clusters shrink toward the spacing of the assemblages themselves. Restricted copying across boundaries does not produce it. Of the four simplifications we relaxed, only one reproduces it while keeping diversity matched: new styles arising somewhat locally rather than at the same rates across the whole basin. That account is still neutral copying, and it is itself geographic, since the local innovation profiles follow the same spatial clusters as everything else. It does not require a social frontier.</w:t>
      </w:r>
    </w:p>
    <w:p>
      <w:pPr>
        <w:pStyle w:val="BodyText"/>
      </w:pPr>
      <w:r>
        <w:t xml:space="preserve">We treat this as a mechanism the record is consistent with rather than one it demonstrates. The local profiles in the test are random reorderings of the regional profile, not the profiles the groups actually have, since using the actual profiles would guarantee the result. Individual simulations are also widely spread. A center just beginning to separate from its neighbors could leave a small excess of this kind too, and contact and depopulation would have cut any such process short. These data cannot tell locally patterned innovation from an incipient social boundary, and the difference in question lies below the scale at which the phases were drawn in any case.</w:t>
      </w:r>
    </w:p>
    <w:bookmarkEnd w:id="175"/>
    <w:bookmarkStart w:id="176" w:name="why-the-phases-looked-like-groups"/>
    <w:p>
      <w:pPr>
        <w:pStyle w:val="Heading3"/>
      </w:pPr>
      <w:r>
        <w:t xml:space="preserve">Why the phases looked like groups</w:t>
      </w:r>
    </w:p>
    <w:p>
      <w:pPr>
        <w:pStyle w:val="FirstParagraph"/>
      </w:pPr>
      <w:r>
        <w:t xml:space="preserve">The phases are not places where groups show up in the pottery. They are lines drawn across a smooth pattern, and at the scale at which they were drawn, copying between neighbors accounts for everything they capture. The culture historians who drew them were responding to something real. Decorated-class composition does change with distance across the basin, and nearby potters did copy one another more than distant ones. Settlement is clumped, on particular reaches of the rivers. On a gradient with no edges, how alike two assemblages look depends mostly on how near they are, so sorting assemblages in good faith by resemblance and proximity recovers clusters of sites. The tests bear this out from four directions: the site map alone reproduces the phase assignments, the boundaries fall where the pottery changes least, arbitrary lines separate the pottery better than the phase lines do, and pottery made by copying with no groups sorts into the same phases.</w:t>
      </w:r>
    </w:p>
    <w:p>
      <w:pPr>
        <w:pStyle w:val="BodyText"/>
      </w:pPr>
      <w:r>
        <w:t xml:space="preserve">This also explains the pattern Mainfort</w:t>
      </w:r>
      <w:r>
        <w:t xml:space="preserve"> </w:t>
      </w:r>
      <w:r>
        <w:t xml:space="preserve">(2003:180)</w:t>
      </w:r>
      <w:r>
        <w:t xml:space="preserve"> </w:t>
      </w:r>
      <w:r>
        <w:t xml:space="preserve">reported without being able to account for it, phase members lying</w:t>
      </w:r>
      <w:r>
        <w:t xml:space="preserve"> </w:t>
      </w:r>
      <w:r>
        <w:t xml:space="preserve">“in the general vicinity of each other in ordination space”</w:t>
      </w:r>
      <w:r>
        <w:t xml:space="preserve"> </w:t>
      </w:r>
      <w:r>
        <w:t xml:space="preserve">while forming no groups. Nearness in an ordination is nearness on the ground, seen through the pottery. His own redrawn phases make the same point from the other side. Drawn after the ordination, they sit where the pottery differs and no longer form the tightest division of the map. Together the two schemes show one gradient read two ways, once by proximity and once by the pottery, with a boundary in neither. We therefore read a phase as a length scale on a continuous gradient, made visible by where settlement happened to cluster, rather than as a bounded unit. These data cannot say what that length is: sherd counts that differ more than twentyfold, unequal accumulation spans, and an order derived from the same frequencies together limit what any spatial measure can resolve here.</w:t>
      </w:r>
    </w:p>
    <w:p>
      <w:pPr>
        <w:pStyle w:val="BodyText"/>
      </w:pPr>
      <w:r>
        <w:t xml:space="preserve">The region’s own history offers a precedent for separating polity from ceramic phase. Coosa, the best-documented Mississippian paramountcy, spanned two ceramic traditions and site clusters that were separable at the phase level, and political affiliation rather than shared decoration bound them together</w:t>
      </w:r>
      <w:r>
        <w:t xml:space="preserve"> </w:t>
      </w:r>
      <w:r>
        <w:t xml:space="preserve">(Anderson 1996:250–251)</w:t>
      </w:r>
      <w:r>
        <w:t xml:space="preserve">. A polity need not coincide with a phase, and the reverse inference, from one phase to one polity, has no warrant on its own. The reading is not new to the regional literature either. McNutt</w:t>
      </w:r>
      <w:r>
        <w:t xml:space="preserve"> </w:t>
      </w:r>
      <w:r>
        <w:t xml:space="preserve">(1996:250)</w:t>
      </w:r>
      <w:r>
        <w:t xml:space="preserve"> </w:t>
      </w:r>
      <w:r>
        <w:t xml:space="preserve">characterized the late Mississippian phases as local elaborations, ceramic drift, on a single shared pottery complex. The comparison here tests that characterization directly and finds it describes most of the record.</w:t>
      </w:r>
    </w:p>
    <w:bookmarkEnd w:id="176"/>
    <w:bookmarkStart w:id="177" w:name="parkin-and-the-polity"/>
    <w:p>
      <w:pPr>
        <w:pStyle w:val="Heading3"/>
      </w:pPr>
      <w:r>
        <w:t xml:space="preserve">Parkin and the polity</w:t>
      </w:r>
    </w:p>
    <w:p>
      <w:pPr>
        <w:pStyle w:val="FirstParagraph"/>
      </w:pPr>
      <w:r>
        <w:t xml:space="preserve">Parkin was the basin’s largest town and had one of its tallest mounds, and its prominence was real. The polity that prominence is taken to imply does not appear in the transmission of decoration. The pottery shows no closure that the record can resolve, Parkin links several seriation orderings rather than anchoring one, mound heights form a graded series with no separate top tier, and the regional hoe economy was not centrally redistributed. The argument that Parkin, on poor soil, must have drawn tribute from productive neighbors</w:t>
      </w:r>
      <w:r>
        <w:t xml:space="preserve"> </w:t>
      </w:r>
      <w:r>
        <w:t xml:space="preserve">(Phyllis A. Morse 1990)</w:t>
      </w:r>
      <w:r>
        <w:t xml:space="preserve"> </w:t>
      </w:r>
      <w:r>
        <w:t xml:space="preserve">assumes the tribute it concludes, and Parkin’s position at the confluence of the St. Francis and Tyronza is explained as well by control of movement as by extraction. Skeletal evidence that people at a mound center ate better than people at a nearby village comes from the Yazoo Delta rather than the St. Francis basin and rests on fourteen individuals at the village</w:t>
      </w:r>
      <w:r>
        <w:t xml:space="preserve"> </w:t>
      </w:r>
      <w:r>
        <w:t xml:space="preserve">(Ross-Stallings 2017)</w:t>
      </w:r>
      <w:r>
        <w:t xml:space="preserve">. Neither argument supplies the regional signal that the comparisons here look for and do not find. If the polity the De Soto expedition met was at Parkin, it is registered in ceremony, fortification, and settlement size rather than in a boundary written into the pottery.</w:t>
      </w:r>
    </w:p>
    <w:bookmarkEnd w:id="177"/>
    <w:bookmarkStart w:id="178" w:name="limits"/>
    <w:p>
      <w:pPr>
        <w:pStyle w:val="Heading3"/>
      </w:pPr>
      <w:r>
        <w:t xml:space="preserve">Limits</w:t>
      </w:r>
    </w:p>
    <w:p>
      <w:pPr>
        <w:pStyle w:val="FirstParagraph"/>
      </w:pPr>
      <w:r>
        <w:t xml:space="preserve">Four limits bound these conclusions. The first is resolution. On a record of this size only cultural</w:t>
      </w:r>
      <w:r>
        <w:t xml:space="preserve"> </w:t>
      </w:r>
      <m:oMath>
        <m:sSub>
          <m:e>
            <m:r>
              <m:t>F</m:t>
            </m:r>
          </m:e>
          <m:sub>
            <m:r>
              <m:t>S</m:t>
            </m:r>
            <m:r>
              <m:t>T</m:t>
            </m:r>
          </m:sub>
        </m:sSub>
      </m:oMath>
      <w:r>
        <w:t xml:space="preserve"> </w:t>
      </w:r>
      <w:r>
        <w:t xml:space="preserve">can detect closure, and only closure expressed as growing divergence between spatial groups. Weaker closure, closure carried purely by conformity within groups, and closure along social divisions that do not follow geography would all escape detection (Supplemental Text). The second is chronology. Radiocarbon dates pool to four matched proveniences across a calibration plateau, and cannot establish which end of the order is later; reversing the order changes the closure posterior only slightly, the copying-model comparison is reported both ways, and the settlement and exchange evidence does not depend on it. The third is time-averaging, which damps differences between assemblages</w:t>
      </w:r>
      <w:r>
        <w:t xml:space="preserve"> </w:t>
      </w:r>
      <w:r>
        <w:t xml:space="preserve">(Coco and Iovita 2020; Kidwell and Tomašových 2013; Perreault 2018; Tomašových and Kidwell 2009, 2010; Youngblood et al. 2023)</w:t>
      </w:r>
      <w:r>
        <w:t xml:space="preserve">. We built it into both the recovery experiment and the copying model, so its cost is already in the reported ranges rather than an argument for discounting them. The fourth is the copying model itself. A difference from a model is only as meaningful as the model, and a more complete model might absorb the finer-scale difference, as one of our four relaxations does.</w:t>
      </w:r>
    </w:p>
    <w:bookmarkEnd w:id="178"/>
    <w:bookmarkStart w:id="179" w:name="what-this-approach-contributes"/>
    <w:p>
      <w:pPr>
        <w:pStyle w:val="Heading3"/>
      </w:pPr>
      <w:r>
        <w:t xml:space="preserve">What this approach contributes</w:t>
      </w:r>
    </w:p>
    <w:p>
      <w:pPr>
        <w:pStyle w:val="FirstParagraph"/>
      </w:pPr>
      <w:r>
        <w:t xml:space="preserve">The method rests on two requirements that apply beyond this case. Before a similarity pattern is read as social, the record must be shown able to detect a social boundary, which the recovery experiment establishes and which here leaves one usable measure out of four. Before a model of copying with no groups is credited with reproducing a record, it must be shown to fit that record’s own diversity. The second requirement changed our own results. An earlier, uncalibrated version of the comparison ran at a within-assemblage diversity well above the record’s, which widened its ranges and made it look as if copying across distance explained everything; the calibrated model is narrower and more informative. A model run at the wrong diversity is easily credited with structure it cannot produce, just as a localized neutral process is easily mistaken for biased copying when diversity is taken at face value</w:t>
      </w:r>
      <w:r>
        <w:t xml:space="preserve"> </w:t>
      </w:r>
      <w:r>
        <w:t xml:space="preserve">(Barton 1996; Premo 2016; Premo and Scholnick 2011; Schneider et al. 2016)</w:t>
      </w:r>
      <w:r>
        <w:t xml:space="preserve">. Two tests in the time domain, a frequency-dependent copying model fitted to the whole sequence with time-averaging built in (transmission bias interval -0.035 to +0.039, including zero) and a comparison of evolutionary modes that is consistent with an unbiased random walk and excludes neither directional change nor mean reversion, find no transition the other analyses missed</w:t>
      </w:r>
      <w:r>
        <w:t xml:space="preserve"> </w:t>
      </w:r>
      <w:r>
        <w:t xml:space="preserve">(Crema et al. 2016; Hunt 2006; Hunt et al. 2008)</w:t>
      </w:r>
      <w:r>
        <w:t xml:space="preserve">. These requirements are a standard of measurement for an evolutionary archaeology that has long been clearer about what evolves than about how to measure it</w:t>
      </w:r>
      <w:r>
        <w:t xml:space="preserve"> </w:t>
      </w:r>
      <w:r>
        <w:t xml:space="preserve">(Dunnell 1995a; Lipo et al. 2015; Neiman 1995)</w:t>
      </w:r>
      <w:r>
        <w:t xml:space="preserve">.</w:t>
      </w:r>
    </w:p>
    <w:p>
      <w:pPr>
        <w:pStyle w:val="BodyText"/>
      </w:pPr>
      <w:r>
        <w:t xml:space="preserve">The analysis is narrow in one further respect. It asks whether interaction closed into bounded groups. It does not address group-level fitness or new units of selection</w:t>
      </w:r>
      <w:r>
        <w:t xml:space="preserve"> </w:t>
      </w:r>
      <w:r>
        <w:t xml:space="preserve">(Richerson et al. 2016)</w:t>
      </w:r>
      <w:r>
        <w:t xml:space="preserve">, and it does not isolate demographic effects on diversity that are independent of closure</w:t>
      </w:r>
      <w:r>
        <w:t xml:space="preserve"> </w:t>
      </w:r>
      <w:r>
        <w:t xml:space="preserve">(Henrich 2004; Powell et al. 2009)</w:t>
      </w:r>
      <w:r>
        <w:t xml:space="preserve">. The finer-scale difference and Parkin’s role would be better tested on stratified, excavated assemblages with independent radiocarbon dates, on compositional and petrographic evidence for where pottery was made, and on exchange, mortuary, and dietary records</w:t>
      </w:r>
      <w:r>
        <w:t xml:space="preserve"> </w:t>
      </w:r>
      <w:r>
        <w:t xml:space="preserve">(Cobb 2000; Ross-Stallings 2017)</w:t>
      </w:r>
      <w:r>
        <w:t xml:space="preserve">.</w:t>
      </w:r>
    </w:p>
    <w:bookmarkEnd w:id="179"/>
    <w:bookmarkEnd w:id="180"/>
    <w:bookmarkStart w:id="181" w:name="conclusion"/>
    <w:p>
      <w:pPr>
        <w:pStyle w:val="Heading2"/>
      </w:pPr>
      <w:r>
        <w:t xml:space="preserve">Conclusion</w:t>
      </w:r>
    </w:p>
    <w:p>
      <w:pPr>
        <w:pStyle w:val="FirstParagraph"/>
      </w:pPr>
      <w:r>
        <w:t xml:space="preserve">The phase is the unit on which lower Mississippi Valley culture history is built, and it carries an unstated claim: that assemblages grouped by seriation and proximity record a community, and at Parkin a polity. A phase can have those qualities only if its stylistic frequencies show properties that copying across space cannot produce, since that copying structures the record no matter what else happens. For the phases of the St. Francis basin, including the Parkin phase, spatially structured drift explains nearly all of the variation in decorated-type frequencies. No boundary develops through the sequence, the small excess at finer scales lies in thin samples rather than around Parkin, and new styles arising locally reproduce it without any restriction on who copied whom.</w:t>
      </w:r>
    </w:p>
    <w:p>
      <w:pPr>
        <w:pStyle w:val="BodyText"/>
      </w:pPr>
      <w:r>
        <w:t xml:space="preserve">What culture historians saw was real, but it was not a social boundary. It was where settlements clustered and the fact that potters copied near neighbors more than distant ones. Sorting assemblages by resemblance and proximity turns that gradient into what looks like a set of groups even when there are none. A similarity cluster is not, by itself, a society, and before a phase is read as one the record must be shown able to tell a boundary from distance, and the model of distance must be shown to fit the record it is compared with.</w:t>
      </w:r>
    </w:p>
    <w:bookmarkEnd w:id="181"/>
    <w:bookmarkStart w:id="182"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Upon publication, we will release a versioned snapshot of the repository at https://doi.org/10.5281/zenodo.20796240. The repository includes the decorated-ceramic class counts, the georeferencing and radiocarbon data, the complete analysis procedure, and instructions for reproducing all results and figures. The neutral copying model is implemented in</w:t>
      </w:r>
      <w:r>
        <w:t xml:space="preserve"> </w:t>
      </w:r>
      <w:r>
        <w:rPr>
          <w:rStyle w:val="VerbatimChar"/>
        </w:rPr>
        <w:t xml:space="preserve">src/mls_emergence/transmission/spatial.py</w:t>
      </w:r>
      <w:r>
        <w:t xml:space="preserve"> </w:t>
      </w:r>
      <w:r>
        <w:t xml:space="preserve">and analyses 47 and 50, which write every simulation, the calibration series, and a configuration fingerprint. The code is released under the MIT License, and the data under a Creative Commons Attribution 4.0 International license.</w:t>
      </w:r>
    </w:p>
    <w:bookmarkEnd w:id="182"/>
    <w:bookmarkStart w:id="339" w:name="references"/>
    <w:p>
      <w:pPr>
        <w:pStyle w:val="Heading2"/>
      </w:pPr>
      <w:r>
        <w:t xml:space="preserve">References</w:t>
      </w:r>
    </w:p>
    <w:bookmarkStart w:id="338" w:name="refs"/>
    <w:bookmarkStart w:id="183"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183"/>
    <w:bookmarkStart w:id="185"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184">
        <w:r>
          <w:rPr>
            <w:rStyle w:val="Hyperlink"/>
          </w:rPr>
          <w:t xml:space="preserve">https://doi.org/10.1098/rstb.1996.0073</w:t>
        </w:r>
      </w:hyperlink>
      <w:r>
        <w:t xml:space="preserve">.</w:t>
      </w:r>
    </w:p>
    <w:bookmarkEnd w:id="185"/>
    <w:bookmarkStart w:id="186"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186"/>
    <w:bookmarkStart w:id="188"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187">
        <w:r>
          <w:rPr>
            <w:rStyle w:val="Hyperlink"/>
          </w:rPr>
          <w:t xml:space="preserve">https://doi.org/10.2307/3557066</w:t>
        </w:r>
      </w:hyperlink>
      <w:r>
        <w:t xml:space="preserve">.</w:t>
      </w:r>
    </w:p>
    <w:bookmarkEnd w:id="188"/>
    <w:bookmarkStart w:id="190"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189">
        <w:r>
          <w:rPr>
            <w:rStyle w:val="Hyperlink"/>
          </w:rPr>
          <w:t xml:space="preserve">https://doi.org/10.1073/pnas.0903232106</w:t>
        </w:r>
      </w:hyperlink>
      <w:r>
        <w:t xml:space="preserve">.</w:t>
      </w:r>
    </w:p>
    <w:bookmarkEnd w:id="190"/>
    <w:bookmarkStart w:id="192"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191">
        <w:r>
          <w:rPr>
            <w:rStyle w:val="Hyperlink"/>
          </w:rPr>
          <w:t xml:space="preserve">https://doi.org/10.1371/journal.pone.0003057</w:t>
        </w:r>
      </w:hyperlink>
      <w:r>
        <w:t xml:space="preserve">.</w:t>
      </w:r>
    </w:p>
    <w:bookmarkEnd w:id="192"/>
    <w:bookmarkStart w:id="194"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193">
        <w:r>
          <w:rPr>
            <w:rStyle w:val="Hyperlink"/>
          </w:rPr>
          <w:t xml:space="preserve">https://doi.org/10.1098/rspb.2004.2746</w:t>
        </w:r>
      </w:hyperlink>
      <w:r>
        <w:t xml:space="preserve">.</w:t>
      </w:r>
    </w:p>
    <w:bookmarkEnd w:id="194"/>
    <w:bookmarkStart w:id="196"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195">
        <w:r>
          <w:rPr>
            <w:rStyle w:val="Hyperlink"/>
          </w:rPr>
          <w:t xml:space="preserve">https://doi.org/10.2307/2694206</w:t>
        </w:r>
      </w:hyperlink>
      <w:r>
        <w:t xml:space="preserve">.</w:t>
      </w:r>
    </w:p>
    <w:bookmarkEnd w:id="196"/>
    <w:bookmarkStart w:id="197"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197"/>
    <w:bookmarkStart w:id="199"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198">
        <w:r>
          <w:rPr>
            <w:rStyle w:val="Hyperlink"/>
          </w:rPr>
          <w:t xml:space="preserve">https://doi.org/10.1057/s41599-019-0295-9</w:t>
        </w:r>
      </w:hyperlink>
      <w:r>
        <w:t xml:space="preserve">.</w:t>
      </w:r>
    </w:p>
    <w:bookmarkEnd w:id="199"/>
    <w:bookmarkStart w:id="200"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200"/>
    <w:bookmarkStart w:id="202"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201">
        <w:r>
          <w:rPr>
            <w:rStyle w:val="Hyperlink"/>
          </w:rPr>
          <w:t xml:space="preserve">https://doi.org/10.1057/s41599-020-00635-3</w:t>
        </w:r>
      </w:hyperlink>
      <w:r>
        <w:t xml:space="preserve">.</w:t>
      </w:r>
    </w:p>
    <w:bookmarkEnd w:id="202"/>
    <w:bookmarkStart w:id="204"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203">
        <w:r>
          <w:rPr>
            <w:rStyle w:val="Hyperlink"/>
          </w:rPr>
          <w:t xml:space="preserve">https://doi.org/10.1007/s10816-022-09599-x</w:t>
        </w:r>
      </w:hyperlink>
      <w:r>
        <w:t xml:space="preserve">.</w:t>
      </w:r>
    </w:p>
    <w:bookmarkEnd w:id="204"/>
    <w:bookmarkStart w:id="206"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205">
        <w:r>
          <w:rPr>
            <w:rStyle w:val="Hyperlink"/>
          </w:rPr>
          <w:t xml:space="preserve">https://doi.org/10.1016/j.jas.2014.07.014</w:t>
        </w:r>
      </w:hyperlink>
      <w:r>
        <w:t xml:space="preserve">.</w:t>
      </w:r>
    </w:p>
    <w:bookmarkEnd w:id="206"/>
    <w:bookmarkStart w:id="208"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207">
        <w:r>
          <w:rPr>
            <w:rStyle w:val="Hyperlink"/>
          </w:rPr>
          <w:t xml:space="preserve">https://doi.org/10.1038/srep39122</w:t>
        </w:r>
      </w:hyperlink>
      <w:r>
        <w:t xml:space="preserve">.</w:t>
      </w:r>
    </w:p>
    <w:bookmarkEnd w:id="208"/>
    <w:bookmarkStart w:id="210"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209">
        <w:r>
          <w:rPr>
            <w:rStyle w:val="Hyperlink"/>
          </w:rPr>
          <w:t xml:space="preserve">https://doi.org/10.2307/278341</w:t>
        </w:r>
      </w:hyperlink>
      <w:r>
        <w:t xml:space="preserve">.</w:t>
      </w:r>
    </w:p>
    <w:bookmarkEnd w:id="210"/>
    <w:bookmarkStart w:id="212"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211">
        <w:r>
          <w:rPr>
            <w:rStyle w:val="Hyperlink"/>
          </w:rPr>
          <w:t xml:space="preserve">https://doi.org/10.2307/279244</w:t>
        </w:r>
      </w:hyperlink>
      <w:r>
        <w:t xml:space="preserve">.</w:t>
      </w:r>
    </w:p>
    <w:bookmarkEnd w:id="212"/>
    <w:bookmarkStart w:id="213"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213"/>
    <w:bookmarkStart w:id="214"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214"/>
    <w:bookmarkStart w:id="215" w:name="ref-dunnell_1995b"/>
    <w:p>
      <w:pPr>
        <w:pStyle w:val="Bibliography"/>
      </w:pPr>
      <w:r>
        <w:t xml:space="preserve">Dunnell, Robert C. 1995b. Style: Concepts and Practice.</w:t>
      </w:r>
    </w:p>
    <w:bookmarkEnd w:id="215"/>
    <w:bookmarkStart w:id="216"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216"/>
    <w:bookmarkStart w:id="218"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217">
        <w:r>
          <w:rPr>
            <w:rStyle w:val="Hyperlink"/>
          </w:rPr>
          <w:t xml:space="preserve">https://doi.org/10.1016/j.jaa.2005.08.001</w:t>
        </w:r>
      </w:hyperlink>
      <w:r>
        <w:t xml:space="preserve">.</w:t>
      </w:r>
    </w:p>
    <w:bookmarkEnd w:id="218"/>
    <w:bookmarkStart w:id="220"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219">
        <w:r>
          <w:rPr>
            <w:rStyle w:val="Hyperlink"/>
          </w:rPr>
          <w:t xml:space="preserve">https://doi.org/10.1007/s10814-007-9013-z</w:t>
        </w:r>
      </w:hyperlink>
      <w:r>
        <w:t xml:space="preserve">.</w:t>
      </w:r>
    </w:p>
    <w:bookmarkEnd w:id="220"/>
    <w:bookmarkStart w:id="221"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221"/>
    <w:bookmarkStart w:id="223"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222">
        <w:r>
          <w:rPr>
            <w:rStyle w:val="Hyperlink"/>
          </w:rPr>
          <w:t xml:space="preserve">https://doi.org/10.1534/genetics.113.158220</w:t>
        </w:r>
      </w:hyperlink>
      <w:r>
        <w:t xml:space="preserve">.</w:t>
      </w:r>
    </w:p>
    <w:bookmarkEnd w:id="223"/>
    <w:bookmarkStart w:id="225"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224">
        <w:r>
          <w:rPr>
            <w:rStyle w:val="Hyperlink"/>
          </w:rPr>
          <w:t xml:space="preserve">https://doi.org/10.1073/pnas.2418106121</w:t>
        </w:r>
      </w:hyperlink>
      <w:r>
        <w:t xml:space="preserve">.</w:t>
      </w:r>
    </w:p>
    <w:bookmarkEnd w:id="225"/>
    <w:bookmarkStart w:id="226"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226"/>
    <w:bookmarkStart w:id="227"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227"/>
    <w:bookmarkStart w:id="228"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228"/>
    <w:bookmarkStart w:id="230"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229">
        <w:r>
          <w:rPr>
            <w:rStyle w:val="Hyperlink"/>
          </w:rPr>
          <w:t xml:space="preserve">https://doi.org/10.1525/aa.2001.103.4.992</w:t>
        </w:r>
      </w:hyperlink>
      <w:r>
        <w:t xml:space="preserve">.</w:t>
      </w:r>
    </w:p>
    <w:bookmarkEnd w:id="230"/>
    <w:bookmarkStart w:id="232"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231">
        <w:r>
          <w:rPr>
            <w:rStyle w:val="Hyperlink"/>
          </w:rPr>
          <w:t xml:space="preserve">https://doi.org/10.2307/4128416</w:t>
        </w:r>
      </w:hyperlink>
      <w:r>
        <w:t xml:space="preserve">.</w:t>
      </w:r>
    </w:p>
    <w:bookmarkEnd w:id="232"/>
    <w:bookmarkStart w:id="234"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233">
        <w:r>
          <w:rPr>
            <w:rStyle w:val="Hyperlink"/>
          </w:rPr>
          <w:t xml:space="preserve">https://doi.org/10.1016/S1090-5138(98)00018-X</w:t>
        </w:r>
      </w:hyperlink>
      <w:r>
        <w:t xml:space="preserve">.</w:t>
      </w:r>
    </w:p>
    <w:bookmarkEnd w:id="234"/>
    <w:bookmarkStart w:id="235"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235"/>
    <w:bookmarkStart w:id="237"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236">
        <w:r>
          <w:rPr>
            <w:rStyle w:val="Hyperlink"/>
          </w:rPr>
          <w:t xml:space="preserve">https://doi.org/10.1017/aap.2021.10</w:t>
        </w:r>
      </w:hyperlink>
      <w:r>
        <w:t xml:space="preserve">.</w:t>
      </w:r>
    </w:p>
    <w:bookmarkEnd w:id="237"/>
    <w:bookmarkStart w:id="238"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238"/>
    <w:bookmarkStart w:id="239"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239"/>
    <w:bookmarkStart w:id="240"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240"/>
    <w:bookmarkStart w:id="242"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241">
        <w:r>
          <w:rPr>
            <w:rStyle w:val="Hyperlink"/>
          </w:rPr>
          <w:t xml:space="preserve">https://doi.org/10.1666/05070.1</w:t>
        </w:r>
      </w:hyperlink>
      <w:r>
        <w:t xml:space="preserve">.</w:t>
      </w:r>
    </w:p>
    <w:bookmarkEnd w:id="242"/>
    <w:bookmarkStart w:id="244"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243">
        <w:r>
          <w:rPr>
            <w:rStyle w:val="Hyperlink"/>
          </w:rPr>
          <w:t xml:space="preserve">https://doi.org/10.1111/j.1558-5646.2007.00310.x</w:t>
        </w:r>
      </w:hyperlink>
      <w:r>
        <w:t xml:space="preserve">.</w:t>
      </w:r>
    </w:p>
    <w:bookmarkEnd w:id="244"/>
    <w:bookmarkStart w:id="245"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245"/>
    <w:bookmarkStart w:id="247"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246">
        <w:r>
          <w:rPr>
            <w:rStyle w:val="Hyperlink"/>
          </w:rPr>
          <w:t xml:space="preserve">https://doi.org/10.1016/j.jtbi.2013.03.006</w:t>
        </w:r>
      </w:hyperlink>
      <w:r>
        <w:t xml:space="preserve">.</w:t>
      </w:r>
    </w:p>
    <w:bookmarkEnd w:id="247"/>
    <w:bookmarkStart w:id="249"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248">
        <w:r>
          <w:rPr>
            <w:rStyle w:val="Hyperlink"/>
          </w:rPr>
          <w:t xml:space="preserve">https://doi.org/10.1098/rsif.2015.0905</w:t>
        </w:r>
      </w:hyperlink>
      <w:r>
        <w:t xml:space="preserve">.</w:t>
      </w:r>
    </w:p>
    <w:bookmarkEnd w:id="249"/>
    <w:bookmarkStart w:id="251"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250">
        <w:r>
          <w:rPr>
            <w:rStyle w:val="Hyperlink"/>
          </w:rPr>
          <w:t xml:space="preserve">https://doi.org/10.1098/rsos.170949</w:t>
        </w:r>
      </w:hyperlink>
      <w:r>
        <w:t xml:space="preserve">.</w:t>
      </w:r>
    </w:p>
    <w:bookmarkEnd w:id="251"/>
    <w:bookmarkStart w:id="253"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252">
        <w:r>
          <w:rPr>
            <w:rStyle w:val="Hyperlink"/>
          </w:rPr>
          <w:t xml:space="preserve">https://doi.org/10.1146/annurev-ecolsys-110512-135838</w:t>
        </w:r>
      </w:hyperlink>
      <w:r>
        <w:t xml:space="preserve">.</w:t>
      </w:r>
    </w:p>
    <w:bookmarkEnd w:id="253"/>
    <w:bookmarkStart w:id="254"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254"/>
    <w:bookmarkStart w:id="255" w:name="ref-lehner_grill_2013"/>
    <w:p>
      <w:pPr>
        <w:pStyle w:val="Bibliography"/>
      </w:pPr>
      <w:r>
        <w:t xml:space="preserve">Lehner, Bernhard, and Günther Grill. 2013. Global River Hydrography and Network Routing: Baseline Data and New Approaches to Study the World’s Large River Systems.</w:t>
      </w:r>
      <w:r>
        <w:t xml:space="preserve"> </w:t>
      </w:r>
      <w:r>
        <w:rPr>
          <w:i/>
          <w:iCs/>
        </w:rPr>
        <w:t xml:space="preserve">Hydrological Processes</w:t>
      </w:r>
      <w:r>
        <w:t xml:space="preserve"> </w:t>
      </w:r>
      <w:r>
        <w:t xml:space="preserve">27(15):2171–2186.</w:t>
      </w:r>
    </w:p>
    <w:bookmarkEnd w:id="255"/>
    <w:bookmarkStart w:id="256"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256"/>
    <w:bookmarkStart w:id="258"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257">
        <w:r>
          <w:rPr>
            <w:rStyle w:val="Hyperlink"/>
          </w:rPr>
          <w:t xml:space="preserve">https://doi.org/10.1371/journal.pone.0250690</w:t>
        </w:r>
      </w:hyperlink>
      <w:r>
        <w:t xml:space="preserve">.</w:t>
      </w:r>
    </w:p>
    <w:bookmarkEnd w:id="258"/>
    <w:bookmarkStart w:id="259"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259"/>
    <w:bookmarkStart w:id="260"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260"/>
    <w:bookmarkStart w:id="262"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261">
        <w:r>
          <w:rPr>
            <w:rStyle w:val="Hyperlink"/>
          </w:rPr>
          <w:t xml:space="preserve">https://doi.org/10.1371/journal.pone.0124942</w:t>
        </w:r>
      </w:hyperlink>
      <w:r>
        <w:t xml:space="preserve">.</w:t>
      </w:r>
    </w:p>
    <w:bookmarkEnd w:id="262"/>
    <w:bookmarkStart w:id="264"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263">
        <w:r>
          <w:rPr>
            <w:rStyle w:val="Hyperlink"/>
          </w:rPr>
          <w:t xml:space="preserve">https://doi.org/10.1006/jaar.1997.0314</w:t>
        </w:r>
      </w:hyperlink>
      <w:r>
        <w:t xml:space="preserve">.</w:t>
      </w:r>
    </w:p>
    <w:bookmarkEnd w:id="264"/>
    <w:bookmarkStart w:id="266"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265">
        <w:r>
          <w:rPr>
            <w:rStyle w:val="Hyperlink"/>
          </w:rPr>
          <w:t xml:space="preserve">https://doi.org/10.1073/pnas.1818346116</w:t>
        </w:r>
      </w:hyperlink>
      <w:r>
        <w:t xml:space="preserve">.</w:t>
      </w:r>
    </w:p>
    <w:bookmarkEnd w:id="266"/>
    <w:bookmarkStart w:id="268"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267">
        <w:r>
          <w:rPr>
            <w:rStyle w:val="Hyperlink"/>
          </w:rPr>
          <w:t xml:space="preserve">https://doi.org/10.1016/j.jas.2021.105412</w:t>
        </w:r>
      </w:hyperlink>
      <w:r>
        <w:t xml:space="preserve">.</w:t>
      </w:r>
    </w:p>
    <w:bookmarkEnd w:id="268"/>
    <w:bookmarkStart w:id="269" w:name="ref-madsen_2012"/>
    <w:p>
      <w:pPr>
        <w:pStyle w:val="Bibliography"/>
      </w:pPr>
      <w:r>
        <w:t xml:space="preserve">Madsen, Mark E. 2012. Neutral Cultural Transmission in Time-Averaged Archaeological Assemblages. arXiv preprint arXiv:1204.2043 [physics.soc-ph].</w:t>
      </w:r>
    </w:p>
    <w:bookmarkEnd w:id="269"/>
    <w:bookmarkStart w:id="270"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270"/>
    <w:bookmarkStart w:id="271"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271"/>
    <w:bookmarkStart w:id="272"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272"/>
    <w:bookmarkStart w:id="273"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273"/>
    <w:bookmarkStart w:id="274" w:name="ref-mayr_1959"/>
    <w:p>
      <w:pPr>
        <w:pStyle w:val="Bibliography"/>
      </w:pPr>
      <w:r>
        <w:t xml:space="preserve">Mayr, Ernst. 1959. Typological Versus Population Thinking. In</w:t>
      </w:r>
      <w:r>
        <w:t xml:space="preserve"> </w:t>
      </w:r>
      <w:r>
        <w:rPr>
          <w:i/>
          <w:iCs/>
        </w:rPr>
        <w:t xml:space="preserve">Evolution and Anthropology: A Centennial Appraisal</w:t>
      </w:r>
      <w:r>
        <w:t xml:space="preserve">, edited by Betty J. Meggers, pp. 409–412. The Anthropological Society of Washington, Washington, D.C.</w:t>
      </w:r>
    </w:p>
    <w:bookmarkEnd w:id="274"/>
    <w:bookmarkStart w:id="275"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275"/>
    <w:bookmarkStart w:id="276"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276"/>
    <w:bookmarkStart w:id="278"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277">
        <w:r>
          <w:rPr>
            <w:rStyle w:val="Hyperlink"/>
          </w:rPr>
          <w:t xml:space="preserve">https://doi.org/10.1080/20548923.2018.1504490</w:t>
        </w:r>
      </w:hyperlink>
      <w:r>
        <w:t xml:space="preserve">.</w:t>
      </w:r>
    </w:p>
    <w:bookmarkEnd w:id="278"/>
    <w:bookmarkStart w:id="279"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279"/>
    <w:bookmarkStart w:id="280"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280"/>
    <w:bookmarkStart w:id="281"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281"/>
    <w:bookmarkStart w:id="282"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282"/>
    <w:bookmarkStart w:id="283" w:name="ref-morse_p_1981"/>
    <w:p>
      <w:pPr>
        <w:pStyle w:val="Bibliography"/>
      </w:pPr>
      <w:r>
        <w:t xml:space="preserve">Morse, Phyllis A. 1981.</w:t>
      </w:r>
      <w:r>
        <w:t xml:space="preserve"> </w:t>
      </w:r>
      <w:r>
        <w:rPr>
          <w:i/>
          <w:iCs/>
        </w:rPr>
        <w:t xml:space="preserve">Parkin: The 1978–1979 Archeological Investigations of a</w:t>
      </w:r>
      <w:r>
        <w:rPr>
          <w:i/>
          <w:iCs/>
        </w:rPr>
        <w:t xml:space="preserve"> </w:t>
      </w:r>
      <w:r>
        <w:rPr>
          <w:i/>
          <w:iCs/>
        </w:rPr>
        <w:t xml:space="preserve">Cross County</w:t>
      </w:r>
      <w:r>
        <w:rPr>
          <w:i/>
          <w:iCs/>
        </w:rPr>
        <w:t xml:space="preserve">,</w:t>
      </w:r>
      <w:r>
        <w:rPr>
          <w:i/>
          <w:iCs/>
        </w:rPr>
        <w:t xml:space="preserve"> </w:t>
      </w:r>
      <w:r>
        <w:rPr>
          <w:i/>
          <w:iCs/>
        </w:rPr>
        <w:t xml:space="preserve">Arkansas</w:t>
      </w:r>
      <w:r>
        <w:rPr>
          <w:i/>
          <w:iCs/>
        </w:rPr>
        <w:t xml:space="preserve"> </w:t>
      </w:r>
      <w:r>
        <w:rPr>
          <w:i/>
          <w:iCs/>
        </w:rPr>
        <w:t xml:space="preserve">Site</w:t>
      </w:r>
      <w:r>
        <w:t xml:space="preserve">. Arkansas Archeological Survey Research Series 13. Arkansas Archeological Survey, Fayetteville.</w:t>
      </w:r>
    </w:p>
    <w:bookmarkEnd w:id="283"/>
    <w:bookmarkStart w:id="284"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284"/>
    <w:bookmarkStart w:id="285"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285"/>
    <w:bookmarkStart w:id="286"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286"/>
    <w:bookmarkStart w:id="288"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287">
        <w:r>
          <w:rPr>
            <w:rStyle w:val="Hyperlink"/>
          </w:rPr>
          <w:t xml:space="preserve">https://doi.org/10.1098/rstb.2016.0426</w:t>
        </w:r>
      </w:hyperlink>
      <w:r>
        <w:t xml:space="preserve">.</w:t>
      </w:r>
    </w:p>
    <w:bookmarkEnd w:id="288"/>
    <w:bookmarkStart w:id="290"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289">
        <w:r>
          <w:rPr>
            <w:rStyle w:val="Hyperlink"/>
          </w:rPr>
          <w:t xml:space="preserve">https://doi.org/10.2307/279066</w:t>
        </w:r>
      </w:hyperlink>
      <w:r>
        <w:t xml:space="preserve">.</w:t>
      </w:r>
    </w:p>
    <w:bookmarkEnd w:id="290"/>
    <w:bookmarkStart w:id="292"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291">
        <w:r>
          <w:rPr>
            <w:rStyle w:val="Hyperlink"/>
          </w:rPr>
          <w:t xml:space="preserve">https://doi.org/10.1016/j.jas.2012.04.040</w:t>
        </w:r>
      </w:hyperlink>
      <w:r>
        <w:t xml:space="preserve">.</w:t>
      </w:r>
    </w:p>
    <w:bookmarkEnd w:id="292"/>
    <w:bookmarkStart w:id="294"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293">
        <w:r>
          <w:rPr>
            <w:rStyle w:val="Hyperlink"/>
          </w:rPr>
          <w:t xml:space="preserve">https://doi.org/10.1007/s10816-018-9364-4</w:t>
        </w:r>
      </w:hyperlink>
      <w:r>
        <w:t xml:space="preserve">.</w:t>
      </w:r>
    </w:p>
    <w:bookmarkEnd w:id="294"/>
    <w:bookmarkStart w:id="295"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295"/>
    <w:bookmarkStart w:id="296"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296"/>
    <w:bookmarkStart w:id="298"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297">
        <w:r>
          <w:rPr>
            <w:rStyle w:val="Hyperlink"/>
          </w:rPr>
          <w:t xml:space="preserve">https://doi.org/10.1525/aa.1953.55.5.02a00030</w:t>
        </w:r>
      </w:hyperlink>
      <w:r>
        <w:t xml:space="preserve">.</w:t>
      </w:r>
    </w:p>
    <w:bookmarkEnd w:id="298"/>
    <w:bookmarkStart w:id="300"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299">
        <w:r>
          <w:rPr>
            <w:rStyle w:val="Hyperlink"/>
          </w:rPr>
          <w:t xml:space="preserve">https://doi.org/10.1126/science.1170165</w:t>
        </w:r>
      </w:hyperlink>
      <w:r>
        <w:t xml:space="preserve">.</w:t>
      </w:r>
    </w:p>
    <w:bookmarkEnd w:id="300"/>
    <w:bookmarkStart w:id="302"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301">
        <w:r>
          <w:rPr>
            <w:rStyle w:val="Hyperlink"/>
          </w:rPr>
          <w:t xml:space="preserve">https://doi.org/10.1086/674873</w:t>
        </w:r>
      </w:hyperlink>
      <w:r>
        <w:t xml:space="preserve">.</w:t>
      </w:r>
    </w:p>
    <w:bookmarkEnd w:id="302"/>
    <w:bookmarkStart w:id="304"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303">
        <w:r>
          <w:rPr>
            <w:rStyle w:val="Hyperlink"/>
          </w:rPr>
          <w:t xml:space="preserve">https://doi.org/10.7183/0002-7316.81.4.605</w:t>
        </w:r>
      </w:hyperlink>
      <w:r>
        <w:t xml:space="preserve">.</w:t>
      </w:r>
    </w:p>
    <w:bookmarkEnd w:id="304"/>
    <w:bookmarkStart w:id="306"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305">
        <w:r>
          <w:rPr>
            <w:rStyle w:val="Hyperlink"/>
          </w:rPr>
          <w:t xml:space="preserve">https://doi.org/10.7183/0002-7316.76.1.163</w:t>
        </w:r>
      </w:hyperlink>
      <w:r>
        <w:t xml:space="preserve">.</w:t>
      </w:r>
    </w:p>
    <w:bookmarkEnd w:id="306"/>
    <w:bookmarkStart w:id="307"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307"/>
    <w:bookmarkStart w:id="309"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308">
        <w:r>
          <w:rPr>
            <w:rStyle w:val="Hyperlink"/>
          </w:rPr>
          <w:t xml:space="preserve">https://doi.org/10.1017/RDC.2020.41</w:t>
        </w:r>
      </w:hyperlink>
      <w:r>
        <w:t xml:space="preserve">.</w:t>
      </w:r>
    </w:p>
    <w:bookmarkEnd w:id="309"/>
    <w:bookmarkStart w:id="311"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310">
        <w:r>
          <w:rPr>
            <w:rStyle w:val="Hyperlink"/>
          </w:rPr>
          <w:t xml:space="preserve">https://doi.org/10.1017/S0140525X1400106X</w:t>
        </w:r>
      </w:hyperlink>
      <w:r>
        <w:t xml:space="preserve">.</w:t>
      </w:r>
    </w:p>
    <w:bookmarkEnd w:id="311"/>
    <w:bookmarkStart w:id="313"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312">
        <w:r>
          <w:rPr>
            <w:rStyle w:val="Hyperlink"/>
          </w:rPr>
          <w:t xml:space="preserve">https://doi.org/10.1057/s41599-019-0260-7</w:t>
        </w:r>
      </w:hyperlink>
      <w:r>
        <w:t xml:space="preserve">.</w:t>
      </w:r>
    </w:p>
    <w:bookmarkEnd w:id="313"/>
    <w:bookmarkStart w:id="314"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314"/>
    <w:bookmarkStart w:id="315"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315"/>
    <w:bookmarkStart w:id="316"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316"/>
    <w:bookmarkStart w:id="318"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317">
        <w:r>
          <w:rPr>
            <w:rStyle w:val="Hyperlink"/>
          </w:rPr>
          <w:t xml:space="preserve">https://doi.org/10.1016/j.jtbi.2016.04.024</w:t>
        </w:r>
      </w:hyperlink>
      <w:r>
        <w:t xml:space="preserve">.</w:t>
      </w:r>
    </w:p>
    <w:bookmarkEnd w:id="318"/>
    <w:bookmarkStart w:id="320"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319">
        <w:r>
          <w:rPr>
            <w:rStyle w:val="Hyperlink"/>
          </w:rPr>
          <w:t xml:space="preserve">https://doi.org/10.1016/j.evolhumbehav.2014.09.006</w:t>
        </w:r>
      </w:hyperlink>
      <w:r>
        <w:t xml:space="preserve">.</w:t>
      </w:r>
    </w:p>
    <w:bookmarkEnd w:id="320"/>
    <w:bookmarkStart w:id="321"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321"/>
    <w:bookmarkStart w:id="322"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322"/>
    <w:bookmarkStart w:id="323"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323"/>
    <w:bookmarkStart w:id="324"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324"/>
    <w:bookmarkStart w:id="326"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325">
        <w:r>
          <w:rPr>
            <w:rStyle w:val="Hyperlink"/>
          </w:rPr>
          <w:t xml:space="preserve">https://doi.org/10.1017/aaq.2024.1</w:t>
        </w:r>
      </w:hyperlink>
      <w:r>
        <w:t xml:space="preserve">.</w:t>
      </w:r>
    </w:p>
    <w:bookmarkEnd w:id="326"/>
    <w:bookmarkStart w:id="327"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327"/>
    <w:bookmarkStart w:id="329"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328">
        <w:r>
          <w:rPr>
            <w:rStyle w:val="Hyperlink"/>
          </w:rPr>
          <w:t xml:space="preserve">https://doi.org/10.1086/651661</w:t>
        </w:r>
      </w:hyperlink>
      <w:r>
        <w:t xml:space="preserve">.</w:t>
      </w:r>
    </w:p>
    <w:bookmarkEnd w:id="329"/>
    <w:bookmarkStart w:id="330"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330"/>
    <w:bookmarkStart w:id="331" w:name="ref-williams_1954"/>
    <w:p>
      <w:pPr>
        <w:pStyle w:val="Bibliography"/>
      </w:pPr>
      <w:r>
        <w:t xml:space="preserve">Williams, Stephen. 1954. An Archeological Study of the Mississippian Culture in Southeast Missouri. PhD thesis, Yale University, New Haven.</w:t>
      </w:r>
    </w:p>
    <w:bookmarkEnd w:id="331"/>
    <w:bookmarkStart w:id="333"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332">
        <w:r>
          <w:rPr>
            <w:rStyle w:val="Hyperlink"/>
          </w:rPr>
          <w:t xml:space="preserve">https://doi.org/10.1093/genetics/28.2.114</w:t>
        </w:r>
      </w:hyperlink>
      <w:r>
        <w:t xml:space="preserve">.</w:t>
      </w:r>
    </w:p>
    <w:bookmarkEnd w:id="333"/>
    <w:bookmarkStart w:id="335"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334">
        <w:r>
          <w:rPr>
            <w:rStyle w:val="Hyperlink"/>
          </w:rPr>
          <w:t xml:space="preserve">https://doi.org/10.1111/j.1469-1809.1949.tb02451.x</w:t>
        </w:r>
      </w:hyperlink>
      <w:r>
        <w:t xml:space="preserve">.</w:t>
      </w:r>
    </w:p>
    <w:bookmarkEnd w:id="335"/>
    <w:bookmarkStart w:id="337"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336">
        <w:r>
          <w:rPr>
            <w:rStyle w:val="Hyperlink"/>
          </w:rPr>
          <w:t xml:space="preserve">https://doi.org/10.1017/ehs.2023.5</w:t>
        </w:r>
      </w:hyperlink>
      <w:r>
        <w:t xml:space="preserve">.</w:t>
      </w:r>
    </w:p>
    <w:bookmarkEnd w:id="337"/>
    <w:bookmarkEnd w:id="338"/>
    <w:bookmarkEnd w:id="339"/>
    <w:bookmarkEnd w:id="340"/>
    <w:sectPr>
      <w:footerReference r:id="rId100"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000000"/>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8" Target="numbering.xml" /><Relationship Type="http://schemas.openxmlformats.org/officeDocument/2006/relationships/styles" Id="rId107" Target="styles.xml" /><Relationship Type="http://schemas.openxmlformats.org/officeDocument/2006/relationships/settings" Id="rId106" Target="settings.xml" /><Relationship Type="http://schemas.openxmlformats.org/officeDocument/2006/relationships/webSettings" Id="rId105" Target="webSettings.xml" /><Relationship Type="http://schemas.openxmlformats.org/officeDocument/2006/relationships/fontTable" Id="rId104" Target="fontTable.xml" /><Relationship Type="http://schemas.openxmlformats.org/officeDocument/2006/relationships/theme" Id="rId103" Target="theme/theme1.xml" /><Relationship Type="http://schemas.openxmlformats.org/officeDocument/2006/relationships/footnotes" Id="rId102" Target="footnotes.xml" /><Relationship Type="http://schemas.openxmlformats.org/officeDocument/2006/relationships/comments" Id="rId101" Target="comments.xml" /><Relationship Id="rId100" Target="footer1.xml" Type="http://schemas.openxmlformats.org/officeDocument/2006/relationships/footer" /><Relationship Type="http://schemas.openxmlformats.org/officeDocument/2006/relationships/image" Id="rId154" Target="media/rId154.png" /><Relationship Type="http://schemas.openxmlformats.org/officeDocument/2006/relationships/image" Id="rId157" Target="media/rId157.png" /><Relationship Type="http://schemas.openxmlformats.org/officeDocument/2006/relationships/image" Id="rId160" Target="media/rId160.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70" Target="media/rId170.png" /><Relationship Type="http://schemas.openxmlformats.org/officeDocument/2006/relationships/image" Id="rId111" Target="media/rId111.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7" Target="media/rId127.png" /><Relationship Type="http://schemas.openxmlformats.org/officeDocument/2006/relationships/image" Id="rId138" Target="media/rId138.png" /><Relationship Type="http://schemas.openxmlformats.org/officeDocument/2006/relationships/image" Id="rId142" Target="media/rId142.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hyperlink" Id="rId263" Target="https://doi.org/10.1006/jaar.1997.0314" TargetMode="External" /><Relationship Type="http://schemas.openxmlformats.org/officeDocument/2006/relationships/hyperlink" Id="rId219" Target="https://doi.org/10.1007/s10814-007-9013-z" TargetMode="External" /><Relationship Type="http://schemas.openxmlformats.org/officeDocument/2006/relationships/hyperlink" Id="rId293" Target="https://doi.org/10.1007/s10816-018-9364-4" TargetMode="External" /><Relationship Type="http://schemas.openxmlformats.org/officeDocument/2006/relationships/hyperlink" Id="rId203" Target="https://doi.org/10.1007/s10816-022-09599-x" TargetMode="External" /><Relationship Type="http://schemas.openxmlformats.org/officeDocument/2006/relationships/hyperlink" Id="rId233" Target="https://doi.org/10.1016/S1090-5138(98)00018-X" TargetMode="External" /><Relationship Type="http://schemas.openxmlformats.org/officeDocument/2006/relationships/hyperlink" Id="rId319" Target="https://doi.org/10.1016/j.evolhumbehav.2014.09.006" TargetMode="External" /><Relationship Type="http://schemas.openxmlformats.org/officeDocument/2006/relationships/hyperlink" Id="rId217" Target="https://doi.org/10.1016/j.jaa.2005.08.001" TargetMode="External" /><Relationship Type="http://schemas.openxmlformats.org/officeDocument/2006/relationships/hyperlink" Id="rId291" Target="https://doi.org/10.1016/j.jas.2012.04.040" TargetMode="External" /><Relationship Type="http://schemas.openxmlformats.org/officeDocument/2006/relationships/hyperlink" Id="rId205" Target="https://doi.org/10.1016/j.jas.2014.07.014" TargetMode="External" /><Relationship Type="http://schemas.openxmlformats.org/officeDocument/2006/relationships/hyperlink" Id="rId267" Target="https://doi.org/10.1016/j.jas.2021.105412" TargetMode="External" /><Relationship Type="http://schemas.openxmlformats.org/officeDocument/2006/relationships/hyperlink" Id="rId246" Target="https://doi.org/10.1016/j.jtbi.2013.03.006" TargetMode="External" /><Relationship Type="http://schemas.openxmlformats.org/officeDocument/2006/relationships/hyperlink" Id="rId317" Target="https://doi.org/10.1016/j.jtbi.2016.04.024" TargetMode="External" /><Relationship Type="http://schemas.openxmlformats.org/officeDocument/2006/relationships/hyperlink" Id="rId308" Target="https://doi.org/10.1017/RDC.2020.41" TargetMode="External" /><Relationship Type="http://schemas.openxmlformats.org/officeDocument/2006/relationships/hyperlink" Id="rId310" Target="https://doi.org/10.1017/S0140525X1400106X" TargetMode="External" /><Relationship Type="http://schemas.openxmlformats.org/officeDocument/2006/relationships/hyperlink" Id="rId236" Target="https://doi.org/10.1017/aap.2021.10" TargetMode="External" /><Relationship Type="http://schemas.openxmlformats.org/officeDocument/2006/relationships/hyperlink" Id="rId325" Target="https://doi.org/10.1017/aaq.2024.1" TargetMode="External" /><Relationship Type="http://schemas.openxmlformats.org/officeDocument/2006/relationships/hyperlink" Id="rId336" Target="https://doi.org/10.1017/ehs.2023.5" TargetMode="External" /><Relationship Type="http://schemas.openxmlformats.org/officeDocument/2006/relationships/hyperlink" Id="rId207" Target="https://doi.org/10.1038/srep39122" TargetMode="External" /><Relationship Type="http://schemas.openxmlformats.org/officeDocument/2006/relationships/hyperlink" Id="rId312" Target="https://doi.org/10.1057/s41599-019-0260-7" TargetMode="External" /><Relationship Type="http://schemas.openxmlformats.org/officeDocument/2006/relationships/hyperlink" Id="rId198" Target="https://doi.org/10.1057/s41599-019-0295-9" TargetMode="External" /><Relationship Type="http://schemas.openxmlformats.org/officeDocument/2006/relationships/hyperlink" Id="rId201" Target="https://doi.org/10.1057/s41599-020-00635-3" TargetMode="External" /><Relationship Type="http://schemas.openxmlformats.org/officeDocument/2006/relationships/hyperlink" Id="rId189" Target="https://doi.org/10.1073/pnas.0903232106" TargetMode="External" /><Relationship Type="http://schemas.openxmlformats.org/officeDocument/2006/relationships/hyperlink" Id="rId265" Target="https://doi.org/10.1073/pnas.1818346116" TargetMode="External" /><Relationship Type="http://schemas.openxmlformats.org/officeDocument/2006/relationships/hyperlink" Id="rId224" Target="https://doi.org/10.1073/pnas.2418106121" TargetMode="External" /><Relationship Type="http://schemas.openxmlformats.org/officeDocument/2006/relationships/hyperlink" Id="rId277" Target="https://doi.org/10.1080/20548923.2018.1504490" TargetMode="External" /><Relationship Type="http://schemas.openxmlformats.org/officeDocument/2006/relationships/hyperlink" Id="rId328" Target="https://doi.org/10.1086/651661" TargetMode="External" /><Relationship Type="http://schemas.openxmlformats.org/officeDocument/2006/relationships/hyperlink" Id="rId301" Target="https://doi.org/10.1086/674873" TargetMode="External" /><Relationship Type="http://schemas.openxmlformats.org/officeDocument/2006/relationships/hyperlink" Id="rId332" Target="https://doi.org/10.1093/genetics/28.2.114" TargetMode="External" /><Relationship Type="http://schemas.openxmlformats.org/officeDocument/2006/relationships/hyperlink" Id="rId248" Target="https://doi.org/10.1098/rsif.2015.0905" TargetMode="External" /><Relationship Type="http://schemas.openxmlformats.org/officeDocument/2006/relationships/hyperlink" Id="rId250" Target="https://doi.org/10.1098/rsos.170949" TargetMode="External" /><Relationship Type="http://schemas.openxmlformats.org/officeDocument/2006/relationships/hyperlink" Id="rId193" Target="https://doi.org/10.1098/rspb.2004.2746" TargetMode="External" /><Relationship Type="http://schemas.openxmlformats.org/officeDocument/2006/relationships/hyperlink" Id="rId184" Target="https://doi.org/10.1098/rstb.1996.0073" TargetMode="External" /><Relationship Type="http://schemas.openxmlformats.org/officeDocument/2006/relationships/hyperlink" Id="rId287" Target="https://doi.org/10.1098/rstb.2016.0426" TargetMode="External" /><Relationship Type="http://schemas.openxmlformats.org/officeDocument/2006/relationships/hyperlink" Id="rId334" Target="https://doi.org/10.1111/j.1469-1809.1949.tb02451.x" TargetMode="External" /><Relationship Type="http://schemas.openxmlformats.org/officeDocument/2006/relationships/hyperlink" Id="rId243" Target="https://doi.org/10.1111/j.1558-5646.2007.00310.x" TargetMode="External" /><Relationship Type="http://schemas.openxmlformats.org/officeDocument/2006/relationships/hyperlink" Id="rId299" Target="https://doi.org/10.1126/science.1170165" TargetMode="External" /><Relationship Type="http://schemas.openxmlformats.org/officeDocument/2006/relationships/hyperlink" Id="rId252" Target="https://doi.org/10.1146/annurev-ecolsys-110512-135838" TargetMode="External" /><Relationship Type="http://schemas.openxmlformats.org/officeDocument/2006/relationships/hyperlink" Id="rId191" Target="https://doi.org/10.1371/journal.pone.0003057" TargetMode="External" /><Relationship Type="http://schemas.openxmlformats.org/officeDocument/2006/relationships/hyperlink" Id="rId261" Target="https://doi.org/10.1371/journal.pone.0124942" TargetMode="External" /><Relationship Type="http://schemas.openxmlformats.org/officeDocument/2006/relationships/hyperlink" Id="rId257" Target="https://doi.org/10.1371/journal.pone.0250690" TargetMode="External" /><Relationship Type="http://schemas.openxmlformats.org/officeDocument/2006/relationships/hyperlink" Id="rId297" Target="https://doi.org/10.1525/aa.1953.55.5.02a00030" TargetMode="External" /><Relationship Type="http://schemas.openxmlformats.org/officeDocument/2006/relationships/hyperlink" Id="rId229" Target="https://doi.org/10.1525/aa.2001.103.4.992" TargetMode="External" /><Relationship Type="http://schemas.openxmlformats.org/officeDocument/2006/relationships/hyperlink" Id="rId222" Target="https://doi.org/10.1534/genetics.113.158220" TargetMode="External" /><Relationship Type="http://schemas.openxmlformats.org/officeDocument/2006/relationships/hyperlink" Id="rId241" Target="https://doi.org/10.1666/05070.1" TargetMode="External" /><Relationship Type="http://schemas.openxmlformats.org/officeDocument/2006/relationships/hyperlink" Id="rId195" Target="https://doi.org/10.2307/2694206" TargetMode="External" /><Relationship Type="http://schemas.openxmlformats.org/officeDocument/2006/relationships/hyperlink" Id="rId209" Target="https://doi.org/10.2307/278341" TargetMode="External" /><Relationship Type="http://schemas.openxmlformats.org/officeDocument/2006/relationships/hyperlink" Id="rId289" Target="https://doi.org/10.2307/279066" TargetMode="External" /><Relationship Type="http://schemas.openxmlformats.org/officeDocument/2006/relationships/hyperlink" Id="rId211" Target="https://doi.org/10.2307/279244" TargetMode="External" /><Relationship Type="http://schemas.openxmlformats.org/officeDocument/2006/relationships/hyperlink" Id="rId187" Target="https://doi.org/10.2307/3557066" TargetMode="External" /><Relationship Type="http://schemas.openxmlformats.org/officeDocument/2006/relationships/hyperlink" Id="rId231" Target="https://doi.org/10.2307/4128416" TargetMode="External" /><Relationship Type="http://schemas.openxmlformats.org/officeDocument/2006/relationships/hyperlink" Id="rId305" Target="https://doi.org/10.7183/0002-7316.76.1.163" TargetMode="External" /><Relationship Type="http://schemas.openxmlformats.org/officeDocument/2006/relationships/hyperlink" Id="rId303"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263" Target="https://doi.org/10.1006/jaar.1997.0314" TargetMode="External" /><Relationship Type="http://schemas.openxmlformats.org/officeDocument/2006/relationships/hyperlink" Id="rId219" Target="https://doi.org/10.1007/s10814-007-9013-z" TargetMode="External" /><Relationship Type="http://schemas.openxmlformats.org/officeDocument/2006/relationships/hyperlink" Id="rId293" Target="https://doi.org/10.1007/s10816-018-9364-4" TargetMode="External" /><Relationship Type="http://schemas.openxmlformats.org/officeDocument/2006/relationships/hyperlink" Id="rId203" Target="https://doi.org/10.1007/s10816-022-09599-x" TargetMode="External" /><Relationship Type="http://schemas.openxmlformats.org/officeDocument/2006/relationships/hyperlink" Id="rId233" Target="https://doi.org/10.1016/S1090-5138(98)00018-X" TargetMode="External" /><Relationship Type="http://schemas.openxmlformats.org/officeDocument/2006/relationships/hyperlink" Id="rId319" Target="https://doi.org/10.1016/j.evolhumbehav.2014.09.006" TargetMode="External" /><Relationship Type="http://schemas.openxmlformats.org/officeDocument/2006/relationships/hyperlink" Id="rId217" Target="https://doi.org/10.1016/j.jaa.2005.08.001" TargetMode="External" /><Relationship Type="http://schemas.openxmlformats.org/officeDocument/2006/relationships/hyperlink" Id="rId291" Target="https://doi.org/10.1016/j.jas.2012.04.040" TargetMode="External" /><Relationship Type="http://schemas.openxmlformats.org/officeDocument/2006/relationships/hyperlink" Id="rId205" Target="https://doi.org/10.1016/j.jas.2014.07.014" TargetMode="External" /><Relationship Type="http://schemas.openxmlformats.org/officeDocument/2006/relationships/hyperlink" Id="rId267" Target="https://doi.org/10.1016/j.jas.2021.105412" TargetMode="External" /><Relationship Type="http://schemas.openxmlformats.org/officeDocument/2006/relationships/hyperlink" Id="rId246" Target="https://doi.org/10.1016/j.jtbi.2013.03.006" TargetMode="External" /><Relationship Type="http://schemas.openxmlformats.org/officeDocument/2006/relationships/hyperlink" Id="rId317" Target="https://doi.org/10.1016/j.jtbi.2016.04.024" TargetMode="External" /><Relationship Type="http://schemas.openxmlformats.org/officeDocument/2006/relationships/hyperlink" Id="rId308" Target="https://doi.org/10.1017/RDC.2020.41" TargetMode="External" /><Relationship Type="http://schemas.openxmlformats.org/officeDocument/2006/relationships/hyperlink" Id="rId310" Target="https://doi.org/10.1017/S0140525X1400106X" TargetMode="External" /><Relationship Type="http://schemas.openxmlformats.org/officeDocument/2006/relationships/hyperlink" Id="rId236" Target="https://doi.org/10.1017/aap.2021.10" TargetMode="External" /><Relationship Type="http://schemas.openxmlformats.org/officeDocument/2006/relationships/hyperlink" Id="rId325" Target="https://doi.org/10.1017/aaq.2024.1" TargetMode="External" /><Relationship Type="http://schemas.openxmlformats.org/officeDocument/2006/relationships/hyperlink" Id="rId336" Target="https://doi.org/10.1017/ehs.2023.5" TargetMode="External" /><Relationship Type="http://schemas.openxmlformats.org/officeDocument/2006/relationships/hyperlink" Id="rId207" Target="https://doi.org/10.1038/srep39122" TargetMode="External" /><Relationship Type="http://schemas.openxmlformats.org/officeDocument/2006/relationships/hyperlink" Id="rId312" Target="https://doi.org/10.1057/s41599-019-0260-7" TargetMode="External" /><Relationship Type="http://schemas.openxmlformats.org/officeDocument/2006/relationships/hyperlink" Id="rId198" Target="https://doi.org/10.1057/s41599-019-0295-9" TargetMode="External" /><Relationship Type="http://schemas.openxmlformats.org/officeDocument/2006/relationships/hyperlink" Id="rId201" Target="https://doi.org/10.1057/s41599-020-00635-3" TargetMode="External" /><Relationship Type="http://schemas.openxmlformats.org/officeDocument/2006/relationships/hyperlink" Id="rId189" Target="https://doi.org/10.1073/pnas.0903232106" TargetMode="External" /><Relationship Type="http://schemas.openxmlformats.org/officeDocument/2006/relationships/hyperlink" Id="rId265" Target="https://doi.org/10.1073/pnas.1818346116" TargetMode="External" /><Relationship Type="http://schemas.openxmlformats.org/officeDocument/2006/relationships/hyperlink" Id="rId224" Target="https://doi.org/10.1073/pnas.2418106121" TargetMode="External" /><Relationship Type="http://schemas.openxmlformats.org/officeDocument/2006/relationships/hyperlink" Id="rId277" Target="https://doi.org/10.1080/20548923.2018.1504490" TargetMode="External" /><Relationship Type="http://schemas.openxmlformats.org/officeDocument/2006/relationships/hyperlink" Id="rId328" Target="https://doi.org/10.1086/651661" TargetMode="External" /><Relationship Type="http://schemas.openxmlformats.org/officeDocument/2006/relationships/hyperlink" Id="rId301" Target="https://doi.org/10.1086/674873" TargetMode="External" /><Relationship Type="http://schemas.openxmlformats.org/officeDocument/2006/relationships/hyperlink" Id="rId332" Target="https://doi.org/10.1093/genetics/28.2.114" TargetMode="External" /><Relationship Type="http://schemas.openxmlformats.org/officeDocument/2006/relationships/hyperlink" Id="rId248" Target="https://doi.org/10.1098/rsif.2015.0905" TargetMode="External" /><Relationship Type="http://schemas.openxmlformats.org/officeDocument/2006/relationships/hyperlink" Id="rId250" Target="https://doi.org/10.1098/rsos.170949" TargetMode="External" /><Relationship Type="http://schemas.openxmlformats.org/officeDocument/2006/relationships/hyperlink" Id="rId193" Target="https://doi.org/10.1098/rspb.2004.2746" TargetMode="External" /><Relationship Type="http://schemas.openxmlformats.org/officeDocument/2006/relationships/hyperlink" Id="rId184" Target="https://doi.org/10.1098/rstb.1996.0073" TargetMode="External" /><Relationship Type="http://schemas.openxmlformats.org/officeDocument/2006/relationships/hyperlink" Id="rId287" Target="https://doi.org/10.1098/rstb.2016.0426" TargetMode="External" /><Relationship Type="http://schemas.openxmlformats.org/officeDocument/2006/relationships/hyperlink" Id="rId334" Target="https://doi.org/10.1111/j.1469-1809.1949.tb02451.x" TargetMode="External" /><Relationship Type="http://schemas.openxmlformats.org/officeDocument/2006/relationships/hyperlink" Id="rId243" Target="https://doi.org/10.1111/j.1558-5646.2007.00310.x" TargetMode="External" /><Relationship Type="http://schemas.openxmlformats.org/officeDocument/2006/relationships/hyperlink" Id="rId299" Target="https://doi.org/10.1126/science.1170165" TargetMode="External" /><Relationship Type="http://schemas.openxmlformats.org/officeDocument/2006/relationships/hyperlink" Id="rId252" Target="https://doi.org/10.1146/annurev-ecolsys-110512-135838" TargetMode="External" /><Relationship Type="http://schemas.openxmlformats.org/officeDocument/2006/relationships/hyperlink" Id="rId191" Target="https://doi.org/10.1371/journal.pone.0003057" TargetMode="External" /><Relationship Type="http://schemas.openxmlformats.org/officeDocument/2006/relationships/hyperlink" Id="rId261" Target="https://doi.org/10.1371/journal.pone.0124942" TargetMode="External" /><Relationship Type="http://schemas.openxmlformats.org/officeDocument/2006/relationships/hyperlink" Id="rId257" Target="https://doi.org/10.1371/journal.pone.0250690" TargetMode="External" /><Relationship Type="http://schemas.openxmlformats.org/officeDocument/2006/relationships/hyperlink" Id="rId297" Target="https://doi.org/10.1525/aa.1953.55.5.02a00030" TargetMode="External" /><Relationship Type="http://schemas.openxmlformats.org/officeDocument/2006/relationships/hyperlink" Id="rId229" Target="https://doi.org/10.1525/aa.2001.103.4.992" TargetMode="External" /><Relationship Type="http://schemas.openxmlformats.org/officeDocument/2006/relationships/hyperlink" Id="rId222" Target="https://doi.org/10.1534/genetics.113.158220" TargetMode="External" /><Relationship Type="http://schemas.openxmlformats.org/officeDocument/2006/relationships/hyperlink" Id="rId241" Target="https://doi.org/10.1666/05070.1" TargetMode="External" /><Relationship Type="http://schemas.openxmlformats.org/officeDocument/2006/relationships/hyperlink" Id="rId195" Target="https://doi.org/10.2307/2694206" TargetMode="External" /><Relationship Type="http://schemas.openxmlformats.org/officeDocument/2006/relationships/hyperlink" Id="rId209" Target="https://doi.org/10.2307/278341" TargetMode="External" /><Relationship Type="http://schemas.openxmlformats.org/officeDocument/2006/relationships/hyperlink" Id="rId289" Target="https://doi.org/10.2307/279066" TargetMode="External" /><Relationship Type="http://schemas.openxmlformats.org/officeDocument/2006/relationships/hyperlink" Id="rId211" Target="https://doi.org/10.2307/279244" TargetMode="External" /><Relationship Type="http://schemas.openxmlformats.org/officeDocument/2006/relationships/hyperlink" Id="rId187" Target="https://doi.org/10.2307/3557066" TargetMode="External" /><Relationship Type="http://schemas.openxmlformats.org/officeDocument/2006/relationships/hyperlink" Id="rId231" Target="https://doi.org/10.2307/4128416" TargetMode="External" /><Relationship Type="http://schemas.openxmlformats.org/officeDocument/2006/relationships/hyperlink" Id="rId305" Target="https://doi.org/10.7183/0002-7316.76.1.163" TargetMode="External" /><Relationship Type="http://schemas.openxmlformats.org/officeDocument/2006/relationships/hyperlink" Id="rId303"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2026-09-23T01:40:17Z</dcterms:created>
  <dcterms:modified xsi:type="dcterms:W3CDTF">2026-09-23T01:40:17Z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