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5.png" ContentType="image/png"/>
  <Override PartName="/word/media/rId120.png" ContentType="image/png"/>
  <Override PartName="/word/media/rId124.png" ContentType="image/png"/>
  <Override PartName="/word/media/rId128.png" ContentType="image/png"/>
  <Override PartName="/word/media/rId133.png" ContentType="image/png"/>
  <Override PartName="/word/media/rId141.png" ContentType="image/png"/>
  <Override PartName="/word/media/rId149.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5" w:name="supplemental-material"/>
    <w:p>
      <w:pPr>
        <w:pStyle w:val="Heading1"/>
      </w:pPr>
      <w:r>
        <w:t xml:space="preserve">Supplemental Material</w:t>
      </w:r>
    </w:p>
    <w:p>
      <w:pPr>
        <w:pStyle w:val="FirstParagraph"/>
      </w:pPr>
      <w:r>
        <w:rPr>
          <w:b/>
          <w:bCs/>
        </w:rPr>
        <w:t xml:space="preserve">Explaining the Spatial Structure of Phases: An Example from the Lower Mississippi River Valley</w:t>
      </w:r>
    </w:p>
    <w:p>
      <w:pPr>
        <w:pStyle w:val="BodyText"/>
      </w:pPr>
      <w:r>
        <w:rPr>
          <w:b/>
          <w:bCs/>
        </w:rPr>
        <w:t xml:space="preserve">Carl P. Lipo, Beau J. DiNapoli, and Mark E. Madsen</w:t>
      </w:r>
    </w:p>
    <w:p>
      <w:pPr>
        <w:pStyle w:val="BodyText"/>
      </w:pPr>
      <w:r>
        <w:rPr>
          <w:i/>
          <w:iCs/>
        </w:rPr>
        <w:t xml:space="preserve">Supplement to the main text. References to numbered figures without an</w:t>
      </w:r>
      <w:r>
        <w:rPr>
          <w:i/>
          <w:iCs/>
        </w:rPr>
        <w:t xml:space="preserve"> </w:t>
      </w:r>
      <w:r>
        <w:rPr>
          <w:i/>
          <w:iCs/>
        </w:rPr>
        <w:t xml:space="preserve">“S”</w:t>
      </w:r>
      <w:r>
        <w:rPr>
          <w:i/>
          <w:iCs/>
        </w:rPr>
        <w:t xml:space="preserve"> </w:t>
      </w:r>
      <w:r>
        <w:rPr>
          <w:i/>
          <w:iCs/>
        </w:rPr>
        <w:t xml:space="preserve">(for example, Figure 5) point to the main article.</w:t>
      </w:r>
    </w:p>
    <w:bookmarkStart w:id="109" w:name="the-four-measures-in-full"/>
    <w:p>
      <w:pPr>
        <w:pStyle w:val="Heading2"/>
      </w:pPr>
      <w:r>
        <w:t xml:space="preserve">The four measures in full</w:t>
      </w:r>
    </w:p>
    <w:p>
      <w:pPr>
        <w:pStyle w:val="FirstParagraph"/>
      </w:pPr>
      <w:r>
        <w:rPr>
          <w:b/>
          <w:bCs/>
        </w:rPr>
        <w:t xml:space="preserve">Departure from neutral copying.</w:t>
      </w:r>
      <w:r>
        <w:t xml:space="preserve"> </w:t>
      </w:r>
      <w:r>
        <w:t xml:space="preserve">Following Neiman</w:t>
      </w:r>
      <w:r>
        <w:t xml:space="preserve"> </w:t>
      </w:r>
      <w:r>
        <w:t xml:space="preserve">(1995)</w:t>
      </w:r>
      <w:r>
        <w:t xml:space="preserve">, we estimate the transmission parameter</w:t>
      </w:r>
      <w:r>
        <w:t xml:space="preserve"> </w:t>
      </w:r>
      <m:oMath>
        <m:r>
          <m:t>θ</m:t>
        </m:r>
      </m:oMath>
      <w:r>
        <w:t xml:space="preserve"> </w:t>
      </w:r>
      <w:r>
        <w:t xml:space="preserve">two ways for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copying the two agree. Conformist copying concentrates sherds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and a preference for novelty does the reverse. The measure is the ratio</w:t>
      </w:r>
      <w:r>
        <w:t xml:space="preserve"> </w:t>
      </w:r>
      <m:oMath>
        <m:sSub>
          <m:e>
            <m:r>
              <m:t>θ</m:t>
            </m:r>
          </m:e>
          <m:sub>
            <m:r>
              <m:t>F</m:t>
            </m:r>
          </m:sub>
        </m:sSub>
        <m:r>
          <m:rPr>
            <m:sty m:val="p"/>
          </m:rPr>
          <m:t>/</m:t>
        </m:r>
        <m:sSub>
          <m:e>
            <m:r>
              <m:t>θ</m:t>
            </m:r>
          </m:e>
          <m:sub>
            <m:r>
              <m:t>E</m:t>
            </m:r>
          </m:sub>
        </m:sSub>
      </m:oMath>
      <w:r>
        <w:t xml:space="preserve">, computed within spatial clusters and averaged across them, since pooling assemblages from divergent groups would cancel the effect.</w:t>
      </w:r>
    </w:p>
    <w:p>
      <w:pPr>
        <w:pStyle w:val="BodyText"/>
      </w:pPr>
      <w:r>
        <w:rPr>
          <w:b/>
          <w:bCs/>
        </w:rPr>
        <w:t xml:space="preserve">Seriation structure.</w:t>
      </w:r>
      <w:r>
        <w:t xml:space="preserve"> </w:t>
      </w:r>
      <w:r>
        <w:t xml:space="preserve">We use the iterative deterministic 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makes every decorated class’s frequency curve single-peaked and without gaps. We enumerate the maximal co-seriable groups, the largest subsets for which a valid ordering exists, and report their number, their maximum size, and the number of groups each assemblage joins. A single group indicates one interacting community; many small, overlapping groups indicate a field too varied to fit one ordering; many small, separate groups indicate divided learning. Checking every ordering is intractable beyond about fourteen assemblages, so the method builds solutions upward from valid three-assemblage orderings, adding assemblages while every class stays single-peaked and continuous. An ordering breaks when a class is not single-peaked along it or when a class’s relative frequency jumps between adjacent assemblages by more than a continuity threshold, which we set at 0.10. The overlapping structure reported in the main text holds across a range of thresholds. In the recovery experiment and the observed trajectory the statistic is the number of maximal groups per assemblage within each period, computed the same way. The idealized validation (main text Figure 2) uses a simpler proxy, the number of fall-then-rise reversals in each class along the supplied order. Neither version includes the bootstrap significance step of the published method.</w:t>
      </w:r>
    </w:p>
    <w:p>
      <w:pPr>
        <w:pStyle w:val="BodyText"/>
      </w:pPr>
      <w:r>
        <w:rPr>
          <w:b/>
          <w:bCs/>
        </w:rPr>
        <w:t xml:space="preserve">Between- and within-group variance.</w:t>
      </w:r>
      <w:r>
        <w:t xml:space="preserve"> </w:t>
      </w:r>
      <w:r>
        <w:t xml:space="preserve">Cultural</w:t>
      </w:r>
      <w:r>
        <w:t xml:space="preserve"> </w:t>
      </w:r>
      <m:oMath>
        <m:sSub>
          <m:e>
            <m:r>
              <m:t>F</m:t>
            </m:r>
          </m:e>
          <m:sub>
            <m:r>
              <m:t>S</m:t>
            </m:r>
            <m:r>
              <m:t>T</m:t>
            </m:r>
          </m:sub>
        </m:sSub>
      </m:oMath>
      <w:r>
        <w:t xml:space="preserve"> </w:t>
      </w:r>
      <w:r>
        <w:t xml:space="preserve">is 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 </w:t>
      </w:r>
      <w:r>
        <w:t xml:space="preserve">as</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diversity within clusters</w:t>
      </w:r>
      <w:r>
        <w:t xml:space="preserve"> </w:t>
      </w:r>
      <w:r>
        <w:t xml:space="preserve">(Bell et al. 2009)</w:t>
      </w:r>
      <w:r>
        <w:t xml:space="preserve">. It is zero when clusters share a repertoire and rises as they hold distinct ones.</w:t>
      </w:r>
    </w:p>
    <w:p>
      <w:pPr>
        <w:pStyle w:val="BodyText"/>
      </w:pPr>
      <w:r>
        <w:rPr>
          <w:b/>
          <w:bCs/>
        </w:rPr>
        <w:t xml:space="preserve">Boundary excess.</w:t>
      </w:r>
      <w:r>
        <w:t xml:space="preserve"> </w:t>
      </w:r>
      <w:r>
        <w:t xml:space="preserve">We measure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A Mantel correlation cannot separate a sharp boundary from a smooth fade with distance, so within each band of pairwise distance we take mean within-cluster similarity minus mean between-cluster similarity and average over bands. Under pure isolation by distance the excess is near zero; a sharp social boundary makes it large and positive. Spatial clusters come from</w:t>
      </w:r>
      <w:r>
        <w:t xml:space="preserve"> </w:t>
      </w:r>
      <m:oMath>
        <m:r>
          <m:t>k</m:t>
        </m:r>
      </m:oMath>
      <w:r>
        <w:t xml:space="preserve">-means on site coordinates with multiple restarts, with the number of clusters chosen by the mean silhouette.</w:t>
      </w:r>
    </w:p>
    <w:p>
      <w:pPr>
        <w:pStyle w:val="BodyText"/>
      </w:pPr>
      <w:r>
        <w:rPr>
          <w:b/>
          <w:bCs/>
        </w:rPr>
        <w:t xml:space="preserve">Trends and subsampling.</w:t>
      </w:r>
      <w:r>
        <w:t xml:space="preserve"> </w:t>
      </w:r>
      <w:r>
        <w:t xml:space="preserve">Each measure’s trend along the sequence is its rank correlation with position. All size control draws 50 sherds from each assemblage without replacement; an assemblage of exactly 50 is unchanged. The three measures the recovery experiment shows to be unusable are averaged over 400 draws. The</w:t>
      </w:r>
      <w:r>
        <w:t xml:space="preserve"> </w:t>
      </w:r>
      <m:oMath>
        <m:sSub>
          <m:e>
            <m:r>
              <m:t>F</m:t>
            </m:r>
          </m:e>
          <m:sub>
            <m:r>
              <m:t>S</m:t>
            </m:r>
            <m:r>
              <m:t>T</m:t>
            </m:r>
          </m:sub>
        </m:sSub>
      </m:oMath>
      <w:r>
        <w:t xml:space="preserve"> </w:t>
      </w:r>
      <w:r>
        <w:t xml:space="preserve">trend is averaged over 4,000 draws, and we quote the spread of single draws (2.5th to 97.5th percentiles, -0.80 to +0.40) rather than the Monte Carlo error of the mean, because a single draw has a standard deviation of 0.42 and the spread is what says whether the record resolves the trend. All of these condition on the observed assemblages, clusters, and order rather than on uncertainty about deposits, chronology, or model choice.</w:t>
      </w:r>
    </w:p>
    <w:bookmarkEnd w:id="109"/>
    <w:bookmarkStart w:id="110" w:name="the-idealized-validation-model"/>
    <w:p>
      <w:pPr>
        <w:pStyle w:val="Heading2"/>
      </w:pPr>
      <w:r>
        <w:t xml:space="preserve">The idealized validation model</w:t>
      </w:r>
    </w:p>
    <w:p>
      <w:pPr>
        <w:pStyle w:val="FirstParagraph"/>
      </w:pPr>
      <w:r>
        <w:t xml:space="preserve">The validation generator copies decorated variants under neutral transmission</w:t>
      </w:r>
      <w:r>
        <w:t xml:space="preserve"> </w:t>
      </w:r>
      <w:r>
        <w:t xml:space="preserve">(Bentley et al. 2004; Neiman 1995)</w:t>
      </w:r>
      <w:r>
        <w:t xml:space="preserve"> </w:t>
      </w:r>
      <w:r>
        <w:t xml:space="preserve">and has three controls: how far group class profiles diverge, how strongly potters conform within groups (a frequency-dependent copying bias after Henrich</w:t>
      </w:r>
      <w:r>
        <w:t xml:space="preserve"> </w:t>
      </w:r>
      <w:r>
        <w:t xml:space="preserve">(2001)</w:t>
      </w:r>
      <w:r>
        <w:t xml:space="preserve">), and how group profiles are placed on the landscape. Four settings produce the four processes of Table 1. Bounded groups raise divergence and conformity together across spatially bounded groups. Environmental patchiness holds a fixed difference between groups under neutral copying, keyed to an environmental layout. Conformity in one community raises conformity in a single undivided pool with no divergence. Smooth distance-limited copying produces a gradient under neutral copying. Each setting emits a sequence of group-by-class samples along an order, and the four-measure procedure is run on each without knowledge of its source, across 500 random seeds. On the bounded-group runs we also compute the correlations among the four measures, to confirm that their joint movement is not redundancy. These assemblages are large and clean (12 groups, several hundred sherds each), so the test shows what the measures can do in principle; the record-matched recovery (main text Figure 5) shows what survives on the real record.</w:t>
      </w:r>
    </w:p>
    <w:bookmarkEnd w:id="110"/>
    <w:bookmarkStart w:id="111" w:name="bayesian-estimates-of-the-f_st-trend"/>
    <w:p>
      <w:pPr>
        <w:pStyle w:val="Heading2"/>
      </w:pPr>
      <w:r>
        <w:t xml:space="preserve">Bayesian estimates of the</w:t>
      </w:r>
      <w:r>
        <w:t xml:space="preserve"> </w:t>
      </w:r>
      <m:oMath>
        <m:sSub>
          <m:e>
            <m:r>
              <m:t>F</m:t>
            </m:r>
          </m:e>
          <m:sub>
            <m:r>
              <m:t>S</m:t>
            </m:r>
            <m:r>
              <m:t>T</m:t>
            </m:r>
          </m:sub>
        </m:sSub>
      </m:oMath>
      <w:r>
        <w:t xml:space="preserve"> </w:t>
      </w:r>
      <w:r>
        <w:t xml:space="preserve">trend</w:t>
      </w:r>
    </w:p>
    <w:p>
      <w:pPr>
        <w:pStyle w:val="FirstParagraph"/>
      </w:pPr>
      <w:r>
        <w:t xml:space="preserve">The main text reports the</w:t>
      </w:r>
      <w:r>
        <w:t xml:space="preserve"> </w:t>
      </w:r>
      <m:oMath>
        <m:sSub>
          <m:e>
            <m:r>
              <m:t>F</m:t>
            </m:r>
          </m:e>
          <m:sub>
            <m:r>
              <m:t>S</m:t>
            </m:r>
            <m:r>
              <m:t>T</m:t>
            </m:r>
          </m:sub>
        </m:sSub>
      </m:oMath>
      <w:r>
        <w:t xml:space="preserve"> </w:t>
      </w:r>
      <w:r>
        <w:t xml:space="preserve">trend as a rank correlation on subsampled assemblages. We also estimate it without discarding data. The Balding-Nichols model is fitted to each period, giving a posterior for that period’s</w:t>
      </w:r>
      <w:r>
        <w:t xml:space="preserve"> </w:t>
      </w:r>
      <m:oMath>
        <m:sSub>
          <m:e>
            <m:r>
              <m:t>F</m:t>
            </m:r>
          </m:e>
          <m:sub>
            <m:r>
              <m:t>S</m:t>
            </m:r>
            <m:r>
              <m:t>T</m:t>
            </m:r>
          </m:sub>
        </m:sSub>
      </m:oMath>
      <w:r>
        <w:t xml:space="preserve"> </w:t>
      </w:r>
      <w:r>
        <w:t xml:space="preserve">whose width reflects how many sherds it holds, and the trend is estimated as a slope across those posteriors. The prior on</w:t>
      </w:r>
      <w:r>
        <w:t xml:space="preserve"> </w:t>
      </w:r>
      <m:oMath>
        <m:sSub>
          <m:e>
            <m:r>
              <m:t>F</m:t>
            </m:r>
          </m:e>
          <m:sub>
            <m:r>
              <m:t>S</m:t>
            </m:r>
            <m:r>
              <m:t>T</m:t>
            </m:r>
          </m:sub>
        </m:sSub>
      </m:oMath>
      <w:r>
        <w:t xml:space="preserve"> </w:t>
      </w:r>
      <w:r>
        <w:t xml:space="preserve">is Beta(1,10). A flat prior on the parameter is not flat on what it predicts: at this design it expects a median</w:t>
      </w:r>
      <w:r>
        <w:t xml:space="preserve"> </w:t>
      </w:r>
      <m:oMath>
        <m:sSub>
          <m:e>
            <m:r>
              <m:t>F</m:t>
            </m:r>
          </m:e>
          <m:sub>
            <m:r>
              <m:t>S</m:t>
            </m:r>
            <m:r>
              <m:t>T</m:t>
            </m:r>
          </m:sub>
        </m:sSub>
      </m:oMath>
      <w:r>
        <w:t xml:space="preserve"> </w:t>
      </w:r>
      <w:r>
        <w:t xml:space="preserve">of 0.236 and places 44 percent of its predictive mass above 0.30, against an observed 0.0062, whereas Beta(1,10) expects a median of 0.026 with 2 percent above 0.30. Because the model treats sampling as part of the data rather than removing it by subsampling, its uncertainty is a credible interval rather than a subsampling spread, and its trend is a slope in</w:t>
      </w:r>
      <w:r>
        <w:t xml:space="preserve"> </w:t>
      </w:r>
      <m:oMath>
        <m:sSub>
          <m:e>
            <m:r>
              <m:t>F</m:t>
            </m:r>
          </m:e>
          <m:sub>
            <m:r>
              <m:t>S</m:t>
            </m:r>
            <m:r>
              <m:t>T</m:t>
            </m:r>
          </m:sub>
        </m:sSub>
      </m:oMath>
      <w:r>
        <w:t xml:space="preserve"> </w:t>
      </w:r>
      <w:r>
        <w:t xml:space="preserve">units per standardized period rather than a rank correlation. The per-period posteriors are in Table S1.</w:t>
      </w:r>
    </w:p>
    <w:p>
      <w:pPr>
        <w:pStyle w:val="BodyText"/>
      </w:pPr>
      <w:r>
        <w:rPr>
          <w:b/>
          <w:bCs/>
        </w:rPr>
        <w:t xml:space="preserve">Table S1.</w:t>
      </w:r>
      <w:r>
        <w:t xml:space="preserve"> </w:t>
      </w:r>
      <w:r>
        <w:t xml:space="preserve">Per-period cultural</w:t>
      </w:r>
      <w:r>
        <w:t xml:space="preserve"> </w:t>
      </w:r>
      <m:oMath>
        <m:sSub>
          <m:e>
            <m:r>
              <m:t>F</m:t>
            </m:r>
          </m:e>
          <m:sub>
            <m:r>
              <m:t>S</m:t>
            </m:r>
            <m:r>
              <m:t>T</m:t>
            </m:r>
          </m:sub>
        </m:sSub>
      </m:oMath>
      <w:r>
        <w:t xml:space="preserve"> </w:t>
      </w:r>
      <w:r>
        <w:t xml:space="preserve">under the Balding-Nichols model (Beta(1,10) prior; two spatial clusters; six periods). The plug-in value is the Gini-Simpson estimator of the main text. The first and fifth periods hold assemblages from a single cluster, so their</w:t>
      </w:r>
      <w:r>
        <w:t xml:space="preserve"> </w:t>
      </w:r>
      <m:oMath>
        <m:sSub>
          <m:e>
            <m:r>
              <m:t>F</m:t>
            </m:r>
          </m:e>
          <m:sub>
            <m:r>
              <m:t>S</m:t>
            </m:r>
            <m:r>
              <m:t>T</m:t>
            </m:r>
          </m:sub>
        </m:sSub>
      </m:oMath>
      <w:r>
        <w:t xml:space="preserve"> </w:t>
      </w:r>
      <w:r>
        <w:t xml:space="preserve">is undefined; at this scale the ends of the chronology are places.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Period</w:t>
            </w:r>
          </w:p>
        </w:tc>
        <w:tc>
          <w:tcPr/>
          <w:p>
            <w:pPr>
              <w:pStyle w:val="Compact"/>
              <w:jc w:val="right"/>
            </w:pPr>
            <w:r>
              <w:t xml:space="preserve">Sherds</w:t>
            </w:r>
          </w:p>
        </w:tc>
        <w:tc>
          <w:tcPr/>
          <w:p>
            <w:pPr>
              <w:pStyle w:val="Compact"/>
              <w:jc w:val="right"/>
            </w:pPr>
            <w:r>
              <w:t xml:space="preserve">Posterior median</w:t>
            </w:r>
          </w:p>
        </w:tc>
        <w:tc>
          <w:tcPr/>
          <w:p>
            <w:pPr>
              <w:pStyle w:val="Compact"/>
            </w:pPr>
            <w:r>
              <w:t xml:space="preserve">95% credible interval</w:t>
            </w:r>
          </w:p>
        </w:tc>
        <w:tc>
          <w:tcPr/>
          <w:p>
            <w:pPr>
              <w:pStyle w:val="Compact"/>
              <w:jc w:val="right"/>
            </w:pPr>
            <w:r>
              <w:t xml:space="preserve">Plug-in</w:t>
            </w:r>
          </w:p>
        </w:tc>
      </w:tr>
      <w:tr>
        <w:tc>
          <w:tcPr/>
          <w:p>
            <w:pPr>
              <w:pStyle w:val="Compact"/>
            </w:pPr>
            <w:r>
              <w:t xml:space="preserve">1</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2</w:t>
            </w:r>
          </w:p>
        </w:tc>
        <w:tc>
          <w:tcPr/>
          <w:p>
            <w:pPr>
              <w:pStyle w:val="Compact"/>
              <w:jc w:val="right"/>
            </w:pPr>
            <w:r>
              <w:t xml:space="preserve">5,871</w:t>
            </w:r>
          </w:p>
        </w:tc>
        <w:tc>
          <w:tcPr/>
          <w:p>
            <w:pPr>
              <w:pStyle w:val="Compact"/>
              <w:jc w:val="right"/>
            </w:pPr>
            <w:r>
              <w:t xml:space="preserve">0.0015</w:t>
            </w:r>
          </w:p>
        </w:tc>
        <w:tc>
          <w:tcPr/>
          <w:p>
            <w:pPr>
              <w:pStyle w:val="Compact"/>
            </w:pPr>
            <w:r>
              <w:t xml:space="preserve">0.0005 to 0.0034</w:t>
            </w:r>
          </w:p>
        </w:tc>
        <w:tc>
          <w:tcPr/>
          <w:p>
            <w:pPr>
              <w:pStyle w:val="Compact"/>
              <w:jc w:val="right"/>
            </w:pPr>
            <w:r>
              <w:t xml:space="preserve">0.0015</w:t>
            </w:r>
          </w:p>
        </w:tc>
      </w:tr>
      <w:tr>
        <w:tc>
          <w:tcPr/>
          <w:p>
            <w:pPr>
              <w:pStyle w:val="Compact"/>
            </w:pPr>
            <w:r>
              <w:t xml:space="preserve">3</w:t>
            </w:r>
          </w:p>
        </w:tc>
        <w:tc>
          <w:tcPr/>
          <w:p>
            <w:pPr>
              <w:pStyle w:val="Compact"/>
              <w:jc w:val="right"/>
            </w:pPr>
            <w:r>
              <w:t xml:space="preserve">1,874</w:t>
            </w:r>
          </w:p>
        </w:tc>
        <w:tc>
          <w:tcPr/>
          <w:p>
            <w:pPr>
              <w:pStyle w:val="Compact"/>
              <w:jc w:val="right"/>
            </w:pPr>
            <w:r>
              <w:t xml:space="preserve">0.0058</w:t>
            </w:r>
          </w:p>
        </w:tc>
        <w:tc>
          <w:tcPr/>
          <w:p>
            <w:pPr>
              <w:pStyle w:val="Compact"/>
            </w:pPr>
            <w:r>
              <w:t xml:space="preserve">0.0027 to 0.0112</w:t>
            </w:r>
          </w:p>
        </w:tc>
        <w:tc>
          <w:tcPr/>
          <w:p>
            <w:pPr>
              <w:pStyle w:val="Compact"/>
              <w:jc w:val="right"/>
            </w:pPr>
            <w:r>
              <w:t xml:space="preserve">0.0058</w:t>
            </w:r>
          </w:p>
        </w:tc>
      </w:tr>
      <w:tr>
        <w:tc>
          <w:tcPr/>
          <w:p>
            <w:pPr>
              <w:pStyle w:val="Compact"/>
            </w:pPr>
            <w:r>
              <w:t xml:space="preserve">4</w:t>
            </w:r>
          </w:p>
        </w:tc>
        <w:tc>
          <w:tcPr/>
          <w:p>
            <w:pPr>
              <w:pStyle w:val="Compact"/>
              <w:jc w:val="right"/>
            </w:pPr>
            <w:r>
              <w:t xml:space="preserve">2,338</w:t>
            </w:r>
          </w:p>
        </w:tc>
        <w:tc>
          <w:tcPr/>
          <w:p>
            <w:pPr>
              <w:pStyle w:val="Compact"/>
              <w:jc w:val="right"/>
            </w:pPr>
            <w:r>
              <w:t xml:space="preserve">0.0307</w:t>
            </w:r>
          </w:p>
        </w:tc>
        <w:tc>
          <w:tcPr/>
          <w:p>
            <w:pPr>
              <w:pStyle w:val="Compact"/>
            </w:pPr>
            <w:r>
              <w:t xml:space="preserve">0.0213 to 0.0409</w:t>
            </w:r>
          </w:p>
        </w:tc>
        <w:tc>
          <w:tcPr/>
          <w:p>
            <w:pPr>
              <w:pStyle w:val="Compact"/>
              <w:jc w:val="right"/>
            </w:pPr>
            <w:r>
              <w:t xml:space="preserve">0.0326</w:t>
            </w:r>
          </w:p>
        </w:tc>
      </w:tr>
      <w:tr>
        <w:tc>
          <w:tcPr/>
          <w:p>
            <w:pPr>
              <w:pStyle w:val="Compact"/>
            </w:pPr>
            <w:r>
              <w:t xml:space="preserve">5</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6</w:t>
            </w:r>
          </w:p>
        </w:tc>
        <w:tc>
          <w:tcPr/>
          <w:p>
            <w:pPr>
              <w:pStyle w:val="Compact"/>
              <w:jc w:val="right"/>
            </w:pPr>
            <w:r>
              <w:t xml:space="preserve">813</w:t>
            </w:r>
          </w:p>
        </w:tc>
        <w:tc>
          <w:tcPr/>
          <w:p>
            <w:pPr>
              <w:pStyle w:val="Compact"/>
              <w:jc w:val="right"/>
            </w:pPr>
            <w:r>
              <w:t xml:space="preserve">0.0030</w:t>
            </w:r>
          </w:p>
        </w:tc>
        <w:tc>
          <w:tcPr/>
          <w:p>
            <w:pPr>
              <w:pStyle w:val="Compact"/>
            </w:pPr>
            <w:r>
              <w:t xml:space="preserve">0.0004 to 0.0089</w:t>
            </w:r>
          </w:p>
        </w:tc>
        <w:tc>
          <w:tcPr/>
          <w:p>
            <w:pPr>
              <w:pStyle w:val="Compact"/>
              <w:jc w:val="right"/>
            </w:pPr>
            <w:r>
              <w:t xml:space="preserve">0.0024</w:t>
            </w:r>
          </w:p>
        </w:tc>
      </w:tr>
    </w:tbl>
    <w:p>
      <w:pPr>
        <w:pStyle w:val="BodyText"/>
      </w:pPr>
      <w:r>
        <w:t xml:space="preserve">Across the four estimable periods the slope has a posterior median of +0.0009 with a 95 percent credible interval of -0.034 to +0.033, and P(slope &gt; 0) = 0.54 (R-hat 1.006, minimum bulk effective sample size 1,445, 2 divergent transitions of 6,000). Under a uniform prior it is +0.0013 (-0.033 to +0.038), with P(slope &gt; 0) = 0.55 (R-hat 1.001, 3 divergent transitions). The direction of the trend is unresolved, in agreement with the subsampled rank correlation.</w:t>
      </w:r>
    </w:p>
    <w:bookmarkEnd w:id="111"/>
    <w:bookmarkStart w:id="113" w:name="the-spatial-model-with-no-groups"/>
    <w:p>
      <w:pPr>
        <w:pStyle w:val="Heading2"/>
      </w:pPr>
      <w:r>
        <w:t xml:space="preserve">The spatial model with no groups</w:t>
      </w:r>
    </w:p>
    <w:p>
      <w:pPr>
        <w:pStyle w:val="FirstParagraph"/>
      </w:pPr>
      <w:r>
        <w:t xml:space="preserve">The between-cluster</w:t>
      </w:r>
      <w:r>
        <w:t xml:space="preserve"> </w:t>
      </w:r>
      <m:oMath>
        <m:sSub>
          <m:e>
            <m:r>
              <m:t>F</m:t>
            </m:r>
          </m:e>
          <m:sub>
            <m:r>
              <m:t>S</m:t>
            </m:r>
            <m:r>
              <m:t>T</m:t>
            </m:r>
          </m:sub>
        </m:sSub>
      </m:oMath>
      <w:r>
        <w:t xml:space="preserve"> </w:t>
      </w:r>
      <w:r>
        <w:t xml:space="preserve">requires dividing the basin into clusters. The spatial model removes that requirement. It treats each assemblage’s decorated-class composition as a multinomial draw whose class probabilities, on the logit scale, are the sum of a class mean, a spatially correlated surface over the assemblage coordinates, and an assemblage-specific term with no spatial structure. The surface has a Matérn-family covariance with amplitude</w:t>
      </w:r>
      <w:r>
        <w:t xml:space="preserve"> </w:t>
      </w:r>
      <m:oMath>
        <m:r>
          <m:t>σ</m:t>
        </m:r>
      </m:oMath>
      <w:r>
        <w:t xml:space="preserve"> </w:t>
      </w:r>
      <w:r>
        <w:t xml:space="preserve">and length scale</w:t>
      </w:r>
      <w:r>
        <w:t xml:space="preserve"> </w:t>
      </w:r>
      <m:oMath>
        <m:r>
          <m:t>ρ</m:t>
        </m:r>
      </m:oMath>
      <w:r>
        <w:t xml:space="preserve">, and the assemblage-specific term has standard deviation</w:t>
      </w:r>
      <w:r>
        <w:t xml:space="preserve"> </w:t>
      </w:r>
      <m:oMath>
        <m:r>
          <m:t>τ</m:t>
        </m:r>
      </m:oMath>
      <w:r>
        <w:t xml:space="preserve">. In the version we report, the assemblage-specific term enters the covariance directly rather than as a second latent surface, which halves the number of latent parameters and removes a direction along which the two terms trade off. The quantity of interest is the spatial share,</w:t>
      </w:r>
      <w:r>
        <w:t xml:space="preserve"> </w:t>
      </w:r>
      <m:oMath>
        <m:sSup>
          <m:e>
            <m:r>
              <m:t>σ</m:t>
            </m:r>
          </m:e>
          <m:sup>
            <m:r>
              <m:t>2</m:t>
            </m:r>
          </m:sup>
        </m:sSup>
        <m:r>
          <m:rPr>
            <m:sty m:val="p"/>
          </m:rPr>
          <m:t>/</m:t>
        </m:r>
        <m:r>
          <m:rPr>
            <m:sty m:val="p"/>
          </m:rPr>
          <m:t>(</m:t>
        </m:r>
        <m:sSup>
          <m:e>
            <m:r>
              <m:t>σ</m:t>
            </m:r>
          </m:e>
          <m:sup>
            <m:r>
              <m:t>2</m:t>
            </m:r>
          </m:sup>
        </m:sSup>
        <m:r>
          <m:rPr>
            <m:sty m:val="p"/>
          </m:rPr>
          <m:t>+</m:t>
        </m:r>
        <m:sSup>
          <m:e>
            <m:r>
              <m:t>τ</m:t>
            </m:r>
          </m:e>
          <m:sup>
            <m:r>
              <m:t>2</m:t>
            </m:r>
          </m:sup>
        </m:sSup>
        <m:r>
          <m:rPr>
            <m:sty m:val="p"/>
          </m:rPr>
          <m:t>)</m:t>
        </m:r>
      </m:oMath>
      <w:r>
        <w:t xml:space="preserve">, the fraction of compositional variance among assemblages carried by location. Bounded groups leave site-specific character that location does not explain, and in this model that character can enter only through</w:t>
      </w:r>
      <w:r>
        <w:t xml:space="preserve"> </w:t>
      </w:r>
      <m:oMath>
        <m:r>
          <m:t>τ</m:t>
        </m:r>
      </m:oMath>
      <w:r>
        <w:t xml:space="preserve">. The length scale has an inverse-gamma prior placing its mass inside the range the basin’s geometry can resolve. The models are written in Stan and fitted by Hamiltonian Monte Carlo (rstan 2.32); model files and scripts are in the repository (</w:t>
      </w:r>
      <w:r>
        <w:rPr>
          <w:rStyle w:val="VerbatimChar"/>
        </w:rPr>
        <w:t xml:space="preserve">stan/spatial/</w:t>
      </w:r>
      <w:r>
        <w:t xml:space="preserve">,</w:t>
      </w:r>
      <w:r>
        <w:t xml:space="preserve"> </w:t>
      </w:r>
      <w:r>
        <w:rPr>
          <w:rStyle w:val="VerbatimChar"/>
        </w:rPr>
        <w:t xml:space="preserve">analyses/02_spatial/</w:t>
      </w:r>
      <w:r>
        <w:t xml:space="preserve">).</w:t>
      </w:r>
    </w:p>
    <w:p>
      <w:pPr>
        <w:pStyle w:val="BodyText"/>
      </w:pPr>
      <w:r>
        <w:t xml:space="preserve">Fitted to the 28 assemblages and ten classes, the spatial share is 0.996 (95 percent credible interval 0.972 to 1.000) in the reported form and 0.997 (0.973 to 1.000) with the assemblage term as a second surface. The length scale is not identified. Its posterior sits at or above the basin’s 128 km extent under both forms, and the sampler saturates its tree depth without divergences, the mark of a ridge in the posterior rather than a step-size problem. We therefore report it as unresolved, and read the fit as showing no detectable fade in composition across the St. Francis drainage beyond what the surface already carries. Recovery tests on simulated surfaces with known length scales show that this design resolves scales only well below the basin’s extent (</w:t>
      </w:r>
      <w:r>
        <w:rPr>
          <w:rStyle w:val="VerbatimChar"/>
        </w:rPr>
        <w:t xml:space="preserve">analyses/02_spatial/01_recovery.R</w:t>
      </w:r>
      <w:r>
        <w:t xml:space="preserve">,</w:t>
      </w:r>
      <w:r>
        <w:t xml:space="preserve"> </w:t>
      </w:r>
      <w:r>
        <w:rPr>
          <w:rStyle w:val="VerbatimChar"/>
        </w:rPr>
        <w:t xml:space="preserve">analyses/48_length_scale_recovery.py</w:t>
      </w:r>
      <w:r>
        <w:t xml:space="preserve">).</w:t>
      </w:r>
    </w:p>
    <w:p>
      <w:pPr>
        <w:pStyle w:val="BodyText"/>
      </w:pPr>
      <w:r>
        <w:t xml:space="preserve">The model reproduces quantities it was not fitted to. Its predictive interval for the between-cluster</w:t>
      </w:r>
      <w:r>
        <w:t xml:space="preserve"> </w:t>
      </w:r>
      <m:oMath>
        <m:sSub>
          <m:e>
            <m:r>
              <m:t>F</m:t>
            </m:r>
          </m:e>
          <m:sub>
            <m:r>
              <m:t>S</m:t>
            </m:r>
            <m:r>
              <m:t>T</m:t>
            </m:r>
          </m:sub>
        </m:sSub>
      </m:oMath>
      <w:r>
        <w:t xml:space="preserve"> </w:t>
      </w:r>
      <w:r>
        <w:t xml:space="preserve">at three clusters is 0.0130 to 0.0191 (median 0.0157) against an observed 0.0156 (Bayesian predictive p = 0.52). For the fade of similarity with distance it is -0.361 to -0.271 (median -0.321) against -0.340 (p = 0.82), for mean within-assemblage diversity 0.553 to 0.576 against 0.563 (p = 0.58), and for the spread of that diversity 0.096 to 0.121 against 0.112 (p = 0.32). A surface with no groups therefore reproduces the observed differentiation, the fade with distance, and the diversity structure. It describes the pattern rather than a mechanism, so it complements the copying model rather than competing with it.</w:t>
      </w:r>
    </w:p>
    <w:bookmarkStart w:id="112" w:name="Xc35d8cb1554da783494d5fbe4a9b5117e924798"/>
    <w:p>
      <w:pPr>
        <w:pStyle w:val="Heading3"/>
      </w:pPr>
      <w:r>
        <w:t xml:space="preserve">How cultural</w:t>
      </w:r>
      <w:r>
        <w:t xml:space="preserve"> </w:t>
      </w:r>
      <m:oMath>
        <m:sSub>
          <m:e>
            <m:r>
              <m:t>F</m:t>
            </m:r>
          </m:e>
          <m:sub>
            <m:r>
              <m:t>S</m:t>
            </m:r>
            <m:r>
              <m:t>T</m:t>
            </m:r>
          </m:sub>
        </m:sSub>
      </m:oMath>
      <w:r>
        <w:t xml:space="preserve"> </w:t>
      </w:r>
      <w:r>
        <w:t xml:space="preserve">depends on the division</w:t>
      </w:r>
    </w:p>
    <w:p>
      <w:pPr>
        <w:pStyle w:val="FirstParagraph"/>
      </w:pPr>
      <w:r>
        <w:t xml:space="preserve">The between-cluster</w:t>
      </w:r>
      <w:r>
        <w:t xml:space="preserve"> </w:t>
      </w:r>
      <m:oMath>
        <m:sSub>
          <m:e>
            <m:r>
              <m:t>F</m:t>
            </m:r>
          </m:e>
          <m:sub>
            <m:r>
              <m:t>S</m:t>
            </m:r>
            <m:r>
              <m:t>T</m:t>
            </m:r>
          </m:sub>
        </m:sSub>
      </m:oMath>
      <w:r>
        <w:t xml:space="preserve"> </w:t>
      </w:r>
      <w:r>
        <w:t xml:space="preserve">depends on how many clusters the basin is cut into. Fitted with the Balding-Nichols model, its posterior median moves from 0.0062 (95 percent credible interval 0.0051 to 0.0076) at two clusters, through 0.0155 (0.0133 to 0.0180) at three, to 0.0302 (0.0267 to 0.0342) at five and 0.0248 at six, and the intervals at the two ends do not overlap. It does not depend on which particular division is used at a given number of clusters: twenty</w:t>
      </w:r>
      <w:r>
        <w:t xml:space="preserve"> </w:t>
      </w:r>
      <m:oMath>
        <m:r>
          <m:t>k</m:t>
        </m:r>
      </m:oMath>
      <w:r>
        <w:t xml:space="preserve">-means seeds at two clusters return the same division, and it sits at the 43rd percentile of 150 alternative contiguous divisions into two, whose median of posterior medians is 0.0067. A quantity that responds to how finely the basin is cut, and not to where the cuts fall, is measuring the cutting. This is why the main text reports the spatial model alongside any between-cluster value, and why it compares every between-cluster value against the copying model at the same number of clusters.</w:t>
      </w:r>
    </w:p>
    <w:bookmarkEnd w:id="112"/>
    <w:bookmarkEnd w:id="113"/>
    <w:bookmarkStart w:id="114" w:name="the-minimum-sample-size-and-why-it-is-75"/>
    <w:p>
      <w:pPr>
        <w:pStyle w:val="Heading2"/>
      </w:pPr>
      <w:r>
        <w:t xml:space="preserve">The minimum sample size, and why it is 75</w:t>
      </w:r>
    </w:p>
    <w:p>
      <w:pPr>
        <w:pStyle w:val="FirstParagraph"/>
      </w:pPr>
      <w:r>
        <w:t xml:space="preserve">The plug-in</w:t>
      </w:r>
      <w:r>
        <w:t xml:space="preserve"> </w:t>
      </w:r>
      <m:oMath>
        <m:sSub>
          <m:e>
            <m:r>
              <m:t>F</m:t>
            </m:r>
          </m:e>
          <m:sub>
            <m:r>
              <m:t>S</m:t>
            </m:r>
            <m:r>
              <m:t>T</m:t>
            </m:r>
          </m:sub>
        </m:sSub>
      </m:oMath>
      <w:r>
        <w:t xml:space="preserve"> </w:t>
      </w:r>
      <w:r>
        <w:t xml:space="preserve">is biased upward by sampling. Two assemblages drawn from the same population of pots differ because each is a finite sample, and the spurious variance between them scales roughly as one over the sample size. To find the count at which that artifact stops dominating, we drew pairs of multinomial samples of size</w:t>
      </w:r>
      <w:r>
        <w:t xml:space="preserve"> </w:t>
      </w:r>
      <m:oMath>
        <m:r>
          <m:t>n</m:t>
        </m:r>
      </m:oMath>
      <w:r>
        <w:t xml:space="preserve"> </w:t>
      </w:r>
      <w:r>
        <w:t xml:space="preserve">from the basin’s pooled class profile, 4,000 pairs at each size, and computed</w:t>
      </w:r>
      <w:r>
        <w:t xml:space="preserve"> </w:t>
      </w:r>
      <m:oMath>
        <m:sSub>
          <m:e>
            <m:r>
              <m:t>F</m:t>
            </m:r>
          </m:e>
          <m:sub>
            <m:r>
              <m:t>S</m:t>
            </m:r>
            <m:r>
              <m:t>T</m:t>
            </m:r>
          </m:sub>
        </m:sSub>
      </m:oMath>
      <w:r>
        <w:t xml:space="preserve"> </w:t>
      </w:r>
      <w:r>
        <w:t xml:space="preserve">between them. The two share one profile by construction, so all of the</w:t>
      </w:r>
      <w:r>
        <w:t xml:space="preserve"> </w:t>
      </w:r>
      <m:oMath>
        <m:sSub>
          <m:e>
            <m:r>
              <m:t>F</m:t>
            </m:r>
          </m:e>
          <m:sub>
            <m:r>
              <m:t>S</m:t>
            </m:r>
            <m:r>
              <m:t>T</m:t>
            </m:r>
          </m:sub>
        </m:sSub>
      </m:oMath>
      <w:r>
        <w:t xml:space="preserve"> </w:t>
      </w:r>
      <w:r>
        <w:t xml:space="preserve">between them is sampling (</w:t>
      </w:r>
      <w:r>
        <w:rPr>
          <w:rStyle w:val="VerbatimChar"/>
        </w:rPr>
        <w:t xml:space="preserve">analyses/82_minimum_sample_size.py</w:t>
      </w:r>
      <w:r>
        <w:t xml:space="preserve">). The reference is the observed between-cluster</w:t>
      </w:r>
      <w:r>
        <w:t xml:space="preserve"> </w:t>
      </w:r>
      <m:oMath>
        <m:sSub>
          <m:e>
            <m:r>
              <m:t>F</m:t>
            </m:r>
          </m:e>
          <m:sub>
            <m:r>
              <m:t>S</m:t>
            </m:r>
            <m:r>
              <m:t>T</m:t>
            </m:r>
          </m:sub>
        </m:sSub>
      </m:oMath>
      <w:r>
        <w:t xml:space="preserve"> </w:t>
      </w:r>
      <w:r>
        <w:t xml:space="preserve">at five clusters.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decorated sherds per assemblage</w:t>
            </w:r>
          </w:p>
        </w:tc>
        <w:tc>
          <w:tcPr/>
          <w:p>
            <w:pPr>
              <w:pStyle w:val="Compact"/>
            </w:pPr>
            <w:r>
              <w:t xml:space="preserve">spurious</w:t>
            </w:r>
            <w:r>
              <w:t xml:space="preserve"> </w:t>
            </w:r>
            <m:oMath>
              <m:sSub>
                <m:e>
                  <m:r>
                    <m:t>F</m:t>
                  </m:r>
                </m:e>
                <m:sub>
                  <m:r>
                    <m:t>S</m:t>
                  </m:r>
                  <m:r>
                    <m:t>T</m:t>
                  </m:r>
                </m:sub>
              </m:sSub>
            </m:oMath>
            <w:r>
              <w:t xml:space="preserve">, median</w:t>
            </w:r>
          </w:p>
        </w:tc>
        <w:tc>
          <w:tcPr/>
          <w:p>
            <w:pPr>
              <w:pStyle w:val="Compact"/>
            </w:pPr>
            <w:r>
              <w:t xml:space="preserve">95th percentile</w:t>
            </w:r>
          </w:p>
        </w:tc>
        <w:tc>
          <w:tcPr/>
          <w:p>
            <w:pPr>
              <w:pStyle w:val="Compact"/>
            </w:pPr>
            <w:r>
              <w:t xml:space="preserve">median as a share of the observed</w:t>
            </w:r>
          </w:p>
        </w:tc>
      </w:tr>
      <w:tr>
        <w:tc>
          <w:tcPr/>
          <w:p>
            <w:pPr>
              <w:pStyle w:val="Compact"/>
            </w:pPr>
            <w:r>
              <w:t xml:space="preserve">25</w:t>
            </w:r>
          </w:p>
        </w:tc>
        <w:tc>
          <w:tcPr/>
          <w:p>
            <w:pPr>
              <w:pStyle w:val="Compact"/>
            </w:pPr>
            <w:r>
              <w:t xml:space="preserve">0.0146</w:t>
            </w:r>
          </w:p>
        </w:tc>
        <w:tc>
          <w:tcPr/>
          <w:p>
            <w:pPr>
              <w:pStyle w:val="Compact"/>
            </w:pPr>
            <w:r>
              <w:t xml:space="preserve">0.0630</w:t>
            </w:r>
          </w:p>
        </w:tc>
        <w:tc>
          <w:tcPr/>
          <w:p>
            <w:pPr>
              <w:pStyle w:val="Compact"/>
            </w:pPr>
            <w:r>
              <w:t xml:space="preserve">48%</w:t>
            </w:r>
          </w:p>
        </w:tc>
      </w:tr>
      <w:tr>
        <w:tc>
          <w:tcPr/>
          <w:p>
            <w:pPr>
              <w:pStyle w:val="Compact"/>
            </w:pPr>
            <w:r>
              <w:t xml:space="preserve">50</w:t>
            </w:r>
          </w:p>
        </w:tc>
        <w:tc>
          <w:tcPr/>
          <w:p>
            <w:pPr>
              <w:pStyle w:val="Compact"/>
            </w:pPr>
            <w:r>
              <w:t xml:space="preserve">0.0070</w:t>
            </w:r>
          </w:p>
        </w:tc>
        <w:tc>
          <w:tcPr/>
          <w:p>
            <w:pPr>
              <w:pStyle w:val="Compact"/>
            </w:pPr>
            <w:r>
              <w:t xml:space="preserve">0.0305</w:t>
            </w:r>
          </w:p>
        </w:tc>
        <w:tc>
          <w:tcPr/>
          <w:p>
            <w:pPr>
              <w:pStyle w:val="Compact"/>
            </w:pPr>
            <w:r>
              <w:t xml:space="preserve">23%</w:t>
            </w:r>
          </w:p>
        </w:tc>
      </w:tr>
      <w:tr>
        <w:tc>
          <w:tcPr/>
          <w:p>
            <w:pPr>
              <w:pStyle w:val="Compact"/>
            </w:pPr>
            <w:r>
              <w:rPr>
                <w:b/>
                <w:bCs/>
              </w:rPr>
              <w:t xml:space="preserve">75</w:t>
            </w:r>
          </w:p>
        </w:tc>
        <w:tc>
          <w:tcPr/>
          <w:p>
            <w:pPr>
              <w:pStyle w:val="Compact"/>
            </w:pPr>
            <w:r>
              <w:t xml:space="preserve">0.0044</w:t>
            </w:r>
          </w:p>
        </w:tc>
        <w:tc>
          <w:tcPr/>
          <w:p>
            <w:pPr>
              <w:pStyle w:val="Compact"/>
            </w:pPr>
            <w:r>
              <w:t xml:space="preserve">0.0195</w:t>
            </w:r>
          </w:p>
        </w:tc>
        <w:tc>
          <w:tcPr/>
          <w:p>
            <w:pPr>
              <w:pStyle w:val="Compact"/>
            </w:pPr>
            <w:r>
              <w:t xml:space="preserve">14%</w:t>
            </w:r>
          </w:p>
        </w:tc>
      </w:tr>
      <w:tr>
        <w:tc>
          <w:tcPr/>
          <w:p>
            <w:pPr>
              <w:pStyle w:val="Compact"/>
            </w:pPr>
            <w:r>
              <w:t xml:space="preserve">100</w:t>
            </w:r>
          </w:p>
        </w:tc>
        <w:tc>
          <w:tcPr/>
          <w:p>
            <w:pPr>
              <w:pStyle w:val="Compact"/>
            </w:pPr>
            <w:r>
              <w:t xml:space="preserve">0.0034</w:t>
            </w:r>
          </w:p>
        </w:tc>
        <w:tc>
          <w:tcPr/>
          <w:p>
            <w:pPr>
              <w:pStyle w:val="Compact"/>
            </w:pPr>
            <w:r>
              <w:t xml:space="preserve">0.0156</w:t>
            </w:r>
          </w:p>
        </w:tc>
        <w:tc>
          <w:tcPr/>
          <w:p>
            <w:pPr>
              <w:pStyle w:val="Compact"/>
            </w:pPr>
            <w:r>
              <w:t xml:space="preserve">11%</w:t>
            </w:r>
          </w:p>
        </w:tc>
      </w:tr>
      <w:tr>
        <w:tc>
          <w:tcPr/>
          <w:p>
            <w:pPr>
              <w:pStyle w:val="Compact"/>
            </w:pPr>
            <w:r>
              <w:t xml:space="preserve">150</w:t>
            </w:r>
          </w:p>
        </w:tc>
        <w:tc>
          <w:tcPr/>
          <w:p>
            <w:pPr>
              <w:pStyle w:val="Compact"/>
            </w:pPr>
            <w:r>
              <w:t xml:space="preserve">0.0023</w:t>
            </w:r>
          </w:p>
        </w:tc>
        <w:tc>
          <w:tcPr/>
          <w:p>
            <w:pPr>
              <w:pStyle w:val="Compact"/>
            </w:pPr>
            <w:r>
              <w:t xml:space="preserve">0.0105</w:t>
            </w:r>
          </w:p>
        </w:tc>
        <w:tc>
          <w:tcPr/>
          <w:p>
            <w:pPr>
              <w:pStyle w:val="Compact"/>
            </w:pPr>
            <w:r>
              <w:t xml:space="preserve">7%</w:t>
            </w:r>
          </w:p>
        </w:tc>
      </w:tr>
      <w:tr>
        <w:tc>
          <w:tcPr/>
          <w:p>
            <w:pPr>
              <w:pStyle w:val="Compact"/>
            </w:pPr>
            <w:r>
              <w:t xml:space="preserve">200</w:t>
            </w:r>
          </w:p>
        </w:tc>
        <w:tc>
          <w:tcPr/>
          <w:p>
            <w:pPr>
              <w:pStyle w:val="Compact"/>
            </w:pPr>
            <w:r>
              <w:t xml:space="preserve">0.0016</w:t>
            </w:r>
          </w:p>
        </w:tc>
        <w:tc>
          <w:tcPr/>
          <w:p>
            <w:pPr>
              <w:pStyle w:val="Compact"/>
            </w:pPr>
            <w:r>
              <w:t xml:space="preserve">0.0074</w:t>
            </w:r>
          </w:p>
        </w:tc>
        <w:tc>
          <w:tcPr/>
          <w:p>
            <w:pPr>
              <w:pStyle w:val="Compact"/>
            </w:pPr>
            <w:r>
              <w:t xml:space="preserve">5%</w:t>
            </w:r>
          </w:p>
        </w:tc>
      </w:tr>
      <w:tr>
        <w:tc>
          <w:tcPr/>
          <w:p>
            <w:pPr>
              <w:pStyle w:val="Compact"/>
            </w:pPr>
            <w:r>
              <w:t xml:space="preserve">300</w:t>
            </w:r>
          </w:p>
        </w:tc>
        <w:tc>
          <w:tcPr/>
          <w:p>
            <w:pPr>
              <w:pStyle w:val="Compact"/>
            </w:pPr>
            <w:r>
              <w:t xml:space="preserve">0.0011</w:t>
            </w:r>
          </w:p>
        </w:tc>
        <w:tc>
          <w:tcPr/>
          <w:p>
            <w:pPr>
              <w:pStyle w:val="Compact"/>
            </w:pPr>
            <w:r>
              <w:t xml:space="preserve">0.0052</w:t>
            </w:r>
          </w:p>
        </w:tc>
        <w:tc>
          <w:tcPr/>
          <w:p>
            <w:pPr>
              <w:pStyle w:val="Compact"/>
            </w:pPr>
            <w:r>
              <w:t xml:space="preserve">4%</w:t>
            </w:r>
          </w:p>
        </w:tc>
      </w:tr>
      <w:tr>
        <w:tc>
          <w:tcPr/>
          <w:p>
            <w:pPr>
              <w:pStyle w:val="Compact"/>
            </w:pPr>
            <w:r>
              <w:t xml:space="preserve">500</w:t>
            </w:r>
          </w:p>
        </w:tc>
        <w:tc>
          <w:tcPr/>
          <w:p>
            <w:pPr>
              <w:pStyle w:val="Compact"/>
            </w:pPr>
            <w:r>
              <w:t xml:space="preserve">0.0006</w:t>
            </w:r>
          </w:p>
        </w:tc>
        <w:tc>
          <w:tcPr/>
          <w:p>
            <w:pPr>
              <w:pStyle w:val="Compact"/>
            </w:pPr>
            <w:r>
              <w:t xml:space="preserve">0.0030</w:t>
            </w:r>
          </w:p>
        </w:tc>
        <w:tc>
          <w:tcPr/>
          <w:p>
            <w:pPr>
              <w:pStyle w:val="Compact"/>
            </w:pPr>
            <w:r>
              <w:t xml:space="preserve">2%</w:t>
            </w:r>
          </w:p>
        </w:tc>
      </w:tr>
      <w:tr>
        <w:tc>
          <w:tcPr/>
          <w:p>
            <w:pPr>
              <w:pStyle w:val="Compact"/>
            </w:pPr>
            <w:r>
              <w:t xml:space="preserve">1000</w:t>
            </w:r>
          </w:p>
        </w:tc>
        <w:tc>
          <w:tcPr/>
          <w:p>
            <w:pPr>
              <w:pStyle w:val="Compact"/>
            </w:pPr>
            <w:r>
              <w:t xml:space="preserve">0.0003</w:t>
            </w:r>
          </w:p>
        </w:tc>
        <w:tc>
          <w:tcPr/>
          <w:p>
            <w:pPr>
              <w:pStyle w:val="Compact"/>
            </w:pPr>
            <w:r>
              <w:t xml:space="preserve">0.0015</w:t>
            </w:r>
          </w:p>
        </w:tc>
        <w:tc>
          <w:tcPr/>
          <w:p>
            <w:pPr>
              <w:pStyle w:val="Compact"/>
            </w:pPr>
            <w:r>
              <w:t xml:space="preserve">1%</w:t>
            </w:r>
          </w:p>
        </w:tc>
      </w:tr>
    </w:tbl>
    <w:p>
      <w:pPr>
        <w:pStyle w:val="BodyText"/>
      </w:pPr>
      <w:r>
        <w:t xml:space="preserve">At 75 sherds the median artifact is about a seventh of the observed five-cluster differentiation and its 95th percentile (0.0195) lies well below it, whereas at 50 sherds the 95th percentile (0.0305) roughly equals it. The five-cluster value is the reference because that is the scale at which the record departs from the copying model. Against the two-cluster value of 0.0062 the artifact is proportionally larger at every sample size, which is why the copying model is always sampled at the real sherd counts: it then carries the same artifact as the data. Above 75 the bias shrinks slowly, by about three percentage points between 75 and 100, while assemblages are lost quickly: a minimum of 100 would remove five more. The analytic expectation for two equal samples from one profile is close to</w:t>
      </w:r>
      <w:r>
        <w:t xml:space="preserve"> </w:t>
      </w:r>
      <m:oMath>
        <m:r>
          <m:t>1</m:t>
        </m:r>
        <m:r>
          <m:rPr>
            <m:sty m:val="p"/>
          </m:rPr>
          <m:t>/</m:t>
        </m:r>
        <m:r>
          <m:t>n</m:t>
        </m:r>
      </m:oMath>
      <w:r>
        <w:t xml:space="preserve">. Mainfort</w:t>
      </w:r>
      <w:r>
        <w:t xml:space="preserve"> </w:t>
      </w:r>
      <w:r>
        <w:t xml:space="preserve">(2003)</w:t>
      </w:r>
      <w:r>
        <w:t xml:space="preserve"> </w:t>
      </w:r>
      <w:r>
        <w:t xml:space="preserve">kept sites with 800 or more sherds in all; decorated sherds are 13 percent of his table, so his rule corresponds to about 100 decorated sherds. The copying model is sampled at the observed sherd counts and carries the same bias, so the model comparison is not distorted by it. The minimum protects readings of single small clusters, where a value computed on a few dozen sherds would be mostly artifact.</w:t>
      </w:r>
    </w:p>
    <w:bookmarkEnd w:id="114"/>
    <w:bookmarkStart w:id="118" w:name="robustness-checks"/>
    <w:p>
      <w:pPr>
        <w:pStyle w:val="Heading2"/>
      </w:pPr>
      <w:r>
        <w:t xml:space="preserve">Robustness checks</w:t>
      </w:r>
    </w:p>
    <w:p>
      <w:pPr>
        <w:pStyle w:val="FirstParagraph"/>
      </w:pPr>
      <w:r>
        <w:t xml:space="preserve">Several further checks are provided in the supplementary code. Neiman’s</w:t>
      </w:r>
      <w:r>
        <w:t xml:space="preserve"> </w:t>
      </w:r>
      <w:r>
        <w:t xml:space="preserve">(1995)</w:t>
      </w:r>
      <w:r>
        <w:t xml:space="preserve"> </w:t>
      </w:r>
      <w:r>
        <w:t xml:space="preserve">sample-size diagnostic correlates the two neutrality estimates, and their difference, with assemblage size and with position in the sequence, to separate a transmission signal from a sample-size artifact. Neiman’s squared-Euclidean distance between assemblages is computed with its relation to diversity and its trend along the sequence. Measures of clustering tendency on the correspondence-analysis ordination favor a single group: the Hopkins statistic is 0.71, where 0.5 indicates no tendency, the gap statistic favors one cluster, and the best silhouette is 0.54</w:t>
      </w:r>
      <w:r>
        <w:t xml:space="preserve"> </w:t>
      </w:r>
      <w:r>
        <w:t xml:space="preserve">(Hopkins and Skellam 1954; Rousseeuw 1987; Tibshirani et al. 2001)</w:t>
      </w:r>
      <w:r>
        <w:t xml:space="preserve">. The assemblages form a near-continuum rather than sharply bounded groups.</w:t>
      </w:r>
    </w:p>
    <w:p>
      <w:pPr>
        <w:pStyle w:val="BodyText"/>
      </w:pPr>
      <w:r>
        <w:t xml:space="preserve">An earlier sensitivity grid recomputed the raw, unsubsampled trends of the three continuous measures across combinations of a latitude cutoff, the number of periods, and the number of clusters (</w:t>
      </w:r>
      <w:r>
        <w:rPr>
          <w:rStyle w:val="VerbatimChar"/>
        </w:rPr>
        <w:t xml:space="preserve">output/sensitivity_grid.md</w:t>
      </w:r>
      <w:r>
        <w:t xml:space="preserve">). It predates the phase-based definition of the basin and runs on latitude-defined sets of 38, 36, and 17 assemblages, several of its cells duplicate one another, and its raw trends carry the sample-size artifact the recovery experiment removes, so we do not use it. We report it because two of its cells show all three raw trends rising together, and a reader of the code should know why that does not bear on the result.</w:t>
      </w:r>
    </w:p>
    <w:p>
      <w:pPr>
        <w:pStyle w:val="CaptionedFigure"/>
      </w:pPr>
      <w:r>
        <w:drawing>
          <wp:inline>
            <wp:extent cx="5334000" cy="2918988"/>
            <wp:effectExtent b="0" l="0" r="0" t="0"/>
            <wp:docPr descr="Figure S1. Neiman’s distance between assemblages. (A) Within-assemblage diversity against mean distance to the other assemblages, with Parkin starred. The association is negative in direction (posterior median rank correlation -0.14, 95 percent credible interval -0.44 to +0.20, so P(r &lt; 0) = 0.78), the direction of the drift signature Neiman (1995) reported at rho = -0.62 and not the positive relationship that bounded groups would produce. (B) Mean within-period distance along the seriation order, showing no resolved trend (posterior median rank correlation +0.09, 95 percent credible interval -0.53 to +0.63 over six periods)." title="" id="116" name="Picture"/>
            <a:graphic>
              <a:graphicData uri="http://schemas.openxmlformats.org/drawingml/2006/picture">
                <pic:pic>
                  <pic:nvPicPr>
                    <pic:cNvPr descr="../../figures/figS1_neiman.png" id="117" name="Picture"/>
                    <pic:cNvPicPr>
                      <a:picLocks noChangeArrowheads="1" noChangeAspect="1"/>
                    </pic:cNvPicPr>
                  </pic:nvPicPr>
                  <pic:blipFill>
                    <a:blip r:embed="rId115"/>
                    <a:stretch>
                      <a:fillRect/>
                    </a:stretch>
                  </pic:blipFill>
                  <pic:spPr bwMode="auto">
                    <a:xfrm>
                      <a:off x="0" y="0"/>
                      <a:ext cx="5334000" cy="291898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Neiman’s distance between assemblages. (A) Within-assemblage diversity against mean distance to the other assemblages, with Parkin starred. The association is negative in direction (posterior median rank correlation -0.14, 95 percent credible interval -0.44 to +0.20, so P(r &lt; 0) = 0.78), the direction of the drift signature Neiman (1995) reported at rho = -0.62 and not the positive relationship that bounded groups would produce. (B) Mean within-period distance along the seriation order, showing no resolved trend (posterior median rank correlation +0.09, 95 percent credible interval -0.53 to +0.63 over six periods).</w:t>
      </w:r>
    </w:p>
    <w:bookmarkEnd w:id="118"/>
    <w:bookmarkStart w:id="119" w:name="why-only-cultural-f_st-survives"/>
    <w:p>
      <w:pPr>
        <w:pStyle w:val="Heading2"/>
      </w:pPr>
      <w:r>
        <w:t xml:space="preserve">Why only cultural</w:t>
      </w:r>
      <w:r>
        <w:t xml:space="preserve"> </w:t>
      </w:r>
      <m:oMath>
        <m:sSub>
          <m:e>
            <m:r>
              <m:t>F</m:t>
            </m:r>
          </m:e>
          <m:sub>
            <m:r>
              <m:t>S</m:t>
            </m:r>
            <m:r>
              <m:t>T</m:t>
            </m:r>
          </m:sub>
        </m:sSub>
      </m:oMath>
      <w:r>
        <w:t xml:space="preserve"> </w:t>
      </w:r>
      <w:r>
        <w:t xml:space="preserve">survives</w:t>
      </w:r>
    </w:p>
    <w:p>
      <w:pPr>
        <w:pStyle w:val="FirstParagraph"/>
      </w:pPr>
      <w:r>
        <w:t xml:space="preserve">The recovery experiment imposes closure as divergence between clusters, which is what cultural</w:t>
      </w:r>
      <w:r>
        <w:t xml:space="preserve"> </w:t>
      </w:r>
      <m:oMath>
        <m:sSub>
          <m:e>
            <m:r>
              <m:t>F</m:t>
            </m:r>
          </m:e>
          <m:sub>
            <m:r>
              <m:t>S</m:t>
            </m:r>
            <m:r>
              <m:t>T</m:t>
            </m:r>
          </m:sub>
        </m:sSub>
      </m:oMath>
      <w:r>
        <w:t xml:space="preserve"> </w:t>
      </w:r>
      <w:r>
        <w:t xml:space="preserve">measures, so it might only certify an</w:t>
      </w:r>
      <w:r>
        <w:t xml:space="preserve"> </w:t>
      </w:r>
      <m:oMath>
        <m:sSub>
          <m:e>
            <m:r>
              <m:t>F</m:t>
            </m:r>
          </m:e>
          <m:sub>
            <m:r>
              <m:t>S</m:t>
            </m:r>
            <m:r>
              <m:t>T</m:t>
            </m:r>
          </m:sub>
        </m:sSub>
      </m:oMath>
      <w:r>
        <w:t xml:space="preserve"> </w:t>
      </w:r>
      <w:r>
        <w:t xml:space="preserve">test finding an</w:t>
      </w:r>
      <w:r>
        <w:t xml:space="preserve"> </w:t>
      </w:r>
      <m:oMath>
        <m:sSub>
          <m:e>
            <m:r>
              <m:t>F</m:t>
            </m:r>
          </m:e>
          <m:sub>
            <m:r>
              <m:t>S</m:t>
            </m:r>
            <m:r>
              <m:t>T</m:t>
            </m:r>
          </m:sub>
        </m:sSub>
      </m:oMath>
      <w:r>
        <w:t xml:space="preserve">-shaped pattern. We tested this by imposing closure through two further routes, each matched to a different measure, and asking which measure recovers each (</w:t>
      </w:r>
      <w:r>
        <w:rPr>
          <w:rStyle w:val="VerbatimChar"/>
        </w:rPr>
        <w:t xml:space="preserve">analyses/22_generator_diagnostic.py</w:t>
      </w:r>
      <w:r>
        <w:t xml:space="preserve">, 60 seeds, the real configuration of 28 assemblages, two clusters, six periods, subsampled to 50). One route raises conformity in a single undivided pool, which the neutral departure is designed to detect. The other groups assemblages into social groups scrambled relative to the spatial clusters, which seriation structure is designed to detect.</w:t>
      </w:r>
    </w:p>
    <w:p>
      <w:pPr>
        <w:pStyle w:val="BodyText"/>
      </w:pPr>
      <w:r>
        <w:t xml:space="preserve">Neither route is recovered by the measure designed for it. Under conformity in one pool, the neutral departure falls rather than rises (its mean trend moves by -0.73 between no closure and strong closure) and no other measure responds. Under the scrambled social groups, the seriation measure barely moves (-0.21).</w:t>
      </w:r>
      <w:r>
        <w:t xml:space="preserve"> </w:t>
      </w:r>
      <m:oMath>
        <m:sSub>
          <m:e>
            <m:r>
              <m:t>F</m:t>
            </m:r>
          </m:e>
          <m:sub>
            <m:r>
              <m:t>S</m:t>
            </m:r>
            <m:r>
              <m:t>T</m:t>
            </m:r>
          </m:sub>
        </m:sSub>
      </m:oMath>
      <w:r>
        <w:t xml:space="preserve">, by contrast, responds to group structure however it is organized: its mean trend rises from +0.01 to +0.96 under spatial divergence and from +0.07 to +0.77 under the scrambled social groups, because both raise between-group variance somewhere the division can see it. Subsampling more deeply, to 100 or 150 sherds, does not rescue the other measures. The reduction to</w:t>
      </w:r>
      <w:r>
        <w:t xml:space="preserve"> </w:t>
      </w:r>
      <m:oMath>
        <m:sSub>
          <m:e>
            <m:r>
              <m:t>F</m:t>
            </m:r>
          </m:e>
          <m:sub>
            <m:r>
              <m:t>S</m:t>
            </m:r>
            <m:r>
              <m:t>T</m:t>
            </m:r>
          </m:sub>
        </m:sSub>
      </m:oMath>
      <w:r>
        <w:t xml:space="preserve"> </w:t>
      </w:r>
      <w:r>
        <w:t xml:space="preserve">is therefore a property of the record, 28 time-averaged assemblages over ten aggregated classes, rather than of the way closure was imposed. It also sets a limit stated in the main text: closure carried purely by conformity, or by social groups that do not follow the spatial clusters, would escape detection here at any strength.</w:t>
      </w:r>
    </w:p>
    <w:bookmarkEnd w:id="119"/>
    <w:bookmarkStart w:id="123" w:name="the-basin-comparison-in-detail"/>
    <w:p>
      <w:pPr>
        <w:pStyle w:val="Heading2"/>
      </w:pPr>
      <w:r>
        <w:t xml:space="preserve">The basin comparison in detail</w:t>
      </w:r>
    </w:p>
    <w:p>
      <w:pPr>
        <w:pStyle w:val="FirstParagraph"/>
      </w:pPr>
      <w:r>
        <w:t xml:space="preserve">We simulated neutral copying and a bounded-groups variant on the real layout of the 28 assemblages, using the model and calibration described in the next section. The calibration is itself informative. Under uniform innovation, in which the ten classes are interchangeable, one of the 297 parameter combinations (120 learners, innovation 0.0002, mixing 0.4) falls within the 10 percent tolerance on both the six-run screen and the fifty-run check. It sits at the corner of the grid, at the highest mixing rate swept, and its within-assemblage and pooled diversities of 0.61 and 0.64, against 0.56 and 0.59 observed, are close to the tolerance limit, so we report it without treating it as a robust calibration. Under pooled-profile innovation, 56 combinations match on the screen and 49 on the check, spanning populations of 120, 2,000 and 10,000 learners and low rates of innovation and mixing (Table S2). None of the 49 reaches the observed between-cluster</w:t>
      </w:r>
      <w:r>
        <w:t xml:space="preserve"> </w:t>
      </w:r>
      <m:oMath>
        <m:sSub>
          <m:e>
            <m:r>
              <m:t>F</m:t>
            </m:r>
          </m:e>
          <m:sub>
            <m:r>
              <m:t>S</m:t>
            </m:r>
            <m:r>
              <m:t>T</m:t>
            </m:r>
          </m:sub>
        </m:sSub>
      </m:oMath>
      <w:r>
        <w:t xml:space="preserve"> </w:t>
      </w:r>
      <w:r>
        <w:t xml:space="preserve">at its median; the highest fifty-run median is 0.0031 against 0.0062 observed, and 19 of the 49 include the observation within their 95 percent ranges.</w:t>
      </w:r>
    </w:p>
    <w:p>
      <w:pPr>
        <w:pStyle w:val="BodyText"/>
      </w:pPr>
      <w:r>
        <w:t xml:space="preserve">At the matched combination most favorable to the model (2,000 learners, innovation 0.002, mixing 0.005, interaction length 24 km along the rivers), the observed between-cluster</w:t>
      </w:r>
      <w:r>
        <w:t xml:space="preserve"> </w:t>
      </w:r>
      <m:oMath>
        <m:sSub>
          <m:e>
            <m:r>
              <m:t>F</m:t>
            </m:r>
          </m:e>
          <m:sub>
            <m:r>
              <m:t>S</m:t>
            </m:r>
            <m:r>
              <m:t>T</m:t>
            </m:r>
          </m:sub>
        </m:sSub>
      </m:oMath>
      <w:r>
        <w:t xml:space="preserve"> </w:t>
      </w:r>
      <w:r>
        <w:t xml:space="preserve">of 0.0062 at two clusters lies inside the simulated range of 0.0003 to 0.0153 (median 0.0026). Sixteen percent of simulated datasets reach it in seriation order, 16 percent in reverse order, and 22 percent when assemblages are treated as contemporaneous. The model returns a single community in 325 of 500 runs. Where it returns two or more, the difference between communities has a median of 0.017 (95 percent range 0.008 to 0.031) against an observed 0.039, which 1 of 175 runs reaches, and modularity a median of 0.000 against an observed 0.045. The fade of similarity with distance is steeper in the data than the model’s median but inside its range (observed Mantel r = -0.21; simulated median -0.06, range -0.29 to +0.08). The boundary excess of the spatial clusters is +14.0 in the data, outside both the model’s range (-9.7 to +8.7) and the bounded-groups range at a copying factor of 0.03 (-4.8 to +7.6). Weakening copying across the clusters by factors of 0.5, 0.1, and 0.03 leaves the median</w:t>
      </w:r>
      <w:r>
        <w:t xml:space="preserve"> </w:t>
      </w:r>
      <m:oMath>
        <m:sSub>
          <m:e>
            <m:r>
              <m:t>F</m:t>
            </m:r>
          </m:e>
          <m:sub>
            <m:r>
              <m:t>S</m:t>
            </m:r>
            <m:r>
              <m:t>T</m:t>
            </m:r>
          </m:sub>
        </m:sSub>
      </m:oMath>
      <w:r>
        <w:t xml:space="preserve"> </w:t>
      </w:r>
      <w:r>
        <w:t xml:space="preserve">between 0.0020 and 0.0037 at both interaction lengths, and the observation is reached in 20 to 30 percent of 30 runs per setting, against 23 to 33 percent with no boundary (Table S3). New variants in this model come from the regional pooled profile, a source no boundary interrupts, which mutes the effect of any boundary. A boundary model whose innovation respected the division would build the tested boundary into the model, and we did not run one.</w:t>
      </w:r>
    </w:p>
    <w:p>
      <w:pPr>
        <w:pStyle w:val="CaptionedFigure"/>
      </w:pPr>
      <w:r>
        <w:drawing>
          <wp:inline>
            <wp:extent cx="5334000" cy="4169993"/>
            <wp:effectExtent b="0" l="0" r="0" t="0"/>
            <wp:docPr descr="Figure S2. Neutral copying and bounded groups on the basin’s geography, at the calibrated combination. (A to D) The observed fade of similarity with distance, modularity, boundary excess of the spatial clusters, and between-cluster cultural F_{ST} (vertical lines) against the distributions produced by the neutral copying model (dark, 500 runs) and the bounded-groups model at a copying factor of 0.03 (light, 30 runs), both time-averaged and subsampled to the observed counts. The model reproduces the fade with distance and the between-cluster F_{ST} at two clusters; the observed boundary excess and modularity (0.045) lie above both models. (E to G) Multidimensional scaling of decorated dissimilarity for the observed assemblages (Parkin starred) and one run of each model." title="" id="121" name="Picture"/>
            <a:graphic>
              <a:graphicData uri="http://schemas.openxmlformats.org/drawingml/2006/picture">
                <pic:pic>
                  <pic:nvPicPr>
                    <pic:cNvPr descr="../../figures/figS2_drift_vs_groups.png" id="122" name="Picture"/>
                    <pic:cNvPicPr>
                      <a:picLocks noChangeArrowheads="1" noChangeAspect="1"/>
                    </pic:cNvPicPr>
                  </pic:nvPicPr>
                  <pic:blipFill>
                    <a:blip r:embed="rId120"/>
                    <a:stretch>
                      <a:fillRect/>
                    </a:stretch>
                  </pic:blipFill>
                  <pic:spPr bwMode="auto">
                    <a:xfrm>
                      <a:off x="0" y="0"/>
                      <a:ext cx="5334000" cy="4169993"/>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Neutral copying and bounded groups on the basin’s geography, at the calibrated combination. (A to D) The observed fade of similarity with distance, modularity, boundary excess of the spatial clusters, and between-cluster cultural</w:t>
      </w:r>
      <w:r>
        <w:t xml:space="preserve"> </w:t>
      </w:r>
      <m:oMath>
        <m:sSub>
          <m:e>
            <m:r>
              <m:t>F</m:t>
            </m:r>
          </m:e>
          <m:sub>
            <m:r>
              <m:t>S</m:t>
            </m:r>
            <m:r>
              <m:t>T</m:t>
            </m:r>
          </m:sub>
        </m:sSub>
      </m:oMath>
      <w:r>
        <w:t xml:space="preserve"> </w:t>
      </w:r>
      <w:r>
        <w:t xml:space="preserve">(vertical lines) against the distributions produced by the neutral copying model (dark, 500 runs) and the bounded-groups model at a copying factor of 0.03 (light, 30 runs), both time-averaged and subsampled to the observed counts. The model reproduces the fade with distance and the between-cluster</w:t>
      </w:r>
      <w:r>
        <w:t xml:space="preserve"> </w:t>
      </w:r>
      <m:oMath>
        <m:sSub>
          <m:e>
            <m:r>
              <m:t>F</m:t>
            </m:r>
          </m:e>
          <m:sub>
            <m:r>
              <m:t>S</m:t>
            </m:r>
            <m:r>
              <m:t>T</m:t>
            </m:r>
          </m:sub>
        </m:sSub>
      </m:oMath>
      <w:r>
        <w:t xml:space="preserve"> </w:t>
      </w:r>
      <w:r>
        <w:t xml:space="preserve">at two clusters; the observed boundary excess and modularity (0.045) lie above both models. (E to G) Multidimensional scaling of decorated dissimilarity for the observed assemblages (Parkin starred) and one run of each model.</w:t>
      </w:r>
    </w:p>
    <w:p>
      <w:pPr>
        <w:pStyle w:val="BodyText"/>
      </w:pPr>
      <w:r>
        <w:rPr>
          <w:b/>
          <w:bCs/>
        </w:rPr>
        <w:t xml:space="preserve">Table S2.</w:t>
      </w:r>
      <w:r>
        <w:t xml:space="preserve"> </w:t>
      </w:r>
      <w:r>
        <w:t xml:space="preserve">Calibration of the two innovation models to the within-assemblage summaries of the St. Francis basin assemblages. The corresponding southeast-Missouri calibration is described in the final section. The selected combination is the one, among those still matched on the fifty-run check, with the highest fifty-run median between-cluster</w:t>
      </w:r>
      <w:r>
        <w:t xml:space="preserve"> </w:t>
      </w:r>
      <m:oMath>
        <m:sSub>
          <m:e>
            <m:r>
              <m:t>F</m:t>
            </m:r>
          </m:e>
          <m:sub>
            <m:r>
              <m:t>S</m:t>
            </m:r>
            <m:r>
              <m:t>T</m:t>
            </m:r>
          </m:sub>
        </m:sSub>
      </m:oMath>
      <w:r>
        <w:t xml:space="preserve">. Achieved values are medians over the 500 baseline runs.</w:t>
      </w:r>
    </w:p>
    <w:tbl>
      <w:tblPr>
        <w:tblStyle w:val="Table"/>
        <w:tblW w:type="pct" w:w="5000"/>
        <w:tblLayout w:type="fixed"/>
        <w:tblLook w:firstRow="1" w:lastRow="0" w:firstColumn="0" w:lastColumn="0" w:noHBand="0" w:noVBand="0" w:val="0020"/>
      </w:tblPr>
      <w:tblGrid>
        <w:gridCol w:w="1250"/>
        <w:gridCol w:w="1250"/>
        <w:gridCol w:w="1667"/>
        <w:gridCol w:w="1250"/>
        <w:gridCol w:w="1250"/>
        <w:gridCol w:w="1250"/>
      </w:tblGrid>
      <w:tr>
        <w:trPr>
          <w:tblHeader w:val="on"/>
        </w:trPr>
        <w:tc>
          <w:tcPr/>
          <w:p>
            <w:pPr>
              <w:pStyle w:val="Compact"/>
            </w:pPr>
            <w:r>
              <w:t xml:space="preserve">Set</w:t>
            </w:r>
          </w:p>
        </w:tc>
        <w:tc>
          <w:tcPr/>
          <w:p>
            <w:pPr>
              <w:pStyle w:val="Compact"/>
            </w:pPr>
            <w:r>
              <w:t xml:space="preserve">Innovation model</w:t>
            </w:r>
          </w:p>
        </w:tc>
        <w:tc>
          <w:tcPr/>
          <w:p>
            <w:pPr>
              <w:pStyle w:val="Compact"/>
              <w:jc w:val="right"/>
            </w:pPr>
            <w:r>
              <w:t xml:space="preserve">Matched cells (of 297; six-seed screen / fifty-seed re-check)</w:t>
            </w:r>
          </w:p>
        </w:tc>
        <w:tc>
          <w:tcPr/>
          <w:p>
            <w:pPr>
              <w:pStyle w:val="Compact"/>
            </w:pPr>
            <w:r>
              <w:t xml:space="preserve">Selected N, innovation, mixing</w:t>
            </w:r>
          </w:p>
        </w:tc>
        <w:tc>
          <w:tcPr/>
          <w:p>
            <w:pPr>
              <w:pStyle w:val="Compact"/>
            </w:pPr>
            <w:r>
              <w:t xml:space="preserve">Observed H_S / richness / H_T</w:t>
            </w:r>
          </w:p>
        </w:tc>
        <w:tc>
          <w:tcPr/>
          <w:p>
            <w:pPr>
              <w:pStyle w:val="Compact"/>
            </w:pPr>
            <w:r>
              <w:t xml:space="preserve">Achieved H_S / richness / H_T</w:t>
            </w:r>
          </w:p>
        </w:tc>
      </w:tr>
      <w:tr>
        <w:tc>
          <w:tcPr/>
          <w:p>
            <w:pPr>
              <w:pStyle w:val="Compact"/>
            </w:pPr>
            <w:r>
              <w:t xml:space="preserve">St. Francis basin</w:t>
            </w:r>
          </w:p>
        </w:tc>
        <w:tc>
          <w:tcPr/>
          <w:p>
            <w:pPr>
              <w:pStyle w:val="Compact"/>
            </w:pPr>
            <w:r>
              <w:t xml:space="preserve">pooled profile</w:t>
            </w:r>
          </w:p>
        </w:tc>
        <w:tc>
          <w:tcPr/>
          <w:p>
            <w:pPr>
              <w:pStyle w:val="Compact"/>
              <w:jc w:val="right"/>
            </w:pPr>
            <w:r>
              <w:t xml:space="preserve">56 / 49</w:t>
            </w:r>
          </w:p>
        </w:tc>
        <w:tc>
          <w:tcPr/>
          <w:p>
            <w:pPr>
              <w:pStyle w:val="Compact"/>
            </w:pPr>
            <w:r>
              <w:t xml:space="preserve">2,000, 0.002, 0.005</w:t>
            </w:r>
          </w:p>
        </w:tc>
        <w:tc>
          <w:tcPr/>
          <w:p>
            <w:pPr>
              <w:pStyle w:val="Compact"/>
            </w:pPr>
            <w:r>
              <w:t xml:space="preserve">0.563 / 6.25 / 0.592</w:t>
            </w:r>
          </w:p>
        </w:tc>
        <w:tc>
          <w:tcPr/>
          <w:p>
            <w:pPr>
              <w:pStyle w:val="Compact"/>
            </w:pPr>
            <w:r>
              <w:t xml:space="preserve">0.570 / 5.79 / 0.589</w:t>
            </w:r>
          </w:p>
        </w:tc>
      </w:tr>
      <w:tr>
        <w:tc>
          <w:tcPr/>
          <w:p>
            <w:pPr>
              <w:pStyle w:val="Compact"/>
            </w:pPr>
            <w:r>
              <w:t xml:space="preserve">St. Francis basin</w:t>
            </w:r>
          </w:p>
        </w:tc>
        <w:tc>
          <w:tcPr/>
          <w:p>
            <w:pPr>
              <w:pStyle w:val="Compact"/>
            </w:pPr>
            <w:r>
              <w:t xml:space="preserve">uniform</w:t>
            </w:r>
          </w:p>
        </w:tc>
        <w:tc>
          <w:tcPr/>
          <w:p>
            <w:pPr>
              <w:pStyle w:val="Compact"/>
              <w:jc w:val="right"/>
            </w:pPr>
            <w:r>
              <w:t xml:space="preserve">1 / 1</w:t>
            </w:r>
          </w:p>
        </w:tc>
        <w:tc>
          <w:tcPr/>
          <w:p>
            <w:pPr>
              <w:pStyle w:val="Compact"/>
            </w:pPr>
            <w:r>
              <w:t xml:space="preserve">120, 0.0002, 0.4</w:t>
            </w:r>
          </w:p>
        </w:tc>
        <w:tc>
          <w:tcPr/>
          <w:p>
            <w:pPr>
              <w:pStyle w:val="Compact"/>
            </w:pPr>
            <w:r>
              <w:t xml:space="preserve">0.563 / 6.25 / 0.592</w:t>
            </w:r>
          </w:p>
        </w:tc>
        <w:tc>
          <w:tcPr/>
          <w:p>
            <w:pPr>
              <w:pStyle w:val="Compact"/>
            </w:pPr>
            <w:r>
              <w:t xml:space="preserve">0.611 / 5.89 / 0.643</w:t>
            </w:r>
          </w:p>
        </w:tc>
      </w:tr>
    </w:tbl>
    <w:bookmarkEnd w:id="123"/>
    <w:bookmarkStart w:id="127" w:name="Xadbb3fee6170dc82f82218c8d6b92e90e708aca"/>
    <w:p>
      <w:pPr>
        <w:pStyle w:val="Heading2"/>
      </w:pPr>
      <w:r>
        <w:t xml:space="preserve">The neutral copying model and its calibration</w:t>
      </w:r>
    </w:p>
    <w:p>
      <w:pPr>
        <w:pStyle w:val="FirstParagraph"/>
      </w:pPr>
      <w:r>
        <w:t xml:space="preserve">The comparison uses one finite-population network model of decorated-class transmission, run on the real geography of the 28 assemblages. Each assemblage location is a node holding a population of learners. Each generation, a learner copies the class of another learner, drawn from its own node with probability</w:t>
      </w:r>
      <w:r>
        <w:t xml:space="preserve"> </w:t>
      </w:r>
      <m:oMath>
        <m:r>
          <m:t>1</m:t>
        </m:r>
        <m:r>
          <m:rPr>
            <m:sty m:val="p"/>
          </m:rPr>
          <m:t>−</m:t>
        </m:r>
        <m:r>
          <m:t>m</m:t>
        </m:r>
      </m:oMath>
      <w:r>
        <w:t xml:space="preserve"> </w:t>
      </w:r>
      <w:r>
        <w:t xml:space="preserve">and from another node with probability</w:t>
      </w:r>
      <w:r>
        <w:t xml:space="preserve"> </w:t>
      </w:r>
      <m:oMath>
        <m:r>
          <m:t>m</m:t>
        </m:r>
      </m:oMath>
      <w:r>
        <w:t xml:space="preserve">, the other node chosen with a weight that falls off exponentially with distance along the rivers at length scale</w:t>
      </w:r>
      <w:r>
        <w:t xml:space="preserve"> </w:t>
      </w:r>
      <m:oMath>
        <m:r>
          <m:t>L</m:t>
        </m:r>
      </m:oMath>
      <w:r>
        <w:t xml:space="preserve">. With probability</w:t>
      </w:r>
      <w:r>
        <w:t xml:space="preserve"> </w:t>
      </w:r>
      <m:oMath>
        <m:r>
          <m:t>μ</m:t>
        </m:r>
      </m:oMath>
      <w:r>
        <w:t xml:space="preserve"> </w:t>
      </w:r>
      <w:r>
        <w:t xml:space="preserve">the learner instead adopts a class by innovation. The model tracks class frequencies rather than individual learners: next-generation frequencies at each node are a multinomial draw of</w:t>
      </w:r>
      <w:r>
        <w:t xml:space="preserve"> </w:t>
      </w:r>
      <m:oMath>
        <m:r>
          <m:t>N</m:t>
        </m:r>
      </m:oMath>
      <w:r>
        <w:t xml:space="preserve"> </w:t>
      </w:r>
      <w:r>
        <w:t xml:space="preserve">learners from the copying-plus-innovation probabilities, which is equivalent to independent learner-by-learner copying. The repertoire is fixed at the ten measured classes. The bounded-groups variant multiplies every copying weight that crosses a specified division by a factor</w:t>
      </w:r>
      <w:r>
        <w:t xml:space="preserve"> </w:t>
      </w:r>
      <m:oMath>
        <m:r>
          <m:t>ℓ</m:t>
        </m:r>
      </m:oMath>
      <w:r>
        <w:t xml:space="preserve"> </w:t>
      </w:r>
      <w:r>
        <w:t xml:space="preserve">before normalizing;</w:t>
      </w:r>
      <w:r>
        <w:t xml:space="preserve"> </w:t>
      </w:r>
      <m:oMath>
        <m:r>
          <m:t>ℓ</m:t>
        </m:r>
        <m:r>
          <m:rPr>
            <m:sty m:val="p"/>
          </m:rPr>
          <m:t>=</m:t>
        </m:r>
        <m:r>
          <m:t>1</m:t>
        </m:r>
      </m:oMath>
      <w:r>
        <w:t xml:space="preserve"> </w:t>
      </w:r>
      <w:r>
        <w:t xml:space="preserve">is copying by distance alone, and 0.5, 0.1, and 0.03 impose progressively stronger boundaries on the basin’s spatial clusters. Each run discards 1,200 burn-in generations and records 90 evenly spaced samples over 1,800 further generations.</w:t>
      </w:r>
    </w:p>
    <w:p>
      <w:pPr>
        <w:pStyle w:val="BodyText"/>
      </w:pPr>
      <w:r>
        <w:t xml:space="preserve">Innovation requires a choice about what an archaeological class is. Under uniform innovation, the standard K-allele model, an innovating learner adopts any class with equal probability, treating the classes as interchangeable. Under pooled-profile innovation, an innovating learner adopts each class in proportion to its share of the region’s pooled counts, reflecting that the culture-history types lump unequal numbers of underlying decorative variants. The pooled profile carries no information about any division, so it does not build the tested boundary into the model, and neither version introduces a copying bias.</w:t>
      </w:r>
    </w:p>
    <w:p>
      <w:pPr>
        <w:pStyle w:val="BodyText"/>
      </w:pPr>
      <w:r>
        <w:t xml:space="preserve">Between-group predictions depend on population size, mixing, and innovation together, so the model is calibrated before any between-group comparison. The calibration uses three within-assemblage summaries that do not involve the tested division: mean within-assemblage Gini-Simpson diversity, mean number of classes present at the observed sherd counts, and Gini-Simpson diversity of the pooled counts. A grid of population size (120, 2,000, and 10,000 learners), innovation rate (0.0002 to 0.2), and mixing rate (0.001 to 0.4) is screened at six runs per combination, with the same sampling through time applied to the data, and a combination is matched when all three simulated summaries fall within 10 percent of the observed values. Every matched combination is then rerun fifty times with fresh seeds and the match rechecked, and the baseline is the combination, among those still matched, with the highest fifty-run median between-cluster</w:t>
      </w:r>
      <w:r>
        <w:t xml:space="preserve"> </w:t>
      </w:r>
      <m:oMath>
        <m:sSub>
          <m:e>
            <m:r>
              <m:t>F</m:t>
            </m:r>
          </m:e>
          <m:sub>
            <m:r>
              <m:t>S</m:t>
            </m:r>
            <m:r>
              <m:t>T</m:t>
            </m:r>
          </m:sub>
        </m:sSub>
      </m:oMath>
      <w:r>
        <w:t xml:space="preserve">, so the comparison is as favorable to the model as the grid allows. The second stage exists because the highest of about fifty six-run medians is mostly sampling noise: a 209 m shift in 13 coordinates, which changed no division, moved the six-run winner, and that winner’s six-run median proved to be three times its fifty-run median (</w:t>
      </w:r>
      <w:r>
        <w:rPr>
          <w:rStyle w:val="VerbatimChar"/>
        </w:rPr>
        <w:t xml:space="preserve">output/findings/calibration_stability.md</w:t>
      </w:r>
      <w:r>
        <w:t xml:space="preserve">). If no combination survived the check, the matched combination with the highest fifty-run median would be used and flagged. The baseline is then run 500 times, the boundary factors 30 times each at interaction lengths of 12 and 24 km, and seven sensitivity cases (burn-in doubled, a single-class starting state with and without burn-in, and innovation and mixing halved and doubled) 50 times each. The share of simulated datasets reaching the observed value is reported as</w:t>
      </w:r>
      <w:r>
        <w:t xml:space="preserve"> </w:t>
      </w:r>
      <m:oMath>
        <m:r>
          <m:rPr>
            <m:sty m:val="p"/>
          </m:rPr>
          <m:t>(</m:t>
        </m:r>
        <m:r>
          <m:t>e</m:t>
        </m:r>
        <m:r>
          <m:rPr>
            <m:sty m:val="p"/>
          </m:rPr>
          <m:t>+</m:t>
        </m:r>
        <m:r>
          <m:t>1</m:t>
        </m:r>
        <m:r>
          <m:rPr>
            <m:sty m:val="p"/>
          </m:rPr>
          <m:t>)</m:t>
        </m:r>
        <m:r>
          <m:rPr>
            <m:sty m:val="p"/>
          </m:rPr>
          <m:t>/</m:t>
        </m:r>
        <m:r>
          <m:rPr>
            <m:sty m:val="p"/>
          </m:rPr>
          <m:t>(</m:t>
        </m:r>
        <m:r>
          <m:t>R</m:t>
        </m:r>
        <m:r>
          <m:rPr>
            <m:sty m:val="p"/>
          </m:rPr>
          <m:t>+</m:t>
        </m:r>
        <m:r>
          <m:t>1</m:t>
        </m:r>
        <m:r>
          <m:rPr>
            <m:sty m:val="p"/>
          </m:rPr>
          <m:t>)</m:t>
        </m:r>
      </m:oMath>
      <w:r>
        <w:t xml:space="preserve">, where</w:t>
      </w:r>
      <w:r>
        <w:t xml:space="preserve"> </w:t>
      </w:r>
      <m:oMath>
        <m:r>
          <m:t>e</m:t>
        </m:r>
      </m:oMath>
      <w:r>
        <w:t xml:space="preserve"> </w:t>
      </w:r>
      <w:r>
        <w:t xml:space="preserve">is the number of runs at or above the observed statistic and</w:t>
      </w:r>
      <w:r>
        <w:t xml:space="preserve"> </w:t>
      </w:r>
      <m:oMath>
        <m:r>
          <m:t>R</m:t>
        </m:r>
      </m:oMath>
      <w:r>
        <w:t xml:space="preserve"> </w:t>
      </w:r>
      <w:r>
        <w:t xml:space="preserve">the number of runs. Every run is cached against a fingerprint of the configuration, inputs, source code, and package versions, and rebuilt when any of them changes.</w:t>
      </w:r>
    </w:p>
    <w:p>
      <w:pPr>
        <w:pStyle w:val="BodyText"/>
      </w:pPr>
      <w:r>
        <w:t xml:space="preserve">Copying distance is measured along the rivers because interaction in this settlement system plausibly followed watercourses, and because that choice is the one more favorable to the model. We build a graph from the mapped hydrography (LMVHydrology centerlines clipped to the basin with a 25 km margin), join vertices within 250 m of one another, keep the largest connected piece, and attach each assemblage to its nearest node, adding the attachment distance at both ends. All 28 assemblages connect, and the mean distance from an assemblage to a mapped channel is 2.74 km. Paths along the rivers are longer than straight lines by a mean ratio of 3.7 and a median of 2.9 per pair; the mean is pulled up by pairs that are close in a straight line but must route around a meander. The pottery does not follow the rivers more closely than it follows straight lines. Decorated-class distance between assemblages correlates with straight-line distance at 0.36 and with river distance at 0.24, and once straight-line distance is held fixed, river distance adds nothing (-0.02). Between assemblages in different phases, straight-line distance correlates at 0.32 and river distance at 0.10. The network is modern hydrography, and the St. Francis, Tyronza, and Mississippi have all moved since these sites were occupied. Both measures are carried through the relaxations below, and at every interaction length from 6 to 96 km the median under straight-line distance lies within 0.0004 of the median under river distance at the calibrated combination, with the diversity match held under both.</w:t>
      </w:r>
    </w:p>
    <w:p>
      <w:pPr>
        <w:pStyle w:val="BodyText"/>
      </w:pPr>
      <w:r>
        <w:t xml:space="preserve">The assemblages are not contemporaneous, so the simulated field is sampled through time rather than at one moment. Each simulated assemblage is drawn from the recorded sample matching its real counterpart’s position on the first correspondence-analysis axis and accumulated over a trailing window of eight samples, so that like a real deposit it mixes production across a span. The earliest position maps to the end of the first complete window, so every assemblage gets the same window length. Each simulated assemblage is then subsampled to its real counterpart’s sherd count and analyzed exactly as the real ones are, with the same</w:t>
      </w:r>
      <w:r>
        <w:t xml:space="preserve"> </w:t>
      </w:r>
      <m:oMath>
        <m:r>
          <m:t>k</m:t>
        </m:r>
      </m:oMath>
      <w:r>
        <w:t xml:space="preserve">-means clusters, the same community detection, and the same</w:t>
      </w:r>
      <w:r>
        <w:t xml:space="preserve"> </w:t>
      </w:r>
      <m:oMath>
        <m:sSub>
          <m:e>
            <m:r>
              <m:t>F</m:t>
            </m:r>
          </m:e>
          <m:sub>
            <m:r>
              <m:t>S</m:t>
            </m:r>
            <m:r>
              <m:t>T</m:t>
            </m:r>
          </m:sub>
        </m:sSub>
      </m:oMath>
      <w:r>
        <w:t xml:space="preserve">. Because the direction of the seriation axis is only partly anchored, every run is also sampled in reverse order and as if contemporaneous, with every assemblage drawn from the final window. Which source an assemblage’s counts came from does not matter to the result: within each cluster holding rows of both kinds, the</w:t>
      </w:r>
      <w:r>
        <w:t xml:space="preserve"> </w:t>
      </w:r>
      <m:oMath>
        <m:sSub>
          <m:e>
            <m:r>
              <m:t>F</m:t>
            </m:r>
          </m:e>
          <m:sub>
            <m:r>
              <m:t>S</m:t>
            </m:r>
            <m:r>
              <m:t>T</m:t>
            </m:r>
          </m:sub>
        </m:sSub>
      </m:oMath>
      <w:r>
        <w:t xml:space="preserve"> </w:t>
      </w:r>
      <w:r>
        <w:t xml:space="preserve">between rows carrying the survey’s counts alone and rows carrying Lipo’s compilation sits at or below the 18th percentile of random splits of that cluster into groups of the same sizes (</w:t>
      </w:r>
      <w:r>
        <w:rPr>
          <w:rStyle w:val="VerbatimChar"/>
        </w:rPr>
        <w:t xml:space="preserve">analyses/78_source_effect.py</w:t>
      </w:r>
      <w:r>
        <w:t xml:space="preserve">).</w:t>
      </w:r>
    </w:p>
    <w:p>
      <w:pPr>
        <w:pStyle w:val="BodyText"/>
      </w:pPr>
      <w:r>
        <w:t xml:space="preserve">Because community labels are arbitrary and switch between runs, we summarize the basin’s simulated communities by co-membership (Figure S3). For each assemblage we record the share of runs in which it falls in the same community as Parkin. Under the calibrated model that share is 0.80 to 1.00 for every assemblage, because the model returns a single community in two thirds of its runs. An earlier, uncalibrated model had produced a graded field of co-membership falling from 0.66 near Parkin to 0.17 far away, which was a product of its excess diversity. Under pooled-profile innovation, the 175 time-sampled runs that return two or more communities give a between-community</w:t>
      </w:r>
      <w:r>
        <w:t xml:space="preserve"> </w:t>
      </w:r>
      <m:oMath>
        <m:sSub>
          <m:e>
            <m:r>
              <m:t>F</m:t>
            </m:r>
          </m:e>
          <m:sub>
            <m:r>
              <m:t>S</m:t>
            </m:r>
            <m:r>
              <m:t>T</m:t>
            </m:r>
          </m:sub>
        </m:sSub>
      </m:oMath>
      <w:r>
        <w:t xml:space="preserve"> </w:t>
      </w:r>
      <w:r>
        <w:t xml:space="preserve">from 0.008 to 0.043 (median 0.017), and 1 of those 175 runs reaches the observed 0.039. Under uniform innovation, which does not fit the assemblages’ diversity robustly, the observed value falls within a wide interval.</w:t>
      </w:r>
    </w:p>
    <w:p>
      <w:pPr>
        <w:pStyle w:val="CaptionedFigure"/>
      </w:pPr>
      <w:r>
        <w:drawing>
          <wp:inline>
            <wp:extent cx="5334000" cy="4016402"/>
            <wp:effectExtent b="0" l="0" r="0" t="0"/>
            <wp:docPr descr="Figure S3. Basin co-membership and community differentiation under the calibrated model, over 500 runs. (A) Each assemblage shaded by the share of runs in which it falls in Parkin’s community (star). The share is 0.80 to 1.00 throughout because the model returns one community in two thirds of its runs. (B) Between-community cultural F_{ST} for the observed data (dashed, 0.039) against the model’s medians and 95 percent ranges, sampled as contemporaneous and through time, for pooled-profile (filled) and uniform (open) innovation. The pooled-profile points summarize only the runs returning two or more communities (148 contemporaneous and 175 through time, of 500); the rest return one community and leave the statistic undefined. The observed value lies above them. The uniform model’s wide range reflects a parameterization that does not fit the assemblages’ diversity robustly." title="" id="125" name="Picture"/>
            <a:graphic>
              <a:graphicData uri="http://schemas.openxmlformats.org/drawingml/2006/picture">
                <pic:pic>
                  <pic:nvPicPr>
                    <pic:cNvPr descr="../../figures/figS3_emergent_phases.png" id="126" name="Picture"/>
                    <pic:cNvPicPr>
                      <a:picLocks noChangeArrowheads="1" noChangeAspect="1"/>
                    </pic:cNvPicPr>
                  </pic:nvPicPr>
                  <pic:blipFill>
                    <a:blip r:embed="rId124"/>
                    <a:stretch>
                      <a:fillRect/>
                    </a:stretch>
                  </pic:blipFill>
                  <pic:spPr bwMode="auto">
                    <a:xfrm>
                      <a:off x="0" y="0"/>
                      <a:ext cx="5334000" cy="4016402"/>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Basin co-membership and community differentiation under the calibrated model, over 500 runs. (A) Each assemblage shaded by the share of runs in which it falls in Parkin’s community (star). The share is 0.80 to 1.00 throughout because the model returns one community in two thirds of its runs. (B) Between-community cultural</w:t>
      </w:r>
      <w:r>
        <w:t xml:space="preserve"> </w:t>
      </w:r>
      <m:oMath>
        <m:sSub>
          <m:e>
            <m:r>
              <m:t>F</m:t>
            </m:r>
          </m:e>
          <m:sub>
            <m:r>
              <m:t>S</m:t>
            </m:r>
            <m:r>
              <m:t>T</m:t>
            </m:r>
          </m:sub>
        </m:sSub>
      </m:oMath>
      <w:r>
        <w:t xml:space="preserve"> </w:t>
      </w:r>
      <w:r>
        <w:t xml:space="preserve">for the observed data (dashed, 0.039) against the model’s medians and 95 percent ranges, sampled as contemporaneous and through time, for pooled-profile (filled) and uniform (open) innovation. The pooled-profile points summarize only the runs returning two or more communities (148 contemporaneous and 175 through time, of 500); the rest return one community and leave the statistic undefined. The observed value lies above them. The uniform model’s wide range reflects a parameterization that does not fit the assemblages’ diversity robustly.</w:t>
      </w:r>
    </w:p>
    <w:bookmarkEnd w:id="127"/>
    <w:bookmarkStart w:id="131" w:name="X6f709a8852ced2b4efe4258f523a9f4ec56fbed"/>
    <w:p>
      <w:pPr>
        <w:pStyle w:val="Heading2"/>
      </w:pPr>
      <w:r>
        <w:t xml:space="preserve">The calibration series and its sensitivity</w:t>
      </w:r>
    </w:p>
    <w:p>
      <w:pPr>
        <w:pStyle w:val="FirstParagraph"/>
      </w:pPr>
      <w:r>
        <w:t xml:space="preserve">Figure S4 shows every combination in the calibration series, 297 for each innovation model, plotted by diversity misfit (the root of the summed squared relative error over the three summaries) against median between-cluster</w:t>
      </w:r>
      <w:r>
        <w:t xml:space="preserve"> </w:t>
      </w:r>
      <m:oMath>
        <m:sSub>
          <m:e>
            <m:r>
              <m:t>F</m:t>
            </m:r>
          </m:e>
          <m:sub>
            <m:r>
              <m:t>S</m:t>
            </m:r>
            <m:r>
              <m:t>T</m:t>
            </m:r>
          </m:sub>
        </m:sSub>
      </m:oMath>
      <w:r>
        <w:t xml:space="preserve">: the six-run median for unmatched combinations and the fifty-run median for matched ones, the value the selection uses. In the basin, the matched combinations lie below the observed</w:t>
      </w:r>
      <w:r>
        <w:t xml:space="preserve"> </w:t>
      </w:r>
      <m:oMath>
        <m:sSub>
          <m:e>
            <m:r>
              <m:t>F</m:t>
            </m:r>
          </m:e>
          <m:sub>
            <m:r>
              <m:t>S</m:t>
            </m:r>
            <m:r>
              <m:t>T</m:t>
            </m:r>
          </m:sub>
        </m:sSub>
      </m:oMath>
      <w:r>
        <w:t xml:space="preserve"> </w:t>
      </w:r>
      <w:r>
        <w:t xml:space="preserve">at their medians, and the combinations that reach it at the median misfit the diversity by a factor of two or more. Under uniform innovation, one combination matches, at the corner of the grid, and its median (0.0095) lies above the observed value; it is the only matched combination to do so, and it does not fit the diversity robustly. The interchangeable-class model can reach the record’s skewed class profile only as a passing state of strong drift, which removes the rare classes that most assemblages contain. An earlier finding that drift brackets the observed differentiation across a 432-run grid over interaction length, mixing, and innovation came from that misfitting region of the grid.</w:t>
      </w:r>
    </w:p>
    <w:p>
      <w:pPr>
        <w:pStyle w:val="CaptionedFigure"/>
      </w:pPr>
      <w:r>
        <w:drawing>
          <wp:inline>
            <wp:extent cx="5334000" cy="3429956"/>
            <wp:effectExtent b="0" l="0" r="0" t="0"/>
            <wp:docPr descr="Figure S4. The calibration series. Each point is one parameter combination (population 120, 2,000, or 10,000 learners; innovation 0.0002 to 0.2; mixing 0.001 to 0.4) for the pooled-profile (circles) and uniform (squares) innovation models, placed by its diversity misfit against its median between-cluster F_{ST} (six runs for unmatched combinations, fifty for matched ones), for (A) the St. Francis basin and (B) the southeast-Missouri assemblages, the latter shown to document the attempt described in the final section rather than as a result. Filled markers match all three within-assemblage summaries within 10 percent (vertical line). The dashed line is the observed F_{ST}. No matched pooled-profile combination reaches the observed value at its median in either panel; the single matched uniform combination in the basin (median 0.0095) sits at the corner of the grid and does not fit the diversity robustly." title="" id="129" name="Picture"/>
            <a:graphic>
              <a:graphicData uri="http://schemas.openxmlformats.org/drawingml/2006/picture">
                <pic:pic>
                  <pic:nvPicPr>
                    <pic:cNvPr descr="../../figures/figS4_emergence_robustness.png" id="130" name="Picture"/>
                    <pic:cNvPicPr>
                      <a:picLocks noChangeArrowheads="1" noChangeAspect="1"/>
                    </pic:cNvPicPr>
                  </pic:nvPicPr>
                  <pic:blipFill>
                    <a:blip r:embed="rId128"/>
                    <a:stretch>
                      <a:fillRect/>
                    </a:stretch>
                  </pic:blipFill>
                  <pic:spPr bwMode="auto">
                    <a:xfrm>
                      <a:off x="0" y="0"/>
                      <a:ext cx="5334000" cy="3429956"/>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The calibration series. Each point is one parameter combination (population 120, 2,000, or 10,000 learners; innovation 0.0002 to 0.2; mixing 0.001 to 0.4) for the pooled-profile (circles) and uniform (squares) innovation models, placed by its diversity misfit against its median between-cluster</w:t>
      </w:r>
      <w:r>
        <w:t xml:space="preserve"> </w:t>
      </w:r>
      <m:oMath>
        <m:sSub>
          <m:e>
            <m:r>
              <m:t>F</m:t>
            </m:r>
          </m:e>
          <m:sub>
            <m:r>
              <m:t>S</m:t>
            </m:r>
            <m:r>
              <m:t>T</m:t>
            </m:r>
          </m:sub>
        </m:sSub>
      </m:oMath>
      <w:r>
        <w:t xml:space="preserve"> </w:t>
      </w:r>
      <w:r>
        <w:t xml:space="preserve">(six runs for unmatched combinations, fifty for matched ones), for (A) the St. Francis basin and (B) the southeast-Missouri assemblages, the latter shown to document the attempt described in the final section rather than as a result. Filled markers match all three within-assemblage summaries within 10 percent (vertical line). The dashed line is the observed</w:t>
      </w:r>
      <w:r>
        <w:t xml:space="preserve"> </w:t>
      </w:r>
      <m:oMath>
        <m:sSub>
          <m:e>
            <m:r>
              <m:t>F</m:t>
            </m:r>
          </m:e>
          <m:sub>
            <m:r>
              <m:t>S</m:t>
            </m:r>
            <m:r>
              <m:t>T</m:t>
            </m:r>
          </m:sub>
        </m:sSub>
      </m:oMath>
      <w:r>
        <w:t xml:space="preserve">. No matched pooled-profile combination reaches the observed value at its median in either panel; the single matched uniform combination in the basin (median 0.0095) sits at the corner of the grid and does not fit the diversity robustly.</w:t>
      </w:r>
    </w:p>
    <w:p>
      <w:pPr>
        <w:pStyle w:val="BodyText"/>
      </w:pPr>
      <w:r>
        <w:rPr>
          <w:b/>
          <w:bCs/>
        </w:rPr>
        <w:t xml:space="preserve">Table S3.</w:t>
      </w:r>
      <w:r>
        <w:t xml:space="preserve"> </w:t>
      </w:r>
      <w:r>
        <w:t xml:space="preserve">Sensitivity of the calibrated comparison for the pooled-profile model (50 runs per case, baseline 500). Entries are the median and 95 percent range of the between-cluster</w:t>
      </w:r>
      <w:r>
        <w:t xml:space="preserve"> </w:t>
      </w:r>
      <m:oMath>
        <m:sSub>
          <m:e>
            <m:r>
              <m:t>F</m:t>
            </m:r>
          </m:e>
          <m:sub>
            <m:r>
              <m:t>S</m:t>
            </m:r>
            <m:r>
              <m:t>T</m:t>
            </m:r>
          </m:sub>
        </m:sSub>
      </m:oMath>
      <w:r>
        <w:t xml:space="preserve">, the share of runs reaching the observed value, and the mean within-assemblage diversity and richness achieved.</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pPr>
            <w:r>
              <w:t xml:space="preserve">Set</w:t>
            </w:r>
          </w:p>
        </w:tc>
        <w:tc>
          <w:tcPr/>
          <w:p>
            <w:pPr>
              <w:pStyle w:val="Compact"/>
            </w:pPr>
            <w:r>
              <w:t xml:space="preserve">Case</w:t>
            </w:r>
          </w:p>
        </w:tc>
        <w:tc>
          <w:tcPr/>
          <w:p>
            <w:pPr>
              <w:pStyle w:val="Compact"/>
            </w:pPr>
            <w:r>
              <w:t xml:space="preserve">Median [95%]</w:t>
            </w:r>
          </w:p>
        </w:tc>
        <w:tc>
          <w:tcPr/>
          <w:p>
            <w:pPr>
              <w:pStyle w:val="Compact"/>
              <w:jc w:val="right"/>
            </w:pPr>
            <w:r>
              <w:t xml:space="preserve">Frac. reaching obs.</w:t>
            </w:r>
          </w:p>
        </w:tc>
        <w:tc>
          <w:tcPr/>
          <w:p>
            <w:pPr>
              <w:pStyle w:val="Compact"/>
              <w:jc w:val="right"/>
            </w:pPr>
            <w:r>
              <w:t xml:space="preserve">H_S</w:t>
            </w:r>
          </w:p>
        </w:tc>
        <w:tc>
          <w:tcPr/>
          <w:p>
            <w:pPr>
              <w:pStyle w:val="Compact"/>
              <w:jc w:val="right"/>
            </w:pPr>
            <w:r>
              <w:t xml:space="preserve">Richness</w:t>
            </w:r>
          </w:p>
        </w:tc>
      </w:tr>
      <w:tr>
        <w:tc>
          <w:tcPr/>
          <w:p>
            <w:pPr>
              <w:pStyle w:val="Compact"/>
            </w:pPr>
            <w:r>
              <w:t xml:space="preserve">Basin (observed 0.0062; H_S 0.56, richness 6.2)</w:t>
            </w:r>
          </w:p>
        </w:tc>
        <w:tc>
          <w:tcPr/>
          <w:p>
            <w:pPr>
              <w:pStyle w:val="Compact"/>
            </w:pPr>
            <w:r>
              <w:t xml:space="preserve">baseline</w:t>
            </w:r>
          </w:p>
        </w:tc>
        <w:tc>
          <w:tcPr/>
          <w:p>
            <w:pPr>
              <w:pStyle w:val="Compact"/>
            </w:pPr>
            <w:r>
              <w:t xml:space="preserve">0.0026 [0.0003, 0.0153]</w:t>
            </w:r>
          </w:p>
        </w:tc>
        <w:tc>
          <w:tcPr/>
          <w:p>
            <w:pPr>
              <w:pStyle w:val="Compact"/>
              <w:jc w:val="right"/>
            </w:pPr>
            <w:r>
              <w:t xml:space="preserve">0.160</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burn-in 2,400</w:t>
            </w:r>
          </w:p>
        </w:tc>
        <w:tc>
          <w:tcPr/>
          <w:p>
            <w:pPr>
              <w:pStyle w:val="Compact"/>
            </w:pPr>
            <w:r>
              <w:t xml:space="preserve">0.0027 [0.0003, 0.0131]</w:t>
            </w:r>
          </w:p>
        </w:tc>
        <w:tc>
          <w:tcPr/>
          <w:p>
            <w:pPr>
              <w:pStyle w:val="Compact"/>
              <w:jc w:val="right"/>
            </w:pPr>
            <w:r>
              <w:t xml:space="preserve">0.294</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monomorphic start, burn-in</w:t>
            </w:r>
          </w:p>
        </w:tc>
        <w:tc>
          <w:tcPr/>
          <w:p>
            <w:pPr>
              <w:pStyle w:val="Compact"/>
            </w:pPr>
            <w:r>
              <w:t xml:space="preserve">0.0024 [0.0003, 0.0139]</w:t>
            </w:r>
          </w:p>
        </w:tc>
        <w:tc>
          <w:tcPr/>
          <w:p>
            <w:pPr>
              <w:pStyle w:val="Compact"/>
              <w:jc w:val="right"/>
            </w:pPr>
            <w:r>
              <w:t xml:space="preserve">0.216</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monomorphic start, no burn-in</w:t>
            </w:r>
          </w:p>
        </w:tc>
        <w:tc>
          <w:tcPr/>
          <w:p>
            <w:pPr>
              <w:pStyle w:val="Compact"/>
            </w:pPr>
            <w:r>
              <w:t xml:space="preserve">0.0047 [0.0006, 0.0230]</w:t>
            </w:r>
          </w:p>
        </w:tc>
        <w:tc>
          <w:tcPr/>
          <w:p>
            <w:pPr>
              <w:pStyle w:val="Compact"/>
              <w:jc w:val="right"/>
            </w:pPr>
            <w:r>
              <w:t xml:space="preserve">0.471</w:t>
            </w:r>
          </w:p>
        </w:tc>
        <w:tc>
          <w:tcPr/>
          <w:p>
            <w:pPr>
              <w:pStyle w:val="Compact"/>
              <w:jc w:val="right"/>
            </w:pPr>
            <w:r>
              <w:t xml:space="preserve">0.46</w:t>
            </w:r>
          </w:p>
        </w:tc>
        <w:tc>
          <w:tcPr/>
          <w:p>
            <w:pPr>
              <w:pStyle w:val="Compact"/>
              <w:jc w:val="right"/>
            </w:pPr>
            <w:r>
              <w:t xml:space="preserve">5.4</w:t>
            </w:r>
          </w:p>
        </w:tc>
      </w:tr>
      <w:tr>
        <w:tc>
          <w:tcPr/>
          <w:p>
            <w:pPr>
              <w:pStyle w:val="Compact"/>
            </w:pPr>
          </w:p>
        </w:tc>
        <w:tc>
          <w:tcPr/>
          <w:p>
            <w:pPr>
              <w:pStyle w:val="Compact"/>
            </w:pPr>
            <w:r>
              <w:t xml:space="preserve">innovation halved</w:t>
            </w:r>
          </w:p>
        </w:tc>
        <w:tc>
          <w:tcPr/>
          <w:p>
            <w:pPr>
              <w:pStyle w:val="Compact"/>
            </w:pPr>
            <w:r>
              <w:t xml:space="preserve">0.0036 [0.0006, 0.0202]</w:t>
            </w:r>
          </w:p>
        </w:tc>
        <w:tc>
          <w:tcPr/>
          <w:p>
            <w:pPr>
              <w:pStyle w:val="Compact"/>
              <w:jc w:val="right"/>
            </w:pPr>
            <w:r>
              <w:t xml:space="preserve">0.373</w:t>
            </w:r>
          </w:p>
        </w:tc>
        <w:tc>
          <w:tcPr/>
          <w:p>
            <w:pPr>
              <w:pStyle w:val="Compact"/>
              <w:jc w:val="right"/>
            </w:pPr>
            <w:r>
              <w:t xml:space="preserve">0.56</w:t>
            </w:r>
          </w:p>
        </w:tc>
        <w:tc>
          <w:tcPr/>
          <w:p>
            <w:pPr>
              <w:pStyle w:val="Compact"/>
              <w:jc w:val="right"/>
            </w:pPr>
            <w:r>
              <w:t xml:space="preserve">5.3</w:t>
            </w:r>
          </w:p>
        </w:tc>
      </w:tr>
      <w:tr>
        <w:tc>
          <w:tcPr/>
          <w:p>
            <w:pPr>
              <w:pStyle w:val="Compact"/>
            </w:pPr>
          </w:p>
        </w:tc>
        <w:tc>
          <w:tcPr/>
          <w:p>
            <w:pPr>
              <w:pStyle w:val="Compact"/>
            </w:pPr>
            <w:r>
              <w:t xml:space="preserve">innovation doubled</w:t>
            </w:r>
          </w:p>
        </w:tc>
        <w:tc>
          <w:tcPr/>
          <w:p>
            <w:pPr>
              <w:pStyle w:val="Compact"/>
            </w:pPr>
            <w:r>
              <w:t xml:space="preserve">0.0010 [0.0002, 0.0067]</w:t>
            </w:r>
          </w:p>
        </w:tc>
        <w:tc>
          <w:tcPr/>
          <w:p>
            <w:pPr>
              <w:pStyle w:val="Compact"/>
              <w:jc w:val="right"/>
            </w:pPr>
            <w:r>
              <w:t xml:space="preserve">0.078</w:t>
            </w:r>
          </w:p>
        </w:tc>
        <w:tc>
          <w:tcPr/>
          <w:p>
            <w:pPr>
              <w:pStyle w:val="Compact"/>
              <w:jc w:val="right"/>
            </w:pPr>
            <w:r>
              <w:t xml:space="preserve">0.58</w:t>
            </w:r>
          </w:p>
        </w:tc>
        <w:tc>
          <w:tcPr/>
          <w:p>
            <w:pPr>
              <w:pStyle w:val="Compact"/>
              <w:jc w:val="right"/>
            </w:pPr>
            <w:r>
              <w:t xml:space="preserve">6.3</w:t>
            </w:r>
          </w:p>
        </w:tc>
      </w:tr>
      <w:tr>
        <w:tc>
          <w:tcPr/>
          <w:p>
            <w:pPr>
              <w:pStyle w:val="Compact"/>
            </w:pPr>
          </w:p>
        </w:tc>
        <w:tc>
          <w:tcPr/>
          <w:p>
            <w:pPr>
              <w:pStyle w:val="Compact"/>
            </w:pPr>
            <w:r>
              <w:t xml:space="preserve">mixing halved</w:t>
            </w:r>
          </w:p>
        </w:tc>
        <w:tc>
          <w:tcPr/>
          <w:p>
            <w:pPr>
              <w:pStyle w:val="Compact"/>
            </w:pPr>
            <w:r>
              <w:t xml:space="preserve">0.0039 [0.0004, 0.0188]</w:t>
            </w:r>
          </w:p>
        </w:tc>
        <w:tc>
          <w:tcPr/>
          <w:p>
            <w:pPr>
              <w:pStyle w:val="Compact"/>
              <w:jc w:val="right"/>
            </w:pPr>
            <w:r>
              <w:t xml:space="preserve">0.275</w:t>
            </w:r>
          </w:p>
        </w:tc>
        <w:tc>
          <w:tcPr/>
          <w:p>
            <w:pPr>
              <w:pStyle w:val="Compact"/>
              <w:jc w:val="right"/>
            </w:pPr>
            <w:r>
              <w:t xml:space="preserve">0.56</w:t>
            </w:r>
          </w:p>
        </w:tc>
        <w:tc>
          <w:tcPr/>
          <w:p>
            <w:pPr>
              <w:pStyle w:val="Compact"/>
              <w:jc w:val="right"/>
            </w:pPr>
            <w:r>
              <w:t xml:space="preserve">5.4</w:t>
            </w:r>
          </w:p>
        </w:tc>
      </w:tr>
      <w:tr>
        <w:tc>
          <w:tcPr/>
          <w:p>
            <w:pPr>
              <w:pStyle w:val="Compact"/>
            </w:pPr>
          </w:p>
        </w:tc>
        <w:tc>
          <w:tcPr/>
          <w:p>
            <w:pPr>
              <w:pStyle w:val="Compact"/>
            </w:pPr>
            <w:r>
              <w:t xml:space="preserve">mixing doubled</w:t>
            </w:r>
          </w:p>
        </w:tc>
        <w:tc>
          <w:tcPr/>
          <w:p>
            <w:pPr>
              <w:pStyle w:val="Compact"/>
            </w:pPr>
            <w:r>
              <w:t xml:space="preserve">0.0024 [0.0004, 0.0106]</w:t>
            </w:r>
          </w:p>
        </w:tc>
        <w:tc>
          <w:tcPr/>
          <w:p>
            <w:pPr>
              <w:pStyle w:val="Compact"/>
              <w:jc w:val="right"/>
            </w:pPr>
            <w:r>
              <w:t xml:space="preserve">0.176</w:t>
            </w:r>
          </w:p>
        </w:tc>
        <w:tc>
          <w:tcPr/>
          <w:p>
            <w:pPr>
              <w:pStyle w:val="Compact"/>
              <w:jc w:val="right"/>
            </w:pPr>
            <w:r>
              <w:t xml:space="preserve">0.58</w:t>
            </w:r>
          </w:p>
        </w:tc>
        <w:tc>
          <w:tcPr/>
          <w:p>
            <w:pPr>
              <w:pStyle w:val="Compact"/>
              <w:jc w:val="right"/>
            </w:pPr>
            <w:r>
              <w:t xml:space="preserve">6.2</w:t>
            </w:r>
          </w:p>
        </w:tc>
      </w:tr>
      <w:tr>
        <w:tc>
          <w:tcPr/>
          <w:p>
            <w:pPr>
              <w:pStyle w:val="Compact"/>
            </w:pPr>
          </w:p>
        </w:tc>
        <w:tc>
          <w:tcPr/>
          <w:p>
            <w:pPr>
              <w:pStyle w:val="Compact"/>
            </w:pPr>
            <w:r>
              <w:t xml:space="preserve">boundary, multiplier 0.5 (24 km)</w:t>
            </w:r>
          </w:p>
        </w:tc>
        <w:tc>
          <w:tcPr/>
          <w:p>
            <w:pPr>
              <w:pStyle w:val="Compact"/>
            </w:pPr>
            <w:r>
              <w:t xml:space="preserve">0.0034 [0.0006, 0.0106]</w:t>
            </w:r>
          </w:p>
        </w:tc>
        <w:tc>
          <w:tcPr/>
          <w:p>
            <w:pPr>
              <w:pStyle w:val="Compact"/>
              <w:jc w:val="right"/>
            </w:pPr>
            <w:r>
              <w:t xml:space="preserve">0.290</w:t>
            </w:r>
          </w:p>
        </w:tc>
        <w:tc>
          <w:tcPr/>
          <w:p>
            <w:pPr>
              <w:pStyle w:val="Compact"/>
            </w:pPr>
          </w:p>
        </w:tc>
        <w:tc>
          <w:tcPr/>
          <w:p>
            <w:pPr>
              <w:pStyle w:val="Compact"/>
            </w:pPr>
          </w:p>
        </w:tc>
      </w:tr>
      <w:tr>
        <w:tc>
          <w:tcPr/>
          <w:p>
            <w:pPr>
              <w:pStyle w:val="Compact"/>
            </w:pPr>
          </w:p>
        </w:tc>
        <w:tc>
          <w:tcPr/>
          <w:p>
            <w:pPr>
              <w:pStyle w:val="Compact"/>
            </w:pPr>
            <w:r>
              <w:t xml:space="preserve">boundary, multiplier 0.1 (24 km)</w:t>
            </w:r>
          </w:p>
        </w:tc>
        <w:tc>
          <w:tcPr/>
          <w:p>
            <w:pPr>
              <w:pStyle w:val="Compact"/>
            </w:pPr>
            <w:r>
              <w:t xml:space="preserve">0.0020 [0.0006, 0.0164]</w:t>
            </w:r>
          </w:p>
        </w:tc>
        <w:tc>
          <w:tcPr/>
          <w:p>
            <w:pPr>
              <w:pStyle w:val="Compact"/>
              <w:jc w:val="right"/>
            </w:pPr>
            <w:r>
              <w:t xml:space="preserve">0.258</w:t>
            </w:r>
          </w:p>
        </w:tc>
        <w:tc>
          <w:tcPr/>
          <w:p>
            <w:pPr>
              <w:pStyle w:val="Compact"/>
            </w:pPr>
          </w:p>
        </w:tc>
        <w:tc>
          <w:tcPr/>
          <w:p>
            <w:pPr>
              <w:pStyle w:val="Compact"/>
            </w:pPr>
          </w:p>
        </w:tc>
      </w:tr>
      <w:tr>
        <w:tc>
          <w:tcPr/>
          <w:p>
            <w:pPr>
              <w:pStyle w:val="Compact"/>
            </w:pPr>
          </w:p>
        </w:tc>
        <w:tc>
          <w:tcPr/>
          <w:p>
            <w:pPr>
              <w:pStyle w:val="Compact"/>
            </w:pPr>
            <w:r>
              <w:t xml:space="preserve">boundary, multiplier 0.03 (24 km)</w:t>
            </w:r>
          </w:p>
        </w:tc>
        <w:tc>
          <w:tcPr/>
          <w:p>
            <w:pPr>
              <w:pStyle w:val="Compact"/>
            </w:pPr>
            <w:r>
              <w:t xml:space="preserve">0.0037 [0.0006, 0.0114]</w:t>
            </w:r>
          </w:p>
        </w:tc>
        <w:tc>
          <w:tcPr/>
          <w:p>
            <w:pPr>
              <w:pStyle w:val="Compact"/>
              <w:jc w:val="right"/>
            </w:pPr>
            <w:r>
              <w:t xml:space="preserve">0.290</w:t>
            </w:r>
          </w:p>
        </w:tc>
        <w:tc>
          <w:tcPr/>
          <w:p>
            <w:pPr>
              <w:pStyle w:val="Compact"/>
            </w:pPr>
          </w:p>
        </w:tc>
        <w:tc>
          <w:tcPr/>
          <w:p>
            <w:pPr>
              <w:pStyle w:val="Compact"/>
            </w:pPr>
          </w:p>
        </w:tc>
      </w:tr>
    </w:tbl>
    <w:p>
      <w:pPr>
        <w:pStyle w:val="BodyText"/>
      </w:pPr>
      <w:r>
        <w:t xml:space="preserve">The case with a single-class start and no burn-in departs from the calibrated diversity and is reported for completeness rather than as an alternative that fits. The other cases put the share of runs reaching the observed value between 0.08 and 0.37, so the observation lies within what the model produces under every starting state and rate choice. The 30-run boundary cases resolve that share only to about 0.03.</w:t>
      </w:r>
    </w:p>
    <w:bookmarkEnd w:id="131"/>
    <w:bookmarkStart w:id="132" w:name="Xeafe564f9578fc6514294828af52095d4d7f034"/>
    <w:p>
      <w:pPr>
        <w:pStyle w:val="Heading2"/>
      </w:pPr>
      <w:r>
        <w:t xml:space="preserve">Relaxing four simplifications of the copying model</w:t>
      </w:r>
    </w:p>
    <w:p>
      <w:pPr>
        <w:pStyle w:val="FirstParagraph"/>
      </w:pPr>
      <w:r>
        <w:t xml:space="preserve">At two to four clusters the calibrated model covers the observed differentiation, and from five clusters on it falls short (main text Table 2). The model makes four simplifications, any of which could account for that finer-scale difference, and relaxing one does not abandon neutral copying: each variant is the same model with one simplification removed, run on the basin at its calibrated combination. The standard is the same throughout. A variant accounts for the difference only if it reaches the observed</w:t>
      </w:r>
      <w:r>
        <w:t xml:space="preserve"> </w:t>
      </w:r>
      <m:oMath>
        <m:sSub>
          <m:e>
            <m:r>
              <m:t>F</m:t>
            </m:r>
          </m:e>
          <m:sub>
            <m:r>
              <m:t>S</m:t>
            </m:r>
            <m:r>
              <m:t>T</m:t>
            </m:r>
          </m:sub>
        </m:sSub>
      </m:oMath>
      <w:r>
        <w:t xml:space="preserve"> </w:t>
      </w:r>
      <w:r>
        <w:t xml:space="preserve">of 0.0062</w:t>
      </w:r>
      <w:r>
        <w:t xml:space="preserve"> </w:t>
      </w:r>
      <w:r>
        <w:rPr>
          <w:i/>
          <w:iCs/>
        </w:rPr>
        <w:t xml:space="preserve">and</w:t>
      </w:r>
      <w:r>
        <w:t xml:space="preserve"> </w:t>
      </w:r>
      <w:r>
        <w:t xml:space="preserve">keeps all three diversity summaries within the 10 percent tolerance, because a model that reaches the differentiation by losing the diversity fit has traded one fit for the other. Each table gives the median</w:t>
      </w:r>
      <w:r>
        <w:t xml:space="preserve"> </w:t>
      </w:r>
      <m:oMath>
        <m:sSub>
          <m:e>
            <m:r>
              <m:t>F</m:t>
            </m:r>
          </m:e>
          <m:sub>
            <m:r>
              <m:t>S</m:t>
            </m:r>
            <m:r>
              <m:t>T</m:t>
            </m:r>
          </m:sub>
        </m:sSub>
      </m:oMath>
      <w:r>
        <w:t xml:space="preserve">, its 95 percent range, the shortfall (observed divided by the model’s median), and whether diversity stays matched. The full series is in</w:t>
      </w:r>
      <w:r>
        <w:t xml:space="preserve"> </w:t>
      </w:r>
      <w:r>
        <w:rPr>
          <w:rStyle w:val="VerbatimChar"/>
        </w:rPr>
        <w:t xml:space="preserve">output/findings/other_departures.md</w:t>
      </w:r>
      <w:r>
        <w:t xml:space="preserve">.</w:t>
      </w:r>
    </w:p>
    <w:p>
      <w:pPr>
        <w:pStyle w:val="BodyText"/>
      </w:pPr>
      <w:r>
        <w:rPr>
          <w:b/>
          <w:bCs/>
        </w:rPr>
        <w:t xml:space="preserve">Unequal site populations</w:t>
      </w:r>
      <w:r>
        <w:t xml:space="preserve"> </w:t>
      </w:r>
      <w:r>
        <w:t xml:space="preserve">(</w:t>
      </w:r>
      <w:r>
        <w:rPr>
          <w:rStyle w:val="VerbatimChar"/>
        </w:rPr>
        <w:t xml:space="preserve">analyses/64_unequal_populations.py</w:t>
      </w:r>
      <w:r>
        <w:t xml:space="preserve">). Per-site populations are drawn lognormal with the calibrated population as the mean and a rising coefficient of variation.</w:t>
      </w:r>
    </w:p>
    <w:tbl>
      <w:tblPr>
        <w:tblStyle w:val="Table"/>
        <w:tblW w:type="pct" w:w="5000"/>
        <w:tblLayout w:type="fixed"/>
        <w:tblLook w:firstRow="1" w:lastRow="0" w:firstColumn="0" w:lastColumn="0" w:noHBand="0" w:noVBand="0" w:val="0020"/>
      </w:tblPr>
      <w:tblGrid>
        <w:gridCol w:w="1320"/>
        <w:gridCol w:w="1320"/>
        <w:gridCol w:w="1320"/>
        <w:gridCol w:w="990"/>
        <w:gridCol w:w="1320"/>
        <w:gridCol w:w="1650"/>
      </w:tblGrid>
      <w:tr>
        <w:trPr>
          <w:tblHeader w:val="on"/>
        </w:trPr>
        <w:tc>
          <w:tcPr/>
          <w:p>
            <w:pPr>
              <w:pStyle w:val="Compact"/>
              <w:jc w:val="right"/>
            </w:pPr>
            <w:r>
              <w:t xml:space="preserve">CV</w:t>
            </w:r>
          </w:p>
        </w:tc>
        <w:tc>
          <w:tcPr/>
          <w:p>
            <w:pPr>
              <w:pStyle w:val="Compact"/>
              <w:jc w:val="right"/>
            </w:pPr>
            <w:r>
              <w:t xml:space="preserve">harmonic N</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jc w:val="right"/>
            </w:pPr>
            <w:r>
              <w:t xml:space="preserve">0.0</w:t>
            </w:r>
          </w:p>
        </w:tc>
        <w:tc>
          <w:tcPr/>
          <w:p>
            <w:pPr>
              <w:pStyle w:val="Compact"/>
              <w:jc w:val="right"/>
            </w:pPr>
            <w:r>
              <w:t xml:space="preserve">2000</w:t>
            </w:r>
          </w:p>
        </w:tc>
        <w:tc>
          <w:tcPr/>
          <w:p>
            <w:pPr>
              <w:pStyle w:val="Compact"/>
              <w:jc w:val="right"/>
            </w:pPr>
            <w:r>
              <w:t xml:space="preserve">0.0026</w:t>
            </w:r>
          </w:p>
        </w:tc>
        <w:tc>
          <w:tcPr/>
          <w:p>
            <w:pPr>
              <w:pStyle w:val="Compact"/>
            </w:pPr>
            <w:r>
              <w:t xml:space="preserve">[0.0003, 0.0147]</w:t>
            </w:r>
          </w:p>
        </w:tc>
        <w:tc>
          <w:tcPr/>
          <w:p>
            <w:pPr>
              <w:pStyle w:val="Compact"/>
              <w:jc w:val="right"/>
            </w:pPr>
            <w:r>
              <w:t xml:space="preserve">2.4x</w:t>
            </w:r>
          </w:p>
        </w:tc>
        <w:tc>
          <w:tcPr/>
          <w:p>
            <w:pPr>
              <w:pStyle w:val="Compact"/>
              <w:jc w:val="center"/>
            </w:pPr>
            <w:r>
              <w:t xml:space="preserve">matched</w:t>
            </w:r>
          </w:p>
        </w:tc>
      </w:tr>
      <w:tr>
        <w:tc>
          <w:tcPr/>
          <w:p>
            <w:pPr>
              <w:pStyle w:val="Compact"/>
              <w:jc w:val="right"/>
            </w:pPr>
            <w:r>
              <w:t xml:space="preserve">0.5</w:t>
            </w:r>
          </w:p>
        </w:tc>
        <w:tc>
          <w:tcPr/>
          <w:p>
            <w:pPr>
              <w:pStyle w:val="Compact"/>
              <w:jc w:val="right"/>
            </w:pPr>
            <w:r>
              <w:t xml:space="preserve">1565</w:t>
            </w:r>
          </w:p>
        </w:tc>
        <w:tc>
          <w:tcPr/>
          <w:p>
            <w:pPr>
              <w:pStyle w:val="Compact"/>
              <w:jc w:val="right"/>
            </w:pPr>
            <w:r>
              <w:t xml:space="preserve">0.0027</w:t>
            </w:r>
          </w:p>
        </w:tc>
        <w:tc>
          <w:tcPr/>
          <w:p>
            <w:pPr>
              <w:pStyle w:val="Compact"/>
            </w:pPr>
            <w:r>
              <w:t xml:space="preserve">[0.0004, 0.0175]</w:t>
            </w:r>
          </w:p>
        </w:tc>
        <w:tc>
          <w:tcPr/>
          <w:p>
            <w:pPr>
              <w:pStyle w:val="Compact"/>
              <w:jc w:val="right"/>
            </w:pPr>
            <w:r>
              <w:t xml:space="preserve">2.3x</w:t>
            </w:r>
          </w:p>
        </w:tc>
        <w:tc>
          <w:tcPr/>
          <w:p>
            <w:pPr>
              <w:pStyle w:val="Compact"/>
              <w:jc w:val="center"/>
            </w:pPr>
            <w:r>
              <w:t xml:space="preserve">matched</w:t>
            </w:r>
          </w:p>
        </w:tc>
      </w:tr>
      <w:tr>
        <w:tc>
          <w:tcPr/>
          <w:p>
            <w:pPr>
              <w:pStyle w:val="Compact"/>
              <w:jc w:val="right"/>
            </w:pPr>
            <w:r>
              <w:t xml:space="preserve">1.0</w:t>
            </w:r>
          </w:p>
        </w:tc>
        <w:tc>
          <w:tcPr/>
          <w:p>
            <w:pPr>
              <w:pStyle w:val="Compact"/>
              <w:jc w:val="right"/>
            </w:pPr>
            <w:r>
              <w:t xml:space="preserve">1019</w:t>
            </w:r>
          </w:p>
        </w:tc>
        <w:tc>
          <w:tcPr/>
          <w:p>
            <w:pPr>
              <w:pStyle w:val="Compact"/>
              <w:jc w:val="right"/>
            </w:pPr>
            <w:r>
              <w:t xml:space="preserve">0.0042</w:t>
            </w:r>
          </w:p>
        </w:tc>
        <w:tc>
          <w:tcPr/>
          <w:p>
            <w:pPr>
              <w:pStyle w:val="Compact"/>
            </w:pPr>
            <w:r>
              <w:t xml:space="preserve">[0.0004, 0.0264]</w:t>
            </w:r>
          </w:p>
        </w:tc>
        <w:tc>
          <w:tcPr/>
          <w:p>
            <w:pPr>
              <w:pStyle w:val="Compact"/>
              <w:jc w:val="right"/>
            </w:pPr>
            <w:r>
              <w:t xml:space="preserve">1.5x</w:t>
            </w:r>
          </w:p>
        </w:tc>
        <w:tc>
          <w:tcPr/>
          <w:p>
            <w:pPr>
              <w:pStyle w:val="Compact"/>
              <w:jc w:val="center"/>
            </w:pPr>
            <w:r>
              <w:t xml:space="preserve">broken</w:t>
            </w:r>
          </w:p>
        </w:tc>
      </w:tr>
      <w:tr>
        <w:tc>
          <w:tcPr/>
          <w:p>
            <w:pPr>
              <w:pStyle w:val="Compact"/>
              <w:jc w:val="right"/>
            </w:pPr>
            <w:r>
              <w:t xml:space="preserve">1.5</w:t>
            </w:r>
          </w:p>
        </w:tc>
        <w:tc>
          <w:tcPr/>
          <w:p>
            <w:pPr>
              <w:pStyle w:val="Compact"/>
              <w:jc w:val="right"/>
            </w:pPr>
            <w:r>
              <w:t xml:space="preserve">669</w:t>
            </w:r>
          </w:p>
        </w:tc>
        <w:tc>
          <w:tcPr/>
          <w:p>
            <w:pPr>
              <w:pStyle w:val="Compact"/>
              <w:jc w:val="right"/>
            </w:pPr>
            <w:r>
              <w:t xml:space="preserve">0.0055</w:t>
            </w:r>
          </w:p>
        </w:tc>
        <w:tc>
          <w:tcPr/>
          <w:p>
            <w:pPr>
              <w:pStyle w:val="Compact"/>
            </w:pPr>
            <w:r>
              <w:t xml:space="preserve">[0.0006, 0.0386]</w:t>
            </w:r>
          </w:p>
        </w:tc>
        <w:tc>
          <w:tcPr/>
          <w:p>
            <w:pPr>
              <w:pStyle w:val="Compact"/>
              <w:jc w:val="right"/>
            </w:pPr>
            <w:r>
              <w:t xml:space="preserve">1.1x</w:t>
            </w:r>
          </w:p>
        </w:tc>
        <w:tc>
          <w:tcPr/>
          <w:p>
            <w:pPr>
              <w:pStyle w:val="Compact"/>
              <w:jc w:val="center"/>
            </w:pPr>
            <w:r>
              <w:t xml:space="preserve">broken</w:t>
            </w:r>
          </w:p>
        </w:tc>
      </w:tr>
      <w:tr>
        <w:tc>
          <w:tcPr/>
          <w:p>
            <w:pPr>
              <w:pStyle w:val="Compact"/>
              <w:jc w:val="right"/>
            </w:pPr>
            <w:r>
              <w:t xml:space="preserve">2.0</w:t>
            </w:r>
          </w:p>
        </w:tc>
        <w:tc>
          <w:tcPr/>
          <w:p>
            <w:pPr>
              <w:pStyle w:val="Compact"/>
              <w:jc w:val="right"/>
            </w:pPr>
            <w:r>
              <w:t xml:space="preserve">467</w:t>
            </w:r>
          </w:p>
        </w:tc>
        <w:tc>
          <w:tcPr/>
          <w:p>
            <w:pPr>
              <w:pStyle w:val="Compact"/>
              <w:jc w:val="right"/>
            </w:pPr>
            <w:r>
              <w:t xml:space="preserve">0.0075</w:t>
            </w:r>
          </w:p>
        </w:tc>
        <w:tc>
          <w:tcPr/>
          <w:p>
            <w:pPr>
              <w:pStyle w:val="Compact"/>
            </w:pPr>
            <w:r>
              <w:t xml:space="preserve">[0.0006, 0.0400]</w:t>
            </w:r>
          </w:p>
        </w:tc>
        <w:tc>
          <w:tcPr/>
          <w:p>
            <w:pPr>
              <w:pStyle w:val="Compact"/>
              <w:jc w:val="right"/>
            </w:pPr>
            <w:r>
              <w:t xml:space="preserve">0.8x</w:t>
            </w:r>
          </w:p>
        </w:tc>
        <w:tc>
          <w:tcPr/>
          <w:p>
            <w:pPr>
              <w:pStyle w:val="Compact"/>
              <w:jc w:val="center"/>
            </w:pPr>
            <w:r>
              <w:t xml:space="preserve">broken</w:t>
            </w:r>
          </w:p>
        </w:tc>
      </w:tr>
      <w:tr>
        <w:tc>
          <w:tcPr/>
          <w:p>
            <w:pPr>
              <w:pStyle w:val="Compact"/>
              <w:jc w:val="right"/>
            </w:pPr>
            <w:r>
              <w:t xml:space="preserve">3.0</w:t>
            </w:r>
          </w:p>
        </w:tc>
        <w:tc>
          <w:tcPr/>
          <w:p>
            <w:pPr>
              <w:pStyle w:val="Compact"/>
              <w:jc w:val="right"/>
            </w:pPr>
            <w:r>
              <w:t xml:space="preserve">266</w:t>
            </w:r>
          </w:p>
        </w:tc>
        <w:tc>
          <w:tcPr/>
          <w:p>
            <w:pPr>
              <w:pStyle w:val="Compact"/>
              <w:jc w:val="right"/>
            </w:pPr>
            <w:r>
              <w:t xml:space="preserve">0.0122</w:t>
            </w:r>
          </w:p>
        </w:tc>
        <w:tc>
          <w:tcPr/>
          <w:p>
            <w:pPr>
              <w:pStyle w:val="Compact"/>
            </w:pPr>
            <w:r>
              <w:t xml:space="preserve">[0.0005, 0.0695]</w:t>
            </w:r>
          </w:p>
        </w:tc>
        <w:tc>
          <w:tcPr/>
          <w:p>
            <w:pPr>
              <w:pStyle w:val="Compact"/>
              <w:jc w:val="right"/>
            </w:pPr>
            <w:r>
              <w:t xml:space="preserve">0.5x</w:t>
            </w:r>
          </w:p>
        </w:tc>
        <w:tc>
          <w:tcPr/>
          <w:p>
            <w:pPr>
              <w:pStyle w:val="Compact"/>
              <w:jc w:val="center"/>
            </w:pPr>
            <w:r>
              <w:t xml:space="preserve">broken</w:t>
            </w:r>
          </w:p>
        </w:tc>
      </w:tr>
    </w:tbl>
    <w:p>
      <w:pPr>
        <w:pStyle w:val="BodyText"/>
      </w:pPr>
      <w:r>
        <w:t xml:space="preserve">Maximum mound height in</w:t>
      </w:r>
      <w:r>
        <w:t xml:space="preserve"> </w:t>
      </w:r>
      <w:r>
        <w:rPr>
          <w:rStyle w:val="VerbatimChar"/>
        </w:rPr>
        <w:t xml:space="preserve">data/LMVData-22March2006.xls</w:t>
      </w:r>
      <w:r>
        <w:t xml:space="preserve"> </w:t>
      </w:r>
      <w:r>
        <w:t xml:space="preserve">covers 24 of the 28 assemblages and is the only size field with usable coverage. Taking population to scale with height, height squared, or height cubed implies coefficients of variation of 0.92, 1.37, and 1.78, with Morse’s corrected height for Parkin substituted as elsewhere. Across that range the shortfall runs from about 1.5-fold at a coefficient of 1.0 to the observation passed by 2.0, but the diversity match is lost from 1.0. Inequality raises differentiation, but it also lowers the harmonic mean population, which speeds drift everywhere and pulls diversity below the observed value.</w:t>
      </w:r>
    </w:p>
    <w:p>
      <w:pPr>
        <w:pStyle w:val="BodyText"/>
      </w:pPr>
      <w:r>
        <w:rPr>
          <w:b/>
          <w:bCs/>
        </w:rPr>
        <w:t xml:space="preserve">Transport geography</w:t>
      </w:r>
      <w:r>
        <w:t xml:space="preserve"> </w:t>
      </w:r>
      <w:r>
        <w:t xml:space="preserve">(</w:t>
      </w:r>
      <w:r>
        <w:rPr>
          <w:rStyle w:val="VerbatimChar"/>
        </w:rPr>
        <w:t xml:space="preserve">analyses/65_other_departures.py</w:t>
      </w:r>
      <w:r>
        <w:t xml:space="preserve">).</w:t>
      </w:r>
    </w:p>
    <w:tbl>
      <w:tblPr>
        <w:tblStyle w:val="Table"/>
        <w:tblW w:type="pct" w:w="5000"/>
        <w:tblLayout w:type="fixed"/>
        <w:tblLook w:firstRow="1" w:lastRow="0" w:firstColumn="0" w:lastColumn="0" w:noHBand="0" w:noVBand="0" w:val="0020"/>
      </w:tblPr>
      <w:tblGrid>
        <w:gridCol w:w="1250"/>
        <w:gridCol w:w="1667"/>
        <w:gridCol w:w="1250"/>
        <w:gridCol w:w="1667"/>
        <w:gridCol w:w="20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river, exponential, 6 km</w:t>
            </w:r>
          </w:p>
        </w:tc>
        <w:tc>
          <w:tcPr/>
          <w:p>
            <w:pPr>
              <w:pStyle w:val="Compact"/>
              <w:jc w:val="right"/>
            </w:pPr>
            <w:r>
              <w:t xml:space="preserve">0.0032</w:t>
            </w:r>
          </w:p>
        </w:tc>
        <w:tc>
          <w:tcPr/>
          <w:p>
            <w:pPr>
              <w:pStyle w:val="Compact"/>
            </w:pPr>
            <w:r>
              <w:t xml:space="preserve">[0.0004, 0.0220]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exponential, 12 km</w:t>
            </w:r>
          </w:p>
        </w:tc>
        <w:tc>
          <w:tcPr/>
          <w:p>
            <w:pPr>
              <w:pStyle w:val="Compact"/>
              <w:jc w:val="right"/>
            </w:pPr>
            <w:r>
              <w:t xml:space="preserve">0.0034</w:t>
            </w:r>
          </w:p>
        </w:tc>
        <w:tc>
          <w:tcPr/>
          <w:p>
            <w:pPr>
              <w:pStyle w:val="Compact"/>
            </w:pPr>
            <w:r>
              <w:t xml:space="preserve">[0.0005, 0.0170]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exponential, 24 km</w:t>
            </w:r>
          </w:p>
        </w:tc>
        <w:tc>
          <w:tcPr/>
          <w:p>
            <w:pPr>
              <w:pStyle w:val="Compact"/>
              <w:jc w:val="right"/>
            </w:pPr>
            <w:r>
              <w:t xml:space="preserve">0.0025</w:t>
            </w:r>
          </w:p>
        </w:tc>
        <w:tc>
          <w:tcPr/>
          <w:p>
            <w:pPr>
              <w:pStyle w:val="Compact"/>
            </w:pPr>
            <w:r>
              <w:t xml:space="preserve">[0.0003, 0.0125]</w:t>
            </w:r>
          </w:p>
        </w:tc>
        <w:tc>
          <w:tcPr/>
          <w:p>
            <w:pPr>
              <w:pStyle w:val="Compact"/>
              <w:jc w:val="right"/>
            </w:pPr>
            <w:r>
              <w:t xml:space="preserve">2.5x</w:t>
            </w:r>
          </w:p>
        </w:tc>
        <w:tc>
          <w:tcPr/>
          <w:p>
            <w:pPr>
              <w:pStyle w:val="Compact"/>
              <w:jc w:val="center"/>
            </w:pPr>
            <w:r>
              <w:t xml:space="preserve">matched</w:t>
            </w:r>
          </w:p>
        </w:tc>
      </w:tr>
      <w:tr>
        <w:tc>
          <w:tcPr/>
          <w:p>
            <w:pPr>
              <w:pStyle w:val="Compact"/>
            </w:pPr>
            <w:r>
              <w:t xml:space="preserve">river, exponential, 48 km</w:t>
            </w:r>
          </w:p>
        </w:tc>
        <w:tc>
          <w:tcPr/>
          <w:p>
            <w:pPr>
              <w:pStyle w:val="Compact"/>
              <w:jc w:val="right"/>
            </w:pPr>
            <w:r>
              <w:t xml:space="preserve">0.0019</w:t>
            </w:r>
          </w:p>
        </w:tc>
        <w:tc>
          <w:tcPr/>
          <w:p>
            <w:pPr>
              <w:pStyle w:val="Compact"/>
            </w:pPr>
            <w:r>
              <w:t xml:space="preserve">[0.0002, 0.0093]</w:t>
            </w:r>
          </w:p>
        </w:tc>
        <w:tc>
          <w:tcPr/>
          <w:p>
            <w:pPr>
              <w:pStyle w:val="Compact"/>
              <w:jc w:val="right"/>
            </w:pPr>
            <w:r>
              <w:t xml:space="preserve">3.3x</w:t>
            </w:r>
          </w:p>
        </w:tc>
        <w:tc>
          <w:tcPr/>
          <w:p>
            <w:pPr>
              <w:pStyle w:val="Compact"/>
              <w:jc w:val="center"/>
            </w:pPr>
            <w:r>
              <w:t xml:space="preserve">matched</w:t>
            </w:r>
          </w:p>
        </w:tc>
      </w:tr>
      <w:tr>
        <w:tc>
          <w:tcPr/>
          <w:p>
            <w:pPr>
              <w:pStyle w:val="Compact"/>
            </w:pPr>
            <w:r>
              <w:t xml:space="preserve">river, exponential, 96 km</w:t>
            </w:r>
          </w:p>
        </w:tc>
        <w:tc>
          <w:tcPr/>
          <w:p>
            <w:pPr>
              <w:pStyle w:val="Compact"/>
              <w:jc w:val="right"/>
            </w:pPr>
            <w:r>
              <w:t xml:space="preserve">0.0015</w:t>
            </w:r>
          </w:p>
        </w:tc>
        <w:tc>
          <w:tcPr/>
          <w:p>
            <w:pPr>
              <w:pStyle w:val="Compact"/>
            </w:pPr>
            <w:r>
              <w:t xml:space="preserve">[0.0002, 0.0086]</w:t>
            </w:r>
          </w:p>
        </w:tc>
        <w:tc>
          <w:tcPr/>
          <w:p>
            <w:pPr>
              <w:pStyle w:val="Compact"/>
              <w:jc w:val="right"/>
            </w:pPr>
            <w:r>
              <w:t xml:space="preserve">4.2x</w:t>
            </w:r>
          </w:p>
        </w:tc>
        <w:tc>
          <w:tcPr/>
          <w:p>
            <w:pPr>
              <w:pStyle w:val="Compact"/>
              <w:jc w:val="center"/>
            </w:pPr>
            <w:r>
              <w:t xml:space="preserve">matched</w:t>
            </w:r>
          </w:p>
        </w:tc>
      </w:tr>
      <w:tr>
        <w:tc>
          <w:tcPr/>
          <w:p>
            <w:pPr>
              <w:pStyle w:val="Compact"/>
            </w:pPr>
            <w:r>
              <w:t xml:space="preserve">straight-line, exponential, 6 km</w:t>
            </w:r>
          </w:p>
        </w:tc>
        <w:tc>
          <w:tcPr/>
          <w:p>
            <w:pPr>
              <w:pStyle w:val="Compact"/>
              <w:jc w:val="right"/>
            </w:pPr>
            <w:r>
              <w:t xml:space="preserve">0.0030</w:t>
            </w:r>
          </w:p>
        </w:tc>
        <w:tc>
          <w:tcPr/>
          <w:p>
            <w:pPr>
              <w:pStyle w:val="Compact"/>
            </w:pPr>
            <w:r>
              <w:t xml:space="preserve">[0.0003, 0.0174]</w:t>
            </w:r>
          </w:p>
        </w:tc>
        <w:tc>
          <w:tcPr/>
          <w:p>
            <w:pPr>
              <w:pStyle w:val="Compact"/>
              <w:jc w:val="right"/>
            </w:pPr>
            <w:r>
              <w:t xml:space="preserve">2.1x</w:t>
            </w:r>
          </w:p>
        </w:tc>
        <w:tc>
          <w:tcPr/>
          <w:p>
            <w:pPr>
              <w:pStyle w:val="Compact"/>
              <w:jc w:val="center"/>
            </w:pPr>
            <w:r>
              <w:t xml:space="preserve">matched</w:t>
            </w:r>
          </w:p>
        </w:tc>
      </w:tr>
      <w:tr>
        <w:tc>
          <w:tcPr/>
          <w:p>
            <w:pPr>
              <w:pStyle w:val="Compact"/>
            </w:pPr>
            <w:r>
              <w:t xml:space="preserve">straight-line, exponential, 12 km</w:t>
            </w:r>
          </w:p>
        </w:tc>
        <w:tc>
          <w:tcPr/>
          <w:p>
            <w:pPr>
              <w:pStyle w:val="Compact"/>
              <w:jc w:val="right"/>
            </w:pPr>
            <w:r>
              <w:t xml:space="preserve">0.0020</w:t>
            </w:r>
          </w:p>
        </w:tc>
        <w:tc>
          <w:tcPr/>
          <w:p>
            <w:pPr>
              <w:pStyle w:val="Compact"/>
            </w:pPr>
            <w:r>
              <w:t xml:space="preserve">[0.0002, 0.0118]</w:t>
            </w:r>
          </w:p>
        </w:tc>
        <w:tc>
          <w:tcPr/>
          <w:p>
            <w:pPr>
              <w:pStyle w:val="Compact"/>
              <w:jc w:val="right"/>
            </w:pPr>
            <w:r>
              <w:t xml:space="preserve">3.1x</w:t>
            </w:r>
          </w:p>
        </w:tc>
        <w:tc>
          <w:tcPr/>
          <w:p>
            <w:pPr>
              <w:pStyle w:val="Compact"/>
              <w:jc w:val="center"/>
            </w:pPr>
            <w:r>
              <w:t xml:space="preserve">matched</w:t>
            </w:r>
          </w:p>
        </w:tc>
      </w:tr>
      <w:tr>
        <w:tc>
          <w:tcPr/>
          <w:p>
            <w:pPr>
              <w:pStyle w:val="Compact"/>
            </w:pPr>
            <w:r>
              <w:t xml:space="preserve">straight-line, exponential, 24 km</w:t>
            </w:r>
          </w:p>
        </w:tc>
        <w:tc>
          <w:tcPr/>
          <w:p>
            <w:pPr>
              <w:pStyle w:val="Compact"/>
              <w:jc w:val="right"/>
            </w:pPr>
            <w:r>
              <w:t xml:space="preserve">0.0015</w:t>
            </w:r>
          </w:p>
        </w:tc>
        <w:tc>
          <w:tcPr/>
          <w:p>
            <w:pPr>
              <w:pStyle w:val="Compact"/>
            </w:pPr>
            <w:r>
              <w:t xml:space="preserve">[0.0002, 0.0088]</w:t>
            </w:r>
          </w:p>
        </w:tc>
        <w:tc>
          <w:tcPr/>
          <w:p>
            <w:pPr>
              <w:pStyle w:val="Compact"/>
              <w:jc w:val="right"/>
            </w:pPr>
            <w:r>
              <w:t xml:space="preserve">4.1x</w:t>
            </w:r>
          </w:p>
        </w:tc>
        <w:tc>
          <w:tcPr/>
          <w:p>
            <w:pPr>
              <w:pStyle w:val="Compact"/>
              <w:jc w:val="center"/>
            </w:pPr>
            <w:r>
              <w:t xml:space="preserve">matched</w:t>
            </w:r>
          </w:p>
        </w:tc>
      </w:tr>
      <w:tr>
        <w:tc>
          <w:tcPr/>
          <w:p>
            <w:pPr>
              <w:pStyle w:val="Compact"/>
            </w:pPr>
            <w:r>
              <w:t xml:space="preserve">straight-line, exponential, 48 km</w:t>
            </w:r>
          </w:p>
        </w:tc>
        <w:tc>
          <w:tcPr/>
          <w:p>
            <w:pPr>
              <w:pStyle w:val="Compact"/>
              <w:jc w:val="right"/>
            </w:pPr>
            <w:r>
              <w:t xml:space="preserve">0.0013</w:t>
            </w:r>
          </w:p>
        </w:tc>
        <w:tc>
          <w:tcPr/>
          <w:p>
            <w:pPr>
              <w:pStyle w:val="Compact"/>
            </w:pPr>
            <w:r>
              <w:t xml:space="preserve">[0.0002, 0.0083]</w:t>
            </w:r>
          </w:p>
        </w:tc>
        <w:tc>
          <w:tcPr/>
          <w:p>
            <w:pPr>
              <w:pStyle w:val="Compact"/>
              <w:jc w:val="right"/>
            </w:pPr>
            <w:r>
              <w:t xml:space="preserve">4.8x</w:t>
            </w:r>
          </w:p>
        </w:tc>
        <w:tc>
          <w:tcPr/>
          <w:p>
            <w:pPr>
              <w:pStyle w:val="Compact"/>
              <w:jc w:val="center"/>
            </w:pPr>
            <w:r>
              <w:t xml:space="preserve">matched</w:t>
            </w:r>
          </w:p>
        </w:tc>
      </w:tr>
      <w:tr>
        <w:tc>
          <w:tcPr/>
          <w:p>
            <w:pPr>
              <w:pStyle w:val="Compact"/>
            </w:pPr>
            <w:r>
              <w:t xml:space="preserve">straight-line, exponential, 96 km</w:t>
            </w:r>
          </w:p>
        </w:tc>
        <w:tc>
          <w:tcPr/>
          <w:p>
            <w:pPr>
              <w:pStyle w:val="Compact"/>
              <w:jc w:val="right"/>
            </w:pPr>
            <w:r>
              <w:t xml:space="preserve">0.0012</w:t>
            </w:r>
          </w:p>
        </w:tc>
        <w:tc>
          <w:tcPr/>
          <w:p>
            <w:pPr>
              <w:pStyle w:val="Compact"/>
            </w:pPr>
            <w:r>
              <w:t xml:space="preserve">[0.0001, 0.0076]</w:t>
            </w:r>
          </w:p>
        </w:tc>
        <w:tc>
          <w:tcPr/>
          <w:p>
            <w:pPr>
              <w:pStyle w:val="Compact"/>
              <w:jc w:val="right"/>
            </w:pPr>
            <w:r>
              <w:t xml:space="preserve">5.1x</w:t>
            </w:r>
          </w:p>
        </w:tc>
        <w:tc>
          <w:tcPr/>
          <w:p>
            <w:pPr>
              <w:pStyle w:val="Compact"/>
              <w:jc w:val="center"/>
            </w:pPr>
            <w:r>
              <w:t xml:space="preserve">matched</w:t>
            </w:r>
          </w:p>
        </w:tc>
      </w:tr>
      <w:tr>
        <w:tc>
          <w:tcPr/>
          <w:p>
            <w:pPr>
              <w:pStyle w:val="Compact"/>
            </w:pPr>
            <w:r>
              <w:t xml:space="preserve">river, gaussian, 6 km</w:t>
            </w:r>
          </w:p>
        </w:tc>
        <w:tc>
          <w:tcPr/>
          <w:p>
            <w:pPr>
              <w:pStyle w:val="Compact"/>
              <w:jc w:val="right"/>
            </w:pPr>
            <w:r>
              <w:t xml:space="preserve">0.0041</w:t>
            </w:r>
          </w:p>
        </w:tc>
        <w:tc>
          <w:tcPr/>
          <w:p>
            <w:pPr>
              <w:pStyle w:val="Compact"/>
            </w:pPr>
            <w:r>
              <w:t xml:space="preserve">[0.0003, 0.0200]</w:t>
            </w:r>
          </w:p>
        </w:tc>
        <w:tc>
          <w:tcPr/>
          <w:p>
            <w:pPr>
              <w:pStyle w:val="Compact"/>
              <w:jc w:val="right"/>
            </w:pPr>
            <w:r>
              <w:t xml:space="preserve">1.5x</w:t>
            </w:r>
          </w:p>
        </w:tc>
        <w:tc>
          <w:tcPr/>
          <w:p>
            <w:pPr>
              <w:pStyle w:val="Compact"/>
              <w:jc w:val="center"/>
            </w:pPr>
            <w:r>
              <w:t xml:space="preserve">broken</w:t>
            </w:r>
          </w:p>
        </w:tc>
      </w:tr>
      <w:tr>
        <w:tc>
          <w:tcPr/>
          <w:p>
            <w:pPr>
              <w:pStyle w:val="Compact"/>
            </w:pPr>
            <w:r>
              <w:t xml:space="preserve">river, gaussian, 12 km</w:t>
            </w:r>
          </w:p>
        </w:tc>
        <w:tc>
          <w:tcPr/>
          <w:p>
            <w:pPr>
              <w:pStyle w:val="Compact"/>
              <w:jc w:val="right"/>
            </w:pPr>
            <w:r>
              <w:t xml:space="preserve">0.0034</w:t>
            </w:r>
          </w:p>
        </w:tc>
        <w:tc>
          <w:tcPr/>
          <w:p>
            <w:pPr>
              <w:pStyle w:val="Compact"/>
            </w:pPr>
            <w:r>
              <w:t xml:space="preserve">[0.0004, 0.0193]</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gaussian, 24 km</w:t>
            </w:r>
          </w:p>
        </w:tc>
        <w:tc>
          <w:tcPr/>
          <w:p>
            <w:pPr>
              <w:pStyle w:val="Compact"/>
              <w:jc w:val="right"/>
            </w:pPr>
            <w:r>
              <w:t xml:space="preserve">0.0033</w:t>
            </w:r>
          </w:p>
        </w:tc>
        <w:tc>
          <w:tcPr/>
          <w:p>
            <w:pPr>
              <w:pStyle w:val="Compact"/>
            </w:pPr>
            <w:r>
              <w:t xml:space="preserve">[0.0003, 0.0220]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gaussian, 48 km</w:t>
            </w:r>
          </w:p>
        </w:tc>
        <w:tc>
          <w:tcPr/>
          <w:p>
            <w:pPr>
              <w:pStyle w:val="Compact"/>
              <w:jc w:val="right"/>
            </w:pPr>
            <w:r>
              <w:t xml:space="preserve">0.0030</w:t>
            </w:r>
          </w:p>
        </w:tc>
        <w:tc>
          <w:tcPr/>
          <w:p>
            <w:pPr>
              <w:pStyle w:val="Compact"/>
            </w:pPr>
            <w:r>
              <w:t xml:space="preserve">[0.0003, 0.0115]</w:t>
            </w:r>
          </w:p>
        </w:tc>
        <w:tc>
          <w:tcPr/>
          <w:p>
            <w:pPr>
              <w:pStyle w:val="Compact"/>
              <w:jc w:val="right"/>
            </w:pPr>
            <w:r>
              <w:t xml:space="preserve">2.1x</w:t>
            </w:r>
          </w:p>
        </w:tc>
        <w:tc>
          <w:tcPr/>
          <w:p>
            <w:pPr>
              <w:pStyle w:val="Compact"/>
              <w:jc w:val="center"/>
            </w:pPr>
            <w:r>
              <w:t xml:space="preserve">matched</w:t>
            </w:r>
          </w:p>
        </w:tc>
      </w:tr>
      <w:tr>
        <w:tc>
          <w:tcPr/>
          <w:p>
            <w:pPr>
              <w:pStyle w:val="Compact"/>
            </w:pPr>
            <w:r>
              <w:t xml:space="preserve">river, gaussian, 96 km</w:t>
            </w:r>
          </w:p>
        </w:tc>
        <w:tc>
          <w:tcPr/>
          <w:p>
            <w:pPr>
              <w:pStyle w:val="Compact"/>
              <w:jc w:val="right"/>
            </w:pPr>
            <w:r>
              <w:t xml:space="preserve">0.0017</w:t>
            </w:r>
          </w:p>
        </w:tc>
        <w:tc>
          <w:tcPr/>
          <w:p>
            <w:pPr>
              <w:pStyle w:val="Compact"/>
            </w:pPr>
            <w:r>
              <w:t xml:space="preserve">[0.0001, 0.0115]</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river, power, 6 km</w:t>
            </w:r>
          </w:p>
        </w:tc>
        <w:tc>
          <w:tcPr/>
          <w:p>
            <w:pPr>
              <w:pStyle w:val="Compact"/>
              <w:jc w:val="right"/>
            </w:pPr>
            <w:r>
              <w:t xml:space="preserve">0.0027</w:t>
            </w:r>
          </w:p>
        </w:tc>
        <w:tc>
          <w:tcPr/>
          <w:p>
            <w:pPr>
              <w:pStyle w:val="Compact"/>
            </w:pPr>
            <w:r>
              <w:t xml:space="preserve">[0.0003, 0.0154]</w:t>
            </w:r>
          </w:p>
        </w:tc>
        <w:tc>
          <w:tcPr/>
          <w:p>
            <w:pPr>
              <w:pStyle w:val="Compact"/>
              <w:jc w:val="right"/>
            </w:pPr>
            <w:r>
              <w:t xml:space="preserve">2.3x</w:t>
            </w:r>
          </w:p>
        </w:tc>
        <w:tc>
          <w:tcPr/>
          <w:p>
            <w:pPr>
              <w:pStyle w:val="Compact"/>
              <w:jc w:val="center"/>
            </w:pPr>
            <w:r>
              <w:t xml:space="preserve">matched</w:t>
            </w:r>
          </w:p>
        </w:tc>
      </w:tr>
      <w:tr>
        <w:tc>
          <w:tcPr/>
          <w:p>
            <w:pPr>
              <w:pStyle w:val="Compact"/>
            </w:pPr>
            <w:r>
              <w:t xml:space="preserve">river, power, 12 km</w:t>
            </w:r>
          </w:p>
        </w:tc>
        <w:tc>
          <w:tcPr/>
          <w:p>
            <w:pPr>
              <w:pStyle w:val="Compact"/>
              <w:jc w:val="right"/>
            </w:pPr>
            <w:r>
              <w:t xml:space="preserve">0.0021</w:t>
            </w:r>
          </w:p>
        </w:tc>
        <w:tc>
          <w:tcPr/>
          <w:p>
            <w:pPr>
              <w:pStyle w:val="Compact"/>
            </w:pPr>
            <w:r>
              <w:t xml:space="preserve">[0.0002, 0.0133]</w:t>
            </w:r>
          </w:p>
        </w:tc>
        <w:tc>
          <w:tcPr/>
          <w:p>
            <w:pPr>
              <w:pStyle w:val="Compact"/>
              <w:jc w:val="right"/>
            </w:pPr>
            <w:r>
              <w:t xml:space="preserve">2.9x</w:t>
            </w:r>
          </w:p>
        </w:tc>
        <w:tc>
          <w:tcPr/>
          <w:p>
            <w:pPr>
              <w:pStyle w:val="Compact"/>
              <w:jc w:val="center"/>
            </w:pPr>
            <w:r>
              <w:t xml:space="preserve">matched</w:t>
            </w:r>
          </w:p>
        </w:tc>
      </w:tr>
      <w:tr>
        <w:tc>
          <w:tcPr/>
          <w:p>
            <w:pPr>
              <w:pStyle w:val="Compact"/>
            </w:pPr>
            <w:r>
              <w:t xml:space="preserve">river, power, 24 km</w:t>
            </w:r>
          </w:p>
        </w:tc>
        <w:tc>
          <w:tcPr/>
          <w:p>
            <w:pPr>
              <w:pStyle w:val="Compact"/>
              <w:jc w:val="right"/>
            </w:pPr>
            <w:r>
              <w:t xml:space="preserve">0.0020</w:t>
            </w:r>
          </w:p>
        </w:tc>
        <w:tc>
          <w:tcPr/>
          <w:p>
            <w:pPr>
              <w:pStyle w:val="Compact"/>
            </w:pPr>
            <w:r>
              <w:t xml:space="preserve">[0.0003, 0.0089]</w:t>
            </w:r>
          </w:p>
        </w:tc>
        <w:tc>
          <w:tcPr/>
          <w:p>
            <w:pPr>
              <w:pStyle w:val="Compact"/>
              <w:jc w:val="right"/>
            </w:pPr>
            <w:r>
              <w:t xml:space="preserve">3.1x</w:t>
            </w:r>
          </w:p>
        </w:tc>
        <w:tc>
          <w:tcPr/>
          <w:p>
            <w:pPr>
              <w:pStyle w:val="Compact"/>
              <w:jc w:val="center"/>
            </w:pPr>
            <w:r>
              <w:t xml:space="preserve">matched</w:t>
            </w:r>
          </w:p>
        </w:tc>
      </w:tr>
      <w:tr>
        <w:tc>
          <w:tcPr/>
          <w:p>
            <w:pPr>
              <w:pStyle w:val="Compact"/>
            </w:pPr>
            <w:r>
              <w:t xml:space="preserve">river, power, 48 km</w:t>
            </w:r>
          </w:p>
        </w:tc>
        <w:tc>
          <w:tcPr/>
          <w:p>
            <w:pPr>
              <w:pStyle w:val="Compact"/>
              <w:jc w:val="right"/>
            </w:pPr>
            <w:r>
              <w:t xml:space="preserve">0.0017</w:t>
            </w:r>
          </w:p>
        </w:tc>
        <w:tc>
          <w:tcPr/>
          <w:p>
            <w:pPr>
              <w:pStyle w:val="Compact"/>
            </w:pPr>
            <w:r>
              <w:t xml:space="preserve">[0.0002, 0.0084]</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river, power, 96 km</w:t>
            </w:r>
          </w:p>
        </w:tc>
        <w:tc>
          <w:tcPr/>
          <w:p>
            <w:pPr>
              <w:pStyle w:val="Compact"/>
              <w:jc w:val="right"/>
            </w:pPr>
            <w:r>
              <w:t xml:space="preserve">0.0014</w:t>
            </w:r>
          </w:p>
        </w:tc>
        <w:tc>
          <w:tcPr/>
          <w:p>
            <w:pPr>
              <w:pStyle w:val="Compact"/>
            </w:pPr>
            <w:r>
              <w:t xml:space="preserve">[0.0001, 0.0070]</w:t>
            </w:r>
          </w:p>
        </w:tc>
        <w:tc>
          <w:tcPr/>
          <w:p>
            <w:pPr>
              <w:pStyle w:val="Compact"/>
              <w:jc w:val="right"/>
            </w:pPr>
            <w:r>
              <w:t xml:space="preserve">4.3x</w:t>
            </w:r>
          </w:p>
        </w:tc>
        <w:tc>
          <w:tcPr/>
          <w:p>
            <w:pPr>
              <w:pStyle w:val="Compact"/>
              <w:jc w:val="center"/>
            </w:pPr>
            <w:r>
              <w:t xml:space="preserve">matched</w:t>
            </w:r>
          </w:p>
        </w:tc>
      </w:tr>
    </w:tbl>
    <w:p>
      <w:pPr>
        <w:pStyle w:val="BodyText"/>
      </w:pPr>
      <w:r>
        <w:t xml:space="preserve">These runs vary the distance measure, the interaction length, and the</w:t>
      </w:r>
      <w:r>
        <w:t xml:space="preserve"> </w:t>
      </w:r>
      <w:r>
        <w:rPr>
          <w:i/>
          <w:iCs/>
        </w:rPr>
        <w:t xml:space="preserve">shape</w:t>
      </w:r>
      <w:r>
        <w:t xml:space="preserve"> </w:t>
      </w:r>
      <w:r>
        <w:t xml:space="preserve">of the fade, since an exponential fall-off is an assumption rather than a measurement. A Gaussian fade isolates distant sites about eleven times more than an exponential at the same length and narrows the shortfall to 1.5, but breaks the diversity match; the best matched setting, a straight-line exponential fade at 6 km, reaches 2.1. No measure, length, or shape moves the median by more than a few thousandths while diversity stays matched, and a power-law fade, with its heavier tail, does no better anywhere.</w:t>
      </w:r>
    </w:p>
    <w:p>
      <w:pPr>
        <w:pStyle w:val="BodyText"/>
      </w:pPr>
      <w:r>
        <w:rPr>
          <w:b/>
          <w:bCs/>
        </w:rPr>
        <w:t xml:space="preserve">Unequal accumulation spans</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window 8 +/- 0</w:t>
            </w:r>
          </w:p>
        </w:tc>
        <w:tc>
          <w:tcPr/>
          <w:p>
            <w:pPr>
              <w:pStyle w:val="Compact"/>
              <w:jc w:val="right"/>
            </w:pPr>
            <w:r>
              <w:t xml:space="preserve">0.0025</w:t>
            </w:r>
          </w:p>
        </w:tc>
        <w:tc>
          <w:tcPr/>
          <w:p>
            <w:pPr>
              <w:pStyle w:val="Compact"/>
            </w:pPr>
            <w:r>
              <w:t xml:space="preserve">[0.0003, 0.0125]</w:t>
            </w:r>
          </w:p>
        </w:tc>
        <w:tc>
          <w:tcPr/>
          <w:p>
            <w:pPr>
              <w:pStyle w:val="Compact"/>
              <w:jc w:val="right"/>
            </w:pPr>
            <w:r>
              <w:t xml:space="preserve">2.5x</w:t>
            </w:r>
          </w:p>
        </w:tc>
        <w:tc>
          <w:tcPr/>
          <w:p>
            <w:pPr>
              <w:pStyle w:val="Compact"/>
              <w:jc w:val="center"/>
            </w:pPr>
            <w:r>
              <w:t xml:space="preserve">matched</w:t>
            </w:r>
          </w:p>
        </w:tc>
      </w:tr>
      <w:tr>
        <w:tc>
          <w:tcPr/>
          <w:p>
            <w:pPr>
              <w:pStyle w:val="Compact"/>
            </w:pPr>
            <w:r>
              <w:t xml:space="preserve">window 8 +/- 2</w:t>
            </w:r>
          </w:p>
        </w:tc>
        <w:tc>
          <w:tcPr/>
          <w:p>
            <w:pPr>
              <w:pStyle w:val="Compact"/>
              <w:jc w:val="right"/>
            </w:pPr>
            <w:r>
              <w:t xml:space="preserve">0.0023</w:t>
            </w:r>
          </w:p>
        </w:tc>
        <w:tc>
          <w:tcPr/>
          <w:p>
            <w:pPr>
              <w:pStyle w:val="Compact"/>
            </w:pPr>
            <w:r>
              <w:t xml:space="preserve">[0.0003, 0.0139]</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window 8 +/- 4</w:t>
            </w:r>
          </w:p>
        </w:tc>
        <w:tc>
          <w:tcPr/>
          <w:p>
            <w:pPr>
              <w:pStyle w:val="Compact"/>
              <w:jc w:val="right"/>
            </w:pPr>
            <w:r>
              <w:t xml:space="preserve">0.0026</w:t>
            </w:r>
          </w:p>
        </w:tc>
        <w:tc>
          <w:tcPr/>
          <w:p>
            <w:pPr>
              <w:pStyle w:val="Compact"/>
            </w:pPr>
            <w:r>
              <w:t xml:space="preserve">[0.0002, 0.0135]</w:t>
            </w:r>
          </w:p>
        </w:tc>
        <w:tc>
          <w:tcPr/>
          <w:p>
            <w:pPr>
              <w:pStyle w:val="Compact"/>
              <w:jc w:val="right"/>
            </w:pPr>
            <w:r>
              <w:t xml:space="preserve">2.4x</w:t>
            </w:r>
          </w:p>
        </w:tc>
        <w:tc>
          <w:tcPr/>
          <w:p>
            <w:pPr>
              <w:pStyle w:val="Compact"/>
              <w:jc w:val="center"/>
            </w:pPr>
            <w:r>
              <w:t xml:space="preserve">matched</w:t>
            </w:r>
          </w:p>
        </w:tc>
      </w:tr>
      <w:tr>
        <w:tc>
          <w:tcPr/>
          <w:p>
            <w:pPr>
              <w:pStyle w:val="Compact"/>
            </w:pPr>
            <w:r>
              <w:t xml:space="preserve">window 8 +/- 6</w:t>
            </w:r>
          </w:p>
        </w:tc>
        <w:tc>
          <w:tcPr/>
          <w:p>
            <w:pPr>
              <w:pStyle w:val="Compact"/>
              <w:jc w:val="right"/>
            </w:pPr>
            <w:r>
              <w:t xml:space="preserve">0.0024</w:t>
            </w:r>
          </w:p>
        </w:tc>
        <w:tc>
          <w:tcPr/>
          <w:p>
            <w:pPr>
              <w:pStyle w:val="Compact"/>
            </w:pPr>
            <w:r>
              <w:t xml:space="preserve">[0.0002, 0.0139]</w:t>
            </w:r>
          </w:p>
        </w:tc>
        <w:tc>
          <w:tcPr/>
          <w:p>
            <w:pPr>
              <w:pStyle w:val="Compact"/>
              <w:jc w:val="right"/>
            </w:pPr>
            <w:r>
              <w:t xml:space="preserve">2.6x</w:t>
            </w:r>
          </w:p>
        </w:tc>
        <w:tc>
          <w:tcPr/>
          <w:p>
            <w:pPr>
              <w:pStyle w:val="Compact"/>
              <w:jc w:val="center"/>
            </w:pPr>
            <w:r>
              <w:t xml:space="preserve">matched</w:t>
            </w:r>
          </w:p>
        </w:tc>
      </w:tr>
    </w:tbl>
    <w:p>
      <w:pPr>
        <w:pStyle w:val="BodyText"/>
      </w:pPr>
      <w:r>
        <w:rPr>
          <w:b/>
          <w:bCs/>
        </w:rPr>
        <w:t xml:space="preserve">An innovation boundary</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boundary strength 0.0</w:t>
            </w:r>
          </w:p>
        </w:tc>
        <w:tc>
          <w:tcPr/>
          <w:p>
            <w:pPr>
              <w:pStyle w:val="Compact"/>
              <w:jc w:val="right"/>
            </w:pPr>
            <w:r>
              <w:t xml:space="preserve">0.0023</w:t>
            </w:r>
          </w:p>
        </w:tc>
        <w:tc>
          <w:tcPr/>
          <w:p>
            <w:pPr>
              <w:pStyle w:val="Compact"/>
            </w:pPr>
            <w:r>
              <w:t xml:space="preserve">[0.0003, 0.0136]</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boundary strength 0.1</w:t>
            </w:r>
          </w:p>
        </w:tc>
        <w:tc>
          <w:tcPr/>
          <w:p>
            <w:pPr>
              <w:pStyle w:val="Compact"/>
              <w:jc w:val="right"/>
            </w:pPr>
            <w:r>
              <w:t xml:space="preserve">0.0032</w:t>
            </w:r>
          </w:p>
        </w:tc>
        <w:tc>
          <w:tcPr/>
          <w:p>
            <w:pPr>
              <w:pStyle w:val="Compact"/>
            </w:pPr>
            <w:r>
              <w:t xml:space="preserve">[0.0003, 0.1331]</w:t>
            </w:r>
          </w:p>
        </w:tc>
        <w:tc>
          <w:tcPr/>
          <w:p>
            <w:pPr>
              <w:pStyle w:val="Compact"/>
              <w:jc w:val="right"/>
            </w:pPr>
            <w:r>
              <w:t xml:space="preserve">2.0x</w:t>
            </w:r>
          </w:p>
        </w:tc>
        <w:tc>
          <w:tcPr/>
          <w:p>
            <w:pPr>
              <w:pStyle w:val="Compact"/>
              <w:jc w:val="center"/>
            </w:pPr>
            <w:r>
              <w:t xml:space="preserve">matched</w:t>
            </w:r>
          </w:p>
        </w:tc>
      </w:tr>
      <w:tr>
        <w:tc>
          <w:tcPr/>
          <w:p>
            <w:pPr>
              <w:pStyle w:val="Compact"/>
            </w:pPr>
            <w:r>
              <w:t xml:space="preserve">boundary strength 0.15</w:t>
            </w:r>
          </w:p>
        </w:tc>
        <w:tc>
          <w:tcPr/>
          <w:p>
            <w:pPr>
              <w:pStyle w:val="Compact"/>
              <w:jc w:val="right"/>
            </w:pPr>
            <w:r>
              <w:t xml:space="preserve">0.0040</w:t>
            </w:r>
          </w:p>
        </w:tc>
        <w:tc>
          <w:tcPr/>
          <w:p>
            <w:pPr>
              <w:pStyle w:val="Compact"/>
            </w:pPr>
            <w:r>
              <w:t xml:space="preserve">[0.0004, 0.1414]</w:t>
            </w:r>
          </w:p>
        </w:tc>
        <w:tc>
          <w:tcPr/>
          <w:p>
            <w:pPr>
              <w:pStyle w:val="Compact"/>
              <w:jc w:val="right"/>
            </w:pPr>
            <w:r>
              <w:t xml:space="preserve">1.6x</w:t>
            </w:r>
          </w:p>
        </w:tc>
        <w:tc>
          <w:tcPr/>
          <w:p>
            <w:pPr>
              <w:pStyle w:val="Compact"/>
              <w:jc w:val="center"/>
            </w:pPr>
            <w:r>
              <w:t xml:space="preserve">matched</w:t>
            </w:r>
          </w:p>
        </w:tc>
      </w:tr>
      <w:tr>
        <w:tc>
          <w:tcPr/>
          <w:p>
            <w:pPr>
              <w:pStyle w:val="Compact"/>
            </w:pPr>
            <w:r>
              <w:t xml:space="preserve">boundary strength 0.2</w:t>
            </w:r>
          </w:p>
        </w:tc>
        <w:tc>
          <w:tcPr/>
          <w:p>
            <w:pPr>
              <w:pStyle w:val="Compact"/>
              <w:jc w:val="right"/>
            </w:pPr>
            <w:r>
              <w:t xml:space="preserve">0.0059</w:t>
            </w:r>
          </w:p>
        </w:tc>
        <w:tc>
          <w:tcPr/>
          <w:p>
            <w:pPr>
              <w:pStyle w:val="Compact"/>
            </w:pPr>
            <w:r>
              <w:t xml:space="preserve">[0.0004, 0.1558]</w:t>
            </w:r>
          </w:p>
        </w:tc>
        <w:tc>
          <w:tcPr/>
          <w:p>
            <w:pPr>
              <w:pStyle w:val="Compact"/>
              <w:jc w:val="right"/>
            </w:pPr>
            <w:r>
              <w:t xml:space="preserve">1.1x</w:t>
            </w:r>
          </w:p>
        </w:tc>
        <w:tc>
          <w:tcPr/>
          <w:p>
            <w:pPr>
              <w:pStyle w:val="Compact"/>
              <w:jc w:val="center"/>
            </w:pPr>
            <w:r>
              <w:t xml:space="preserve">matched</w:t>
            </w:r>
          </w:p>
        </w:tc>
      </w:tr>
      <w:tr>
        <w:tc>
          <w:tcPr/>
          <w:p>
            <w:pPr>
              <w:pStyle w:val="Compact"/>
            </w:pPr>
            <w:r>
              <w:t xml:space="preserve">boundary strength 0.25</w:t>
            </w:r>
          </w:p>
        </w:tc>
        <w:tc>
          <w:tcPr/>
          <w:p>
            <w:pPr>
              <w:pStyle w:val="Compact"/>
              <w:jc w:val="right"/>
            </w:pPr>
            <w:r>
              <w:t xml:space="preserve">0.0125</w:t>
            </w:r>
          </w:p>
        </w:tc>
        <w:tc>
          <w:tcPr/>
          <w:p>
            <w:pPr>
              <w:pStyle w:val="Compact"/>
            </w:pPr>
            <w:r>
              <w:t xml:space="preserve">[0.0004, 0.1618]</w:t>
            </w:r>
          </w:p>
        </w:tc>
        <w:tc>
          <w:tcPr/>
          <w:p>
            <w:pPr>
              <w:pStyle w:val="Compact"/>
              <w:jc w:val="right"/>
            </w:pPr>
            <w:r>
              <w:t xml:space="preserve">0.5x</w:t>
            </w:r>
          </w:p>
        </w:tc>
        <w:tc>
          <w:tcPr/>
          <w:p>
            <w:pPr>
              <w:pStyle w:val="Compact"/>
              <w:jc w:val="center"/>
            </w:pPr>
            <w:r>
              <w:t xml:space="preserve">matched</w:t>
            </w:r>
          </w:p>
        </w:tc>
      </w:tr>
      <w:tr>
        <w:tc>
          <w:tcPr/>
          <w:p>
            <w:pPr>
              <w:pStyle w:val="Compact"/>
            </w:pPr>
            <w:r>
              <w:t xml:space="preserve">boundary strength 0.3</w:t>
            </w:r>
          </w:p>
        </w:tc>
        <w:tc>
          <w:tcPr/>
          <w:p>
            <w:pPr>
              <w:pStyle w:val="Compact"/>
              <w:jc w:val="right"/>
            </w:pPr>
            <w:r>
              <w:t xml:space="preserve">0.0447</w:t>
            </w:r>
          </w:p>
        </w:tc>
        <w:tc>
          <w:tcPr/>
          <w:p>
            <w:pPr>
              <w:pStyle w:val="Compact"/>
            </w:pPr>
            <w:r>
              <w:t xml:space="preserve">[0.0006, 0.1672]</w:t>
            </w:r>
          </w:p>
        </w:tc>
        <w:tc>
          <w:tcPr/>
          <w:p>
            <w:pPr>
              <w:pStyle w:val="Compact"/>
              <w:jc w:val="right"/>
            </w:pPr>
            <w:r>
              <w:t xml:space="preserve">0.1x</w:t>
            </w:r>
          </w:p>
        </w:tc>
        <w:tc>
          <w:tcPr/>
          <w:p>
            <w:pPr>
              <w:pStyle w:val="Compact"/>
              <w:jc w:val="center"/>
            </w:pPr>
            <w:r>
              <w:t xml:space="preserve">matched</w:t>
            </w:r>
          </w:p>
        </w:tc>
      </w:tr>
      <w:tr>
        <w:tc>
          <w:tcPr/>
          <w:p>
            <w:pPr>
              <w:pStyle w:val="Compact"/>
            </w:pPr>
            <w:r>
              <w:t xml:space="preserve">boundary strength 0.4</w:t>
            </w:r>
          </w:p>
        </w:tc>
        <w:tc>
          <w:tcPr/>
          <w:p>
            <w:pPr>
              <w:pStyle w:val="Compact"/>
              <w:jc w:val="right"/>
            </w:pPr>
            <w:r>
              <w:t xml:space="preserve">0.0614</w:t>
            </w:r>
          </w:p>
        </w:tc>
        <w:tc>
          <w:tcPr/>
          <w:p>
            <w:pPr>
              <w:pStyle w:val="Compact"/>
            </w:pPr>
            <w:r>
              <w:t xml:space="preserve">[0.0009, 0.1777]</w:t>
            </w:r>
          </w:p>
        </w:tc>
        <w:tc>
          <w:tcPr/>
          <w:p>
            <w:pPr>
              <w:pStyle w:val="Compact"/>
              <w:jc w:val="right"/>
            </w:pPr>
            <w:r>
              <w:t xml:space="preserve">0.1x</w:t>
            </w:r>
          </w:p>
        </w:tc>
        <w:tc>
          <w:tcPr/>
          <w:p>
            <w:pPr>
              <w:pStyle w:val="Compact"/>
              <w:jc w:val="center"/>
            </w:pPr>
            <w:r>
              <w:t xml:space="preserve">broken</w:t>
            </w:r>
          </w:p>
        </w:tc>
      </w:tr>
      <w:tr>
        <w:tc>
          <w:tcPr/>
          <w:p>
            <w:pPr>
              <w:pStyle w:val="Compact"/>
            </w:pPr>
            <w:r>
              <w:t xml:space="preserve">boundary strength 0.6</w:t>
            </w:r>
          </w:p>
        </w:tc>
        <w:tc>
          <w:tcPr/>
          <w:p>
            <w:pPr>
              <w:pStyle w:val="Compact"/>
              <w:jc w:val="right"/>
            </w:pPr>
            <w:r>
              <w:t xml:space="preserve">0.1194</w:t>
            </w:r>
          </w:p>
        </w:tc>
        <w:tc>
          <w:tcPr/>
          <w:p>
            <w:pPr>
              <w:pStyle w:val="Compact"/>
            </w:pPr>
            <w:r>
              <w:t xml:space="preserve">[0.0033, 0.1806]</w:t>
            </w:r>
          </w:p>
        </w:tc>
        <w:tc>
          <w:tcPr/>
          <w:p>
            <w:pPr>
              <w:pStyle w:val="Compact"/>
              <w:jc w:val="right"/>
            </w:pPr>
            <w:r>
              <w:t xml:space="preserve">0.1x</w:t>
            </w:r>
          </w:p>
        </w:tc>
        <w:tc>
          <w:tcPr/>
          <w:p>
            <w:pPr>
              <w:pStyle w:val="Compact"/>
              <w:jc w:val="center"/>
            </w:pPr>
            <w:r>
              <w:t xml:space="preserve">broken</w:t>
            </w:r>
          </w:p>
        </w:tc>
      </w:tr>
      <w:tr>
        <w:tc>
          <w:tcPr/>
          <w:p>
            <w:pPr>
              <w:pStyle w:val="Compact"/>
            </w:pPr>
            <w:r>
              <w:t xml:space="preserve">boundary strength 1.0</w:t>
            </w:r>
          </w:p>
        </w:tc>
        <w:tc>
          <w:tcPr/>
          <w:p>
            <w:pPr>
              <w:pStyle w:val="Compact"/>
              <w:jc w:val="right"/>
            </w:pPr>
            <w:r>
              <w:t xml:space="preserve">0.1386</w:t>
            </w:r>
          </w:p>
        </w:tc>
        <w:tc>
          <w:tcPr/>
          <w:p>
            <w:pPr>
              <w:pStyle w:val="Compact"/>
            </w:pPr>
            <w:r>
              <w:t xml:space="preserve">[0.0361, 0.1896]</w:t>
            </w:r>
          </w:p>
        </w:tc>
        <w:tc>
          <w:tcPr/>
          <w:p>
            <w:pPr>
              <w:pStyle w:val="Compact"/>
              <w:jc w:val="right"/>
            </w:pPr>
            <w:r>
              <w:t xml:space="preserve">0.0x</w:t>
            </w:r>
          </w:p>
        </w:tc>
        <w:tc>
          <w:tcPr/>
          <w:p>
            <w:pPr>
              <w:pStyle w:val="Compact"/>
              <w:jc w:val="center"/>
            </w:pPr>
            <w:r>
              <w:t xml:space="preserve">broken</w:t>
            </w:r>
          </w:p>
        </w:tc>
      </w:tr>
    </w:tbl>
    <w:p>
      <w:pPr>
        <w:pStyle w:val="BodyText"/>
      </w:pPr>
      <w:r>
        <w:t xml:space="preserve">In this variant each cluster draws its new variants from a partly reordered version of the regional class profile, with the strength setting the share of classes reordered, and the table reports 1,200 runs per setting. A reordering keeps the set of class frequencies exactly, so every cluster keeps the same richness and diversity in its source of new variants and differs only in which classes it favors. Using each cluster’s observed profile instead would guarantee the result by construction. Two earlier constructions were discarded because they changed something other than the boundary: a Dirichlet perturbation made profiles sparser as well as different, dropping mean richness from 5.31 to 3.48, and mixing the regional profile with a reordered copy flattened it, raising diversity well above the observed value.</w:t>
      </w:r>
    </w:p>
    <w:p>
      <w:pPr>
        <w:pStyle w:val="BodyText"/>
      </w:pPr>
      <w:r>
        <w:t xml:space="preserve">Individual runs are widely spread, so the agreement at strengths of 0.2 to 0.25 is between the model’s median and the observation rather than between narrow distributions. It identifies a mechanism the record is consistent with, not one it demonstrates, and the mechanism is still neutral copying, with new styles arising locally rather than at the same rates across the basin. The transport, accumulation, and innovation sweeps were also run on the southeast-Missouri assemblages; that set is not adequate for the test, for reasons given in the final section, where its behavior under these sweeps is reported.</w:t>
      </w:r>
    </w:p>
    <w:bookmarkEnd w:id="132"/>
    <w:bookmarkStart w:id="137" w:name="tests-in-the-time-domain"/>
    <w:p>
      <w:pPr>
        <w:pStyle w:val="Heading2"/>
      </w:pPr>
      <w:r>
        <w:t xml:space="preserve">Tests in the time domain</w:t>
      </w:r>
    </w:p>
    <w:p>
      <w:pPr>
        <w:pStyle w:val="FirstParagraph"/>
      </w:pPr>
      <w:r>
        <w:t xml:space="preserve">The four measures describe states along the sequence rather than the changes between them. Two further tests model change directly while respecting the record’s time-averaging, and three shorter checks follow.</w:t>
      </w:r>
    </w:p>
    <w:p>
      <w:pPr>
        <w:pStyle w:val="BodyText"/>
      </w:pPr>
      <w:r>
        <w:rPr>
          <w:b/>
          <w:bCs/>
        </w:rPr>
        <w:t xml:space="preserve">Copying bias inferred by simulation.</w:t>
      </w:r>
      <w:r>
        <w:t xml:space="preserve"> </w:t>
      </w:r>
      <w:r>
        <w:t xml:space="preserve">We simulate copying scenarios ranging from strongly conformist through neutral to novelty-seeking, keep those that reproduce the real assemblages, and infer the copying bias from the survivors, with time-averaging built into each simulation</w:t>
      </w:r>
      <w:r>
        <w:t xml:space="preserve"> </w:t>
      </w:r>
      <w:r>
        <w:t xml:space="preserve">(Carrignon et al. 2019; Crema et al. 2014, 2016)</w:t>
      </w:r>
      <w:r>
        <w:t xml:space="preserve">. The model is frequency-dependent copying among the ten classes in a finite population: a class’s adoption weight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anti-conformity, and</w:t>
      </w:r>
      <w:r>
        <w:t xml:space="preserve"> </w:t>
      </w:r>
      <m:oMath>
        <m:r>
          <m:t>b</m:t>
        </m:r>
        <m:r>
          <m:rPr>
            <m:sty m:val="p"/>
          </m:rPr>
          <m:t>=</m:t>
        </m:r>
        <m:r>
          <m:t>0</m:t>
        </m:r>
      </m:oMath>
      <w:r>
        <w:t xml:space="preserve"> </w:t>
      </w:r>
      <w:r>
        <w:t xml:space="preserve">neutral copying, with an innovation rate that mixes in a uniform draw from the classes. An assemblage pools production over a window of generations. We placed broad priors on innovation,</w:t>
      </w:r>
      <w:r>
        <w:t xml:space="preserve"> </w:t>
      </w:r>
      <m:oMath>
        <m:r>
          <m:t>b</m:t>
        </m:r>
      </m:oMath>
      <w:r>
        <w:t xml:space="preserve">, population size, and window length, and fitted the model by sequential Monte Carlo approximate Bayesian computation (800 particles, six rounds of shrinking tolerance, local-linear regression adjustment), matching each simulated six-period sequence to the observed diversity trajectory and rank-frequency profile</w:t>
      </w:r>
      <w:r>
        <w:t xml:space="preserve"> </w:t>
      </w:r>
      <w:r>
        <w:t xml:space="preserve">(Beaumont et al. 2002; Toni et al. 2009)</w:t>
      </w:r>
      <w:r>
        <w:t xml:space="preserve">. The posterior of</w:t>
      </w:r>
      <w:r>
        <w:t xml:space="preserve"> </w:t>
      </w:r>
      <m:oMath>
        <m:r>
          <m:t>b</m:t>
        </m:r>
      </m:oMath>
      <w:r>
        <w:t xml:space="preserve"> </w:t>
      </w:r>
      <w:r>
        <w:t xml:space="preserve">is concentrated near neutral, with mean +0.003 and a 95 percent interval of -0.035 to +0.039 that includes zero, and means of +0.001 to +0.004 across five independent runs (Figure S5A). Its standard deviation is 0.017 against a prior of 0.289, so the data constrain it strongly. P(b &gt; 0) is 0.62 in the primary run and 0.53 to 0.63 across runs, so even the direction of any lean is unstable. Fitting the two halves of the order separately recovers no shift between them (-0.000 and +0.012). Simulation-based calibration over 200 datasets drawn from the prior gives ranks consistent with uniform (Kolmogorov-Smirnov D = 0.088, p = 0.086; Figure S5B)</w:t>
      </w:r>
      <w:r>
        <w:t xml:space="preserve"> </w:t>
      </w:r>
      <w:r>
        <w:t xml:space="preserve">(Talts et al. 2018)</w:t>
      </w:r>
      <w:r>
        <w:t xml:space="preserve">, and an independent rejection-sampling fit agrees (mean</w:t>
      </w:r>
      <w:r>
        <w:t xml:space="preserve"> </w:t>
      </w:r>
      <m:oMath>
        <m:r>
          <m:t>b</m:t>
        </m:r>
      </m:oMath>
      <w:r>
        <w:t xml:space="preserve"> </w:t>
      </w:r>
      <w:r>
        <w:t xml:space="preserve">= +0.019, 95 percent interval -0.062 to +0.054).</w:t>
      </w:r>
    </w:p>
    <w:p>
      <w:pPr>
        <w:pStyle w:val="BodyText"/>
      </w:pPr>
      <w:r>
        <w:t xml:space="preserve">Two caveats apply. The calibration battery also reports coverage of the nominal 95 percent interval at nine fixed values of</w:t>
      </w:r>
      <w:r>
        <w:t xml:space="preserve"> </w:t>
      </w:r>
      <m:oMath>
        <m:r>
          <m:t>b</m:t>
        </m:r>
      </m:oMath>
      <w:r>
        <w:t xml:space="preserve"> </w:t>
      </w:r>
      <w:r>
        <w:t xml:space="preserve">(Table S4), and coverage falls to 0.70 at</w:t>
      </w:r>
      <w:r>
        <w:t xml:space="preserve"> </w:t>
      </w:r>
      <m:oMath>
        <m:r>
          <m:t>b</m:t>
        </m:r>
        <m:r>
          <m:rPr>
            <m:sty m:val="p"/>
          </m:rPr>
          <m:t>=</m:t>
        </m:r>
        <m:r>
          <m:rPr>
            <m:sty m:val="p"/>
          </m:rPr>
          <m:t>+</m:t>
        </m:r>
        <m:r>
          <m:t>0.10</m:t>
        </m:r>
      </m:oMath>
      <w:r>
        <w:t xml:space="preserve"> </w:t>
      </w:r>
      <w:r>
        <w:t xml:space="preserve">and 0.80 at</w:t>
      </w:r>
      <w:r>
        <w:t xml:space="preserve"> </w:t>
      </w:r>
      <m:oMath>
        <m:r>
          <m:t>b</m:t>
        </m:r>
        <m:r>
          <m:rPr>
            <m:sty m:val="p"/>
          </m:rPr>
          <m:t>=</m:t>
        </m:r>
        <m:r>
          <m:rPr>
            <m:sty m:val="p"/>
          </m:rPr>
          <m:t>−</m:t>
        </m:r>
        <m:r>
          <m:t>0.10</m:t>
        </m:r>
      </m:oMath>
      <w:r>
        <w:t xml:space="preserve">. The battery used 300 particles and five rounds rather than the empirical fit’s 800 and six, and its synthetic data come from the same pooled-population simulator that is fitted, whereas the real observations are spatially distributed assemblages pooled into six periods. The battery therefore checks the numerical inference under the assumed simulator, not whether that simulator describes how the record formed. We treat the interval as consistent with weak or absent basin-wide conformity, conditional on the pooled model, rather than as a demonstrated exclusion of strong conformity. Because the model pools the whole basin, it also says nothing about localized or group-specific conformity, which the spatial measures and the copying model address.</w:t>
      </w:r>
    </w:p>
    <w:p>
      <w:pPr>
        <w:pStyle w:val="BodyText"/>
      </w:pPr>
      <w:r>
        <w:rPr>
          <w:b/>
          <w:bCs/>
        </w:rPr>
        <w:t xml:space="preserve">Table S4.</w:t>
      </w:r>
      <w:r>
        <w:t xml:space="preserve"> </w:t>
      </w:r>
      <w:r>
        <w:t xml:space="preserve">Coverage of the nominal 95 percent posterior interval for the copying bias, from the simulation-based calibration battery (20 datasets per value; 300 particles, five rounds).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True</w:t>
            </w:r>
            <w:r>
              <w:t xml:space="preserve"> </w:t>
            </w:r>
            <m:oMath>
              <m:r>
                <m:t>b</m:t>
              </m:r>
            </m:oMath>
          </w:p>
        </w:tc>
        <w:tc>
          <w:tcPr/>
          <w:p>
            <w:pPr>
              <w:pStyle w:val="Compact"/>
              <w:jc w:val="right"/>
            </w:pPr>
            <w:r>
              <w:t xml:space="preserve">Coverage</w:t>
            </w:r>
          </w:p>
        </w:tc>
        <w:tc>
          <w:tcPr/>
          <w:p>
            <w:pPr>
              <w:pStyle w:val="Compact"/>
              <w:jc w:val="right"/>
            </w:pPr>
            <w:r>
              <w:t xml:space="preserve">Mean interval width</w:t>
            </w:r>
          </w:p>
        </w:tc>
      </w:tr>
      <w:tr>
        <w:tc>
          <w:tcPr/>
          <w:p>
            <w:pPr>
              <w:pStyle w:val="Compact"/>
              <w:jc w:val="right"/>
            </w:pPr>
            <w:r>
              <w:t xml:space="preserve">-0.40</w:t>
            </w:r>
          </w:p>
        </w:tc>
        <w:tc>
          <w:tcPr/>
          <w:p>
            <w:pPr>
              <w:pStyle w:val="Compact"/>
              <w:jc w:val="right"/>
            </w:pPr>
            <w:r>
              <w:t xml:space="preserve">0.90</w:t>
            </w:r>
          </w:p>
        </w:tc>
        <w:tc>
          <w:tcPr/>
          <w:p>
            <w:pPr>
              <w:pStyle w:val="Compact"/>
              <w:jc w:val="right"/>
            </w:pPr>
            <w:r>
              <w:t xml:space="preserve">0.26</w:t>
            </w:r>
          </w:p>
        </w:tc>
      </w:tr>
      <w:tr>
        <w:tc>
          <w:tcPr/>
          <w:p>
            <w:pPr>
              <w:pStyle w:val="Compact"/>
              <w:jc w:val="right"/>
            </w:pPr>
            <w:r>
              <w:t xml:space="preserve">-0.30</w:t>
            </w:r>
          </w:p>
        </w:tc>
        <w:tc>
          <w:tcPr/>
          <w:p>
            <w:pPr>
              <w:pStyle w:val="Compact"/>
              <w:jc w:val="right"/>
            </w:pPr>
            <w:r>
              <w:t xml:space="preserve">0.95</w:t>
            </w:r>
          </w:p>
        </w:tc>
        <w:tc>
          <w:tcPr/>
          <w:p>
            <w:pPr>
              <w:pStyle w:val="Compact"/>
              <w:jc w:val="right"/>
            </w:pPr>
            <w:r>
              <w:t xml:space="preserve">0.31</w:t>
            </w:r>
          </w:p>
        </w:tc>
      </w:tr>
      <w:tr>
        <w:tc>
          <w:tcPr/>
          <w:p>
            <w:pPr>
              <w:pStyle w:val="Compact"/>
              <w:jc w:val="right"/>
            </w:pPr>
            <w:r>
              <w:t xml:space="preserve">-0.20</w:t>
            </w:r>
          </w:p>
        </w:tc>
        <w:tc>
          <w:tcPr/>
          <w:p>
            <w:pPr>
              <w:pStyle w:val="Compact"/>
              <w:jc w:val="right"/>
            </w:pPr>
            <w:r>
              <w:t xml:space="preserve">0.85</w:t>
            </w:r>
          </w:p>
        </w:tc>
        <w:tc>
          <w:tcPr/>
          <w:p>
            <w:pPr>
              <w:pStyle w:val="Compact"/>
              <w:jc w:val="right"/>
            </w:pPr>
            <w:r>
              <w:t xml:space="preserve">0.32</w:t>
            </w:r>
          </w:p>
        </w:tc>
      </w:tr>
      <w:tr>
        <w:tc>
          <w:tcPr/>
          <w:p>
            <w:pPr>
              <w:pStyle w:val="Compact"/>
              <w:jc w:val="right"/>
            </w:pPr>
            <w:r>
              <w:t xml:space="preserve">-0.10</w:t>
            </w:r>
          </w:p>
        </w:tc>
        <w:tc>
          <w:tcPr/>
          <w:p>
            <w:pPr>
              <w:pStyle w:val="Compact"/>
              <w:jc w:val="right"/>
            </w:pPr>
            <w:r>
              <w:t xml:space="preserve">0.80</w:t>
            </w:r>
          </w:p>
        </w:tc>
        <w:tc>
          <w:tcPr/>
          <w:p>
            <w:pPr>
              <w:pStyle w:val="Compact"/>
              <w:jc w:val="right"/>
            </w:pPr>
            <w:r>
              <w:t xml:space="preserve">0.37</w:t>
            </w:r>
          </w:p>
        </w:tc>
      </w:tr>
      <w:tr>
        <w:tc>
          <w:tcPr/>
          <w:p>
            <w:pPr>
              <w:pStyle w:val="Compact"/>
              <w:jc w:val="right"/>
            </w:pPr>
            <w:r>
              <w:t xml:space="preserve">0.00</w:t>
            </w:r>
          </w:p>
        </w:tc>
        <w:tc>
          <w:tcPr/>
          <w:p>
            <w:pPr>
              <w:pStyle w:val="Compact"/>
              <w:jc w:val="right"/>
            </w:pPr>
            <w:r>
              <w:t xml:space="preserve">0.95</w:t>
            </w:r>
          </w:p>
        </w:tc>
        <w:tc>
          <w:tcPr/>
          <w:p>
            <w:pPr>
              <w:pStyle w:val="Compact"/>
              <w:jc w:val="right"/>
            </w:pPr>
            <w:r>
              <w:t xml:space="preserve">0.25</w:t>
            </w:r>
          </w:p>
        </w:tc>
      </w:tr>
      <w:tr>
        <w:tc>
          <w:tcPr/>
          <w:p>
            <w:pPr>
              <w:pStyle w:val="Compact"/>
              <w:jc w:val="right"/>
            </w:pPr>
            <w:r>
              <w:t xml:space="preserve">+0.10</w:t>
            </w:r>
          </w:p>
        </w:tc>
        <w:tc>
          <w:tcPr/>
          <w:p>
            <w:pPr>
              <w:pStyle w:val="Compact"/>
              <w:jc w:val="right"/>
            </w:pPr>
            <w:r>
              <w:t xml:space="preserve">0.70</w:t>
            </w:r>
          </w:p>
        </w:tc>
        <w:tc>
          <w:tcPr/>
          <w:p>
            <w:pPr>
              <w:pStyle w:val="Compact"/>
              <w:jc w:val="right"/>
            </w:pPr>
            <w:r>
              <w:t xml:space="preserve">0.25</w:t>
            </w:r>
          </w:p>
        </w:tc>
      </w:tr>
      <w:tr>
        <w:tc>
          <w:tcPr/>
          <w:p>
            <w:pPr>
              <w:pStyle w:val="Compact"/>
              <w:jc w:val="right"/>
            </w:pPr>
            <w:r>
              <w:t xml:space="preserve">+0.20</w:t>
            </w:r>
          </w:p>
        </w:tc>
        <w:tc>
          <w:tcPr/>
          <w:p>
            <w:pPr>
              <w:pStyle w:val="Compact"/>
              <w:jc w:val="right"/>
            </w:pPr>
            <w:r>
              <w:t xml:space="preserve">0.95</w:t>
            </w:r>
          </w:p>
        </w:tc>
        <w:tc>
          <w:tcPr/>
          <w:p>
            <w:pPr>
              <w:pStyle w:val="Compact"/>
              <w:jc w:val="right"/>
            </w:pPr>
            <w:r>
              <w:t xml:space="preserve">0.33</w:t>
            </w:r>
          </w:p>
        </w:tc>
      </w:tr>
      <w:tr>
        <w:tc>
          <w:tcPr/>
          <w:p>
            <w:pPr>
              <w:pStyle w:val="Compact"/>
              <w:jc w:val="right"/>
            </w:pPr>
            <w:r>
              <w:t xml:space="preserve">+0.30</w:t>
            </w:r>
          </w:p>
        </w:tc>
        <w:tc>
          <w:tcPr/>
          <w:p>
            <w:pPr>
              <w:pStyle w:val="Compact"/>
              <w:jc w:val="right"/>
            </w:pPr>
            <w:r>
              <w:t xml:space="preserve">0.90</w:t>
            </w:r>
          </w:p>
        </w:tc>
        <w:tc>
          <w:tcPr/>
          <w:p>
            <w:pPr>
              <w:pStyle w:val="Compact"/>
              <w:jc w:val="right"/>
            </w:pPr>
            <w:r>
              <w:t xml:space="preserve">0.35</w:t>
            </w:r>
          </w:p>
        </w:tc>
      </w:tr>
      <w:tr>
        <w:tc>
          <w:tcPr/>
          <w:p>
            <w:pPr>
              <w:pStyle w:val="Compact"/>
              <w:jc w:val="right"/>
            </w:pPr>
            <w:r>
              <w:t xml:space="preserve">+0.40</w:t>
            </w:r>
          </w:p>
        </w:tc>
        <w:tc>
          <w:tcPr/>
          <w:p>
            <w:pPr>
              <w:pStyle w:val="Compact"/>
              <w:jc w:val="right"/>
            </w:pPr>
            <w:r>
              <w:t xml:space="preserve">0.85</w:t>
            </w:r>
          </w:p>
        </w:tc>
        <w:tc>
          <w:tcPr/>
          <w:p>
            <w:pPr>
              <w:pStyle w:val="Compact"/>
              <w:jc w:val="right"/>
            </w:pPr>
            <w:r>
              <w:t xml:space="preserve">0.36</w:t>
            </w:r>
          </w:p>
        </w:tc>
      </w:tr>
    </w:tbl>
    <w:p>
      <w:pPr>
        <w:pStyle w:val="BodyText"/>
      </w:pPr>
      <w:r>
        <w:rPr>
          <w:b/>
          <w:bCs/>
        </w:rPr>
        <w:t xml:space="preserve">Tempo and mode.</w:t>
      </w:r>
      <w:r>
        <w:t xml:space="preserve"> </w:t>
      </w:r>
      <w:r>
        <w:t xml:space="preserve">The second test asks whether the assemblages’ diversity wanders without direction, heads steadily one way, or is pulled back toward a stable value, the distinctions among an unbiased random walk, a directional walk, stasis, and mean reversion</w:t>
      </w:r>
      <w:r>
        <w:t xml:space="preserve"> </w:t>
      </w:r>
      <w:r>
        <w:t xml:space="preserve">(Hunt 2006; Hunt et al. 2008)</w:t>
      </w:r>
      <w:r>
        <w:t xml:space="preserve">. Rather than choose among the four, we fit the model that contains them and report the two parameters that distinguish them, since unbiased motion, stasis, and mean reversion are regions of one parameter space. Along the seriation order as computed, decorated-class diversity runs from 0.666 at one end through 0.734 to 0.460 at the other, falling over the second half. Because the dates do not establish which end is later, the sign of any directional change is not established either. The mean-reversion rate has a posterior median of 0.77 (95 percent credible interval 0.05 to 10.7), spanning the unbiased and stasis limits and so unresolved. The directional drift along the order as computed leans negative but is not resolved (median -0.061, interval -0.154 to +0.035, P(drift &gt; 0) = 0.071). On an earlier version of the matrix, which counted one class twice, the drift was resolved and negative; on the corrected counts the interval reaches zero. A decline of this kind is in any case what drift in a finite population produces, as the predictive check below shows. With six points the reversion rate and the drift remain partly confounded, since relaxation toward a lower optimum can imitate directional loss, which is why we report both parameters rather than a winning model (Figure S5C). Individual-class trajectories more often favor the directional model, but that comparison is partly built in, because the seriation axis is chosen to maximize steady change in class frequencies, and only three classes are abundant enough to fit.</w:t>
      </w:r>
    </w:p>
    <w:p>
      <w:pPr>
        <w:pStyle w:val="CaptionedFigure"/>
      </w:pPr>
      <w:r>
        <w:drawing>
          <wp:inline>
            <wp:extent cx="5334000" cy="2897627"/>
            <wp:effectExtent b="0" l="0" r="0" t="0"/>
            <wp:docPr descr="Figure S5. Tests in the time domain. (A) Posterior of the copying bias b from the time-averaging-aware inference (b = 0 neutral, b &gt; 0 conformist, b &lt; 0 anti-conformist). The whole-sequence posterior (filled) and the posteriors for the two halves of the order (outlines) are all concentrated near neutral and include zero (see Table S4 for calibration caveats). (B) Simulation-based calibration of that inference: over datasets drawn from the prior, the rank of the true bias within its posterior is uniform (dashed line), so the posterior is calibrated rather than merely narrow. (C) Tempo and mode as parameters, showing the posteriors of the mean-reversion rate (lower axis, log scale) and the directional drift per period (upper axis) for the diversity trajectory. The mean-reversion rate is unresolved (median 0.77, interval 0.05 to 10.7). The directional drift leans negative but its interval reaches zero (median -0.061, interval -0.154 to +0.035)." title="" id="134" name="Picture"/>
            <a:graphic>
              <a:graphicData uri="http://schemas.openxmlformats.org/drawingml/2006/picture">
                <pic:pic>
                  <pic:nvPicPr>
                    <pic:cNvPr descr="../../figures/figS5_dynamic.png" id="135" name="Picture"/>
                    <pic:cNvPicPr>
                      <a:picLocks noChangeArrowheads="1" noChangeAspect="1"/>
                    </pic:cNvPicPr>
                  </pic:nvPicPr>
                  <pic:blipFill>
                    <a:blip r:embed="rId133"/>
                    <a:stretch>
                      <a:fillRect/>
                    </a:stretch>
                  </pic:blipFill>
                  <pic:spPr bwMode="auto">
                    <a:xfrm>
                      <a:off x="0" y="0"/>
                      <a:ext cx="5334000" cy="2897627"/>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Tests in the time domain. (A) Posterior of the copying bias b from the time-averaging-aware inference (b = 0 neutral, b &gt; 0 conformist, b &lt; 0 anti-conformist). The whole-sequence posterior (filled) and the posteriors for the two halves of the order (outlines) are all concentrated near neutral and include zero (see Table S4 for calibration caveats). (B) Simulation-based calibration of that inference: over datasets drawn from the prior, the rank of the true bias within its posterior is uniform (dashed line), so the posterior is calibrated rather than merely narrow. (C) Tempo and mode as parameters, showing the posteriors of the mean-reversion rate (lower axis, log scale) and the directional drift per period (upper axis) for the diversity trajectory. The mean-reversion rate is unresolved (median 0.77, interval 0.05 to 10.7). The directional drift leans negative but its interval reaches zero (median -0.061, interval -0.154 to +0.035).</w:t>
      </w:r>
    </w:p>
    <w:p>
      <w:pPr>
        <w:pStyle w:val="BodyText"/>
      </w:pPr>
      <w:r>
        <w:t xml:space="preserve">A third test, for the early-warning signs of a critical transition, cannot be resolved at this ordinal resolution. The rolling variance along the sequence shows no rising trend (Kendall tau = -0.03), and the one rise in lag-1 autocorrelation (tau = +0.78) is an artifact of the ordering, which places similar assemblages next to one another, so we report it in the code but do not rely on it</w:t>
      </w:r>
      <w:r>
        <w:t xml:space="preserve"> </w:t>
      </w:r>
      <w:r>
        <w:t xml:space="preserve">(Dakos et al. 2012; Scheffer et al. 2009)</w:t>
      </w:r>
      <w:r>
        <w:t xml:space="preserve">.</w:t>
      </w:r>
    </w:p>
    <w:bookmarkStart w:id="136" w:name="X5f389b4d915450e415e755c07901f919528e258"/>
    <w:p>
      <w:pPr>
        <w:pStyle w:val="Heading3"/>
      </w:pPr>
      <w:r>
        <w:t xml:space="preserve">Three further checks of neutrality along the sequence</w:t>
      </w:r>
    </w:p>
    <w:p>
      <w:pPr>
        <w:pStyle w:val="FirstParagraph"/>
      </w:pPr>
      <w:r>
        <w:t xml:space="preserve">The first follows each decorated class as it rises and falls through the sequence and asks whether those changes look like the undirected fluctuation of unbiased copying or like the directed change a marker would show. We fit the rescaled frequency increments of all ten classes in one hierarchical model with partial pooling, following the frequency increment construction</w:t>
      </w:r>
      <w:r>
        <w:t xml:space="preserve"> </w:t>
      </w:r>
      <w:r>
        <w:t xml:space="preserve">(Feder et al. 2014)</w:t>
      </w:r>
      <w:r>
        <w:t xml:space="preserve">. The population-level departure from unbiased copying has a posterior median of +0.008 with a 95 percent credible interval of -0.040 to +0.081, where unbiased copying implies zero, and P(departure &gt; 0) = 0.64. Individual classes are not resolved: a class simulated with a substantial true departure is recovered at about a fifth of its size with an interval spanning zero, so the increments support the aggregate statement but not a per-class one.</w:t>
      </w:r>
    </w:p>
    <w:p>
      <w:pPr>
        <w:pStyle w:val="BodyText"/>
      </w:pPr>
      <w:r>
        <w:t xml:space="preserve">The second asks whether a neutral model reproduces the observed diversity trajectory</w:t>
      </w:r>
      <w:r>
        <w:t xml:space="preserve"> </w:t>
      </w:r>
      <w:r>
        <w:t xml:space="preserve">(Kandler and Shennan 2013)</w:t>
      </w:r>
      <w:r>
        <w:t xml:space="preserve">. We draw population size and innovation rate from the posterior of the copying-bias inference and compare the observed trajectory with the resulting predictive distribution. The observed diversity falls inside the 95 percent predictive interval in all six periods, under the pooled posterior and under each of the five sampler seeds taken separately. The pooled Bayesian predictive p is 0.885, and it ranges from 0.634 to 0.915 across seeds. A neutral model is adequate for this trajectory, which is concordance rather than proof that copying was neutral; the predictive interval is wide because population size is itself uncertain.</w:t>
      </w:r>
    </w:p>
    <w:p>
      <w:pPr>
        <w:pStyle w:val="BodyText"/>
      </w:pPr>
      <w:r>
        <w:t xml:space="preserve">The third asks whether the assemblages grow more different from one another toward contact, as fragmenting groups would. Neiman’s distance between assemblages shows no resolved trend along the sequence: the posterior median rank correlation between mean within-period distance and position is +0.09, with a 95 percent credible interval of -0.53 to +0.63 over six periods. Distances between the two spatial clusters are only modestly larger than distances within them, a ratio of 1.28, and within-assemblage diversity is weakly and negatively related to an assemblage’s mean distance from the others (posterior median -0.14, 95 percent credible interval -0.44 to +0.20), the direction a single shared community produces (Figure S1)</w:t>
      </w:r>
      <w:r>
        <w:t xml:space="preserve"> </w:t>
      </w:r>
      <w:r>
        <w:t xml:space="preserve">(Neiman 1995)</w:t>
      </w:r>
      <w:r>
        <w:t xml:space="preserve">.</w:t>
      </w:r>
    </w:p>
    <w:bookmarkEnd w:id="136"/>
    <w:bookmarkEnd w:id="137"/>
    <w:bookmarkStart w:id="138" w:name="X769f390eb50a36706af606caba03c609118fe3e"/>
    <w:p>
      <w:pPr>
        <w:pStyle w:val="Heading2"/>
      </w:pPr>
      <w:r>
        <w:t xml:space="preserve">What recovers the phases, and the problem of zeros</w:t>
      </w:r>
    </w:p>
    <w:p>
      <w:pPr>
        <w:pStyle w:val="FirstParagraph"/>
      </w:pPr>
      <w:r>
        <w:t xml:space="preserve">Assemblages are clustered in a combined space: site coordinates in kilometers, centered and scaled so that the mean squared pairwise distance is one, joined to decorated-class composition scaled the same way and multiplied by the square root of a weight</w:t>
      </w:r>
      <w:r>
        <w:t xml:space="preserve"> </w:t>
      </w:r>
      <m:oMath>
        <m:r>
          <m:t>w</m:t>
        </m:r>
      </m:oMath>
      <w:r>
        <w:t xml:space="preserve">. At</w:t>
      </w:r>
      <w:r>
        <w:t xml:space="preserve"> </w:t>
      </w:r>
      <m:oMath>
        <m:r>
          <m:t>w</m:t>
        </m:r>
        <m:r>
          <m:rPr>
            <m:sty m:val="p"/>
          </m:rPr>
          <m:t>=</m:t>
        </m:r>
        <m:r>
          <m:t>0</m:t>
        </m:r>
      </m:oMath>
      <w:r>
        <w:t xml:space="preserve"> </w:t>
      </w:r>
      <w:r>
        <w:t xml:space="preserve">the representation is the site map alone; as</w:t>
      </w:r>
      <w:r>
        <w:t xml:space="preserve"> </w:t>
      </w:r>
      <m:oMath>
        <m:r>
          <m:t>w</m:t>
        </m:r>
      </m:oMath>
      <w:r>
        <w:t xml:space="preserve"> </w:t>
      </w:r>
      <w:r>
        <w:t xml:space="preserve">grows it becomes the pottery alone. Each clustering is compared with Mainfort’s published assignments by the adjusted Rand index. We ran three composition transforms, three clustering methods (</w:t>
      </w:r>
      <m:oMath>
        <m:r>
          <m:t>k</m:t>
        </m:r>
      </m:oMath>
      <w:r>
        <w:t xml:space="preserve">-means over 40 starting configurations, Ward linkage, and average linkage), and nine weights; the full grid is in</w:t>
      </w:r>
      <w:r>
        <w:t xml:space="preserve"> </w:t>
      </w:r>
      <w:r>
        <w:rPr>
          <w:rStyle w:val="VerbatimChar"/>
        </w:rPr>
        <w:t xml:space="preserve">output/findings/phase_recovery.csv</w:t>
      </w:r>
      <w:r>
        <w:t xml:space="preserve">. Three of the 28 assemblages carry a phase this study assigned by territory, a geographic rule, so every value quoted in the main text is computed on the 25 assemblages Mainfort assigned.</w:t>
      </w:r>
    </w:p>
    <w:p>
      <w:pPr>
        <w:pStyle w:val="BodyText"/>
      </w:pPr>
      <w:r>
        <w:t xml:space="preserve">Class proportions are compositional data, and the centered log-ratio transform is the usual choice for them. It cannot be applied here without a decision that carries the result. Of the 280 cells in the basin matrix, 105 are zero, and the log of zero is undefined. Replacing zeros with a fraction of the smallest positive proportion lets that fraction set how strongly absence counts, and agreement with the phases follows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zero convention</w:t>
            </w:r>
          </w:p>
        </w:tc>
        <w:tc>
          <w:tcPr/>
          <w:p>
            <w:pPr>
              <w:pStyle w:val="Compact"/>
            </w:pPr>
            <w:r>
              <w:t xml:space="preserve">adjusted Rand index</w:t>
            </w:r>
          </w:p>
        </w:tc>
      </w:tr>
      <w:tr>
        <w:tc>
          <w:tcPr/>
          <w:p>
            <w:pPr>
              <w:pStyle w:val="Compact"/>
            </w:pPr>
            <w:r>
              <w:t xml:space="preserve">pseudocount of 0.5 added to counts</w:t>
            </w:r>
          </w:p>
        </w:tc>
        <w:tc>
          <w:tcPr/>
          <w:p>
            <w:pPr>
              <w:pStyle w:val="Compact"/>
            </w:pPr>
            <w:r>
              <w:t xml:space="preserve">0.533</w:t>
            </w:r>
          </w:p>
        </w:tc>
      </w:tr>
      <w:tr>
        <w:tc>
          <w:tcPr/>
          <w:p>
            <w:pPr>
              <w:pStyle w:val="Compact"/>
            </w:pPr>
            <w:r>
              <w:t xml:space="preserve">floor at 2.0 times the smallest positive proportion</w:t>
            </w:r>
          </w:p>
        </w:tc>
        <w:tc>
          <w:tcPr/>
          <w:p>
            <w:pPr>
              <w:pStyle w:val="Compact"/>
            </w:pPr>
            <w:r>
              <w:t xml:space="preserve">0.607</w:t>
            </w:r>
          </w:p>
        </w:tc>
      </w:tr>
      <w:tr>
        <w:tc>
          <w:tcPr/>
          <w:p>
            <w:pPr>
              <w:pStyle w:val="Compact"/>
            </w:pPr>
            <w:r>
              <w:t xml:space="preserve">floor at 0.5 times the smallest positive proportion</w:t>
            </w:r>
          </w:p>
        </w:tc>
        <w:tc>
          <w:tcPr/>
          <w:p>
            <w:pPr>
              <w:pStyle w:val="Compact"/>
            </w:pPr>
            <w:r>
              <w:t xml:space="preserve">0.607</w:t>
            </w:r>
          </w:p>
        </w:tc>
      </w:tr>
      <w:tr>
        <w:tc>
          <w:tcPr/>
          <w:p>
            <w:pPr>
              <w:pStyle w:val="Compact"/>
            </w:pPr>
            <w:r>
              <w:t xml:space="preserve">floor at 0.1 times the smallest positive proportion</w:t>
            </w:r>
          </w:p>
        </w:tc>
        <w:tc>
          <w:tcPr/>
          <w:p>
            <w:pPr>
              <w:pStyle w:val="Compact"/>
            </w:pPr>
            <w:r>
              <w:t xml:space="preserve">0.766</w:t>
            </w:r>
          </w:p>
        </w:tc>
      </w:tr>
    </w:tbl>
    <w:p>
      <w:pPr>
        <w:pStyle w:val="BodyText"/>
      </w:pPr>
      <w:r>
        <w:t xml:space="preserve">All four use the same data, geography, and weight (</w:t>
      </w:r>
      <m:oMath>
        <m:r>
          <m:t>w</m:t>
        </m:r>
        <m:r>
          <m:rPr>
            <m:sty m:val="p"/>
          </m:rPr>
          <m:t>=</m:t>
        </m:r>
        <m:r>
          <m:t>0.5</m:t>
        </m:r>
      </m:oMath>
      <w:r>
        <w:t xml:space="preserve">); only the zero convention differs, and it moves the answer by a quarter of the index’s range. We report the chi-square transform in the main text because it needs no such choice, and we use a pseudocount wherever the log-ratio transform appears. The result is also a caution about the phases themselves: a classification sensitive to which types are absent, applied to assemblages whose sherd counts differ more than twentyfold, will read sampling failure as cultural difference.</w:t>
      </w:r>
    </w:p>
    <w:bookmarkEnd w:id="138"/>
    <w:bookmarkStart w:id="139" w:name="the-tests-on-mainforts-2003-table"/>
    <w:p>
      <w:pPr>
        <w:pStyle w:val="Heading2"/>
      </w:pPr>
      <w:r>
        <w:t xml:space="preserve">The tests on Mainfort’s (2003) table</w:t>
      </w:r>
    </w:p>
    <w:p>
      <w:pPr>
        <w:pStyle w:val="FirstParagraph"/>
      </w:pPr>
      <w:r>
        <w:t xml:space="preserve">Mainfort’s Table 1 gives counts of ten decorated types for 39 sites with 800 or more sherds in all. His types map onto our classes as follows: Barton Incised and Kent Incised join the class that also holds Mound Place Incised, and Old Town Red and Nodena Red and White join the painted class; he does not tally Wallace Incised or Hull Engraved, which are carried as zeros so the class list matches the main analysis. Coordinates come from his own site list where it has them (34 sites), from this project’s assemblage file for four, and from the settlement compilation for Sweat, and each row of</w:t>
      </w:r>
      <w:r>
        <w:t xml:space="preserve"> </w:t>
      </w:r>
      <w:r>
        <w:rPr>
          <w:rStyle w:val="VerbatimChar"/>
        </w:rPr>
        <w:t xml:space="preserve">data/processed/mainfort2003_sites.csv</w:t>
      </w:r>
      <w:r>
        <w:t xml:space="preserve"> </w:t>
      </w:r>
      <w:r>
        <w:t xml:space="preserve">names its source; the file is written by</w:t>
      </w:r>
      <w:r>
        <w:t xml:space="preserve"> </w:t>
      </w:r>
      <w:r>
        <w:rPr>
          <w:rStyle w:val="VerbatimChar"/>
        </w:rPr>
        <w:t xml:space="preserve">scripts/build_mainfort2003_sites.py</w:t>
      </w:r>
      <w:r>
        <w:t xml:space="preserve">. The analysis uses decorated types only and sites with at least 100 decorated sherds, stricter than the main analysis’s 75 because a replication should not be the looser test. Nine of his 39 sites fall below that, and Tipton’s one remaining site, Graves Lake, is not carried as a phase of one. The tests are those of</w:t>
      </w:r>
      <w:r>
        <w:t xml:space="preserve"> </w:t>
      </w:r>
      <w:r>
        <w:rPr>
          <w:rStyle w:val="VerbatimChar"/>
        </w:rPr>
        <w:t xml:space="preserve">analyses/74_phase_partition_test.py</w:t>
      </w:r>
      <w:r>
        <w:t xml:space="preserve"> </w:t>
      </w:r>
      <w:r>
        <w:t xml:space="preserve">and</w:t>
      </w:r>
      <w:r>
        <w:t xml:space="preserve"> </w:t>
      </w:r>
      <w:r>
        <w:rPr>
          <w:rStyle w:val="VerbatimChar"/>
        </w:rPr>
        <w:t xml:space="preserve">analyses/76_phase_recovery.py</w:t>
      </w:r>
      <w:r>
        <w:t xml:space="preserve">, run by</w:t>
      </w:r>
      <w:r>
        <w:t xml:space="preserve"> </w:t>
      </w:r>
      <w:r>
        <w:rPr>
          <w:rStyle w:val="VerbatimChar"/>
        </w:rPr>
        <w:t xml:space="preserve">analyses/83_mainfort_replication.py</w:t>
      </w:r>
      <w:r>
        <w:t xml:space="preserve"> </w:t>
      </w:r>
      <w:r>
        <w:t xml:space="preserve">under his labels. A second reader checked the transcription of his table against the published page; the one row whose cells do not sum to its printed total, Hatchie (818 against 814), is correct as transcribed, and no analysis uses the printed totals.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weight on composition</w:t>
            </w:r>
          </w:p>
        </w:tc>
        <w:tc>
          <w:tcPr/>
          <w:p>
            <w:pPr>
              <w:pStyle w:val="Compact"/>
            </w:pPr>
            <w:r>
              <w:t xml:space="preserve">agreement with his phases (adjusted Rand index, median over 40 starts)</w:t>
            </w:r>
          </w:p>
        </w:tc>
        <w:tc>
          <w:tcPr/>
          <w:p>
            <w:pPr>
              <w:pStyle w:val="Compact"/>
            </w:pPr>
            <w:r>
              <w:t xml:space="preserve">range</w:t>
            </w:r>
          </w:p>
        </w:tc>
      </w:tr>
      <w:tr>
        <w:tc>
          <w:tcPr/>
          <w:p>
            <w:pPr>
              <w:pStyle w:val="Compact"/>
            </w:pPr>
            <w:r>
              <w:t xml:space="preserve">map alone</w:t>
            </w:r>
          </w:p>
        </w:tc>
        <w:tc>
          <w:tcPr/>
          <w:p>
            <w:pPr>
              <w:pStyle w:val="Compact"/>
            </w:pPr>
            <w:r>
              <w:t xml:space="preserve">0.514</w:t>
            </w:r>
          </w:p>
        </w:tc>
        <w:tc>
          <w:tcPr/>
          <w:p>
            <w:pPr>
              <w:pStyle w:val="Compact"/>
            </w:pPr>
            <w:r>
              <w:t xml:space="preserve">0.503 to 0.574</w:t>
            </w:r>
          </w:p>
        </w:tc>
      </w:tr>
      <w:tr>
        <w:tc>
          <w:tcPr/>
          <w:p>
            <w:pPr>
              <w:pStyle w:val="Compact"/>
            </w:pPr>
            <w:r>
              <w:t xml:space="preserve">0.1</w:t>
            </w:r>
          </w:p>
        </w:tc>
        <w:tc>
          <w:tcPr/>
          <w:p>
            <w:pPr>
              <w:pStyle w:val="Compact"/>
            </w:pPr>
            <w:r>
              <w:t xml:space="preserve">0.514</w:t>
            </w:r>
          </w:p>
        </w:tc>
        <w:tc>
          <w:tcPr/>
          <w:p>
            <w:pPr>
              <w:pStyle w:val="Compact"/>
            </w:pPr>
            <w:r>
              <w:t xml:space="preserve">0.503 to 0.597</w:t>
            </w:r>
          </w:p>
        </w:tc>
      </w:tr>
      <w:tr>
        <w:tc>
          <w:tcPr/>
          <w:p>
            <w:pPr>
              <w:pStyle w:val="Compact"/>
            </w:pPr>
            <w:r>
              <w:t xml:space="preserve">0.25</w:t>
            </w:r>
          </w:p>
        </w:tc>
        <w:tc>
          <w:tcPr/>
          <w:p>
            <w:pPr>
              <w:pStyle w:val="Compact"/>
            </w:pPr>
            <w:r>
              <w:t xml:space="preserve">0.514</w:t>
            </w:r>
          </w:p>
        </w:tc>
        <w:tc>
          <w:tcPr/>
          <w:p>
            <w:pPr>
              <w:pStyle w:val="Compact"/>
            </w:pPr>
            <w:r>
              <w:t xml:space="preserve">0.503 to 0.597</w:t>
            </w:r>
          </w:p>
        </w:tc>
      </w:tr>
      <w:tr>
        <w:tc>
          <w:tcPr/>
          <w:p>
            <w:pPr>
              <w:pStyle w:val="Compact"/>
            </w:pPr>
            <w:r>
              <w:t xml:space="preserve">0.5</w:t>
            </w:r>
          </w:p>
        </w:tc>
        <w:tc>
          <w:tcPr/>
          <w:p>
            <w:pPr>
              <w:pStyle w:val="Compact"/>
            </w:pPr>
            <w:r>
              <w:t xml:space="preserve">0.597</w:t>
            </w:r>
          </w:p>
        </w:tc>
        <w:tc>
          <w:tcPr/>
          <w:p>
            <w:pPr>
              <w:pStyle w:val="Compact"/>
            </w:pPr>
            <w:r>
              <w:t xml:space="preserve">0.509 to 0.664</w:t>
            </w:r>
          </w:p>
        </w:tc>
      </w:tr>
      <w:tr>
        <w:tc>
          <w:tcPr/>
          <w:p>
            <w:pPr>
              <w:pStyle w:val="Compact"/>
            </w:pPr>
            <w:r>
              <w:t xml:space="preserve">1</w:t>
            </w:r>
          </w:p>
        </w:tc>
        <w:tc>
          <w:tcPr/>
          <w:p>
            <w:pPr>
              <w:pStyle w:val="Compact"/>
            </w:pPr>
            <w:r>
              <w:t xml:space="preserve">0.493</w:t>
            </w:r>
          </w:p>
        </w:tc>
        <w:tc>
          <w:tcPr/>
          <w:p>
            <w:pPr>
              <w:pStyle w:val="Compact"/>
            </w:pPr>
            <w:r>
              <w:t xml:space="preserve">0.421 to 0.664</w:t>
            </w:r>
          </w:p>
        </w:tc>
      </w:tr>
      <w:tr>
        <w:tc>
          <w:tcPr/>
          <w:p>
            <w:pPr>
              <w:pStyle w:val="Compact"/>
            </w:pPr>
            <w:r>
              <w:t xml:space="preserve">2</w:t>
            </w:r>
          </w:p>
        </w:tc>
        <w:tc>
          <w:tcPr/>
          <w:p>
            <w:pPr>
              <w:pStyle w:val="Compact"/>
            </w:pPr>
            <w:r>
              <w:t xml:space="preserve">0.483</w:t>
            </w:r>
          </w:p>
        </w:tc>
        <w:tc>
          <w:tcPr/>
          <w:p>
            <w:pPr>
              <w:pStyle w:val="Compact"/>
            </w:pPr>
            <w:r>
              <w:t xml:space="preserve">0.328 to 0.509</w:t>
            </w:r>
          </w:p>
        </w:tc>
      </w:tr>
      <w:tr>
        <w:tc>
          <w:tcPr/>
          <w:p>
            <w:pPr>
              <w:pStyle w:val="Compact"/>
            </w:pPr>
            <w:r>
              <w:t xml:space="preserve">pottery alone</w:t>
            </w:r>
          </w:p>
        </w:tc>
        <w:tc>
          <w:tcPr/>
          <w:p>
            <w:pPr>
              <w:pStyle w:val="Compact"/>
            </w:pPr>
            <w:r>
              <w:t xml:space="preserve">0.248</w:t>
            </w:r>
          </w:p>
        </w:tc>
        <w:tc>
          <w:tcPr/>
          <w:p>
            <w:pPr>
              <w:pStyle w:val="Compact"/>
            </w:pPr>
            <w:r>
              <w:t xml:space="preserve">0.146 to 0.449</w:t>
            </w:r>
          </w:p>
        </w:tc>
      </w:tr>
      <w:tr>
        <w:tc>
          <w:tcPr/>
          <w:p>
            <w:pPr>
              <w:pStyle w:val="Compact"/>
            </w:pPr>
            <w:r>
              <w:t xml:space="preserve">same sizes, boundaries at random (400 draws)</w:t>
            </w:r>
          </w:p>
        </w:tc>
        <w:tc>
          <w:tcPr/>
          <w:p>
            <w:pPr>
              <w:pStyle w:val="Compact"/>
            </w:pPr>
            <w:r>
              <w:t xml:space="preserve">0.291</w:t>
            </w:r>
          </w:p>
        </w:tc>
        <w:tc>
          <w:tcPr/>
          <w:p>
            <w:pPr>
              <w:pStyle w:val="Compact"/>
            </w:pPr>
          </w:p>
        </w:tc>
      </w:tr>
    </w:tbl>
    <w:p>
      <w:pPr>
        <w:pStyle w:val="BodyText"/>
      </w:pPr>
      <w:r>
        <w:t xml:space="preserve">Under his phases the cultural</w:t>
      </w:r>
      <w:r>
        <w:t xml:space="preserve"> </w:t>
      </w:r>
      <m:oMath>
        <m:sSub>
          <m:e>
            <m:r>
              <m:t>F</m:t>
            </m:r>
          </m:e>
          <m:sub>
            <m:r>
              <m:t>S</m:t>
            </m:r>
            <m:r>
              <m:t>T</m:t>
            </m:r>
          </m:sub>
        </m:sSub>
      </m:oMath>
      <w:r>
        <w:t xml:space="preserve"> </w:t>
      </w:r>
      <w:r>
        <w:t xml:space="preserve">is 0.0470. Against 1,000 same-size divisions around random centers (median 0.0274) it is higher than all of them; against 1,000 drawn to be spatially compact (median 0.0285) it sits at the 99th percentile. The compactness search returned his division in none of 1,000 starts.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Mainfort 2003</w:t>
            </w:r>
          </w:p>
        </w:tc>
        <w:tc>
          <w:tcPr/>
          <w:p>
            <w:pPr>
              <w:pStyle w:val="Compact"/>
            </w:pPr>
            <w:r>
              <w:t xml:space="preserve">Figure 1</w:t>
            </w:r>
          </w:p>
        </w:tc>
        <w:tc>
          <w:tcPr/>
          <w:p>
            <w:pPr>
              <w:pStyle w:val="Compact"/>
            </w:pPr>
            <w:r>
              <w:t xml:space="preserve">ceramic distance to his phase</w:t>
            </w:r>
          </w:p>
        </w:tc>
        <w:tc>
          <w:tcPr/>
          <w:p>
            <w:pPr>
              <w:pStyle w:val="Compact"/>
            </w:pPr>
            <w:r>
              <w:t xml:space="preserve">km</w:t>
            </w:r>
          </w:p>
        </w:tc>
        <w:tc>
          <w:tcPr/>
          <w:p>
            <w:pPr>
              <w:pStyle w:val="Compact"/>
            </w:pPr>
            <w:r>
              <w:t xml:space="preserve">ceramic distance to the Figure 1 phase</w:t>
            </w:r>
          </w:p>
        </w:tc>
        <w:tc>
          <w:tcPr/>
          <w:p>
            <w:pPr>
              <w:pStyle w:val="Compact"/>
            </w:pPr>
            <w:r>
              <w:t xml:space="preserve">km</w:t>
            </w:r>
          </w:p>
        </w:tc>
      </w:tr>
      <w:tr>
        <w:tc>
          <w:tcPr/>
          <w:p>
            <w:pPr>
              <w:pStyle w:val="Compact"/>
            </w:pPr>
            <w:r>
              <w:t xml:space="preserve">Beck</w:t>
            </w:r>
          </w:p>
        </w:tc>
        <w:tc>
          <w:tcPr/>
          <w:p>
            <w:pPr>
              <w:pStyle w:val="Compact"/>
            </w:pPr>
            <w:r>
              <w:t xml:space="preserve">Horseshoe Lake</w:t>
            </w:r>
          </w:p>
        </w:tc>
        <w:tc>
          <w:tcPr/>
          <w:p>
            <w:pPr>
              <w:pStyle w:val="Compact"/>
            </w:pPr>
            <w:r>
              <w:t xml:space="preserve">Walls</w:t>
            </w:r>
          </w:p>
        </w:tc>
        <w:tc>
          <w:tcPr/>
          <w:p>
            <w:pPr>
              <w:pStyle w:val="Compact"/>
            </w:pPr>
            <w:r>
              <w:t xml:space="preserve">0.333</w:t>
            </w:r>
          </w:p>
        </w:tc>
        <w:tc>
          <w:tcPr/>
          <w:p>
            <w:pPr>
              <w:pStyle w:val="Compact"/>
            </w:pPr>
            <w:r>
              <w:t xml:space="preserve">21</w:t>
            </w:r>
          </w:p>
        </w:tc>
        <w:tc>
          <w:tcPr/>
          <w:p>
            <w:pPr>
              <w:pStyle w:val="Compact"/>
            </w:pPr>
            <w:r>
              <w:t xml:space="preserve">0.713</w:t>
            </w:r>
          </w:p>
        </w:tc>
        <w:tc>
          <w:tcPr/>
          <w:p>
            <w:pPr>
              <w:pStyle w:val="Compact"/>
            </w:pPr>
            <w:r>
              <w:t xml:space="preserve">17</w:t>
            </w:r>
          </w:p>
        </w:tc>
      </w:tr>
      <w:tr>
        <w:tc>
          <w:tcPr/>
          <w:p>
            <w:pPr>
              <w:pStyle w:val="Compact"/>
            </w:pPr>
            <w:r>
              <w:t xml:space="preserve">Belle Meade</w:t>
            </w:r>
          </w:p>
        </w:tc>
        <w:tc>
          <w:tcPr/>
          <w:p>
            <w:pPr>
              <w:pStyle w:val="Compact"/>
            </w:pPr>
            <w:r>
              <w:t xml:space="preserve">Horseshoe Lake</w:t>
            </w:r>
          </w:p>
        </w:tc>
        <w:tc>
          <w:tcPr/>
          <w:p>
            <w:pPr>
              <w:pStyle w:val="Compact"/>
            </w:pPr>
            <w:r>
              <w:t xml:space="preserve">Walls</w:t>
            </w:r>
          </w:p>
        </w:tc>
        <w:tc>
          <w:tcPr/>
          <w:p>
            <w:pPr>
              <w:pStyle w:val="Compact"/>
            </w:pPr>
            <w:r>
              <w:t xml:space="preserve">0.256</w:t>
            </w:r>
          </w:p>
        </w:tc>
        <w:tc>
          <w:tcPr/>
          <w:p>
            <w:pPr>
              <w:pStyle w:val="Compact"/>
            </w:pPr>
            <w:r>
              <w:t xml:space="preserve">22</w:t>
            </w:r>
          </w:p>
        </w:tc>
        <w:tc>
          <w:tcPr/>
          <w:p>
            <w:pPr>
              <w:pStyle w:val="Compact"/>
            </w:pPr>
            <w:r>
              <w:t xml:space="preserve">0.677</w:t>
            </w:r>
          </w:p>
        </w:tc>
        <w:tc>
          <w:tcPr/>
          <w:p>
            <w:pPr>
              <w:pStyle w:val="Compact"/>
            </w:pPr>
            <w:r>
              <w:t xml:space="preserve">31</w:t>
            </w:r>
          </w:p>
        </w:tc>
      </w:tr>
      <w:tr>
        <w:tc>
          <w:tcPr/>
          <w:p>
            <w:pPr>
              <w:pStyle w:val="Compact"/>
            </w:pPr>
            <w:r>
              <w:t xml:space="preserve">Mound Place</w:t>
            </w:r>
          </w:p>
        </w:tc>
        <w:tc>
          <w:tcPr/>
          <w:p>
            <w:pPr>
              <w:pStyle w:val="Compact"/>
            </w:pPr>
            <w:r>
              <w:t xml:space="preserve">Horseshoe Lake</w:t>
            </w:r>
          </w:p>
        </w:tc>
        <w:tc>
          <w:tcPr/>
          <w:p>
            <w:pPr>
              <w:pStyle w:val="Compact"/>
            </w:pPr>
            <w:r>
              <w:t xml:space="preserve">Walls</w:t>
            </w:r>
          </w:p>
        </w:tc>
        <w:tc>
          <w:tcPr/>
          <w:p>
            <w:pPr>
              <w:pStyle w:val="Compact"/>
            </w:pPr>
            <w:r>
              <w:t xml:space="preserve">0.651</w:t>
            </w:r>
          </w:p>
        </w:tc>
        <w:tc>
          <w:tcPr/>
          <w:p>
            <w:pPr>
              <w:pStyle w:val="Compact"/>
            </w:pPr>
            <w:r>
              <w:t xml:space="preserve">13</w:t>
            </w:r>
          </w:p>
        </w:tc>
        <w:tc>
          <w:tcPr/>
          <w:p>
            <w:pPr>
              <w:pStyle w:val="Compact"/>
            </w:pPr>
            <w:r>
              <w:t xml:space="preserve">0.778</w:t>
            </w:r>
          </w:p>
        </w:tc>
        <w:tc>
          <w:tcPr/>
          <w:p>
            <w:pPr>
              <w:pStyle w:val="Compact"/>
            </w:pPr>
            <w:r>
              <w:t xml:space="preserve">7</w:t>
            </w:r>
          </w:p>
        </w:tc>
      </w:tr>
      <w:tr>
        <w:tc>
          <w:tcPr/>
          <w:p>
            <w:pPr>
              <w:pStyle w:val="Compact"/>
            </w:pPr>
            <w:r>
              <w:t xml:space="preserve">Young</w:t>
            </w:r>
          </w:p>
        </w:tc>
        <w:tc>
          <w:tcPr/>
          <w:p>
            <w:pPr>
              <w:pStyle w:val="Compact"/>
            </w:pPr>
            <w:r>
              <w:t xml:space="preserve">Horseshoe Lake</w:t>
            </w:r>
          </w:p>
        </w:tc>
        <w:tc>
          <w:tcPr/>
          <w:p>
            <w:pPr>
              <w:pStyle w:val="Compact"/>
            </w:pPr>
            <w:r>
              <w:t xml:space="preserve">Walls</w:t>
            </w:r>
          </w:p>
        </w:tc>
        <w:tc>
          <w:tcPr/>
          <w:p>
            <w:pPr>
              <w:pStyle w:val="Compact"/>
            </w:pPr>
            <w:r>
              <w:t xml:space="preserve">0.467</w:t>
            </w:r>
          </w:p>
        </w:tc>
        <w:tc>
          <w:tcPr/>
          <w:p>
            <w:pPr>
              <w:pStyle w:val="Compact"/>
            </w:pPr>
            <w:r>
              <w:t xml:space="preserve">13</w:t>
            </w:r>
          </w:p>
        </w:tc>
        <w:tc>
          <w:tcPr/>
          <w:p>
            <w:pPr>
              <w:pStyle w:val="Compact"/>
            </w:pPr>
            <w:r>
              <w:t xml:space="preserve">0.443</w:t>
            </w:r>
          </w:p>
        </w:tc>
        <w:tc>
          <w:tcPr/>
          <w:p>
            <w:pPr>
              <w:pStyle w:val="Compact"/>
            </w:pPr>
            <w:r>
              <w:t xml:space="preserve">15</w:t>
            </w:r>
          </w:p>
        </w:tc>
      </w:tr>
      <w:tr>
        <w:tc>
          <w:tcPr/>
          <w:p>
            <w:pPr>
              <w:pStyle w:val="Compact"/>
            </w:pPr>
            <w:r>
              <w:t xml:space="preserve">Hollywood</w:t>
            </w:r>
          </w:p>
        </w:tc>
        <w:tc>
          <w:tcPr/>
          <w:p>
            <w:pPr>
              <w:pStyle w:val="Compact"/>
            </w:pPr>
            <w:r>
              <w:t xml:space="preserve">Kent</w:t>
            </w:r>
          </w:p>
        </w:tc>
        <w:tc>
          <w:tcPr/>
          <w:p>
            <w:pPr>
              <w:pStyle w:val="Compact"/>
            </w:pPr>
            <w:r>
              <w:t xml:space="preserve">Walls</w:t>
            </w:r>
          </w:p>
        </w:tc>
        <w:tc>
          <w:tcPr/>
          <w:p>
            <w:pPr>
              <w:pStyle w:val="Compact"/>
            </w:pPr>
            <w:r>
              <w:t xml:space="preserve">0.328</w:t>
            </w:r>
          </w:p>
        </w:tc>
        <w:tc>
          <w:tcPr/>
          <w:p>
            <w:pPr>
              <w:pStyle w:val="Compact"/>
            </w:pPr>
            <w:r>
              <w:t xml:space="preserve">19</w:t>
            </w:r>
          </w:p>
        </w:tc>
        <w:tc>
          <w:tcPr/>
          <w:p>
            <w:pPr>
              <w:pStyle w:val="Compact"/>
            </w:pPr>
            <w:r>
              <w:t xml:space="preserve">0.913</w:t>
            </w:r>
          </w:p>
        </w:tc>
        <w:tc>
          <w:tcPr/>
          <w:p>
            <w:pPr>
              <w:pStyle w:val="Compact"/>
            </w:pPr>
            <w:r>
              <w:t xml:space="preserve">38</w:t>
            </w:r>
          </w:p>
        </w:tc>
      </w:tr>
      <w:tr>
        <w:tc>
          <w:tcPr/>
          <w:p>
            <w:pPr>
              <w:pStyle w:val="Compact"/>
            </w:pPr>
            <w:r>
              <w:t xml:space="preserve">Commerce</w:t>
            </w:r>
          </w:p>
        </w:tc>
        <w:tc>
          <w:tcPr/>
          <w:p>
            <w:pPr>
              <w:pStyle w:val="Compact"/>
            </w:pPr>
            <w:r>
              <w:t xml:space="preserve">Kent</w:t>
            </w:r>
          </w:p>
        </w:tc>
        <w:tc>
          <w:tcPr/>
          <w:p>
            <w:pPr>
              <w:pStyle w:val="Compact"/>
            </w:pPr>
            <w:r>
              <w:t xml:space="preserve">Walls</w:t>
            </w:r>
          </w:p>
        </w:tc>
        <w:tc>
          <w:tcPr/>
          <w:p>
            <w:pPr>
              <w:pStyle w:val="Compact"/>
            </w:pPr>
            <w:r>
              <w:t xml:space="preserve">0.609</w:t>
            </w:r>
          </w:p>
        </w:tc>
        <w:tc>
          <w:tcPr/>
          <w:p>
            <w:pPr>
              <w:pStyle w:val="Compact"/>
            </w:pPr>
            <w:r>
              <w:t xml:space="preserve">16</w:t>
            </w:r>
          </w:p>
        </w:tc>
        <w:tc>
          <w:tcPr/>
          <w:p>
            <w:pPr>
              <w:pStyle w:val="Compact"/>
            </w:pPr>
            <w:r>
              <w:t xml:space="preserve">1.100</w:t>
            </w:r>
          </w:p>
        </w:tc>
        <w:tc>
          <w:tcPr/>
          <w:p>
            <w:pPr>
              <w:pStyle w:val="Compact"/>
            </w:pPr>
            <w:r>
              <w:t xml:space="preserve">35</w:t>
            </w:r>
          </w:p>
        </w:tc>
      </w:tr>
      <w:tr>
        <w:tc>
          <w:tcPr/>
          <w:p>
            <w:pPr>
              <w:pStyle w:val="Compact"/>
            </w:pPr>
            <w:r>
              <w:t xml:space="preserve">Castile Landing</w:t>
            </w:r>
          </w:p>
        </w:tc>
        <w:tc>
          <w:tcPr/>
          <w:p>
            <w:pPr>
              <w:pStyle w:val="Compact"/>
            </w:pPr>
            <w:r>
              <w:t xml:space="preserve">Parkin</w:t>
            </w:r>
          </w:p>
        </w:tc>
        <w:tc>
          <w:tcPr/>
          <w:p>
            <w:pPr>
              <w:pStyle w:val="Compact"/>
            </w:pPr>
            <w:r>
              <w:t xml:space="preserve">Kent</w:t>
            </w:r>
          </w:p>
        </w:tc>
        <w:tc>
          <w:tcPr/>
          <w:p>
            <w:pPr>
              <w:pStyle w:val="Compact"/>
            </w:pPr>
            <w:r>
              <w:t xml:space="preserve">0.557</w:t>
            </w:r>
          </w:p>
        </w:tc>
        <w:tc>
          <w:tcPr/>
          <w:p>
            <w:pPr>
              <w:pStyle w:val="Compact"/>
            </w:pPr>
            <w:r>
              <w:t xml:space="preserve">41</w:t>
            </w:r>
          </w:p>
        </w:tc>
        <w:tc>
          <w:tcPr/>
          <w:p>
            <w:pPr>
              <w:pStyle w:val="Compact"/>
            </w:pPr>
            <w:r>
              <w:t xml:space="preserve">0.571</w:t>
            </w:r>
          </w:p>
        </w:tc>
        <w:tc>
          <w:tcPr/>
          <w:p>
            <w:pPr>
              <w:pStyle w:val="Compact"/>
            </w:pPr>
            <w:r>
              <w:t xml:space="preserve">19</w:t>
            </w:r>
          </w:p>
        </w:tc>
      </w:tr>
      <w:tr>
        <w:tc>
          <w:tcPr/>
          <w:p>
            <w:pPr>
              <w:pStyle w:val="Compact"/>
            </w:pPr>
            <w:r>
              <w:t xml:space="preserve">Carson Lake</w:t>
            </w:r>
          </w:p>
        </w:tc>
        <w:tc>
          <w:tcPr/>
          <w:p>
            <w:pPr>
              <w:pStyle w:val="Compact"/>
            </w:pPr>
            <w:r>
              <w:t xml:space="preserve">Walls</w:t>
            </w:r>
          </w:p>
        </w:tc>
        <w:tc>
          <w:tcPr/>
          <w:p>
            <w:pPr>
              <w:pStyle w:val="Compact"/>
            </w:pPr>
            <w:r>
              <w:t xml:space="preserve">Nodena</w:t>
            </w:r>
          </w:p>
        </w:tc>
        <w:tc>
          <w:tcPr/>
          <w:p>
            <w:pPr>
              <w:pStyle w:val="Compact"/>
            </w:pPr>
            <w:r>
              <w:t xml:space="preserve">1.039</w:t>
            </w:r>
          </w:p>
        </w:tc>
        <w:tc>
          <w:tcPr/>
          <w:p>
            <w:pPr>
              <w:pStyle w:val="Compact"/>
            </w:pPr>
            <w:r>
              <w:t xml:space="preserve">71</w:t>
            </w:r>
          </w:p>
        </w:tc>
        <w:tc>
          <w:tcPr/>
          <w:p>
            <w:pPr>
              <w:pStyle w:val="Compact"/>
            </w:pPr>
            <w:r>
              <w:t xml:space="preserve">no other Nodena site at the minimum</w:t>
            </w:r>
          </w:p>
        </w:tc>
        <w:tc>
          <w:tcPr/>
          <w:p>
            <w:pPr>
              <w:pStyle w:val="Compact"/>
            </w:pPr>
          </w:p>
        </w:tc>
      </w:tr>
      <w:tr>
        <w:tc>
          <w:tcPr/>
          <w:p>
            <w:pPr>
              <w:pStyle w:val="Compact"/>
            </w:pPr>
            <w:r>
              <w:t xml:space="preserve">Jeter</w:t>
            </w:r>
          </w:p>
        </w:tc>
        <w:tc>
          <w:tcPr/>
          <w:p>
            <w:pPr>
              <w:pStyle w:val="Compact"/>
            </w:pPr>
            <w:r>
              <w:t xml:space="preserve">Walls</w:t>
            </w:r>
          </w:p>
        </w:tc>
        <w:tc>
          <w:tcPr/>
          <w:p>
            <w:pPr>
              <w:pStyle w:val="Compact"/>
            </w:pPr>
            <w:r>
              <w:t xml:space="preserve">Tipton</w:t>
            </w:r>
          </w:p>
        </w:tc>
        <w:tc>
          <w:tcPr/>
          <w:p>
            <w:pPr>
              <w:pStyle w:val="Compact"/>
            </w:pPr>
            <w:r>
              <w:t xml:space="preserve">under the minimum</w:t>
            </w:r>
          </w:p>
        </w:tc>
        <w:tc>
          <w:tcPr/>
          <w:p>
            <w:pPr>
              <w:pStyle w:val="Compact"/>
            </w:pPr>
          </w:p>
        </w:tc>
        <w:tc>
          <w:tcPr/>
          <w:p>
            <w:pPr>
              <w:pStyle w:val="Compact"/>
            </w:pPr>
          </w:p>
        </w:tc>
        <w:tc>
          <w:tcPr/>
          <w:p>
            <w:pPr>
              <w:pStyle w:val="Compact"/>
            </w:pPr>
          </w:p>
        </w:tc>
      </w:tr>
    </w:tbl>
    <w:p>
      <w:pPr>
        <w:pStyle w:val="BodyText"/>
      </w:pPr>
      <w:r>
        <w:t xml:space="preserve">Distances are chi-square distances from the site’s profile to the pooled profile of the candidate phase with the site left out, and straight-line kilometers to that phase’s center. His counts equal the survey’s at 11 of the 21 shared sites and exceed them at ten, so for those sites this is a second sampling of the same collections; only the western Tennessee sites, from Tennessee Division of Archaeology collections, are material the survey never had. The copying model is not rerun on his table because it is calibrated to the main matrix, and recalibrating it would be a separate study.</w:t>
      </w:r>
    </w:p>
    <w:bookmarkEnd w:id="139"/>
    <w:bookmarkStart w:id="140" w:name="coordinates-and-datum"/>
    <w:p>
      <w:pPr>
        <w:pStyle w:val="Heading2"/>
      </w:pPr>
      <w:r>
        <w:t xml:space="preserve">Coordinates and datum</w:t>
      </w:r>
    </w:p>
    <w:p>
      <w:pPr>
        <w:pStyle w:val="FirstParagraph"/>
      </w:pPr>
      <w:r>
        <w:t xml:space="preserve">Assemblage coordinates come from</w:t>
      </w:r>
      <w:r>
        <w:t xml:space="preserve"> </w:t>
      </w:r>
      <w:r>
        <w:rPr>
          <w:rStyle w:val="VerbatimChar"/>
        </w:rPr>
        <w:t xml:space="preserve">data/raw/mainfort-pfg-cplXY.txt</w:t>
      </w:r>
      <w:r>
        <w:t xml:space="preserve">, with published corrections applied on reading (</w:t>
      </w:r>
      <w:r>
        <w:rPr>
          <w:rStyle w:val="VerbatimChar"/>
        </w:rPr>
        <w:t xml:space="preserve">data/raw/coordinate_corrections.csv</w:t>
      </w:r>
      <w:r>
        <w:t xml:space="preserve">): Belle Meade and Beck are moved to author-supplied coordinates inside the sections Phillips, Ford, and Griffin record, and Starkley to the survey’s own coordinate, which falls inside its recorded section. The survey’s coordinates were recorded in the 1927 North American Datum, and the coordinate file had read them as the 1983 datum, which puts each such point about 209 m south of where the survey placed it. We convert only where the derivation is demonstrated: an assemblage coordinate is converted when it lies within 10 m of the survey’s coordinate for that site read in the 1983 datum. That applies to 17 assemblages, 13 of them in the basin set. Eleven further coordinates lie 14 to 78 m from that reading, which means they were derived another way; eight of them are Mainfort’s own points, and all eleven are left as recorded. Settlement-table rows whose source is the survey (367 rows) are converted the same way. The conversion changes no basin membership, no</w:t>
      </w:r>
      <w:r>
        <w:t xml:space="preserve"> </w:t>
      </w:r>
      <m:oMath>
        <m:r>
          <m:t>k</m:t>
        </m:r>
      </m:oMath>
      <w:r>
        <w:t xml:space="preserve">-means division at two to six clusters, and no plug-in</w:t>
      </w:r>
      <w:r>
        <w:t xml:space="preserve"> </w:t>
      </w:r>
      <m:oMath>
        <m:sSub>
          <m:e>
            <m:r>
              <m:t>F</m:t>
            </m:r>
          </m:e>
          <m:sub>
            <m:r>
              <m:t>S</m:t>
            </m:r>
            <m:r>
              <m:t>T</m:t>
            </m:r>
          </m:sub>
        </m:sSub>
      </m:oMath>
      <w:r>
        <w:t xml:space="preserve"> </w:t>
      </w:r>
      <w:r>
        <w:t xml:space="preserve">to six decimals (</w:t>
      </w:r>
      <w:r>
        <w:rPr>
          <w:rStyle w:val="VerbatimChar"/>
        </w:rPr>
        <w:t xml:space="preserve">scripts/measure_datum.py</w:t>
      </w:r>
      <w:r>
        <w:t xml:space="preserve">,</w:t>
      </w:r>
      <w:r>
        <w:t xml:space="preserve"> </w:t>
      </w:r>
      <w:r>
        <w:rPr>
          <w:rStyle w:val="VerbatimChar"/>
        </w:rPr>
        <w:t xml:space="preserve">output/findings/datum_conversion.md</w:t>
      </w:r>
      <w:r>
        <w:t xml:space="preserve">).</w:t>
      </w:r>
    </w:p>
    <w:bookmarkEnd w:id="140"/>
    <w:bookmarkStart w:id="144"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 determinations come from seven St. Francis basin Parkin-phase sites, nineteen of them from Parkin. The summed probability of the basin dates concentrates the occupation in the fourteenth to sixteenth centuries, with a median of AD 1428 (Parkin alone, AD 1483), and declines across the contact interval: 29 percent of the basin probability postdates AD 1541 and 18 percent postdates AD 1600 (Figure S6). This is consistent with occupation continuing through the De Soto entrada and declining afterward, although the latest tail is partly a calibration artifact of low-activity determinations near the post-1650 plateau</w:t>
      </w:r>
      <w:r>
        <w:t xml:space="preserve"> </w:t>
      </w:r>
      <w:r>
        <w:t xml:space="preserve">(Surovell et al. 2009; Surovell and Brantingham 2007)</w:t>
      </w:r>
      <w:r>
        <w:t xml:space="preserve">. To test whether the seriation axis tracks calendar time, we pooled the dates of the four proveniences matching our assemblages (Kent Place, Parkin, Neeley’s Ferry, and Clay Hill; 26 dates) and correlated their median calibrated ages with position on the first correspondence-analysis axis. With pooled calibrated medians the rank correlation is 0.40 in magnitude, with Clay Hill out of order, and it runs against the axis as computed; with one-sigma calibrated midpoints it is zero. Four points under two reasonable conventions that disagree cannot establish which end of the axis is later. The analyses therefore use the axis as computed, and every direction-dependent result is reported both ways. The basin chronology is stable under an alternative compilation: adding the net-new Mississippian dates from the lower-valley radiocarbon database compiled by Jeffrey Alvey (personal communication, 2022), twelve determinations concentrated at Hazel and Upper Nodena, shifts the summed-probability median by eight years, to AD 1436, and leaves the contact decline in place (26 percent of the probability after AD 1541 and 16 percent after AD 1600). Recent AMS dating of the Parkin platform-mound post, interpreted as the base of the cross the De Soto expedition raised at Casqui, places it at cal AD 1445 to 1650</w:t>
      </w:r>
      <w:r>
        <w:t xml:space="preserve"> </w:t>
      </w:r>
      <w:r>
        <w:t xml:space="preserve">(Mitchem 2017)</w:t>
      </w:r>
      <w:r>
        <w:t xml:space="preserve">, consistent with the latest occupation inferred here. The individual determinations, with laboratory numbers, ages, calibrated medians, and sources, are listed in</w:t>
      </w:r>
      <w:r>
        <w:t xml:space="preserve"> </w:t>
      </w:r>
      <w:r>
        <w:rPr>
          <w:rStyle w:val="VerbatimChar"/>
        </w:rPr>
        <w:t xml:space="preserve">radiocarbon_dates_used.csv</w:t>
      </w:r>
      <w:r>
        <w:t xml:space="preserve">.</w:t>
      </w:r>
    </w:p>
    <w:p>
      <w:pPr>
        <w:pStyle w:val="CaptionedFigure"/>
      </w:pPr>
      <w:r>
        <w:drawing>
          <wp:inline>
            <wp:extent cx="5334000" cy="2713789"/>
            <wp:effectExtent b="0" l="0" r="0" t="0"/>
            <wp:docPr descr="Figure S6. Radiocarbon chronology of the St. Francis basin (Mainfort determinations calibrated against IntCal20). Left: summed probability for the basin Parkin-phase sites (filled) and for Parkin alone (line, scaled), with the De Soto entrada (AD 1541) marked. Occupation concentrates in the fourteenth to sixteenth centuries and declines across contact. Right: position on the first correspondence-analysis axis against pooled median calibrated age for the four proveniences matching the analyzed assemblages (point size proportional to the number of dates). The axis is drawn reversed relative to Figure 4 so that age increases along it; the rank correlation is +0.40, with the late-dated Clay Hill out of order, and four points do not establish the axis’s direction." title="" id="142" name="Picture"/>
            <a:graphic>
              <a:graphicData uri="http://schemas.openxmlformats.org/drawingml/2006/picture">
                <pic:pic>
                  <pic:nvPicPr>
                    <pic:cNvPr descr="../../figures/figS6_chronology.png" id="143" name="Picture"/>
                    <pic:cNvPicPr>
                      <a:picLocks noChangeArrowheads="1" noChangeAspect="1"/>
                    </pic:cNvPicPr>
                  </pic:nvPicPr>
                  <pic:blipFill>
                    <a:blip r:embed="rId141"/>
                    <a:stretch>
                      <a:fillRect/>
                    </a:stretch>
                  </pic:blipFill>
                  <pic:spPr bwMode="auto">
                    <a:xfrm>
                      <a:off x="0" y="0"/>
                      <a:ext cx="5334000" cy="2713789"/>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Radiocarbon chronology of the St. Francis basin (Mainfort determinations calibrated against IntCal20). Left: summed probability for the basin Parkin-phase sites (filled) and for Parkin alone (line, scaled), with the De Soto entrada (AD 1541) marked. Occupation concentrates in the fourteenth to sixteenth centuries and declines across contact. Right: position on the first correspondence-analysis axis against pooled median calibrated age for the four proveniences matching the analyzed assemblages (point size proportional to the number of dates). The axis is drawn reversed relative to Figure 4 so that age increases along it; the rank correlation is +0.40, with the late-dated Clay Hill out of order, and four points do not establish the axis’s direction.</w:t>
      </w:r>
    </w:p>
    <w:bookmarkEnd w:id="144"/>
    <w:bookmarkStart w:id="156" w:name="X490dfca6be40dac40453279b4635251c9fd7a99"/>
    <w:p>
      <w:pPr>
        <w:pStyle w:val="Heading2"/>
      </w:pPr>
      <w:r>
        <w:t xml:space="preserve">The southeast-Missouri assemblages, and why we do not analyze them</w:t>
      </w:r>
    </w:p>
    <w:p>
      <w:pPr>
        <w:pStyle w:val="FirstParagraph"/>
      </w:pPr>
      <w:r>
        <w:t xml:space="preserve">The main text tests one region. This section reports an attempt to extend the test to a second and explains why it does not appear there. The southeast-Missouri material is not adequate for the test at present, not because its phases are sounder or weaker than the basin’s but because its classes and sample sizes measure something other than the stylistic copying the test is built for. We report the attempt because a negative of this kind is useful to the next person who considers the same extension.</w:t>
      </w:r>
    </w:p>
    <w:bookmarkStart w:id="145" w:name="what-we-tried"/>
    <w:p>
      <w:pPr>
        <w:pStyle w:val="Heading3"/>
      </w:pPr>
      <w:r>
        <w:t xml:space="preserve">What we tried</w:t>
      </w:r>
    </w:p>
    <w:p>
      <w:pPr>
        <w:pStyle w:val="FirstParagraph"/>
      </w:pPr>
      <w:r>
        <w:t xml:space="preserve">Williams</w:t>
      </w:r>
      <w:r>
        <w:t xml:space="preserve"> </w:t>
      </w:r>
      <w:r>
        <w:t xml:space="preserve">(1954)</w:t>
      </w:r>
      <w:r>
        <w:t xml:space="preserve"> </w:t>
      </w:r>
      <w:r>
        <w:t xml:space="preserve">divided the southeast-Missouri lowlands into four named Mississippian phases, on a survey independent of the Phillips-Ford-Griffin work, which makes it the obvious second case. We digitized his survey tables and georeferenced the sites through the Lower Mississippi Survey grid, which places his assemblages and the basin’s in one frame (Figure S7). Across the named physiographic regions the cultural</w:t>
      </w:r>
      <w:r>
        <w:t xml:space="preserve"> </w:t>
      </w:r>
      <m:oMath>
        <m:sSub>
          <m:e>
            <m:r>
              <m:t>F</m:t>
            </m:r>
          </m:e>
          <m:sub>
            <m:r>
              <m:t>S</m:t>
            </m:r>
            <m:r>
              <m:t>T</m:t>
            </m:r>
          </m:sub>
        </m:sSub>
      </m:oMath>
      <w:r>
        <w:t xml:space="preserve"> </w:t>
      </w:r>
      <w:r>
        <w:t xml:space="preserve">is 0.11, most of it a Woodland-to-Mississippian change in composition rather than contemporaneous social structure. Restricting the analysis to assemblages with at least 30 sherds in non-Woodland classes, and to those classes, leaves 39 assemblages from 24 locations over 42 classes and lowers the between-cluster</w:t>
      </w:r>
      <w:r>
        <w:t xml:space="preserve"> </w:t>
      </w:r>
      <m:oMath>
        <m:sSub>
          <m:e>
            <m:r>
              <m:t>F</m:t>
            </m:r>
          </m:e>
          <m:sub>
            <m:r>
              <m:t>S</m:t>
            </m:r>
            <m:r>
              <m:t>T</m:t>
            </m:r>
          </m:sub>
        </m:sSub>
      </m:oMath>
      <w:r>
        <w:t xml:space="preserve"> </w:t>
      </w:r>
      <w:r>
        <w:t xml:space="preserve">to 0.034 across four spatial clusters. Several assemblages from one location remain separate points, which already limits their independence.</w:t>
      </w:r>
    </w:p>
    <w:p>
      <w:pPr>
        <w:pStyle w:val="BodyText"/>
      </w:pPr>
      <w:r>
        <w:t xml:space="preserve">Run through the same calibrated comparison as the basin, the set behaves much as the basin does. Its assemblages do not separate into clusters on the ordination (Figure S8A and B). Ten parameter combinations match its diversity under pooled-profile innovation on the screen and eight on the fifty-run check, and at the matched combination most favorable to the model (120 learners, innovation 0.004, mixing 0.02, great-circle distance) the observed</w:t>
      </w:r>
      <w:r>
        <w:t xml:space="preserve"> </w:t>
      </w:r>
      <m:oMath>
        <m:sSub>
          <m:e>
            <m:r>
              <m:t>F</m:t>
            </m:r>
          </m:e>
          <m:sub>
            <m:r>
              <m:t>S</m:t>
            </m:r>
            <m:r>
              <m:t>T</m:t>
            </m:r>
          </m:sub>
        </m:sSub>
      </m:oMath>
      <w:r>
        <w:t xml:space="preserve"> </w:t>
      </w:r>
      <w:r>
        <w:t xml:space="preserve">lies inside the simulated range of 0.004 to 0.040 (median 0.012), reached by 4.6 percent of simulated datasets in seriation order, 3.2 percent in reverse, and 5.4 percent as contemporaneous. Uniform innovation fits at no combination and overpredicts the differentiation about two-and-a-half-fold at its nearest one (median 0.083). The bounded-groups model at a copying factor of 0.03 raises the median to 0.025 and reaches the observation in 30 percent of 30 runs (Figure S8C). Taken at face value this repeats the basin’s result, and it matches the verdict Fox</w:t>
      </w:r>
      <w:r>
        <w:t xml:space="preserve"> </w:t>
      </w:r>
      <w:r>
        <w:t xml:space="preserve">(1998)</w:t>
      </w:r>
      <w:r>
        <w:t xml:space="preserve"> </w:t>
      </w:r>
      <w:r>
        <w:t xml:space="preserve">reached for these phases by cluster analysis and ordination.</w:t>
      </w:r>
    </w:p>
    <w:bookmarkEnd w:id="145"/>
    <w:bookmarkStart w:id="146" w:name="why-we-do-not-report-it-as-a-result"/>
    <w:p>
      <w:pPr>
        <w:pStyle w:val="Heading3"/>
      </w:pPr>
      <w:r>
        <w:t xml:space="preserve">Why we do not report it as a result</w:t>
      </w:r>
    </w:p>
    <w:p>
      <w:pPr>
        <w:pStyle w:val="FirstParagraph"/>
      </w:pPr>
      <w:r>
        <w:t xml:space="preserve">Taking it at face value would be a mistake, for three reasons that appear only once the classes are examined rather than counted (</w:t>
      </w:r>
      <w:r>
        <w:rPr>
          <w:rStyle w:val="VerbatimChar"/>
        </w:rPr>
        <w:t xml:space="preserve">analyses/66_cmv_class_composition.py</w:t>
      </w:r>
      <w:r>
        <w:t xml:space="preserve">).</w:t>
      </w:r>
    </w:p>
    <w:p>
      <w:pPr>
        <w:pStyle w:val="BodyText"/>
      </w:pPr>
      <w:r>
        <w:rPr>
          <w:b/>
          <w:bCs/>
        </w:rPr>
        <w:t xml:space="preserve">The set is ninety percent plain ware.</w:t>
      </w:r>
      <w:r>
        <w:t xml:space="preserve"> </w:t>
      </w:r>
      <w:r>
        <w:t xml:space="preserve">Mississippi Plain alone is 81.5 percent of the 8,958 analyzed sherds, Bell Plain a further 7.5 percent, and the four plain classes together 90.1 percent. The basin analysis uses ten decorated types and no plain ware at all. Plain wares are utility pottery, and the paste difference between Mississippi Plain and Bell Plain is a matter of manufacture and function rather than style. It is also where most of the differentiation lies: the plain component alone gives a between-cluster</w:t>
      </w:r>
      <w:r>
        <w:t xml:space="preserve"> </w:t>
      </w:r>
      <m:oMath>
        <m:sSub>
          <m:e>
            <m:r>
              <m:t>F</m:t>
            </m:r>
          </m:e>
          <m:sub>
            <m:r>
              <m:t>S</m:t>
            </m:r>
            <m:r>
              <m:t>T</m:t>
            </m:r>
          </m:sub>
        </m:sSub>
      </m:oMath>
      <w:r>
        <w:t xml:space="preserve"> </w:t>
      </w:r>
      <w:r>
        <w:t xml:space="preserve">of 0.065, and the Mississippi-to-Bell ratio alone 0.076, both well above the 0.034 of the full set. A difference between groups in that variable is what Table 1 files under environmental patchiness, which the test cannot separate from bounded interaction on this evidence.</w:t>
      </w:r>
    </w:p>
    <w:p>
      <w:pPr>
        <w:pStyle w:val="BodyText"/>
      </w:pPr>
      <w:r>
        <w:rPr>
          <w:b/>
          <w:bCs/>
        </w:rPr>
        <w:t xml:space="preserve">The stylistic part is too small to test.</w:t>
      </w:r>
      <w:r>
        <w:t xml:space="preserve"> </w:t>
      </w:r>
      <w:r>
        <w:t xml:space="preserve">Only 883 sherds, 9.9 percent of the set, are not plain, a median of 16 per assemblage spread across 38 classes. Even a 30-sherd minimum for decorated material leaves 12 of the 39 assemblages. The basin set carries 14,101 decorated sherds, a median of 251 per assemblage across ten classes.</w:t>
      </w:r>
    </w:p>
    <w:p>
      <w:pPr>
        <w:pStyle w:val="BodyText"/>
      </w:pPr>
      <w:r>
        <w:rPr>
          <w:b/>
          <w:bCs/>
        </w:rPr>
        <w:t xml:space="preserve">Most of the decorated material is surface film rather than design, and it is chronologically loaded.</w:t>
      </w:r>
      <w:r>
        <w:t xml:space="preserve"> </w:t>
      </w:r>
      <w:r>
        <w:t xml:space="preserve">Varney Red is 38.7 percent of the non-plain sherds and Old Town Red Filmed a further 17.4 percent. Varney Red is a chronologically diagnostic red-filmed ware that the Woodland exclusion does not catch, so its spatial pattern carries the very gradient that exclusion was meant to remove. Dropping it moves the</w:t>
      </w:r>
      <w:r>
        <w:t xml:space="preserve"> </w:t>
      </w:r>
      <m:oMath>
        <m:sSub>
          <m:e>
            <m:r>
              <m:t>F</m:t>
            </m:r>
          </m:e>
          <m:sub>
            <m:r>
              <m:t>S</m:t>
            </m:r>
            <m:r>
              <m:t>T</m:t>
            </m:r>
          </m:sub>
        </m:sSub>
      </m:oMath>
      <w:r>
        <w:t xml:space="preserve"> </w:t>
      </w:r>
      <w:r>
        <w:t xml:space="preserve">of the named non-plain types from 0.351 to 0.180. Twenty-nine of the 38 non-plain classes occur in only one of the four spatial clusters while holding 302 sherds among them, so rarity and spatial restriction cannot be separated at this sample size.</w:t>
      </w:r>
    </w:p>
    <w:p>
      <w:pPr>
        <w:pStyle w:val="BodyText"/>
      </w:pPr>
      <w:r>
        <w:t xml:space="preserve">The non-plain subset does differentiate strongly (0.325), and not as an artifact of small samples: resampling every assemblage from the regional pooled profile at its own count gives a median of 0.003. Neither is it a clean measurement of style, for the reasons just given. The honest statement is not that southeast Missouri is differentiated or undifferentiated. It is that this set cannot answer the question the basin set is asked.</w:t>
      </w:r>
    </w:p>
    <w:bookmarkEnd w:id="146"/>
    <w:bookmarkStart w:id="147" w:name="how-this-shows-up-in-the-modeling"/>
    <w:p>
      <w:pPr>
        <w:pStyle w:val="Heading3"/>
      </w:pPr>
      <w:r>
        <w:t xml:space="preserve">How this shows up in the modeling</w:t>
      </w:r>
    </w:p>
    <w:p>
      <w:pPr>
        <w:pStyle w:val="FirstParagraph"/>
      </w:pPr>
      <w:r>
        <w:t xml:space="preserve">The composition problem is visible in the model’s behavior, which is what first drew our attention to it. In the basin, the innovation boundary raises differentiation with the diversity match intact: from a reordered share of 0 to 0.3 the median</w:t>
      </w:r>
      <w:r>
        <w:t xml:space="preserve"> </w:t>
      </w:r>
      <m:oMath>
        <m:sSub>
          <m:e>
            <m:r>
              <m:t>F</m:t>
            </m:r>
          </m:e>
          <m:sub>
            <m:r>
              <m:t>S</m:t>
            </m:r>
            <m:r>
              <m:t>T</m:t>
            </m:r>
          </m:sub>
        </m:sSub>
      </m:oMath>
      <w:r>
        <w:t xml:space="preserve"> </w:t>
      </w:r>
      <w:r>
        <w:t xml:space="preserve">rises from 0.0023 to 0.045, passing the observed 0.0062 between 0.2 and 0.25, and all three diversity summaries stay within tolerance until the share reaches 0.4 (1,200 runs per setting,</w:t>
      </w:r>
      <w:r>
        <w:t xml:space="preserve"> </w:t>
      </w:r>
      <w:r>
        <w:rPr>
          <w:rStyle w:val="VerbatimChar"/>
        </w:rPr>
        <w:t xml:space="preserve">output/findings/other_departures_c_highrep.md</w:t>
      </w:r>
      <w:r>
        <w:t xml:space="preserve">). On the southeast-Missouri set the same change reaches the observed 0.034 at a share of 0.2 (median 0.033), but the diversity match is already lost at 0.15 and at every share above it, so no setting both reaches the observation and holds the match; the largest share that keeps the match, 0.1, leaves the median at 0.017, half the observed value. The cause is the plain ware. With the top two classes holding 89 percent of all sherds, reordering a group’s innovation profile so that it catches Mississippi Plain moves the whole assemblage rather than its margins. The quantity being varied is the composition of utility pottery.</w:t>
      </w:r>
    </w:p>
    <w:bookmarkEnd w:id="147"/>
    <w:bookmarkStart w:id="148" w:name="a-defect-in-the-source-table"/>
    <w:p>
      <w:pPr>
        <w:pStyle w:val="Heading3"/>
      </w:pPr>
      <w:r>
        <w:t xml:space="preserve">A defect in the source table</w:t>
      </w:r>
    </w:p>
    <w:p>
      <w:pPr>
        <w:pStyle w:val="FirstParagraph"/>
      </w:pPr>
      <w:r>
        <w:t xml:space="preserve">Three classes in the digitized Williams tables are each carried twice, because their names differ only in capitalization:</w:t>
      </w:r>
      <w:r>
        <w:t xml:space="preserve"> </w:t>
      </w:r>
      <w:r>
        <w:t xml:space="preserve">“Thin Ware”</w:t>
      </w:r>
      <w:r>
        <w:t xml:space="preserve"> </w:t>
      </w:r>
      <w:r>
        <w:t xml:space="preserve">and</w:t>
      </w:r>
      <w:r>
        <w:t xml:space="preserve"> </w:t>
      </w:r>
      <w:r>
        <w:t xml:space="preserve">“Thin ware”</w:t>
      </w:r>
      <w:r>
        <w:t xml:space="preserve"> </w:t>
      </w:r>
      <w:r>
        <w:t xml:space="preserve">(5 and 49 sherds),</w:t>
      </w:r>
      <w:r>
        <w:t xml:space="preserve"> </w:t>
      </w:r>
      <w:r>
        <w:t xml:space="preserve">“Fine Ware”</w:t>
      </w:r>
      <w:r>
        <w:t xml:space="preserve"> </w:t>
      </w:r>
      <w:r>
        <w:t xml:space="preserve">and</w:t>
      </w:r>
      <w:r>
        <w:t xml:space="preserve"> </w:t>
      </w:r>
      <w:r>
        <w:t xml:space="preserve">“Fine ware”</w:t>
      </w:r>
      <w:r>
        <w:t xml:space="preserve"> </w:t>
      </w:r>
      <w:r>
        <w:t xml:space="preserve">(4 and 30), and</w:t>
      </w:r>
      <w:r>
        <w:t xml:space="preserve"> </w:t>
      </w:r>
      <w:r>
        <w:t xml:space="preserve">“Brown Slip”</w:t>
      </w:r>
      <w:r>
        <w:t xml:space="preserve"> </w:t>
      </w:r>
      <w:r>
        <w:t xml:space="preserve">and</w:t>
      </w:r>
      <w:r>
        <w:t xml:space="preserve"> </w:t>
      </w:r>
      <w:r>
        <w:t xml:space="preserve">“Brown slip”</w:t>
      </w:r>
      <w:r>
        <w:t xml:space="preserve"> </w:t>
      </w:r>
      <w:r>
        <w:t xml:space="preserve">(2 and 2). Together they are 92 sherds, and nothing above turns on them, but they inflate the class count and should be merged at the source before anyone builds on this table.</w:t>
      </w:r>
    </w:p>
    <w:bookmarkEnd w:id="148"/>
    <w:bookmarkStart w:id="155" w:name="what-would-make-the-extension-possible"/>
    <w:p>
      <w:pPr>
        <w:pStyle w:val="Heading3"/>
      </w:pPr>
      <w:r>
        <w:t xml:space="preserve">What would make the extension possible</w:t>
      </w:r>
    </w:p>
    <w:p>
      <w:pPr>
        <w:pStyle w:val="FirstParagraph"/>
      </w:pPr>
      <w:r>
        <w:t xml:space="preserve">The extension needs a decorated-only analysis of these assemblages, on named types with red films treated separately from incised and punctated design, and with sample sizes raised by returning to the collections rather than to the published tables. Until then the southeast-Missouri phases stand on Fox’s ordination as independent evidence that they do not hold as groups, a different and weaker claim than the one the main text makes for the St. Francis basin.</w:t>
      </w:r>
    </w:p>
    <w:p>
      <w:pPr>
        <w:pStyle w:val="CaptionedFigure"/>
      </w:pPr>
      <w:r>
        <w:drawing>
          <wp:inline>
            <wp:extent cx="4572000" cy="5251704"/>
            <wp:effectExtent b="0" l="0" r="0" t="0"/>
            <wp:docPr descr="Figure S7. Regional setting of the St. Francis basin analysis and of the southeast-Missouri survey discussed in this section. The central-valley southeast-Missouri survey of Williams (1954) is shown in blue and the lower-valley St. Francis basin assemblages in vermilion, with Parkin as a black star. Italic labels mark the named physiographic regions: Cairo Lowland, Sikeston Ridge, Malden Plain, and Little River in the central valley, and the St. Francis basin in the lower valley. Hydrography is from HydroRIVERS (Lehner and Grill 2013), with line width scaled by flow order so that the Mississippi appears as the heaviest line. State boundaries and the locator inset are from Natural Earth." title="" id="150" name="Picture"/>
            <a:graphic>
              <a:graphicData uri="http://schemas.openxmlformats.org/drawingml/2006/picture">
                <pic:pic>
                  <pic:nvPicPr>
                    <pic:cNvPr descr="../../figures/figS7_regional.png" id="151" name="Picture"/>
                    <pic:cNvPicPr>
                      <a:picLocks noChangeArrowheads="1" noChangeAspect="1"/>
                    </pic:cNvPicPr>
                  </pic:nvPicPr>
                  <pic:blipFill>
                    <a:blip r:embed="rId149"/>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Regional setting of the St. Francis basin analysis and of the southeast-Missouri survey discussed in this section. The central-valley southeast-Missouri survey of Williams</w:t>
      </w:r>
      <w:r>
        <w:t xml:space="preserve"> </w:t>
      </w:r>
      <w:r>
        <w:t xml:space="preserve">(1954)</w:t>
      </w:r>
      <w:r>
        <w:t xml:space="preserve"> </w:t>
      </w:r>
      <w:r>
        <w:t xml:space="preserve">is shown in blue and the lower-valley St. Francis basin assemblages in vermilion, with Parkin as a black star. Italic labels mark the named physiographic regions: Cairo Lowland, Sikeston Ridge, Malden Plain, and Little River in the central valley, and the St. Francis basin in the lower valley. Hydrography is from HydroRIVERS</w:t>
      </w:r>
      <w:r>
        <w:t xml:space="preserve"> </w:t>
      </w:r>
      <w:r>
        <w:t xml:space="preserve">(Lehner and Grill 2013)</w:t>
      </w:r>
      <w:r>
        <w:t xml:space="preserve">, with line width scaled by flow order so that the Mississippi appears as the heaviest line. State boundaries and the locator inset are from Natural Earth.</w:t>
      </w:r>
    </w:p>
    <w:p>
      <w:pPr>
        <w:pStyle w:val="CaptionedFigure"/>
      </w:pPr>
      <w:r>
        <w:drawing>
          <wp:inline>
            <wp:extent cx="4754880" cy="3691584"/>
            <wp:effectExtent b="0" l="0" r="0" t="0"/>
            <wp:docPr descr="Figure S8. Within-region structure under the calibrated comparison. (A, B) Multidimensional scaling of decorated Brainerd-Robinson dissimilarity for the St. Francis basin and for the southeast-Missouri assemblages (Mississippian classes only, so the comparison is not driven by the Woodland-to-Mississippian change), with markers distinguishing within-region spatial clusters. The basin assemblages intermix; in southeast Missouri one cluster separates along the first axis. (C) The observed between-cluster cultural F_{ST} for each region (diamond; 0.006 for the basin at two clusters) against the 95 percent ranges of three models run on the real coordinates and subsampled to the observed counts: the calibrated neutral copying model with pooled-profile innovation (dark), the same model with uniform innovation at its nearest calibration combination (mid-gray, which does not fit robustly in either region), and the bounded-groups model at a copying factor of 0.03 (light). In both regions the observed value lies inside the calibrated model’s range. The southeast-Missouri panels document the attempt described in this section rather than a result." title="" id="153" name="Picture"/>
            <a:graphic>
              <a:graphicData uri="http://schemas.openxmlformats.org/drawingml/2006/picture">
                <pic:pic>
                  <pic:nvPicPr>
                    <pic:cNvPr descr="../../figures/figS8_within_region.png" id="154" name="Picture"/>
                    <pic:cNvPicPr>
                      <a:picLocks noChangeArrowheads="1" noChangeAspect="1"/>
                    </pic:cNvPicPr>
                  </pic:nvPicPr>
                  <pic:blipFill>
                    <a:blip r:embed="rId152"/>
                    <a:stretch>
                      <a:fillRect/>
                    </a:stretch>
                  </pic:blipFill>
                  <pic:spPr bwMode="auto">
                    <a:xfrm>
                      <a:off x="0" y="0"/>
                      <a:ext cx="4754880" cy="369158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Within-region structure under the calibrated comparison. (A, B) Multidimensional scaling of decorated Brainerd-Robinson dissimilarity for the St. Francis basin and for the southeast-Missouri assemblages (Mississippian classes only, so the comparison is not driven by the Woodland-to-Mississippian change), with markers distinguishing within-region spatial clusters. The basin assemblages intermix; in southeast Missouri one cluster separates along the first axis. (C) The observed between-cluster cultural</w:t>
      </w:r>
      <w:r>
        <w:t xml:space="preserve"> </w:t>
      </w:r>
      <m:oMath>
        <m:sSub>
          <m:e>
            <m:r>
              <m:t>F</m:t>
            </m:r>
          </m:e>
          <m:sub>
            <m:r>
              <m:t>S</m:t>
            </m:r>
            <m:r>
              <m:t>T</m:t>
            </m:r>
          </m:sub>
        </m:sSub>
      </m:oMath>
      <w:r>
        <w:t xml:space="preserve"> </w:t>
      </w:r>
      <w:r>
        <w:t xml:space="preserve">for each region (diamond; 0.006 for the basin at two clusters) against the 95 percent ranges of three models run on the real coordinates and subsampled to the observed counts: the calibrated neutral copying model with pooled-profile innovation (dark), the same model with uniform innovation at its nearest calibration combination (mid-gray, which does not fit robustly in either region), and the bounded-groups model at a copying factor of 0.03 (light). In both regions the observed value lies inside the calibrated model’s range. The southeast-Missouri panels document the attempt described in this section rather than a result.</w:t>
      </w:r>
    </w:p>
    <w:bookmarkEnd w:id="155"/>
    <w:bookmarkEnd w:id="156"/>
    <w:bookmarkStart w:id="214" w:name="references"/>
    <w:p>
      <w:pPr>
        <w:pStyle w:val="Heading2"/>
      </w:pPr>
      <w:r>
        <w:t xml:space="preserve">References</w:t>
      </w:r>
    </w:p>
    <w:bookmarkStart w:id="213" w:name="refs"/>
    <w:bookmarkStart w:id="157"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57"/>
    <w:bookmarkStart w:id="159"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58">
        <w:r>
          <w:rPr>
            <w:rStyle w:val="Hyperlink"/>
          </w:rPr>
          <w:t xml:space="preserve">https://doi.org/10.1073/pnas.0903232106</w:t>
        </w:r>
      </w:hyperlink>
      <w:r>
        <w:t xml:space="preserve">.</w:t>
      </w:r>
    </w:p>
    <w:bookmarkEnd w:id="159"/>
    <w:bookmarkStart w:id="161"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60">
        <w:r>
          <w:rPr>
            <w:rStyle w:val="Hyperlink"/>
          </w:rPr>
          <w:t xml:space="preserve">https://doi.org/10.1098/rspb.2004.2746</w:t>
        </w:r>
      </w:hyperlink>
      <w:r>
        <w:t xml:space="preserve">.</w:t>
      </w:r>
    </w:p>
    <w:bookmarkEnd w:id="161"/>
    <w:bookmarkStart w:id="16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62">
        <w:r>
          <w:rPr>
            <w:rStyle w:val="Hyperlink"/>
          </w:rPr>
          <w:t xml:space="preserve">https://doi.org/10.1057/s41599-019-0295-9</w:t>
        </w:r>
      </w:hyperlink>
      <w:r>
        <w:t xml:space="preserve">.</w:t>
      </w:r>
    </w:p>
    <w:bookmarkEnd w:id="163"/>
    <w:bookmarkStart w:id="164"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164"/>
    <w:bookmarkStart w:id="166"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65">
        <w:r>
          <w:rPr>
            <w:rStyle w:val="Hyperlink"/>
          </w:rPr>
          <w:t xml:space="preserve">https://doi.org/10.1016/j.jas.2014.07.014</w:t>
        </w:r>
      </w:hyperlink>
      <w:r>
        <w:t xml:space="preserve">.</w:t>
      </w:r>
    </w:p>
    <w:bookmarkEnd w:id="166"/>
    <w:bookmarkStart w:id="168"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67">
        <w:r>
          <w:rPr>
            <w:rStyle w:val="Hyperlink"/>
          </w:rPr>
          <w:t xml:space="preserve">https://doi.org/10.1038/srep39122</w:t>
        </w:r>
      </w:hyperlink>
      <w:r>
        <w:t xml:space="preserve">.</w:t>
      </w:r>
    </w:p>
    <w:bookmarkEnd w:id="168"/>
    <w:bookmarkStart w:id="170"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169">
        <w:r>
          <w:rPr>
            <w:rStyle w:val="Hyperlink"/>
          </w:rPr>
          <w:t xml:space="preserve">https://doi.org/10.1371/journal.pone.0041010</w:t>
        </w:r>
      </w:hyperlink>
      <w:r>
        <w:t xml:space="preserve">.</w:t>
      </w:r>
    </w:p>
    <w:bookmarkEnd w:id="170"/>
    <w:bookmarkStart w:id="172"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71">
        <w:r>
          <w:rPr>
            <w:rStyle w:val="Hyperlink"/>
          </w:rPr>
          <w:t xml:space="preserve">https://doi.org/10.2307/278341</w:t>
        </w:r>
      </w:hyperlink>
      <w:r>
        <w:t xml:space="preserve">.</w:t>
      </w:r>
    </w:p>
    <w:bookmarkEnd w:id="172"/>
    <w:bookmarkStart w:id="173"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73"/>
    <w:bookmarkStart w:id="175"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74">
        <w:r>
          <w:rPr>
            <w:rStyle w:val="Hyperlink"/>
          </w:rPr>
          <w:t xml:space="preserve">https://doi.org/10.1534/genetics.113.158220</w:t>
        </w:r>
      </w:hyperlink>
      <w:r>
        <w:t xml:space="preserve">.</w:t>
      </w:r>
    </w:p>
    <w:bookmarkEnd w:id="175"/>
    <w:bookmarkStart w:id="176"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76"/>
    <w:bookmarkStart w:id="177"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77"/>
    <w:bookmarkStart w:id="179"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78">
        <w:r>
          <w:rPr>
            <w:rStyle w:val="Hyperlink"/>
          </w:rPr>
          <w:t xml:space="preserve">https://doi.org/10.1525/aa.2001.103.4.992</w:t>
        </w:r>
      </w:hyperlink>
      <w:r>
        <w:t xml:space="preserve">.</w:t>
      </w:r>
    </w:p>
    <w:bookmarkEnd w:id="179"/>
    <w:bookmarkStart w:id="180"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180"/>
    <w:bookmarkStart w:id="182"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81">
        <w:r>
          <w:rPr>
            <w:rStyle w:val="Hyperlink"/>
          </w:rPr>
          <w:t xml:space="preserve">https://doi.org/10.1666/05070.1</w:t>
        </w:r>
      </w:hyperlink>
      <w:r>
        <w:t xml:space="preserve">.</w:t>
      </w:r>
    </w:p>
    <w:bookmarkEnd w:id="182"/>
    <w:bookmarkStart w:id="184"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83">
        <w:r>
          <w:rPr>
            <w:rStyle w:val="Hyperlink"/>
          </w:rPr>
          <w:t xml:space="preserve">https://doi.org/10.1111/j.1558-5646.2007.00310.x</w:t>
        </w:r>
      </w:hyperlink>
      <w:r>
        <w:t xml:space="preserve">.</w:t>
      </w:r>
    </w:p>
    <w:bookmarkEnd w:id="184"/>
    <w:bookmarkStart w:id="186"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85">
        <w:r>
          <w:rPr>
            <w:rStyle w:val="Hyperlink"/>
          </w:rPr>
          <w:t xml:space="preserve">https://doi.org/10.1016/j.jtbi.2013.03.006</w:t>
        </w:r>
      </w:hyperlink>
      <w:r>
        <w:t xml:space="preserve">.</w:t>
      </w:r>
    </w:p>
    <w:bookmarkEnd w:id="186"/>
    <w:bookmarkStart w:id="187"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187"/>
    <w:bookmarkStart w:id="189"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88">
        <w:r>
          <w:rPr>
            <w:rStyle w:val="Hyperlink"/>
          </w:rPr>
          <w:t xml:space="preserve">https://doi.org/10.1371/journal.pone.0124942</w:t>
        </w:r>
      </w:hyperlink>
      <w:r>
        <w:t xml:space="preserve">.</w:t>
      </w:r>
    </w:p>
    <w:bookmarkEnd w:id="189"/>
    <w:bookmarkStart w:id="191"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90">
        <w:r>
          <w:rPr>
            <w:rStyle w:val="Hyperlink"/>
          </w:rPr>
          <w:t xml:space="preserve">https://doi.org/10.1006/jaar.1997.0314</w:t>
        </w:r>
      </w:hyperlink>
      <w:r>
        <w:t xml:space="preserve">.</w:t>
      </w:r>
    </w:p>
    <w:bookmarkEnd w:id="191"/>
    <w:bookmarkStart w:id="192"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192"/>
    <w:bookmarkStart w:id="193"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93"/>
    <w:bookmarkStart w:id="194"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94"/>
    <w:bookmarkStart w:id="195"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195"/>
    <w:bookmarkStart w:id="196" w:name="ref-mitchem_2017"/>
    <w:p>
      <w:pPr>
        <w:pStyle w:val="Bibliography"/>
      </w:pPr>
      <w:r>
        <w:t xml:space="preserve">Mitchem, Jeffrey M.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196"/>
    <w:bookmarkStart w:id="19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97"/>
    <w:bookmarkStart w:id="198"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198"/>
    <w:bookmarkStart w:id="20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9">
        <w:r>
          <w:rPr>
            <w:rStyle w:val="Hyperlink"/>
          </w:rPr>
          <w:t xml:space="preserve">https://doi.org/10.1017/RDC.2020.41</w:t>
        </w:r>
      </w:hyperlink>
      <w:r>
        <w:t xml:space="preserve">.</w:t>
      </w:r>
    </w:p>
    <w:bookmarkEnd w:id="200"/>
    <w:bookmarkStart w:id="201"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201"/>
    <w:bookmarkStart w:id="203"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02">
        <w:r>
          <w:rPr>
            <w:rStyle w:val="Hyperlink"/>
          </w:rPr>
          <w:t xml:space="preserve">https://doi.org/10.1038/nature08227</w:t>
        </w:r>
      </w:hyperlink>
      <w:r>
        <w:t xml:space="preserve">.</w:t>
      </w:r>
    </w:p>
    <w:bookmarkEnd w:id="203"/>
    <w:bookmarkStart w:id="205"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204">
        <w:r>
          <w:rPr>
            <w:rStyle w:val="Hyperlink"/>
          </w:rPr>
          <w:t xml:space="preserve">https://doi.org/10.1016/j.jas.2007.01.003</w:t>
        </w:r>
      </w:hyperlink>
      <w:r>
        <w:t xml:space="preserve">.</w:t>
      </w:r>
    </w:p>
    <w:bookmarkEnd w:id="205"/>
    <w:bookmarkStart w:id="207"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206">
        <w:r>
          <w:rPr>
            <w:rStyle w:val="Hyperlink"/>
          </w:rPr>
          <w:t xml:space="preserve">https://doi.org/10.1016/j.jas.2009.03.029</w:t>
        </w:r>
      </w:hyperlink>
      <w:r>
        <w:t xml:space="preserve">.</w:t>
      </w:r>
    </w:p>
    <w:bookmarkEnd w:id="207"/>
    <w:bookmarkStart w:id="208" w:name="ref-talts_etal_2018"/>
    <w:p>
      <w:pPr>
        <w:pStyle w:val="Bibliography"/>
      </w:pPr>
      <w:r>
        <w:t xml:space="preserve">Talts, Sean, Michael Betancourt, Daniel Simpson, Aki Vehtari, and Andrew Gelman. 2018. Validating</w:t>
      </w:r>
      <w:r>
        <w:t xml:space="preserve"> </w:t>
      </w:r>
      <w:r>
        <w:t xml:space="preserve">Bayesian</w:t>
      </w:r>
      <w:r>
        <w:t xml:space="preserve"> </w:t>
      </w:r>
      <w:r>
        <w:t xml:space="preserve">Inference Algorithms with Simulation-Based Calibration.</w:t>
      </w:r>
      <w:r>
        <w:t xml:space="preserve"> </w:t>
      </w:r>
      <w:r>
        <w:rPr>
          <w:i/>
          <w:iCs/>
        </w:rPr>
        <w:t xml:space="preserve">arXiv Preprint arXiv:1804.06788</w:t>
      </w:r>
      <w:r>
        <w:t xml:space="preserve">.</w:t>
      </w:r>
    </w:p>
    <w:bookmarkEnd w:id="208"/>
    <w:bookmarkStart w:id="209"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209"/>
    <w:bookmarkStart w:id="211" w:name="ref-toni_etal_2009"/>
    <w:p>
      <w:pPr>
        <w:pStyle w:val="Bibliography"/>
      </w:pPr>
      <w:r>
        <w:t xml:space="preserve">Toni, Tina, David Welch, Natalja Strelkowa, Andreas Ipsen, and Michael P. H. Stumpf. 2009. 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6(31):187–202.</w:t>
      </w:r>
      <w:r>
        <w:t xml:space="preserve"> </w:t>
      </w:r>
      <w:hyperlink r:id="rId210">
        <w:r>
          <w:rPr>
            <w:rStyle w:val="Hyperlink"/>
          </w:rPr>
          <w:t xml:space="preserve">https://doi.org/10.1098/rsif.2008.0172</w:t>
        </w:r>
      </w:hyperlink>
      <w:r>
        <w:t xml:space="preserve">.</w:t>
      </w:r>
    </w:p>
    <w:bookmarkEnd w:id="211"/>
    <w:bookmarkStart w:id="212" w:name="ref-williams_1954"/>
    <w:p>
      <w:pPr>
        <w:pStyle w:val="Bibliography"/>
      </w:pPr>
      <w:r>
        <w:t xml:space="preserve">Williams, Stephen. 1954. An Archeological Study of the Mississippian Culture in Southeast Missouri. PhD thesis, Yale University, New Haven.</w:t>
      </w:r>
    </w:p>
    <w:bookmarkEnd w:id="212"/>
    <w:bookmarkEnd w:id="213"/>
    <w:bookmarkEnd w:id="214"/>
    <w:bookmarkEnd w:id="215"/>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15" Target="media/rId115.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3" Target="media/rId133.png" /><Relationship Type="http://schemas.openxmlformats.org/officeDocument/2006/relationships/image" Id="rId141" Target="media/rId141.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hyperlink" Id="rId190" Target="https://doi.org/10.1006/jaar.1997.0314" TargetMode="External" /><Relationship Type="http://schemas.openxmlformats.org/officeDocument/2006/relationships/hyperlink" Id="rId204" Target="https://doi.org/10.1016/j.jas.2007.01.003" TargetMode="External" /><Relationship Type="http://schemas.openxmlformats.org/officeDocument/2006/relationships/hyperlink" Id="rId206" Target="https://doi.org/10.1016/j.jas.2009.03.029" TargetMode="External" /><Relationship Type="http://schemas.openxmlformats.org/officeDocument/2006/relationships/hyperlink" Id="rId165" Target="https://doi.org/10.1016/j.jas.2014.07.014" TargetMode="External" /><Relationship Type="http://schemas.openxmlformats.org/officeDocument/2006/relationships/hyperlink" Id="rId185" Target="https://doi.org/10.1016/j.jtbi.2013.03.006" TargetMode="External" /><Relationship Type="http://schemas.openxmlformats.org/officeDocument/2006/relationships/hyperlink" Id="rId199" Target="https://doi.org/10.1017/RDC.2020.41" TargetMode="External" /><Relationship Type="http://schemas.openxmlformats.org/officeDocument/2006/relationships/hyperlink" Id="rId202" Target="https://doi.org/10.1038/nature08227" TargetMode="External" /><Relationship Type="http://schemas.openxmlformats.org/officeDocument/2006/relationships/hyperlink" Id="rId167" Target="https://doi.org/10.1038/srep39122" TargetMode="External" /><Relationship Type="http://schemas.openxmlformats.org/officeDocument/2006/relationships/hyperlink" Id="rId162" Target="https://doi.org/10.1057/s41599-019-0295-9" TargetMode="External" /><Relationship Type="http://schemas.openxmlformats.org/officeDocument/2006/relationships/hyperlink" Id="rId158" Target="https://doi.org/10.1073/pnas.0903232106" TargetMode="External" /><Relationship Type="http://schemas.openxmlformats.org/officeDocument/2006/relationships/hyperlink" Id="rId210" Target="https://doi.org/10.1098/rsif.2008.0172" TargetMode="External" /><Relationship Type="http://schemas.openxmlformats.org/officeDocument/2006/relationships/hyperlink" Id="rId160" Target="https://doi.org/10.1098/rspb.2004.2746" TargetMode="External" /><Relationship Type="http://schemas.openxmlformats.org/officeDocument/2006/relationships/hyperlink" Id="rId183" Target="https://doi.org/10.1111/j.1558-5646.2007.00310.x" TargetMode="External" /><Relationship Type="http://schemas.openxmlformats.org/officeDocument/2006/relationships/hyperlink" Id="rId169" Target="https://doi.org/10.1371/journal.pone.0041010" TargetMode="External" /><Relationship Type="http://schemas.openxmlformats.org/officeDocument/2006/relationships/hyperlink" Id="rId188" Target="https://doi.org/10.1371/journal.pone.0124942" TargetMode="External" /><Relationship Type="http://schemas.openxmlformats.org/officeDocument/2006/relationships/hyperlink" Id="rId178" Target="https://doi.org/10.1525/aa.2001.103.4.992" TargetMode="External" /><Relationship Type="http://schemas.openxmlformats.org/officeDocument/2006/relationships/hyperlink" Id="rId174" Target="https://doi.org/10.1534/genetics.113.158220" TargetMode="External" /><Relationship Type="http://schemas.openxmlformats.org/officeDocument/2006/relationships/hyperlink" Id="rId181" Target="https://doi.org/10.1666/05070.1" TargetMode="External" /><Relationship Type="http://schemas.openxmlformats.org/officeDocument/2006/relationships/hyperlink" Id="rId171"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190" Target="https://doi.org/10.1006/jaar.1997.0314" TargetMode="External" /><Relationship Type="http://schemas.openxmlformats.org/officeDocument/2006/relationships/hyperlink" Id="rId204" Target="https://doi.org/10.1016/j.jas.2007.01.003" TargetMode="External" /><Relationship Type="http://schemas.openxmlformats.org/officeDocument/2006/relationships/hyperlink" Id="rId206" Target="https://doi.org/10.1016/j.jas.2009.03.029" TargetMode="External" /><Relationship Type="http://schemas.openxmlformats.org/officeDocument/2006/relationships/hyperlink" Id="rId165" Target="https://doi.org/10.1016/j.jas.2014.07.014" TargetMode="External" /><Relationship Type="http://schemas.openxmlformats.org/officeDocument/2006/relationships/hyperlink" Id="rId185" Target="https://doi.org/10.1016/j.jtbi.2013.03.006" TargetMode="External" /><Relationship Type="http://schemas.openxmlformats.org/officeDocument/2006/relationships/hyperlink" Id="rId199" Target="https://doi.org/10.1017/RDC.2020.41" TargetMode="External" /><Relationship Type="http://schemas.openxmlformats.org/officeDocument/2006/relationships/hyperlink" Id="rId202" Target="https://doi.org/10.1038/nature08227" TargetMode="External" /><Relationship Type="http://schemas.openxmlformats.org/officeDocument/2006/relationships/hyperlink" Id="rId167" Target="https://doi.org/10.1038/srep39122" TargetMode="External" /><Relationship Type="http://schemas.openxmlformats.org/officeDocument/2006/relationships/hyperlink" Id="rId162" Target="https://doi.org/10.1057/s41599-019-0295-9" TargetMode="External" /><Relationship Type="http://schemas.openxmlformats.org/officeDocument/2006/relationships/hyperlink" Id="rId158" Target="https://doi.org/10.1073/pnas.0903232106" TargetMode="External" /><Relationship Type="http://schemas.openxmlformats.org/officeDocument/2006/relationships/hyperlink" Id="rId210" Target="https://doi.org/10.1098/rsif.2008.0172" TargetMode="External" /><Relationship Type="http://schemas.openxmlformats.org/officeDocument/2006/relationships/hyperlink" Id="rId160" Target="https://doi.org/10.1098/rspb.2004.2746" TargetMode="External" /><Relationship Type="http://schemas.openxmlformats.org/officeDocument/2006/relationships/hyperlink" Id="rId183" Target="https://doi.org/10.1111/j.1558-5646.2007.00310.x" TargetMode="External" /><Relationship Type="http://schemas.openxmlformats.org/officeDocument/2006/relationships/hyperlink" Id="rId169" Target="https://doi.org/10.1371/journal.pone.0041010" TargetMode="External" /><Relationship Type="http://schemas.openxmlformats.org/officeDocument/2006/relationships/hyperlink" Id="rId188" Target="https://doi.org/10.1371/journal.pone.0124942" TargetMode="External" /><Relationship Type="http://schemas.openxmlformats.org/officeDocument/2006/relationships/hyperlink" Id="rId178" Target="https://doi.org/10.1525/aa.2001.103.4.992" TargetMode="External" /><Relationship Type="http://schemas.openxmlformats.org/officeDocument/2006/relationships/hyperlink" Id="rId174" Target="https://doi.org/10.1534/genetics.113.158220" TargetMode="External" /><Relationship Type="http://schemas.openxmlformats.org/officeDocument/2006/relationships/hyperlink" Id="rId181" Target="https://doi.org/10.1666/05070.1" TargetMode="External" /><Relationship Type="http://schemas.openxmlformats.org/officeDocument/2006/relationships/hyperlink" Id="rId171"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2026-09-23T01:40:23Z</dcterms:created>
  <dcterms:modified xsi:type="dcterms:W3CDTF">2026-09-23T01:40:23Z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