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50.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53.png" ContentType="image/png"/>
  <Override PartName="/word/media/rId47.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8"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Mississippian archaeology’s foundational unit, rests on a silent premise: that assemblages more similar to nearby than to distant neighbors record a bounded society. This is rarely tested, yet neutral transmission produces the same clustering with no bounded groups: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and Parkin is a transmission bridge, not a capital. A sharper boundary appears only between the central and lower valleys, confounded with chronological turnover and analytical history. Before similarity is read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unidad fundamental de la arqueología misisipiana, descansa sobre una premisa tácita: que los conjuntos más similares a sus vecinos cercanos que a los distantes registran una sociedad delimitada. Esto rara vez se pone a prueba, aunque la transmisión cultural neutral produce el mismo agrupamiento sin grupos delimitados: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fase Parkin de la cuenca del St. Francis, como en los conjuntos del sureste de Misuri, la estructura se reproduce mediante deriva y no requiere grupos delimitados, y Parkin es un puente de transmisión más que una capital.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The answer is in the unit through which the record is read, a matter the renewed debate over archaeological systematics has brought back into focus</w:t>
      </w:r>
      <w:r>
        <w:t xml:space="preserve"> </w:t>
      </w:r>
      <w:r>
        <w:t xml:space="preserve">(Lyman 2021)</w:t>
      </w:r>
      <w:r>
        <w:t xml:space="preserve"> </w:t>
      </w:r>
      <w:r>
        <w:t xml:space="preserve">[CITE-CHECK: lyman_2021].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2021)</w:t>
      </w:r>
      <w:r>
        <w:t xml:space="preserve">. On this account, a phase can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decorated-class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St. Francis basin, the setting of Parkin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non-overlapping territories, a Voronoi partition of the assemblages Mainfort (1996b) assigns to each phase, over a local hydrology base (the St. Francis, Tyronza, and Mississippi rivers) with state and county boundaries. Each assemblage is plotted with a marker shape for its phase, and Parkin is starred. The 29 assemblages of the St. Francis basin transmission set, those within 20 km of the St. Francis, Tyronza, and L’Anguille drainage, are ringed in black. The hydrological basin is a geographic unit that crosses the Parkin, Nodena, Kent, Walls, and Parchman phases. The bounded territories illustrate the premise the paper tests, that such areas record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non-overlapping territories, a Voronoi partition of the assemblages Mainfort</w:t>
      </w:r>
      <w:r>
        <w:t xml:space="preserve"> </w:t>
      </w:r>
      <w:r>
        <w:t xml:space="preserve">(1996b)</w:t>
      </w:r>
      <w:r>
        <w:t xml:space="preserve"> </w:t>
      </w:r>
      <w:r>
        <w:t xml:space="preserve">assigns to each phase, over a local hydrology base (the St. Francis, Tyronza, and Mississippi rivers) with state and county boundaries. Each assemblage is plotted with a marker shape for its phase, and Parkin is starred. The 29 assemblages of the St. Francis basin transmission set, those within 20 km of the St. Francis, Tyronza, and L’Anguille drainage, are ringed in black. The hydrological basin is a geographic unit that crosses the Parkin, Nodena, Kent, Walls, and Parchman phases. The bounded territories illustrate the premise the paper tests, that such areas record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class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with the phase is that ordinary interaction already makes nearby assemblages more alike than distant ones, even without distance,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It is interpreted, however, as a social entity equivalent to a bounded, interacting community, on the premise that assemblages are more alike within a phase than across its edges, thereby recording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because subpopulations retain different amounts of diversity depending on their size and connectivity: small or sparsely connected areas drift to depleted, idiosyncratic repertoires while larger, well-connected ones stay richer, so the resulting differences read as distinct interacting groups when they are produced by spatial position alone</w:t>
      </w:r>
      <w:r>
        <w:t xml:space="preserve"> </w:t>
      </w:r>
      <w:r>
        <w:t xml:space="preserve">(Lipo et al. 2021)</w:t>
      </w:r>
      <w:r>
        <w:t xml:space="preserve">. The measure must therefore be calibrated against that spatial-drift null rather than read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not realizable at this record’s resolution, because the neutral and seriation signatures fail to register a signal even when one is injected through its own pathway. The detectable discrimination, therefore,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generative drift-versus-groups comparison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do so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as well as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the same blurring of time that surface assemblages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aimless wobble of unbiased copying or the directed change a deliberate marker would exhibit. Seven of the nine testable classes appear to be simple wobble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assemblages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6"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the phase concept reads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and the between-group cultural F_ST of those groups settles at the observed level rather than the higher value a bounded group would leave. The named phases therefore subdivide the valley more finely than the transmission structure supports.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and a localized neutral process is readily mistaken for biased transmission when diversity is read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and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but that is the separation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but it is small, the null’s own tail reaches past it, and time-averaging, which deflates between-group variance, is not modeled in the null (Figure 9C, 9D). It is therefore at most a weak hint of structure beyond drift, not a demonstrated social boundary. Geography and time are the whole engine, and the apparent groups are readings of one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5" name="Picture"/>
            <a:graphic>
              <a:graphicData uri="http://schemas.openxmlformats.org/drawingml/2006/picture">
                <pic:pic>
                  <pic:nvPicPr>
                    <pic:cNvPr descr="../../figures/fig_lmv_drift_groups.png" id="46" name="Picture"/>
                    <pic:cNvPicPr>
                      <a:picLocks noChangeArrowheads="1" noChangeAspect="1"/>
                    </pic:cNvPicPr>
                  </pic:nvPicPr>
                  <pic:blipFill>
                    <a:blip r:embed="rId44"/>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A) Each assemblage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the separation drift predicts from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8" name="Picture"/>
            <a:graphic>
              <a:graphicData uri="http://schemas.openxmlformats.org/drawingml/2006/picture">
                <pic:pic>
                  <pic:nvPicPr>
                    <pic:cNvPr descr="../../figures/figS8_basin_pullout.png" id="49" name="Picture"/>
                    <pic:cNvPicPr>
                      <a:picLocks noChangeArrowheads="1" noChangeAspect="1"/>
                    </pic:cNvPicPr>
                  </pic:nvPicPr>
                  <pic:blipFill>
                    <a:blip r:embed="rId47"/>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(A) Each assemblage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the separation drift predicts from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reading, if only faintly, and deserves to be named rather than buried. The single place in the valley that carries a whisper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and this is what the origination stage of the two-regime model predicts: a local return generates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bear the weight.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simply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early-to-middle Mississippian, and the distinctive lower-valley classes are late</w:t>
      </w:r>
      <w:r>
        <w:t xml:space="preserve"> </w:t>
      </w:r>
      <w:r>
        <w:t xml:space="preserve">(Phillips 1970; Williams 1954)</w:t>
      </w:r>
      <w:r>
        <w:t xml:space="preserve">, so the step at the boundary cannot be separated from the early-to-late turnover of the repertoire with time-averaged surface assemblages,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because a boundary built only from classes unique to each typology would vanish when only the classes both traditions record are compared, and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1" name="Picture"/>
            <a:graphic>
              <a:graphicData uri="http://schemas.openxmlformats.org/drawingml/2006/picture">
                <pic:pic>
                  <pic:nvPicPr>
                    <pic:cNvPr descr="../../figures/fig1_regional.png" id="52" name="Picture"/>
                    <pic:cNvPicPr>
                      <a:picLocks noChangeArrowheads="1" noChangeAspect="1"/>
                    </pic:cNvPicPr>
                  </pic:nvPicPr>
                  <pic:blipFill>
                    <a:blip r:embed="rId50"/>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4" name="Picture"/>
            <a:graphic>
              <a:graphicData uri="http://schemas.openxmlformats.org/drawingml/2006/picture">
                <pic:pic>
                  <pic:nvPicPr>
                    <pic:cNvPr descr="../../figures/fig9_within_region.png" id="55" name="Picture"/>
                    <pic:cNvPicPr>
                      <a:picLocks noChangeArrowheads="1" noChangeAspect="1"/>
                    </pic:cNvPicPr>
                  </pic:nvPicPr>
                  <pic:blipFill>
                    <a:blip r:embed="rId53"/>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6"/>
    <w:bookmarkStart w:id="57"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class repertoire. It cannot yet be read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7"/>
    <w:bookmarkStart w:id="58"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8"/>
    <w:bookmarkStart w:id="237" w:name="references"/>
    <w:p>
      <w:pPr>
        <w:pStyle w:val="Heading2"/>
      </w:pPr>
      <w:r>
        <w:t xml:space="preserve">References</w:t>
      </w:r>
    </w:p>
    <w:bookmarkStart w:id="236" w:name="refs"/>
    <w:bookmarkStart w:id="59"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9"/>
    <w:bookmarkStart w:id="61"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0">
        <w:r>
          <w:rPr>
            <w:rStyle w:val="Hyperlink"/>
          </w:rPr>
          <w:t xml:space="preserve">https://doi.org/10.1016/j.jaa.2006.08.002</w:t>
        </w:r>
      </w:hyperlink>
      <w:r>
        <w:t xml:space="preserve">.</w:t>
      </w:r>
    </w:p>
    <w:bookmarkEnd w:id="61"/>
    <w:bookmarkStart w:id="63"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2">
        <w:r>
          <w:rPr>
            <w:rStyle w:val="Hyperlink"/>
          </w:rPr>
          <w:t xml:space="preserve">https://doi.org/10.1016/j.beproc.2018.01.011</w:t>
        </w:r>
      </w:hyperlink>
      <w:r>
        <w:t xml:space="preserve">.</w:t>
      </w:r>
    </w:p>
    <w:bookmarkEnd w:id="63"/>
    <w:bookmarkStart w:id="65"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4">
        <w:r>
          <w:rPr>
            <w:rStyle w:val="Hyperlink"/>
          </w:rPr>
          <w:t xml:space="preserve">https://doi.org/10.1098/rstb.1996.0073</w:t>
        </w:r>
      </w:hyperlink>
      <w:r>
        <w:t xml:space="preserve">.</w:t>
      </w:r>
    </w:p>
    <w:bookmarkEnd w:id="65"/>
    <w:bookmarkStart w:id="6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6"/>
    <w:bookmarkStart w:id="6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7">
        <w:r>
          <w:rPr>
            <w:rStyle w:val="Hyperlink"/>
          </w:rPr>
          <w:t xml:space="preserve">https://doi.org/10.2307/3557066</w:t>
        </w:r>
      </w:hyperlink>
      <w:r>
        <w:t xml:space="preserve">.</w:t>
      </w:r>
    </w:p>
    <w:bookmarkEnd w:id="68"/>
    <w:bookmarkStart w:id="70"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9">
        <w:r>
          <w:rPr>
            <w:rStyle w:val="Hyperlink"/>
          </w:rPr>
          <w:t xml:space="preserve">https://doi.org/10.1017/S0094837300026907</w:t>
        </w:r>
      </w:hyperlink>
      <w:r>
        <w:t xml:space="preserve">.</w:t>
      </w:r>
    </w:p>
    <w:bookmarkEnd w:id="70"/>
    <w:bookmarkStart w:id="7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1">
        <w:r>
          <w:rPr>
            <w:rStyle w:val="Hyperlink"/>
          </w:rPr>
          <w:t xml:space="preserve">https://doi.org/10.1073/pnas.0903232106</w:t>
        </w:r>
      </w:hyperlink>
      <w:r>
        <w:t xml:space="preserve">.</w:t>
      </w:r>
    </w:p>
    <w:bookmarkEnd w:id="72"/>
    <w:bookmarkStart w:id="74"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3">
        <w:r>
          <w:rPr>
            <w:rStyle w:val="Hyperlink"/>
          </w:rPr>
          <w:t xml:space="preserve">https://doi.org/10.1371/journal.pone.0003057</w:t>
        </w:r>
      </w:hyperlink>
      <w:r>
        <w:t xml:space="preserve">.</w:t>
      </w:r>
    </w:p>
    <w:bookmarkEnd w:id="74"/>
    <w:bookmarkStart w:id="7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5">
        <w:r>
          <w:rPr>
            <w:rStyle w:val="Hyperlink"/>
          </w:rPr>
          <w:t xml:space="preserve">https://doi.org/10.1098/rspb.2004.2746</w:t>
        </w:r>
      </w:hyperlink>
      <w:r>
        <w:t xml:space="preserve">.</w:t>
      </w:r>
    </w:p>
    <w:bookmarkEnd w:id="76"/>
    <w:bookmarkStart w:id="77"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7"/>
    <w:bookmarkStart w:id="79"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8">
        <w:r>
          <w:rPr>
            <w:rStyle w:val="Hyperlink"/>
          </w:rPr>
          <w:t xml:space="preserve">https://doi.org/10.2307/2694206</w:t>
        </w:r>
      </w:hyperlink>
      <w:r>
        <w:t xml:space="preserve">.</w:t>
      </w:r>
    </w:p>
    <w:bookmarkEnd w:id="79"/>
    <w:bookmarkStart w:id="80"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0"/>
    <w:bookmarkStart w:id="8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1">
        <w:r>
          <w:rPr>
            <w:rStyle w:val="Hyperlink"/>
          </w:rPr>
          <w:t xml:space="preserve">https://doi.org/10.1057/s41599-019-0295-9</w:t>
        </w:r>
      </w:hyperlink>
      <w:r>
        <w:t xml:space="preserve">.</w:t>
      </w:r>
    </w:p>
    <w:bookmarkEnd w:id="82"/>
    <w:bookmarkStart w:id="83"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3"/>
    <w:bookmarkStart w:id="84"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4"/>
    <w:bookmarkStart w:id="86"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5">
        <w:r>
          <w:rPr>
            <w:rStyle w:val="Hyperlink"/>
          </w:rPr>
          <w:t xml:space="preserve">https://doi.org/10.1007/s10816-023-09613-w</w:t>
        </w:r>
      </w:hyperlink>
      <w:r>
        <w:t xml:space="preserve">.</w:t>
      </w:r>
    </w:p>
    <w:bookmarkEnd w:id="86"/>
    <w:bookmarkStart w:id="8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7">
        <w:r>
          <w:rPr>
            <w:rStyle w:val="Hyperlink"/>
          </w:rPr>
          <w:t xml:space="preserve">https://doi.org/10.1057/s41599-020-00635-3</w:t>
        </w:r>
      </w:hyperlink>
      <w:r>
        <w:t xml:space="preserve">.</w:t>
      </w:r>
    </w:p>
    <w:bookmarkEnd w:id="88"/>
    <w:bookmarkStart w:id="9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9">
        <w:r>
          <w:rPr>
            <w:rStyle w:val="Hyperlink"/>
          </w:rPr>
          <w:t xml:space="preserve">https://doi.org/10.1007/s10816-022-09599-x</w:t>
        </w:r>
      </w:hyperlink>
      <w:r>
        <w:t xml:space="preserve">.</w:t>
      </w:r>
    </w:p>
    <w:bookmarkEnd w:id="90"/>
    <w:bookmarkStart w:id="9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1">
        <w:r>
          <w:rPr>
            <w:rStyle w:val="Hyperlink"/>
          </w:rPr>
          <w:t xml:space="preserve">https://doi.org/10.1016/j.jas.2014.07.014</w:t>
        </w:r>
      </w:hyperlink>
      <w:r>
        <w:t xml:space="preserve">.</w:t>
      </w:r>
    </w:p>
    <w:bookmarkEnd w:id="92"/>
    <w:bookmarkStart w:id="9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3">
        <w:r>
          <w:rPr>
            <w:rStyle w:val="Hyperlink"/>
          </w:rPr>
          <w:t xml:space="preserve">https://doi.org/10.1038/srep39122</w:t>
        </w:r>
      </w:hyperlink>
      <w:r>
        <w:t xml:space="preserve">.</w:t>
      </w:r>
    </w:p>
    <w:bookmarkEnd w:id="94"/>
    <w:bookmarkStart w:id="96"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5">
        <w:r>
          <w:rPr>
            <w:rStyle w:val="Hyperlink"/>
          </w:rPr>
          <w:t xml:space="preserve">https://doi.org/10.1371/journal.pone.0041010</w:t>
        </w:r>
      </w:hyperlink>
      <w:r>
        <w:t xml:space="preserve">.</w:t>
      </w:r>
    </w:p>
    <w:bookmarkEnd w:id="96"/>
    <w:bookmarkStart w:id="98"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7">
        <w:r>
          <w:rPr>
            <w:rStyle w:val="Hyperlink"/>
          </w:rPr>
          <w:t xml:space="preserve">https://doi.org/10.1073/pnas.1518798113</w:t>
        </w:r>
      </w:hyperlink>
      <w:r>
        <w:t xml:space="preserve">.</w:t>
      </w:r>
    </w:p>
    <w:bookmarkEnd w:id="98"/>
    <w:bookmarkStart w:id="100"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99">
        <w:r>
          <w:rPr>
            <w:rStyle w:val="Hyperlink"/>
          </w:rPr>
          <w:t xml:space="preserve">https://doi.org/10.1098/rstb.2017.0062</w:t>
        </w:r>
      </w:hyperlink>
      <w:r>
        <w:t xml:space="preserve">.</w:t>
      </w:r>
    </w:p>
    <w:bookmarkEnd w:id="100"/>
    <w:bookmarkStart w:id="102"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1">
        <w:r>
          <w:rPr>
            <w:rStyle w:val="Hyperlink"/>
          </w:rPr>
          <w:t xml:space="preserve">https://doi.org/10.2307/278341</w:t>
        </w:r>
      </w:hyperlink>
      <w:r>
        <w:t xml:space="preserve">.</w:t>
      </w:r>
    </w:p>
    <w:bookmarkEnd w:id="102"/>
    <w:bookmarkStart w:id="104"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3">
        <w:r>
          <w:rPr>
            <w:rStyle w:val="Hyperlink"/>
          </w:rPr>
          <w:t xml:space="preserve">https://doi.org/10.2307/279244</w:t>
        </w:r>
      </w:hyperlink>
      <w:r>
        <w:t xml:space="preserve">.</w:t>
      </w:r>
    </w:p>
    <w:bookmarkEnd w:id="104"/>
    <w:bookmarkStart w:id="105"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5"/>
    <w:bookmarkStart w:id="106"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6"/>
    <w:bookmarkStart w:id="107"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7"/>
    <w:bookmarkStart w:id="109"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8">
        <w:r>
          <w:rPr>
            <w:rStyle w:val="Hyperlink"/>
          </w:rPr>
          <w:t xml:space="preserve">https://doi.org/10.1016/j.jaa.2005.08.001</w:t>
        </w:r>
      </w:hyperlink>
      <w:r>
        <w:t xml:space="preserve">.</w:t>
      </w:r>
    </w:p>
    <w:bookmarkEnd w:id="109"/>
    <w:bookmarkStart w:id="111"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0">
        <w:r>
          <w:rPr>
            <w:rStyle w:val="Hyperlink"/>
          </w:rPr>
          <w:t xml:space="preserve">https://doi.org/10.1007/s10814-007-9013-z</w:t>
        </w:r>
      </w:hyperlink>
      <w:r>
        <w:t xml:space="preserve">.</w:t>
      </w:r>
    </w:p>
    <w:bookmarkEnd w:id="111"/>
    <w:bookmarkStart w:id="11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2"/>
    <w:bookmarkStart w:id="11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3">
        <w:r>
          <w:rPr>
            <w:rStyle w:val="Hyperlink"/>
          </w:rPr>
          <w:t xml:space="preserve">https://doi.org/10.1534/genetics.113.158220</w:t>
        </w:r>
      </w:hyperlink>
      <w:r>
        <w:t xml:space="preserve">.</w:t>
      </w:r>
    </w:p>
    <w:bookmarkEnd w:id="114"/>
    <w:bookmarkStart w:id="116"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5">
        <w:r>
          <w:rPr>
            <w:rStyle w:val="Hyperlink"/>
          </w:rPr>
          <w:t xml:space="preserve">https://doi.org/10.1073/pnas.2418106121</w:t>
        </w:r>
      </w:hyperlink>
      <w:r>
        <w:t xml:space="preserve">.</w:t>
      </w:r>
    </w:p>
    <w:bookmarkEnd w:id="116"/>
    <w:bookmarkStart w:id="117"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7"/>
    <w:bookmarkStart w:id="118"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18"/>
    <w:bookmarkStart w:id="119"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9"/>
    <w:bookmarkStart w:id="120"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0"/>
    <w:bookmarkStart w:id="12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1">
        <w:r>
          <w:rPr>
            <w:rStyle w:val="Hyperlink"/>
          </w:rPr>
          <w:t xml:space="preserve">https://doi.org/10.1525/aa.2001.103.4.992</w:t>
        </w:r>
      </w:hyperlink>
      <w:r>
        <w:t xml:space="preserve">.</w:t>
      </w:r>
    </w:p>
    <w:bookmarkEnd w:id="122"/>
    <w:bookmarkStart w:id="124"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3">
        <w:r>
          <w:rPr>
            <w:rStyle w:val="Hyperlink"/>
          </w:rPr>
          <w:t xml:space="preserve">https://doi.org/10.2307/4128416</w:t>
        </w:r>
      </w:hyperlink>
      <w:r>
        <w:t xml:space="preserve">.</w:t>
      </w:r>
    </w:p>
    <w:bookmarkEnd w:id="124"/>
    <w:bookmarkStart w:id="126"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5">
        <w:r>
          <w:rPr>
            <w:rStyle w:val="Hyperlink"/>
          </w:rPr>
          <w:t xml:space="preserve">https://doi.org/10.1016/S1090-5138(98)00018-X</w:t>
        </w:r>
      </w:hyperlink>
      <w:r>
        <w:t xml:space="preserve">.</w:t>
      </w:r>
    </w:p>
    <w:bookmarkEnd w:id="126"/>
    <w:bookmarkStart w:id="127"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7"/>
    <w:bookmarkStart w:id="129"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8">
        <w:r>
          <w:rPr>
            <w:rStyle w:val="Hyperlink"/>
          </w:rPr>
          <w:t xml:space="preserve">https://doi.org/10.1017/aap.2021.10</w:t>
        </w:r>
      </w:hyperlink>
      <w:r>
        <w:t xml:space="preserve">.</w:t>
      </w:r>
    </w:p>
    <w:bookmarkEnd w:id="129"/>
    <w:bookmarkStart w:id="130"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0"/>
    <w:bookmarkStart w:id="131"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1"/>
    <w:bookmarkStart w:id="133"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2">
        <w:r>
          <w:rPr>
            <w:rStyle w:val="Hyperlink"/>
          </w:rPr>
          <w:t xml:space="preserve">https://doi.org/10.1666/05070.1</w:t>
        </w:r>
      </w:hyperlink>
      <w:r>
        <w:t xml:space="preserve">.</w:t>
      </w:r>
    </w:p>
    <w:bookmarkEnd w:id="133"/>
    <w:bookmarkStart w:id="135"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4">
        <w:r>
          <w:rPr>
            <w:rStyle w:val="Hyperlink"/>
          </w:rPr>
          <w:t xml:space="preserve">https://doi.org/10.1111/j.1558-5646.2007.00310.x</w:t>
        </w:r>
      </w:hyperlink>
      <w:r>
        <w:t xml:space="preserve">.</w:t>
      </w:r>
    </w:p>
    <w:bookmarkEnd w:id="135"/>
    <w:bookmarkStart w:id="136"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6"/>
    <w:bookmarkStart w:id="138"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7">
        <w:r>
          <w:rPr>
            <w:rStyle w:val="Hyperlink"/>
          </w:rPr>
          <w:t xml:space="preserve">https://doi.org/10.1016/j.jtbi.2013.03.006</w:t>
        </w:r>
      </w:hyperlink>
      <w:r>
        <w:t xml:space="preserve">.</w:t>
      </w:r>
    </w:p>
    <w:bookmarkEnd w:id="138"/>
    <w:bookmarkStart w:id="140"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9">
        <w:r>
          <w:rPr>
            <w:rStyle w:val="Hyperlink"/>
          </w:rPr>
          <w:t xml:space="preserve">https://doi.org/10.1098/rsif.2015.0905</w:t>
        </w:r>
      </w:hyperlink>
      <w:r>
        <w:t xml:space="preserve">.</w:t>
      </w:r>
    </w:p>
    <w:bookmarkEnd w:id="140"/>
    <w:bookmarkStart w:id="142"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1">
        <w:r>
          <w:rPr>
            <w:rStyle w:val="Hyperlink"/>
          </w:rPr>
          <w:t xml:space="preserve">https://doi.org/10.1098/rsos.170949</w:t>
        </w:r>
      </w:hyperlink>
      <w:r>
        <w:t xml:space="preserve">.</w:t>
      </w:r>
    </w:p>
    <w:bookmarkEnd w:id="142"/>
    <w:bookmarkStart w:id="144"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3">
        <w:r>
          <w:rPr>
            <w:rStyle w:val="Hyperlink"/>
          </w:rPr>
          <w:t xml:space="preserve">https://doi.org/10.1146/annurev-ecolsys-110512-135838</w:t>
        </w:r>
      </w:hyperlink>
      <w:r>
        <w:t xml:space="preserve">.</w:t>
      </w:r>
    </w:p>
    <w:bookmarkEnd w:id="144"/>
    <w:bookmarkStart w:id="145"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5"/>
    <w:bookmarkStart w:id="147"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6">
        <w:r>
          <w:rPr>
            <w:rStyle w:val="Hyperlink"/>
          </w:rPr>
          <w:t xml:space="preserve">https://doi.org/10.2307/2694529</w:t>
        </w:r>
      </w:hyperlink>
      <w:r>
        <w:t xml:space="preserve">.</w:t>
      </w:r>
    </w:p>
    <w:bookmarkEnd w:id="147"/>
    <w:bookmarkStart w:id="148"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8"/>
    <w:bookmarkStart w:id="149"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9"/>
    <w:bookmarkStart w:id="151"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0">
        <w:r>
          <w:rPr>
            <w:rStyle w:val="Hyperlink"/>
          </w:rPr>
          <w:t xml:space="preserve">https://doi.org/10.1371/journal.pone.0250690</w:t>
        </w:r>
      </w:hyperlink>
      <w:r>
        <w:t xml:space="preserve">.</w:t>
      </w:r>
    </w:p>
    <w:bookmarkEnd w:id="151"/>
    <w:bookmarkStart w:id="152"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2"/>
    <w:bookmarkStart w:id="154"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3">
        <w:r>
          <w:rPr>
            <w:rStyle w:val="Hyperlink"/>
          </w:rPr>
          <w:t xml:space="preserve">https://doi.org/10.1016/j.jas.2010.05.015</w:t>
        </w:r>
      </w:hyperlink>
      <w:r>
        <w:t xml:space="preserve">.</w:t>
      </w:r>
    </w:p>
    <w:bookmarkEnd w:id="154"/>
    <w:bookmarkStart w:id="156"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5">
        <w:r>
          <w:rPr>
            <w:rStyle w:val="Hyperlink"/>
          </w:rPr>
          <w:t xml:space="preserve">https://doi.org/10.1371/journal.pone.0124942</w:t>
        </w:r>
      </w:hyperlink>
      <w:r>
        <w:t xml:space="preserve">.</w:t>
      </w:r>
    </w:p>
    <w:bookmarkEnd w:id="156"/>
    <w:bookmarkStart w:id="158"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7">
        <w:r>
          <w:rPr>
            <w:rStyle w:val="Hyperlink"/>
          </w:rPr>
          <w:t xml:space="preserve">https://doi.org/10.1006/jaar.1997.0314</w:t>
        </w:r>
      </w:hyperlink>
      <w:r>
        <w:t xml:space="preserve">.</w:t>
      </w:r>
    </w:p>
    <w:bookmarkEnd w:id="158"/>
    <w:bookmarkStart w:id="160"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9">
        <w:r>
          <w:rPr>
            <w:rStyle w:val="Hyperlink"/>
          </w:rPr>
          <w:t xml:space="preserve">https://doi.org/10.1073/pnas.1818346116</w:t>
        </w:r>
      </w:hyperlink>
      <w:r>
        <w:t xml:space="preserve">.</w:t>
      </w:r>
    </w:p>
    <w:bookmarkEnd w:id="160"/>
    <w:bookmarkStart w:id="162"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1">
        <w:r>
          <w:rPr>
            <w:rStyle w:val="Hyperlink"/>
          </w:rPr>
          <w:t xml:space="preserve">https://doi.org/10.1016/j.jas.2021.105412</w:t>
        </w:r>
      </w:hyperlink>
      <w:r>
        <w:t xml:space="preserve">.</w:t>
      </w:r>
    </w:p>
    <w:bookmarkEnd w:id="162"/>
    <w:bookmarkStart w:id="163" w:name="ref-madsen_2012"/>
    <w:p>
      <w:pPr>
        <w:pStyle w:val="Bibliography"/>
      </w:pPr>
      <w:r>
        <w:t xml:space="preserve">Madsen, Mark E. 2012. Neutral Cultural Transmission in Time-Averaged Archaeological Assemblages. arXiv preprint arXiv:1204.2043 [physics.soc-ph].</w:t>
      </w:r>
    </w:p>
    <w:bookmarkEnd w:id="163"/>
    <w:bookmarkStart w:id="164"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4"/>
    <w:bookmarkStart w:id="165"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5"/>
    <w:bookmarkStart w:id="16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6"/>
    <w:bookmarkStart w:id="167"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7"/>
    <w:bookmarkStart w:id="168"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8"/>
    <w:bookmarkStart w:id="169"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9"/>
    <w:bookmarkStart w:id="170"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0"/>
    <w:bookmarkStart w:id="172"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1">
        <w:r>
          <w:rPr>
            <w:rStyle w:val="Hyperlink"/>
          </w:rPr>
          <w:t xml:space="preserve">https://doi.org/10.1080/20548923.2018.1504490</w:t>
        </w:r>
      </w:hyperlink>
      <w:r>
        <w:t xml:space="preserve">.</w:t>
      </w:r>
    </w:p>
    <w:bookmarkEnd w:id="172"/>
    <w:bookmarkStart w:id="173"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3"/>
    <w:bookmarkStart w:id="174"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4"/>
    <w:bookmarkStart w:id="175"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5"/>
    <w:bookmarkStart w:id="176"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6"/>
    <w:bookmarkStart w:id="177"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7"/>
    <w:bookmarkStart w:id="1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10"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09">
        <w:r>
          <w:rPr>
            <w:rStyle w:val="Hyperlink"/>
          </w:rPr>
          <w:t xml:space="preserve">https://doi.org/10.1098/rspb.2008.1827</w:t>
        </w:r>
      </w:hyperlink>
      <w:r>
        <w:t xml:space="preserve">.</w:t>
      </w:r>
    </w:p>
    <w:bookmarkEnd w:id="210"/>
    <w:bookmarkStart w:id="21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1">
        <w:r>
          <w:rPr>
            <w:rStyle w:val="Hyperlink"/>
          </w:rPr>
          <w:t xml:space="preserve">https://doi.org/10.1038/nature08227</w:t>
        </w:r>
      </w:hyperlink>
      <w:r>
        <w:t xml:space="preserve">.</w:t>
      </w:r>
    </w:p>
    <w:bookmarkEnd w:id="212"/>
    <w:bookmarkStart w:id="213"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3"/>
    <w:bookmarkStart w:id="215"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4">
        <w:r>
          <w:rPr>
            <w:rStyle w:val="Hyperlink"/>
          </w:rPr>
          <w:t xml:space="preserve">https://doi.org/10.1016/j.jtbi.2016.04.024</w:t>
        </w:r>
      </w:hyperlink>
      <w:r>
        <w:t xml:space="preserve">.</w:t>
      </w:r>
    </w:p>
    <w:bookmarkEnd w:id="215"/>
    <w:bookmarkStart w:id="217"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6">
        <w:r>
          <w:rPr>
            <w:rStyle w:val="Hyperlink"/>
          </w:rPr>
          <w:t xml:space="preserve">https://doi.org/10.1016/j.evolhumbehav.2014.09.006</w:t>
        </w:r>
      </w:hyperlink>
      <w:r>
        <w:t xml:space="preserve">.</w:t>
      </w:r>
    </w:p>
    <w:bookmarkEnd w:id="217"/>
    <w:bookmarkStart w:id="218"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8"/>
    <w:bookmarkStart w:id="219"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9"/>
    <w:bookmarkStart w:id="221"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0">
        <w:r>
          <w:rPr>
            <w:rStyle w:val="Hyperlink"/>
          </w:rPr>
          <w:t xml:space="preserve">https://doi.org/10.1006/jhev.1994.1037</w:t>
        </w:r>
      </w:hyperlink>
      <w:r>
        <w:t xml:space="preserve">.</w:t>
      </w:r>
    </w:p>
    <w:bookmarkEnd w:id="221"/>
    <w:bookmarkStart w:id="223"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2">
        <w:r>
          <w:rPr>
            <w:rStyle w:val="Hyperlink"/>
          </w:rPr>
          <w:t xml:space="preserve">https://doi.org/10.1017/aaq.2024.1</w:t>
        </w:r>
      </w:hyperlink>
      <w:r>
        <w:t xml:space="preserve">.</w:t>
      </w:r>
    </w:p>
    <w:bookmarkEnd w:id="223"/>
    <w:bookmarkStart w:id="224"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4"/>
    <w:bookmarkStart w:id="226"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5">
        <w:r>
          <w:rPr>
            <w:rStyle w:val="Hyperlink"/>
          </w:rPr>
          <w:t xml:space="preserve">https://doi.org/10.1086/651661</w:t>
        </w:r>
      </w:hyperlink>
      <w:r>
        <w:t xml:space="preserve">.</w:t>
      </w:r>
    </w:p>
    <w:bookmarkEnd w:id="226"/>
    <w:bookmarkStart w:id="227"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7"/>
    <w:bookmarkStart w:id="228" w:name="ref-williams_1954"/>
    <w:p>
      <w:pPr>
        <w:pStyle w:val="Bibliography"/>
      </w:pPr>
      <w:r>
        <w:t xml:space="preserve">Williams, Stephen. 1954. An Archeological Study of the Mississippian Culture in Southeast Missouri. PhD thesis, Yale University, New Haven.</w:t>
      </w:r>
    </w:p>
    <w:bookmarkEnd w:id="228"/>
    <w:bookmarkStart w:id="229"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9"/>
    <w:bookmarkStart w:id="231"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0">
        <w:r>
          <w:rPr>
            <w:rStyle w:val="Hyperlink"/>
          </w:rPr>
          <w:t xml:space="preserve">https://doi.org/10.1093/genetics/28.2.114</w:t>
        </w:r>
      </w:hyperlink>
      <w:r>
        <w:t xml:space="preserve">.</w:t>
      </w:r>
    </w:p>
    <w:bookmarkEnd w:id="231"/>
    <w:bookmarkStart w:id="233"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2">
        <w:r>
          <w:rPr>
            <w:rStyle w:val="Hyperlink"/>
          </w:rPr>
          <w:t xml:space="preserve">https://doi.org/10.1111/j.1469-1809.1949.tb02451.x</w:t>
        </w:r>
      </w:hyperlink>
      <w:r>
        <w:t xml:space="preserve">.</w:t>
      </w:r>
    </w:p>
    <w:bookmarkEnd w:id="233"/>
    <w:bookmarkStart w:id="235"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4">
        <w:r>
          <w:rPr>
            <w:rStyle w:val="Hyperlink"/>
          </w:rPr>
          <w:t xml:space="preserve">https://doi.org/10.1017/ehs.2023.5</w:t>
        </w:r>
      </w:hyperlink>
      <w:r>
        <w:t xml:space="preserve">.</w:t>
      </w:r>
    </w:p>
    <w:bookmarkEnd w:id="235"/>
    <w:bookmarkEnd w:id="236"/>
    <w:bookmarkEnd w:id="237"/>
    <w:bookmarkEnd w:id="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hyperlink" Id="rId157" Target="https://doi.org/10.1006/jaar.1997.0314" TargetMode="External" /><Relationship Type="http://schemas.openxmlformats.org/officeDocument/2006/relationships/hyperlink" Id="rId220"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6"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3"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1" Target="https://doi.org/10.1016/j.jas.2021.105412" TargetMode="External" /><Relationship Type="http://schemas.openxmlformats.org/officeDocument/2006/relationships/hyperlink" Id="rId137" Target="https://doi.org/10.1016/j.jtbi.2013.03.006" TargetMode="External" /><Relationship Type="http://schemas.openxmlformats.org/officeDocument/2006/relationships/hyperlink" Id="rId214"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2" Target="https://doi.org/10.1017/aaq.2024.1" TargetMode="External" /><Relationship Type="http://schemas.openxmlformats.org/officeDocument/2006/relationships/hyperlink" Id="rId234" Target="https://doi.org/10.1017/ehs.2023.5" TargetMode="External" /><Relationship Type="http://schemas.openxmlformats.org/officeDocument/2006/relationships/hyperlink" Id="rId211"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59"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1" Target="https://doi.org/10.1080/20548923.2018.1504490" TargetMode="External" /><Relationship Type="http://schemas.openxmlformats.org/officeDocument/2006/relationships/hyperlink" Id="rId225"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30" Target="https://doi.org/10.1093/genetics/28.2.114" TargetMode="External" /><Relationship Type="http://schemas.openxmlformats.org/officeDocument/2006/relationships/hyperlink" Id="rId139" Target="https://doi.org/10.1098/rsif.2015.0905" TargetMode="External" /><Relationship Type="http://schemas.openxmlformats.org/officeDocument/2006/relationships/hyperlink" Id="rId141"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09"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2" Target="https://doi.org/10.1111/j.1469-1809.1949.tb02451.x" TargetMode="External" /><Relationship Type="http://schemas.openxmlformats.org/officeDocument/2006/relationships/hyperlink" Id="rId134"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3"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5" Target="https://doi.org/10.1371/journal.pone.0124942" TargetMode="External" /><Relationship Type="http://schemas.openxmlformats.org/officeDocument/2006/relationships/hyperlink" Id="rId150"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2"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6"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7" Target="https://doi.org/10.1006/jaar.1997.0314" TargetMode="External" /><Relationship Type="http://schemas.openxmlformats.org/officeDocument/2006/relationships/hyperlink" Id="rId220"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6"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3"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1" Target="https://doi.org/10.1016/j.jas.2021.105412" TargetMode="External" /><Relationship Type="http://schemas.openxmlformats.org/officeDocument/2006/relationships/hyperlink" Id="rId137" Target="https://doi.org/10.1016/j.jtbi.2013.03.006" TargetMode="External" /><Relationship Type="http://schemas.openxmlformats.org/officeDocument/2006/relationships/hyperlink" Id="rId214"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2" Target="https://doi.org/10.1017/aaq.2024.1" TargetMode="External" /><Relationship Type="http://schemas.openxmlformats.org/officeDocument/2006/relationships/hyperlink" Id="rId234" Target="https://doi.org/10.1017/ehs.2023.5" TargetMode="External" /><Relationship Type="http://schemas.openxmlformats.org/officeDocument/2006/relationships/hyperlink" Id="rId211"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59"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1" Target="https://doi.org/10.1080/20548923.2018.1504490" TargetMode="External" /><Relationship Type="http://schemas.openxmlformats.org/officeDocument/2006/relationships/hyperlink" Id="rId225"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30" Target="https://doi.org/10.1093/genetics/28.2.114" TargetMode="External" /><Relationship Type="http://schemas.openxmlformats.org/officeDocument/2006/relationships/hyperlink" Id="rId139" Target="https://doi.org/10.1098/rsif.2015.0905" TargetMode="External" /><Relationship Type="http://schemas.openxmlformats.org/officeDocument/2006/relationships/hyperlink" Id="rId141"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09"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2" Target="https://doi.org/10.1111/j.1469-1809.1949.tb02451.x" TargetMode="External" /><Relationship Type="http://schemas.openxmlformats.org/officeDocument/2006/relationships/hyperlink" Id="rId134"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3"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5" Target="https://doi.org/10.1371/journal.pone.0124942" TargetMode="External" /><Relationship Type="http://schemas.openxmlformats.org/officeDocument/2006/relationships/hyperlink" Id="rId150"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2"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6"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2026-06-15T23:40:48Z</dcterms:created>
  <dcterms:modified xsi:type="dcterms:W3CDTF">2026-06-15T23:40:48Z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