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2.png" ContentType="image/png"/>
  <Override PartName="/word/media/rId26.png" ContentType="image/png"/>
  <Override PartName="/word/media/rId31.png" ContentType="image/png"/>
  <Override PartName="/word/media/rId35.png" ContentType="image/png"/>
  <Override PartName="/word/media/rId38.png" ContentType="image/png"/>
  <Override PartName="/word/media/rId42.png" ContentType="image/png"/>
  <Override PartName="/word/media/rId50.png" ContentType="image/png"/>
  <Override PartName="/word/media/rId56.png" ContentType="image/png"/>
  <Override PartName="/word/media/rId61.png" ContentType="image/png"/>
  <Override PartName="/word/media/rId67.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t xml:space="preserve">Signaling under environmental uncertainty: A multilevel-selection threshold model for Poverty Point</w:t>
      </w:r>
    </w:p>
    <w:p>
      <w:pPr>
        <w:pStyle w:val="FirstParagraph"/>
      </w:pPr>
      <w:r>
        <w:rPr>
          <w:b/>
          <w:bCs/>
        </w:rPr>
        <w:t xml:space="preserve">Target journal:</w:t>
      </w:r>
      <w:r>
        <w:t xml:space="preserve"> </w:t>
      </w:r>
      <w:r>
        <w:rPr>
          <w:i/>
          <w:iCs/>
        </w:rPr>
        <w:t xml:space="preserve">Journal of Archaeological Method and Theory</w:t>
      </w:r>
    </w:p>
    <w:p>
      <w:pPr>
        <w:pStyle w:val="BodyText"/>
      </w:pPr>
      <w:r>
        <w:rPr>
          <w:b/>
          <w:bCs/>
        </w:rPr>
        <w:t xml:space="preserve">Authors:</w:t>
      </w:r>
      <w:r>
        <w:t xml:space="preserve"> </w:t>
      </w:r>
      <w:r>
        <w:t xml:space="preserve">Carl P. Lipo¹* (ORCID: 0000-0003-4391-3590), Beau DiNapoli¹ (ORCID: 0000-0003-2180-2195), Diana M. Greenlee²</w:t>
      </w:r>
    </w:p>
    <w:p>
      <w:pPr>
        <w:pStyle w:val="BodyText"/>
      </w:pPr>
      <w:r>
        <w:t xml:space="preserve">¹ Department of Anthropology, Binghamton University, Binghamton, NY 13902, USA</w:t>
      </w:r>
    </w:p>
    <w:p>
      <w:pPr>
        <w:pStyle w:val="BodyText"/>
      </w:pPr>
      <w:r>
        <w:t xml:space="preserve">² Poverty Point Station Archaeology Program, University of Louisiana at Monroe, Monroe, LA 71209, USA</w:t>
      </w:r>
    </w:p>
    <w:p>
      <w:pPr>
        <w:pStyle w:val="BodyText"/>
      </w:pPr>
      <w:r>
        <w:t xml:space="preserve">*</w:t>
      </w:r>
      <w:r>
        <w:t xml:space="preserve"> </w:t>
      </w:r>
      <w:r>
        <w:rPr>
          <w:b/>
          <w:bCs/>
        </w:rPr>
        <w:t xml:space="preserve">Corresponding author:</w:t>
      </w:r>
      <w:r>
        <w:t xml:space="preserve"> </w:t>
      </w:r>
      <w:r>
        <w:t xml:space="preserve">Carl P. Lipo, clipo@binghamton.edu</w:t>
      </w:r>
    </w:p>
    <w:p>
      <w:pPr>
        <w:pStyle w:val="BodyText"/>
      </w:pPr>
      <w:r>
        <w:rPr>
          <w:b/>
          <w:bCs/>
        </w:rPr>
        <w:t xml:space="preserve">Keywords:</w:t>
      </w:r>
      <w:r>
        <w:t xml:space="preserve"> </w:t>
      </w:r>
      <w: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t xml:space="preserve">Abstract</w:t>
      </w:r>
    </w:p>
    <w:p>
      <w:pPr>
        <w:pStyle w:val="FirstParagraph"/>
      </w:pPr>
      <w:r>
        <w:t xml:space="preserve">Poverty Point (ca. 1700-1100 BCE), a large earthwork complex in North America, was built by mobile hunter-gatherers without hierarchy, food production, or year-round settlement. The site combines two extraordinary phenomena: monumental earthwork construction on the order of 750,000 m³ and the accumulation of geochemically traceable exotic materials from sources up to 1,600 km away. Our research into this site combines three connected questions: why mobile foragers made such large group-level investments at all, when the pattern began and ended, and why it concentrated at Poverty Point rather than elsewhere in the Lower Mississippi Valley. Existing accounts of the site, drawing on aggrandizer competition, pilgrimage, trade, incipient sedentism, or revitalization movements, offer plausible narratives but do not address these questions with explicit, falsifiable conditions. We argue that an aggregation-based costly-signaling system under environmental uncertainty provides the basis for generating critical, testable answers. We use a multilevel-selection framework to build an agent-based model in which collective earthwork construction serves as a group-level index signal of cooperative labor mobilization, and traceable exotic goods serve as a band-level index signal of long-distance network connectivity. The model produces a sharp phase transition above a critical uncertainty threshold</w:t>
      </w:r>
      <w:r>
        <w:t xml:space="preserve"> </w:t>
      </w:r>
      <m:oMath>
        <m:sSup>
          <m:e>
            <m:r>
              <m:t>σ</m:t>
            </m:r>
          </m:e>
          <m:sup>
            <m:r>
              <m:rPr>
                <m:sty m:val="p"/>
              </m:rPr>
              <m:t>*</m:t>
            </m:r>
          </m:sup>
        </m:sSup>
      </m:oMath>
      <w:r>
        <w:t xml:space="preserve"> </w:t>
      </w:r>
      <w:r>
        <w:t xml:space="preserve">(the point at which the fitness of aggregating with monument investment crosses above the fitness of foraging independently), buffered locally by ecotone access whose strength depends on the negative covariance between local productivity and regional shortfall. Calibrated to Poverty Point’s earthwork volume of ~750,000 m³, the model reproduces monumental investment above the</w:t>
      </w:r>
      <w:r>
        <w:t xml:space="preserve"> </w:t>
      </w:r>
      <m:oMath>
        <m:sSup>
          <m:e>
            <m:r>
              <m:t>σ</m:t>
            </m:r>
          </m:e>
          <m:sup>
            <m:r>
              <m:rPr>
                <m:sty m:val="p"/>
              </m:rPr>
              <m:t>*</m:t>
            </m:r>
          </m:sup>
        </m:sSup>
      </m:oMath>
      <w:r>
        <w:t xml:space="preserve"> </w:t>
      </w:r>
      <w:r>
        <w:t xml:space="preserve">threshold and yields independent predictions for both signaling channels. On the architecture side, sustained monumental construction concentrates at ecotone-rich confluence positions and proceeds in pulsed, episodic events, consistent with the Lower Mississippi Valley record. On the exchange side, exotic materials flow asymmetrically into the gathering rather than outward. Using an agent-based simulation, we demonstrate the conditions that favor monumental architecture and the importation of exotic goods. Our explanatory framework answers all three motivating questions from a single mechanism.</w:t>
      </w:r>
      <w:r>
        <w:t xml:space="preserve"> </w:t>
      </w:r>
      <w:r>
        <w:rPr>
          <w:i/>
          <w:iCs/>
        </w:rPr>
        <w:t xml:space="preserve">Why</w:t>
      </w:r>
      <w:r>
        <w:t xml:space="preserve">: group-level signaling becomes adaptive under environmental uncertainty, mobilizing collective labor for monuments and individual-band acquisition of exotic markers of commitment.</w:t>
      </w:r>
      <w:r>
        <w:t xml:space="preserve"> </w:t>
      </w:r>
      <w:r>
        <w:rPr>
          <w:i/>
          <w:iCs/>
        </w:rPr>
        <w:t xml:space="preserve">When</w:t>
      </w:r>
      <w:r>
        <w:t xml:space="preserve">: the pattern emerges as regional uncertainty crosses the model’s threshold and collapses as the ~3300 cal BP fluvial reorganization pushes conditions back below it.</w:t>
      </w:r>
      <w:r>
        <w:t xml:space="preserve"> </w:t>
      </w:r>
      <w:r>
        <w:rPr>
          <w:i/>
          <w:iCs/>
        </w:rPr>
        <w:t xml:space="preserve">Where</w:t>
      </w:r>
      <w:r>
        <w:t xml:space="preserve">: at sites with the strongest ecotone-buffered access to multiple independent shortfall regimes, of which Poverty Point’s confluence position is the unique outlier in the Lower Mississippi Valley. These answers do not require chiefly hierarchy, redistribution, or cultural diffusion, and they are intended as a structural complement to recent culturally rich accounts of Poverty Point rather than a replacement for them: the framework specifies necessary conditions for sustained aggregation, while cultural-historical accounts specify the institutional forms, symbolic content, and motivational logics through which those conditions are realized. We offer directions for future research to further evaluate our model.</w:t>
      </w:r>
    </w:p>
    <w:bookmarkEnd w:id="9"/>
    <w:bookmarkStart w:id="16" w:name="introduction"/>
    <w:p>
      <w:pPr>
        <w:pStyle w:val="Heading2"/>
      </w:pPr>
      <w:r>
        <w:t xml:space="preserve">1. Introduction</w:t>
      </w:r>
    </w:p>
    <w:p>
      <w:pPr>
        <w:pStyle w:val="FirstParagraph"/>
      </w:pPr>
      <w: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Magnetic gradient survey covering 25.47 hectares has also identified 36 timber post circles, 8-62 m in diameter, alongside 64 distinct ridge construction components (Clay 2023; Hargrave et al. 2021).</w:t>
      </w:r>
    </w:p>
    <w:p>
      <w:pPr>
        <w:pStyle w:val="BodyText"/>
      </w:pPr>
      <w:r>
        <w:drawing>
          <wp:inline>
            <wp:extent cx="5943600" cy="7970820"/>
            <wp:effectExtent b="0" l="0" r="0" t="0"/>
            <wp:docPr descr="" title="" id="11" name="Picture"/>
            <a:graphic>
              <a:graphicData uri="http://schemas.openxmlformats.org/drawingml/2006/picture">
                <pic:pic>
                  <pic:nvPicPr>
                    <pic:cNvPr descr="../../figures/manuscript/figure_01_poverty_point_map.png" id="12" name="Picture"/>
                    <pic:cNvPicPr>
                      <a:picLocks noChangeArrowheads="1" noChangeAspect="1"/>
                    </pic:cNvPicPr>
                  </pic:nvPicPr>
                  <pic:blipFill>
                    <a:blip r:embed="rId10"/>
                    <a:stretch>
                      <a:fillRect/>
                    </a:stretch>
                  </pic:blipFill>
                  <pic:spPr bwMode="auto">
                    <a:xfrm>
                      <a:off x="0" y="0"/>
                      <a:ext cx="5943600" cy="7970820"/>
                    </a:xfrm>
                    <a:prstGeom prst="rect">
                      <a:avLst/>
                    </a:prstGeom>
                    <a:noFill/>
                    <a:ln w="9525">
                      <a:noFill/>
                      <a:headEnd/>
                      <a:tailEnd/>
                    </a:ln>
                  </pic:spPr>
                </pic:pic>
              </a:graphicData>
            </a:graphic>
          </wp:inline>
        </w:drawing>
      </w:r>
    </w:p>
    <w:p>
      <w:pPr>
        <w:pStyle w:val="BodyText"/>
      </w:pPr>
      <w:r>
        <w:rPr>
          <w:b/>
          <w:bCs/>
          <w:i/>
          <w:iCs/>
        </w:rPr>
        <w:t xml:space="preserve">Figure 1. Location of Poverty Point and other sites in the Lower Mississippi Valley.</w:t>
      </w:r>
      <w:r>
        <w:t xml:space="preserve"> </w:t>
      </w:r>
      <w:r>
        <w:rPr>
          <w:i/>
          <w:iCs/>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t xml:space="preserve"> </w:t>
      </w:r>
      <w:r>
        <w:rPr>
          <w:i/>
          <w:iCs/>
        </w:rPr>
        <w:t xml:space="preserve">Other Late Archaic and Middle Archaic sites are shown as orange circles with site numbers.</w:t>
      </w:r>
      <w:r>
        <w:t xml:space="preserve"> </w:t>
      </w:r>
      <w:r>
        <w:rPr>
          <w:i/>
          <w:iCs/>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drawing>
          <wp:inline>
            <wp:extent cx="4031603" cy="3115676"/>
            <wp:effectExtent b="0" l="0" r="0" t="0"/>
            <wp:docPr descr="" title="" id="14" name="Picture"/>
            <a:graphic>
              <a:graphicData uri="http://schemas.openxmlformats.org/drawingml/2006/picture">
                <pic:pic>
                  <pic:nvPicPr>
                    <pic:cNvPr descr="../../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b/>
          <w:bCs/>
          <w:i/>
          <w:iCs/>
        </w:rPr>
        <w:t xml:space="preserve">Figure 2. Poverty Point monumental architecture.</w:t>
      </w:r>
      <w:r>
        <w:t xml:space="preserve"> </w:t>
      </w:r>
      <w:r>
        <w:rPr>
          <w:i/>
          <w:iCs/>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t xml:space="preserve">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but recent LA-ICP-MS analysis of six specimens (Hill et al. 2016) indicates that several match Nova Scotia or southern Appalachian sources as well as, or better than, Lake Superior.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and Kidder and Grooms (2025:7) characterize the regional flow as effectively one-directional.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is therefore a strong asymmetric concentration at the gathering hub, with low-magnitude traces at outlying sites, rather than the literal absence of outflow that the</w:t>
      </w:r>
      <w:r>
        <w:t xml:space="preserve"> </w:t>
      </w:r>
      <w:r>
        <w:t xml:space="preserve">“nothing visible goes out”</w:t>
      </w:r>
      <w:r>
        <w:t xml:space="preserve"> </w:t>
      </w:r>
      <w:r>
        <w:t xml:space="preserve">formulation suggests.</w:t>
      </w:r>
    </w:p>
    <w:p>
      <w:pPr>
        <w:pStyle w:val="BodyText"/>
      </w:pPr>
      <w:r>
        <w:t xml:space="preserve">This pattern is paradoxical when viewed through the lens of standard models of hunter-gatherer behavior. Mobile foragers typically minimize investment in fixed infrastructure and avoid surplus accumulation (Jackson 1986; Kelly 2013), and there is no evidence at Poverty Point for elite burials, differential residential architecture, economic specialization, or coercive hierarchy of the chiefly type (Kidder and Ervin 2018; Kidder and Grooms 2025). Why, then, would mobile bands invest so heavily in monuments they would periodically abandon, acquire exotic materials with no apparent utilitarian function, and create such an extreme site hierarchy without centralized authority?</w:t>
      </w:r>
    </w:p>
    <w:p>
      <w:pPr>
        <w:pStyle w:val="BodyText"/>
      </w:pPr>
      <w:r>
        <w:t xml:space="preserve">Poverty Point is extraordinary in scale, but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systematically aggregate at locations they then transform. Poverty Point is the case where this pattern reaches its furthest extreme; the framework we develop here is calibrated to account for Poverty Point, but the underlying logic applies more broadly across the class.</w:t>
      </w:r>
    </w:p>
    <w:p>
      <w:pPr>
        <w:pStyle w:val="BodyText"/>
      </w:pPr>
      <w:r>
        <w:t xml:space="preserve">Existing explanations sit along a continuum from the materialist to the symbolic, each capturing part of the phenomenon (Sassaman 2005). Aggrandizer interpretations require asymmetric power that the record does not support (Gibson 1998; Jackson 1991); pilgrimage models cannot explain why this landscape, scale, and tempo (Spivey et al. 2015); trade-center models account for the exotics but not the monuments (Gibson 1999; Jackson 1991); incipient sedentism is not supported by the absence of cultigens or by the peripheral-site plant-remains record, which is consistent with seasonal occupation and inferred spring dispersal rather than year-round residence (Jackson 1986; Thomas and Campbell 1978). More recent culturally embedded accounts have moved past these classical alternatives. Sanger (2023, 2024) reads the site as an intentional institution of containment, with cyclical aggregation and dispersal preventing the consolidation of authority. Kidder and Grooms (2025) argue that Poverty Point’s tempo, scale, and one-directional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t xml:space="preserve"> </w:t>
      </w:r>
      <w:r>
        <w:t xml:space="preserve">“transactional epiphenomena.”</w:t>
      </w:r>
      <w:r>
        <w:t xml:space="preserve"> </w:t>
      </w:r>
      <w: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t xml:space="preserve"> </w:t>
      </w:r>
      <w:r>
        <w:rPr>
          <w:i/>
          <w:iCs/>
        </w:rPr>
        <w:t xml:space="preserve">why</w:t>
      </w:r>
      <w:r>
        <w:t xml:space="preserve"> </w:t>
      </w:r>
      <w:r>
        <w:t xml:space="preserve">mobile foragers should make such large group-level investments at all,</w:t>
      </w:r>
      <w:r>
        <w:t xml:space="preserve"> </w:t>
      </w:r>
      <w:r>
        <w:rPr>
          <w:i/>
          <w:iCs/>
        </w:rPr>
        <w:t xml:space="preserve">when</w:t>
      </w:r>
      <w:r>
        <w:t xml:space="preserve"> </w:t>
      </w:r>
      <w:r>
        <w:t xml:space="preserve">the pattern should begin and end, and</w:t>
      </w:r>
      <w:r>
        <w:t xml:space="preserve"> </w:t>
      </w:r>
      <w:r>
        <w:rPr>
          <w:i/>
          <w:iCs/>
        </w:rPr>
        <w:t xml:space="preserve">where</w:t>
      </w:r>
      <w:r>
        <w:t xml:space="preserve"> </w:t>
      </w:r>
      <w: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t xml:space="preserve">We propose a structural complement to these accounts grounded in evolutionary theory. The argument is that Poverty Point represents an adaptive costly signaling system operating through seasonal aggregation, in which monuments and exotic goods function as honest signals of cooperative commitment under conditions of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fluvial reorganization pushes conditions back below that threshold,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The framework specifies necessary conditions for sustained aggregation but does not predict the magnitude of monument investment at any given site, because magnitude depends on the number of bands attained at the aggregation, which the framework treats as an external input set by regional convergence dynamics. The model is silent on the cultural content (the symbols, the ceremonies, the prophetic language) by design: some such cultural apparatus must develop to coordinate cooperation under above-threshold conditions, but the specific form it takes is not derivable from ecology alone.</w:t>
      </w:r>
    </w:p>
    <w:p>
      <w:pPr>
        <w:pStyle w:val="BodyText"/>
      </w:pPr>
      <w: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t xml:space="preserve"> </w:t>
      </w:r>
      <w:r>
        <w:rPr>
          <w:i/>
          <w:iCs/>
        </w:rPr>
        <w:t xml:space="preserve">ex ante</w:t>
      </w:r>
      <w:r>
        <w:t xml:space="preserve"> </w:t>
      </w:r>
      <w:r>
        <w:t xml:space="preserve">what observations would falsify the framework.</w:t>
      </w:r>
    </w:p>
    <w:p>
      <w:pPr>
        <w:pStyle w:val="BodyText"/>
      </w:pPr>
      <w:r>
        <w:t xml:space="preserve">This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t xml:space="preserve"> </w:t>
      </w:r>
      <w:r>
        <w:rPr>
          <w:i/>
          <w:iCs/>
        </w:rPr>
        <w:t xml:space="preserve">what</w:t>
      </w:r>
      <w:r>
        <w:t xml:space="preserve"> </w:t>
      </w:r>
      <w:r>
        <w:t xml:space="preserve">was where and</w:t>
      </w:r>
      <w:r>
        <w:t xml:space="preserve"> </w:t>
      </w:r>
      <w:r>
        <w:rPr>
          <w:i/>
          <w:iCs/>
        </w:rPr>
        <w:t xml:space="preserve">when</w:t>
      </w:r>
      <w: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t xml:space="preserve"> </w:t>
      </w:r>
      <w:r>
        <w:t xml:space="preserve">“patterns”</w:t>
      </w:r>
      <w:r>
        <w:t xml:space="preserve"> </w:t>
      </w:r>
      <w: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The full ODD model specification, parameter justifications, equation derivations, and sensitivity analyses are provided in the Supplemental Material.</w:t>
      </w:r>
    </w:p>
    <w:bookmarkEnd w:id="16"/>
    <w:bookmarkStart w:id="30" w:name="theoretical-framework"/>
    <w:p>
      <w:pPr>
        <w:pStyle w:val="Heading2"/>
      </w:pPr>
      <w:r>
        <w:t xml:space="preserve">2. Theoretical framework</w:t>
      </w:r>
    </w:p>
    <w:bookmarkStart w:id="20" w:name="X1d4ddca5e8d9149ba1a85f3855069f25c9d8b2c"/>
    <w:p>
      <w:pPr>
        <w:pStyle w:val="Heading3"/>
      </w:pPr>
      <w:r>
        <w:t xml:space="preserve">2.1 Multilevel selection and the logic of aggregation</w:t>
      </w:r>
    </w:p>
    <w:p>
      <w:pPr>
        <w:pStyle w:val="FirstParagraph"/>
      </w:pPr>
      <w: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t xml:space="preserve">This narrative can be formalized using the Price equation for multilevel selection (Price 1970), a tool that partitions any change in the average frequency of a trait into components driven by differences</w:t>
      </w:r>
      <w:r>
        <w:t xml:space="preserve"> </w:t>
      </w:r>
      <w:r>
        <w:rPr>
          <w:i/>
          <w:iCs/>
        </w:rPr>
        <w:t xml:space="preserve">between</w:t>
      </w:r>
      <w:r>
        <w:t xml:space="preserve"> </w:t>
      </w:r>
      <w:r>
        <w:t xml:space="preserve">groups and by differences</w:t>
      </w:r>
      <w:r>
        <w:t xml:space="preserve"> </w:t>
      </w:r>
      <w:r>
        <w:rPr>
          <w:i/>
          <w:iCs/>
        </w:rPr>
        <w:t xml:space="preserve">within</w:t>
      </w:r>
      <w:r>
        <w:t xml:space="preserve"> </w:t>
      </w:r>
      <w:r>
        <w:t xml:space="preserve">them. Read at this level, the equation just says</w:t>
      </w:r>
      <w:r>
        <w:t xml:space="preserve"> </w:t>
      </w:r>
      <w:r>
        <w:t xml:space="preserve">“cooperation spreads when the between-group advantage outweighs the within-group cost.”</w:t>
      </w:r>
      <w:r>
        <w:t xml:space="preserve"> </w:t>
      </w:r>
      <w:r>
        <w:t xml:space="preserve">For our purposes, the trait is</w:t>
      </w:r>
      <w:r>
        <w:t xml:space="preserve"> </w:t>
      </w:r>
      <w:r>
        <w:t xml:space="preserve">“tendency to aggregate and contribute,”</w:t>
      </w:r>
      <w:r>
        <w:t xml:space="preserve"> </w:t>
      </w:r>
      <w:r>
        <w:t xml:space="preserve">and the equation specifies the conditions for that trait to spread:</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t xml:space="preserve">In plain language: the change in the population’s average tendency-to-aggregate (</w:t>
      </w:r>
      <m:oMath>
        <m:r>
          <m:rPr>
            <m:sty m:val="p"/>
          </m:rPr>
          <m:t>Δ</m:t>
        </m:r>
        <m:acc>
          <m:accPr>
            <m:chr m:val="‾"/>
          </m:accPr>
          <m:e>
            <m:r>
              <m:t>p</m:t>
            </m:r>
          </m:e>
        </m:acc>
      </m:oMath>
      <w:r>
        <w:t xml:space="preserve">) is the sum of (i) how strongly groups with more aggregators do better than groups with fewer, weighted by group size, and (ii) how non-contributors gain or lose ground within their own groups. The first term tracks the between-group benefit of cooperation; the second tracks the within-group cost. Symbolically,</w:t>
      </w:r>
      <w:r>
        <w:t xml:space="preserve"> </w:t>
      </w:r>
      <m:oMath>
        <m:sSub>
          <m:e>
            <m:r>
              <m:t>p</m:t>
            </m:r>
          </m:e>
          <m:sub>
            <m:r>
              <m:t>g</m:t>
            </m:r>
          </m:sub>
        </m:sSub>
      </m:oMath>
      <w:r>
        <w:t xml:space="preserve"> </w:t>
      </w:r>
      <w:r>
        <w:t xml:space="preserve">is the frequency of the aggregation trait in group</w:t>
      </w:r>
      <w:r>
        <w:t xml:space="preserve"> </w:t>
      </w:r>
      <m:oMath>
        <m:r>
          <m:t>g</m:t>
        </m:r>
      </m:oMath>
      <w:r>
        <w:t xml:space="preserve">,</w:t>
      </w:r>
      <w:r>
        <w:t xml:space="preserve"> </w:t>
      </w:r>
      <m:oMath>
        <m:sSub>
          <m:e>
            <m:r>
              <m:t>w</m:t>
            </m:r>
          </m:e>
          <m:sub>
            <m:r>
              <m:t>g</m:t>
            </m:r>
          </m:sub>
        </m:sSub>
      </m:oMath>
      <w:r>
        <w:t xml:space="preserve"> </w:t>
      </w:r>
      <w:r>
        <w:t xml:space="preserve">is the fitness of group</w:t>
      </w:r>
      <w:r>
        <w:t xml:space="preserve"> </w:t>
      </w:r>
      <m:oMath>
        <m:r>
          <m:t>g</m:t>
        </m:r>
      </m:oMath>
      <w:r>
        <w:t xml:space="preserve">,</w:t>
      </w:r>
      <w:r>
        <w:t xml:space="preserve"> </w:t>
      </w:r>
      <m:oMath>
        <m:acc>
          <m:accPr>
            <m:chr m:val="‾"/>
          </m:accPr>
          <m:e>
            <m:r>
              <m:t>w</m:t>
            </m:r>
          </m:e>
        </m:acc>
      </m:oMath>
      <w:r>
        <w:t xml:space="preserve"> </w:t>
      </w:r>
      <w:r>
        <w:t xml:space="preserve">is the population mean fitness, and</w:t>
      </w:r>
      <w:r>
        <w:t xml:space="preserve"> </w:t>
      </w:r>
      <m:oMath>
        <m:r>
          <m:t>σ</m:t>
        </m:r>
      </m:oMath>
      <w:r>
        <w:t xml:space="preserve"> </w:t>
      </w:r>
      <w:r>
        <w:t xml:space="preserve">indexes environmental uncertainty (high</w:t>
      </w:r>
      <w:r>
        <w:t xml:space="preserve"> </w:t>
      </w:r>
      <m:oMath>
        <m:r>
          <m:t>σ</m:t>
        </m:r>
      </m:oMath>
      <w:r>
        <w:t xml:space="preserve"> </w:t>
      </w:r>
      <w:r>
        <w:t xml:space="preserve">= volatile, frequent shortfalls; low</w:t>
      </w:r>
      <w:r>
        <w:t xml:space="preserve"> </w:t>
      </w:r>
      <m:oMath>
        <m:r>
          <m:t>σ</m:t>
        </m:r>
      </m:oMath>
      <w:r>
        <w:t xml:space="preserve"> </w:t>
      </w:r>
      <w:r>
        <w:t xml:space="preserve">= stable). The notation</w:t>
      </w:r>
      <w:r>
        <w:t xml:space="preserve"> </w:t>
      </w:r>
      <m:oMath>
        <m:r>
          <m:t>C</m:t>
        </m:r>
        <m:r>
          <m:t>o</m:t>
        </m:r>
        <m:r>
          <m:t>v</m:t>
        </m:r>
        <m:r>
          <m:rPr>
            <m:sty m:val="p"/>
          </m:rPr>
          <m:t>(</m:t>
        </m:r>
        <m:r>
          <m:rPr>
            <m:sty m:val="p"/>
          </m:rPr>
          <m:t>⋅</m:t>
        </m:r>
        <m:r>
          <m:rPr>
            <m:sty m:val="p"/>
          </m:rPr>
          <m:t>,</m:t>
        </m:r>
        <m:r>
          <m:rPr>
            <m:sty m:val="p"/>
          </m:rPr>
          <m:t>⋅</m:t>
        </m:r>
        <m:r>
          <m:rPr>
            <m:sty m:val="p"/>
          </m:rPr>
          <m:t>)</m:t>
        </m:r>
      </m:oMath>
      <w:r>
        <w:t xml:space="preserve"> </w:t>
      </w:r>
      <w:r>
        <w:t xml:space="preserve">is the statistical covariance between two quantities measured across groups, which is positive when groups with more aggregators also have higher fitness; the notation</w:t>
      </w:r>
      <w:r>
        <w:t xml:space="preserve"> </w:t>
      </w:r>
      <m:oMath>
        <m:r>
          <m:t>E</m:t>
        </m:r>
        <m:r>
          <m:rPr>
            <m:sty m:val="p"/>
          </m:rPr>
          <m:t>(</m:t>
        </m:r>
        <m:r>
          <m:rPr>
            <m:sty m:val="p"/>
          </m:rPr>
          <m:t>⋅</m:t>
        </m:r>
        <m:r>
          <m:rPr>
            <m:sty m:val="p"/>
          </m:rPr>
          <m:t>)</m:t>
        </m:r>
      </m:oMath>
      <w:r>
        <w:t xml:space="preserve"> </w:t>
      </w:r>
      <w:r>
        <w:t xml:space="preserve">is the expected value averaged across groups, weighted by group fitness. The first term is large and positive when groups with more cooperators have higher group fitness. The second is typically negative because cooperators pay short-term costs that non-cooperators avoid. Cooperation spreads when the first term outweighs the second.</w:t>
      </w:r>
    </w:p>
    <w:p>
      <w:pPr>
        <w:pStyle w:val="BodyText"/>
      </w:pPr>
      <m:oMath>
        <m:r>
          <m:t>σ</m:t>
        </m:r>
      </m:oMath>
      <w:r>
        <w:t xml:space="preserve"> </w:t>
      </w:r>
      <w:r>
        <w:t xml:space="preserve">modulates the balance between the two terms. In stable environments, the within-group cost dominates. In volatile environments, the between-group benefit dominates. Separating the two regimes is a critical threshold</w:t>
      </w:r>
      <w:r>
        <w:t xml:space="preserve"> </w:t>
      </w:r>
      <m:oMath>
        <m:sSup>
          <m:e>
            <m:r>
              <m:t>σ</m:t>
            </m:r>
          </m:e>
          <m:sup>
            <m:r>
              <m:rPr>
                <m:sty m:val="p"/>
              </m:rPr>
              <m:t>*</m:t>
            </m:r>
          </m:sup>
        </m:sSup>
      </m:oMath>
      <w: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t xml:space="preserve"> </w:t>
      </w:r>
      <w:r>
        <w:rPr>
          <w:i/>
          <w:iCs/>
        </w:rPr>
        <w:t xml:space="preserve">phase transitions</w:t>
      </w:r>
      <w: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drawing>
          <wp:inline>
            <wp:extent cx="5943600" cy="2953364"/>
            <wp:effectExtent b="0" l="0" r="0" t="0"/>
            <wp:docPr descr="" title="" id="18" name="Picture"/>
            <a:graphic>
              <a:graphicData uri="http://schemas.openxmlformats.org/drawingml/2006/picture">
                <pic:pic>
                  <pic:nvPicPr>
                    <pic:cNvPr descr="../../figures/manuscript/figure_03_mls_decomposition.png" id="19" name="Picture"/>
                    <pic:cNvPicPr>
                      <a:picLocks noChangeArrowheads="1" noChangeAspect="1"/>
                    </pic:cNvPicPr>
                  </pic:nvPicPr>
                  <pic:blipFill>
                    <a:blip r:embed="rId17"/>
                    <a:stretch>
                      <a:fillRect/>
                    </a:stretch>
                  </pic:blipFill>
                  <pic:spPr bwMode="auto">
                    <a:xfrm>
                      <a:off x="0" y="0"/>
                      <a:ext cx="5943600" cy="2953364"/>
                    </a:xfrm>
                    <a:prstGeom prst="rect">
                      <a:avLst/>
                    </a:prstGeom>
                    <a:noFill/>
                    <a:ln w="9525">
                      <a:noFill/>
                      <a:headEnd/>
                      <a:tailEnd/>
                    </a:ln>
                  </pic:spPr>
                </pic:pic>
              </a:graphicData>
            </a:graphic>
          </wp:inline>
        </w:drawing>
      </w:r>
    </w:p>
    <w:p>
      <w:pPr>
        <w:pStyle w:val="BodyText"/>
      </w:pPr>
      <w:r>
        <w:rPr>
          <w:b/>
          <w:bCs/>
          <w:i/>
          <w:iCs/>
        </w:rPr>
        <w:t xml:space="preserve">Figure 3. The two selection components of the aggregator strategy.</w:t>
      </w:r>
      <w:r>
        <w:t xml:space="preserve"> </w:t>
      </w:r>
      <w:r>
        <w:rPr>
          <w:i/>
          <w:iCs/>
        </w:rPr>
        <w:t xml:space="preserve">(A) Schematic of the multilevel-selection logic. Within any group of mixed strategies, cooperators (aggregator bands) pay a fitness cost</w:t>
      </w:r>
      <w:r>
        <w:t xml:space="preserve"> </w:t>
      </w:r>
      <m:oMath>
        <m:r>
          <m:t>C</m:t>
        </m:r>
      </m:oMath>
      <w:r>
        <w:t xml:space="preserve"> </w:t>
      </w:r>
      <w:r>
        <w:rPr>
          <w:i/>
          <w:iCs/>
        </w:rPr>
        <w:t xml:space="preserve">relative to non-cooperators (independent bands), so within-group selection is always negative for the aggregator strategy. Across groups, an aggregator-majority group (</w:t>
      </w:r>
      <m:oMath>
        <m:r>
          <m:t>q</m:t>
        </m:r>
        <m:r>
          <m:rPr>
            <m:sty m:val="p"/>
          </m:rPr>
          <m:t>=</m:t>
        </m:r>
        <m:r>
          <m:t>0.8</m:t>
        </m:r>
      </m:oMath>
      <w:r>
        <w:rPr>
          <w:i/>
          <w:iCs/>
        </w:rPr>
        <w:t xml:space="preserve">) achieves higher mean fitness than an independent-majority group (</w:t>
      </w:r>
      <m:oMath>
        <m:r>
          <m:t>q</m:t>
        </m:r>
        <m:r>
          <m:rPr>
            <m:sty m:val="p"/>
          </m:rPr>
          <m:t>=</m:t>
        </m:r>
        <m:r>
          <m:t>0.2</m:t>
        </m:r>
      </m:oMath>
      <w:r>
        <w:rPr>
          <w:i/>
          <w:iCs/>
        </w:rPr>
        <w:t xml:space="preserve">) when environmental uncertainty is high enough that network-mediated buffering matters; between-group selection rewards cooperator-rich groups. (B) Net selection on the aggregator strategy as a function of environmental uncertainty</w:t>
      </w:r>
      <w:r>
        <w:t xml:space="preserve"> </w:t>
      </w:r>
      <m:oMath>
        <m:r>
          <m:t>σ</m:t>
        </m:r>
      </m:oMath>
      <w:r>
        <w:rPr>
          <w:i/>
          <w:iCs/>
        </w:rPr>
        <w:t xml:space="preserve">, decomposed into within-group (red, constant cost penalty</w:t>
      </w:r>
      <w:r>
        <w:t xml:space="preserve"> </w:t>
      </w:r>
      <m:oMath>
        <m:r>
          <m:rPr>
            <m:sty m:val="p"/>
          </m:rPr>
          <m:t>−</m:t>
        </m:r>
        <m:r>
          <m:t>C</m:t>
        </m:r>
      </m:oMath>
      <w:r>
        <w:rPr>
          <w:i/>
          <w:iCs/>
        </w:rPr>
        <w:t xml:space="preserve">) and between-group (blue, cooperation benefit</w:t>
      </w:r>
      <w: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i/>
          <w:iCs/>
        </w:rPr>
        <w:t xml:space="preserve">) components. The two components balance at the critical threshold</w:t>
      </w:r>
      <w:r>
        <w:t xml:space="preserve"> </w:t>
      </w:r>
      <m:oMath>
        <m:sSup>
          <m:e>
            <m:r>
              <m:t>σ</m:t>
            </m:r>
          </m:e>
          <m:sup>
            <m:r>
              <m:rPr>
                <m:sty m:val="p"/>
              </m:rPr>
              <m:t>*</m:t>
            </m:r>
          </m:sup>
        </m:sSup>
      </m:oMath>
      <w:r>
        <w:rPr>
          <w:i/>
          <w:iCs/>
        </w:rPr>
        <w:t xml:space="preserve">: below it, independents are favored (net selection</w:t>
      </w:r>
      <w:r>
        <w:t xml:space="preserve"> </w:t>
      </w:r>
      <m:oMath>
        <m:r>
          <m:rPr>
            <m:sty m:val="p"/>
          </m:rPr>
          <m:t>&lt;</m:t>
        </m:r>
        <m:r>
          <m:t>0</m:t>
        </m:r>
      </m:oMath>
      <w:r>
        <w:rPr>
          <w:i/>
          <w:iCs/>
        </w:rPr>
        <w:t xml:space="preserve">); above it, aggregators are favored (net selection</w:t>
      </w:r>
      <w:r>
        <w:t xml:space="preserve"> </w:t>
      </w:r>
      <m:oMath>
        <m:r>
          <m:rPr>
            <m:sty m:val="p"/>
          </m:rPr>
          <m:t>&gt;</m:t>
        </m:r>
        <m:r>
          <m:t>0</m:t>
        </m:r>
      </m:oMath>
      <w:r>
        <w:rPr>
          <w:i/>
          <w:iCs/>
        </w:rPr>
        <w:t xml:space="preserve">). The curves are illustrative under simplified parameterizations chosen so the threshold lands near the manuscript’s calibrated</w:t>
      </w:r>
      <w:r>
        <w:t xml:space="preserve"> </w:t>
      </w:r>
      <m:oMath>
        <m:sSup>
          <m:e>
            <m:r>
              <m:t>σ</m:t>
            </m:r>
          </m:e>
          <m:sup>
            <m:r>
              <m:rPr>
                <m:sty m:val="p"/>
              </m:rPr>
              <m:t>*</m:t>
            </m:r>
          </m:sup>
        </m:sSup>
        <m:r>
          <m:rPr>
            <m:sty m:val="p"/>
          </m:rPr>
          <m:t>≈</m:t>
        </m:r>
        <m:r>
          <m:t>0.40</m:t>
        </m:r>
      </m:oMath>
      <w:r>
        <w:rPr>
          <w:i/>
          <w:iCs/>
        </w:rPr>
        <w:t xml:space="preserve">.</w:t>
      </w:r>
    </w:p>
    <w:p>
      <w:pPr>
        <w:pStyle w:val="BodyText"/>
      </w:pPr>
      <w: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t xml:space="preserve">Earlier applications of this framework to territorial monument-builders, such as Rapa Nui</w:t>
      </w:r>
      <w:r>
        <w:t xml:space="preserve"> </w:t>
      </w:r>
      <w:r>
        <w:rPr>
          <w:i/>
          <w:iCs/>
        </w:rPr>
        <w:t xml:space="preserve">ahu</w:t>
      </w:r>
      <w:r>
        <w:t xml:space="preserve"> </w:t>
      </w:r>
      <w:r>
        <w:t xml:space="preserve">(DiNapoli et al. 2019), treated groups as fixed in space competing for territory. The signal said,</w:t>
      </w:r>
      <w:r>
        <w:t xml:space="preserve"> </w:t>
      </w:r>
      <w:r>
        <w:t xml:space="preserve">“We can defend this place,”</w:t>
      </w:r>
      <w:r>
        <w:t xml:space="preserve"> </w:t>
      </w:r>
      <w:r>
        <w:t xml:space="preserve">and monuments served as deterrents. For mobile hunter-gatherer bands, the optimization problem is different. Bands are not territorial. They choose whether to aggregate at central locations, how long to remain, and how much to invest in collective construction. The signal function shifts from deterrence to attraction. It now says</w:t>
      </w:r>
      <w:r>
        <w:t xml:space="preserve"> </w:t>
      </w:r>
      <w:r>
        <w:t xml:space="preserve">“we will cooperate reliably”</w:t>
      </w:r>
      <w:r>
        <w:t xml:space="preserve"> </w:t>
      </w:r>
      <w:r>
        <w:t xml:space="preserve">and serves to identify trustworthy partners among bands that may have only weak prior contact with one another. This shift requires modifying the fitness functions to reflect a fission-fusion social structure in which cooperation is re-established with partial strangers each year.</w:t>
      </w:r>
    </w:p>
    <w:bookmarkEnd w:id="20"/>
    <w:bookmarkStart w:id="21" w:name="honest-signals-index-not-handicap"/>
    <w:p>
      <w:pPr>
        <w:pStyle w:val="Heading3"/>
      </w:pPr>
      <w:r>
        <w:t xml:space="preserve">2.2 Honest signals: index, not handicap</w:t>
      </w:r>
    </w:p>
    <w:p>
      <w:pPr>
        <w:pStyle w:val="FirstParagraph"/>
      </w:pPr>
      <w:r>
        <w:t xml:space="preserve">The investment in monumentality serves as a signal within and between bands. These signals are considered</w:t>
      </w:r>
      <w:r>
        <w:t xml:space="preserve"> </w:t>
      </w:r>
      <w:r>
        <w:t xml:space="preserve">“costly”</w:t>
      </w:r>
      <w:r>
        <w:t xml:space="preserve"> </w:t>
      </w:r>
      <w:r>
        <w:t xml:space="preserve">since they are an investment of energy and resources. Signaling theory in archaeology distinguishes two kinds of reliable signals.</w:t>
      </w:r>
      <w:r>
        <w:t xml:space="preserve"> </w:t>
      </w:r>
      <w:r>
        <w:rPr>
          <w:i/>
          <w:iCs/>
        </w:rPr>
        <w:t xml:space="preserve">Handicap</w:t>
      </w:r>
      <w:r>
        <w:t xml:space="preserve"> </w:t>
      </w:r>
      <w:r>
        <w:t xml:space="preserve">signals (Zahavi 1975) are reliable because they are wasteful: only individuals with surplus capacity can afford them, so the signal correlates with quality precisely because of the cost.</w:t>
      </w:r>
      <w:r>
        <w:t xml:space="preserve"> </w:t>
      </w:r>
      <w:r>
        <w:rPr>
          <w:i/>
          <w:iCs/>
        </w:rPr>
        <w:t xml:space="preserve">Index</w:t>
      </w:r>
      <w:r>
        <w:t xml:space="preserve"> </w:t>
      </w:r>
      <w: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t xml:space="preserve">For a signaling framework to do empirical work, it must specify four things: who is signaling, who is receiving, what quality is being signaled, and how the receiver responds. At an aggregation gathering: (1) the</w:t>
      </w:r>
      <w:r>
        <w:t xml:space="preserve"> </w:t>
      </w:r>
      <w:r>
        <w:rPr>
          <w:b/>
          <w:bCs/>
        </w:rPr>
        <w:t xml:space="preserve">signaler</w:t>
      </w:r>
      <w:r>
        <w:t xml:space="preserve"> </w:t>
      </w:r>
      <w:r>
        <w:t xml:space="preserve">is an aggregating band; (2) the</w:t>
      </w:r>
      <w:r>
        <w:t xml:space="preserve"> </w:t>
      </w:r>
      <w:r>
        <w:rPr>
          <w:b/>
          <w:bCs/>
        </w:rPr>
        <w:t xml:space="preserve">receivers</w:t>
      </w:r>
      <w:r>
        <w:t xml:space="preserve"> </w:t>
      </w:r>
      <w:r>
        <w:t xml:space="preserve">are other bands at the gathering, both established partners and prospective ones drawn from across the regional network; (3) the</w:t>
      </w:r>
      <w:r>
        <w:t xml:space="preserve"> </w:t>
      </w:r>
      <w:r>
        <w:rPr>
          <w:b/>
          <w:bCs/>
        </w:rPr>
        <w:t xml:space="preserve">quality being signaled</w:t>
      </w:r>
      <w:r>
        <w:t xml:space="preserve"> </w:t>
      </w:r>
      <w:r>
        <w:t xml:space="preserve">is cooperative reliability, operationalized as a band’s likelihood of contributing labor to collective construction and reciprocating obligations during shortfalls; (4) the</w:t>
      </w:r>
      <w:r>
        <w:t xml:space="preserve"> </w:t>
      </w:r>
      <w:r>
        <w:rPr>
          <w:b/>
          <w:bCs/>
        </w:rPr>
        <w:t xml:space="preserve">receiver response</w:t>
      </w:r>
      <w:r>
        <w:t xml:space="preserve"> </w:t>
      </w:r>
      <w:r>
        <w:t xml:space="preserve">is preferential partner selection, with bands forming and strengthening reciprocal obligations with high-signal partners over the course of an aggregation season.</w:t>
      </w:r>
    </w:p>
    <w:p>
      <w:pPr>
        <w:pStyle w:val="BodyText"/>
      </w:pPr>
      <w:r>
        <w:t xml:space="preserve">The framework requires a signal-conditional response from the receiver. A</w:t>
      </w:r>
      <w:r>
        <w:t xml:space="preserve"> </w:t>
      </w:r>
      <w:r>
        <w:t xml:space="preserve">“signal-conditional response”</w:t>
      </w:r>
      <w:r>
        <w:t xml:space="preserve"> </w:t>
      </w:r>
      <w: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but the bulk of our empirical evaluation focuses on monumental earthwork volume because these structures are quantitatively tractable measures of accumulated signaling effort.</w:t>
      </w:r>
    </w:p>
    <w:p>
      <w:pPr>
        <w:pStyle w:val="BodyText"/>
      </w:pPr>
      <w:r>
        <w:rPr>
          <w:b/>
          <w:bCs/>
        </w:rPr>
        <w:t xml:space="preserve">The signal half-life.</w:t>
      </w:r>
      <w:r>
        <w:t xml:space="preserve"> </w:t>
      </w:r>
      <w:r>
        <w:t xml:space="preserve">The value of a completed earthwork as an honest signal of</w:t>
      </w:r>
      <w:r>
        <w:t xml:space="preserve"> </w:t>
      </w:r>
      <w:r>
        <w:rPr>
          <w:i/>
          <w:iCs/>
        </w:rPr>
        <w:t xml:space="preserve">current</w:t>
      </w:r>
      <w:r>
        <w:t xml:space="preserve"> </w:t>
      </w:r>
      <w: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(current index value plus persistent-CRED value) and decouple under abandonment, when the index value decays first and the persistent-CRED value follows the physical decay of the landscape. Continuous re-investment is necessary to sustain either channel.</w:t>
      </w:r>
    </w:p>
    <w:p>
      <w:pPr>
        <w:pStyle w:val="BodyText"/>
      </w:pPr>
      <w: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locally-available substitutes for a contemporary observer; geochemical signatures, traceable to specific sources through neutron-activation analysis, ICP-MS, and atomic-absorption spectrophotometry, allow archaeologists today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(above) is sharper than</w:t>
      </w:r>
      <w:r>
        <w:t xml:space="preserve"> </w:t>
      </w:r>
      <w:r>
        <w:t xml:space="preserve">“expensive”</w:t>
      </w:r>
      <w:r>
        <w:t xml:space="preserve">: it requires that the signal cannot be produced without the underlying quality the receiver wants to know about. For earthworks, that quality is mobilization of cooperative labor at the gathering, and basket-built fill cannot be produced without it; for imported exotics, the quality is direct travel to or partnership with bands at the geological source, and a galena nodule from Potosi cannot be produced by a band that has not (directly or through a known visitor-band partner) accessed Potosi material. PPOs do not have this property at the band level: locally produced fired-earth cooking objects can be made by any band with access to local dirt and fuel, including bands that did not attend the gathering or contribute labor, so PPO possession does not reliably index participation as a visitor band. The same logic applies to locally-produced lithic forms widely distributed in the regional record (projectile points, Jaketown perforators): these are produced from materials available to any band in the LMV, are not source-constrained in the way that copper, galena, or steatite are, and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and PPOs are widely distributed across LMV-affiliated populations rather than concentrated at the gathering site as the exotic-materials record is. The framework’s formalized signaling channels are therefore earthworks (collective, group-level) and imported exotic goods (individual-band-level); PPOs are not in this set, not because they are cheap (cost is incidental), but because they fail the unfakeability criterion at the band level.</w:t>
      </w:r>
    </w:p>
    <w:p>
      <w:pPr>
        <w:pStyle w:val="BodyText"/>
      </w:pPr>
      <w:r>
        <w:t xml:space="preserve">A weaker form of the signaling argument could, in principle, apply to PPO production</w:t>
      </w:r>
      <w:r>
        <w:t xml:space="preserve"> </w:t>
      </w:r>
      <w:r>
        <w:rPr>
          <w:i/>
          <w:iCs/>
        </w:rPr>
        <w:t xml:space="preserve">volume</w:t>
      </w:r>
      <w:r>
        <w:t xml:space="preserve"> </w:t>
      </w:r>
      <w:r>
        <w:t xml:space="preserve">at the site rather than PPO</w:t>
      </w:r>
      <w:r>
        <w:t xml:space="preserve"> </w:t>
      </w:r>
      <w:r>
        <w:rPr>
          <w:i/>
          <w:iCs/>
        </w:rPr>
        <w:t xml:space="preserve">possession</w:t>
      </w:r>
      <w:r>
        <w:t xml:space="preserve"> </w:t>
      </w:r>
      <w: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what cooking needs would require for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t xml:space="preserve">PPOs nonetheless carry information about regional social structure, but on a different intellectual register: cultural transmission rather than signaling. Functionally, PPOs are a cooking technology that solves a practical problem and would be expected to spread on its own merits wherever the same problem is faced. Stylistically, the</w:t>
      </w:r>
      <w:r>
        <w:t xml:space="preserve"> </w:t>
      </w:r>
      <w:r>
        <w:rPr>
          <w:i/>
          <w:iCs/>
        </w:rPr>
        <w:t xml:space="preserve">forms</w:t>
      </w:r>
      <w:r>
        <w:t xml:space="preserve"> </w:t>
      </w:r>
      <w: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but it does so as transmission data, not as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t xml:space="preserve">2.3 The ecotone advantage</w:t>
      </w:r>
    </w:p>
    <w:p>
      <w:pPr>
        <w:pStyle w:val="FirstParagraph"/>
      </w:pPr>
      <w: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t xml:space="preserve"> </w:t>
      </w:r>
      <m:oMath>
        <m:r>
          <m:t>ε</m:t>
        </m:r>
      </m:oMath>
      <w: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t xml:space="preserve">The mechanism</w:t>
      </w:r>
      <w:r>
        <w:t xml:space="preserve"> </w:t>
      </w:r>
      <m:oMath>
        <m:r>
          <m:t>ε</m:t>
        </m:r>
      </m:oMath>
      <w:r>
        <w:t xml:space="preserve"> </w:t>
      </w:r>
      <w:r>
        <w:t xml:space="preserve">encodes is shortfall buffering through</w:t>
      </w:r>
      <w:r>
        <w:t xml:space="preserve"> </w:t>
      </w:r>
      <w:r>
        <w:rPr>
          <w:i/>
          <w:iCs/>
        </w:rPr>
        <w:t xml:space="preserve">negative covariance</w:t>
      </w:r>
      <w:r>
        <w:t xml:space="preserve"> </w:t>
      </w:r>
      <w: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t xml:space="preserve"> </w:t>
      </w:r>
      <m:oMath>
        <m:r>
          <m:t>ε</m:t>
        </m:r>
      </m:oMath>
      <w:r>
        <w:t xml:space="preserve"> </w:t>
      </w:r>
      <w:r>
        <w:t xml:space="preserve">is small. When the local zones draw on independent shortfall drivers (e.g., drainages with different hydrographs, uplands and lowlands responding to different precipitation modes), some local zones are typically producing during regional shortfalls;</w:t>
      </w:r>
      <w:r>
        <w:t xml:space="preserve"> </w:t>
      </w:r>
      <m:oMath>
        <m:r>
          <m:t>ε</m:t>
        </m:r>
      </m:oMath>
      <w:r>
        <w:t xml:space="preserve"> </w:t>
      </w:r>
      <w: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t xml:space="preserve"> </w:t>
      </w:r>
      <m:oMath>
        <m:r>
          <m:t>ε</m:t>
        </m:r>
      </m:oMath>
      <w:r>
        <w:t xml:space="preserve">.</w:t>
      </w:r>
    </w:p>
    <w:p>
      <w:pPr>
        <w:pStyle w:val="BodyText"/>
      </w:pPr>
      <w:r>
        <w:drawing>
          <wp:inline>
            <wp:extent cx="5943600" cy="6110216"/>
            <wp:effectExtent b="0" l="0" r="0" t="0"/>
            <wp:docPr descr="" title="" id="23" name="Picture"/>
            <a:graphic>
              <a:graphicData uri="http://schemas.openxmlformats.org/drawingml/2006/picture">
                <pic:pic>
                  <pic:nvPicPr>
                    <pic:cNvPr descr="../../figures/manuscript/figure_04_ecotone_seasonal.png" id="24" name="Picture"/>
                    <pic:cNvPicPr>
                      <a:picLocks noChangeArrowheads="1" noChangeAspect="1"/>
                    </pic:cNvPicPr>
                  </pic:nvPicPr>
                  <pic:blipFill>
                    <a:blip r:embed="rId22"/>
                    <a:stretch>
                      <a:fillRect/>
                    </a:stretch>
                  </pic:blipFill>
                  <pic:spPr bwMode="auto">
                    <a:xfrm>
                      <a:off x="0" y="0"/>
                      <a:ext cx="5943600" cy="6110216"/>
                    </a:xfrm>
                    <a:prstGeom prst="rect">
                      <a:avLst/>
                    </a:prstGeom>
                    <a:noFill/>
                    <a:ln w="9525">
                      <a:noFill/>
                      <a:headEnd/>
                      <a:tailEnd/>
                    </a:ln>
                  </pic:spPr>
                </pic:pic>
              </a:graphicData>
            </a:graphic>
          </wp:inline>
        </w:drawing>
      </w:r>
    </w:p>
    <w:p>
      <w:pPr>
        <w:pStyle w:val="BodyText"/>
      </w:pPr>
      <w:r>
        <w:rPr>
          <w:b/>
          <w:bCs/>
          <w:i/>
          <w:iCs/>
        </w:rPr>
        <w:t xml:space="preserve">Figure 4. The ecotone advantage: how multi-zone access buffers shortfall.</w:t>
      </w:r>
      <w:r>
        <w:t xml:space="preserve"> </w:t>
      </w:r>
      <w:r>
        <w:rPr>
          <w:i/>
          <w:iCs/>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when multiple resource types are accessible simultaneously.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t xml:space="preserve"> </w:t>
      </w:r>
      <m:oMath>
        <m:r>
          <m:t>ε</m:t>
        </m:r>
      </m:oMath>
      <w:r>
        <w:t xml:space="preserve"> </w:t>
      </w:r>
      <w:r>
        <w:rPr>
          <w:i/>
          <w:iCs/>
        </w:rPr>
        <w:t xml:space="preserve">encodes is this variance reduction, not raw zone count.</w:t>
      </w:r>
    </w:p>
    <w:p>
      <w:pPr>
        <w:pStyle w:val="BodyText"/>
      </w:pPr>
      <w: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w:t>
      </w:r>
      <w:r>
        <w:t xml:space="preserve"> </w:t>
      </w:r>
      <m:oMath>
        <m:r>
          <m:t>ε</m:t>
        </m:r>
      </m:oMath>
      <w:r>
        <w:t xml:space="preserve"> </w:t>
      </w:r>
      <w:r>
        <w:t xml:space="preserve">as covariance-based shortfall buffering, distinguishing it from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t xml:space="preserve">2.4 Fitness functions and the critical threshold</w:t>
      </w:r>
    </w:p>
    <w:p>
      <w:pPr>
        <w:pStyle w:val="FirstParagraph"/>
      </w:pPr>
      <w:r>
        <w:t xml:space="preserve">Bands choose annually between the</w:t>
      </w:r>
      <w:r>
        <w:t xml:space="preserve"> </w:t>
      </w:r>
      <w:r>
        <w:rPr>
          <w:b/>
          <w:bCs/>
        </w:rPr>
        <w:t xml:space="preserve">aggregator</w:t>
      </w:r>
      <w:r>
        <w:t xml:space="preserve"> </w:t>
      </w:r>
      <w:r>
        <w:t xml:space="preserve">strategy (travel to the site, invest in monuments and exotics, form reciprocal obligations) and the</w:t>
      </w:r>
      <w:r>
        <w:t xml:space="preserve"> </w:t>
      </w:r>
      <w:r>
        <w:rPr>
          <w:b/>
          <w:bCs/>
        </w:rPr>
        <w:t xml:space="preserve">independent</w:t>
      </w:r>
      <w:r>
        <w:t xml:space="preserve"> </w:t>
      </w:r>
      <w:r>
        <w:t xml:space="preserve">strategy (remain dispersed, forage independently). A band that aggregates</w:t>
      </w:r>
      <w:r>
        <w:t xml:space="preserve"> </w:t>
      </w:r>
      <w:r>
        <w:rPr>
          <w:i/>
          <w:iCs/>
        </w:rPr>
        <w:t xml:space="preserve">pays</w:t>
      </w:r>
      <w:r>
        <w:t xml:space="preserve"> </w:t>
      </w:r>
      <w:r>
        <w:t xml:space="preserve">to do so (travel, time away from foraging, labor on monuments) and</w:t>
      </w:r>
      <w:r>
        <w:t xml:space="preserve"> </w:t>
      </w:r>
      <w:r>
        <w:rPr>
          <w:i/>
          <w:iCs/>
        </w:rPr>
        <w:t xml:space="preserve">gains</w:t>
      </w:r>
      <w:r>
        <w:t xml:space="preserve"> </w:t>
      </w:r>
      <w: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r>
            <m:t>m</m:t>
          </m:r>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t xml:space="preserve"> </w:t>
      </w:r>
      <m:oMath>
        <m:r>
          <m:rPr>
            <m:sty m:val="p"/>
          </m:rPr>
          <m:t>(</m:t>
        </m:r>
        <m:r>
          <m:t>1</m:t>
        </m:r>
        <m:r>
          <m:rPr>
            <m:sty m:val="p"/>
          </m:rPr>
          <m:t>−</m:t>
        </m:r>
        <m:sSub>
          <m:e>
            <m:r>
              <m:t>C</m:t>
            </m:r>
          </m:e>
          <m:sub>
            <m:r>
              <m:t>t</m:t>
            </m:r>
            <m:r>
              <m:t>o</m:t>
            </m:r>
            <m:r>
              <m:t>t</m:t>
            </m:r>
            <m:r>
              <m:t>a</m:t>
            </m:r>
            <m:r>
              <m:t>l</m:t>
            </m:r>
          </m:sub>
        </m:sSub>
        <m:r>
          <m:rPr>
            <m:sty m:val="p"/>
          </m:rPr>
          <m:t>)</m:t>
        </m:r>
      </m:oMath>
      <w:r>
        <w:t xml:space="preserve"> </w:t>
      </w:r>
      <w:r>
        <w:t xml:space="preserve">deducts travel, labor on monuments and exotic-goods investment, and foregone foraging. The shortfall-survival factor</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captures the buffering advantage of aggregators: cooperation networks let them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t xml:space="preserve"> </w:t>
      </w:r>
      <m:oMath>
        <m:r>
          <m:t>B</m:t>
        </m:r>
        <m:r>
          <m:rPr>
            <m:sty m:val="p"/>
          </m:rPr>
          <m:t>(</m:t>
        </m:r>
        <m:r>
          <m:t>λ</m:t>
        </m:r>
        <m:r>
          <m:rPr>
            <m:sty m:val="p"/>
          </m:rPr>
          <m:t>)</m:t>
        </m:r>
      </m:oMath>
      <w:r>
        <w:t xml:space="preserve"> </w:t>
      </w:r>
      <w:r>
        <w:t xml:space="preserve">adds a within-group fitness boost to bands that contribute, scaled by 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which combines the within-group reward, the conflict-deterrence component, and the cooperation-network component.</w:t>
      </w:r>
    </w:p>
    <w:p>
      <w:pPr>
        <w:pStyle w:val="BodyText"/>
      </w:pPr>
      <w:r>
        <w:t xml:space="preserve">The vulnerability function</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w:t>
      </w:r>
      <w:r>
        <w:t xml:space="preserve">is computed from the band’s cooperation network rather than set as a free input. Here</w:t>
      </w:r>
      <w:r>
        <w:t xml:space="preserve"> </w:t>
      </w:r>
      <m:oMath>
        <m:r>
          <m:t>k</m:t>
        </m:r>
      </m:oMath>
      <w:r>
        <w:t xml:space="preserve"> </w:t>
      </w:r>
      <w:r>
        <w:t xml:space="preserve">is the number of cooperation partners a band has access to,</w:t>
      </w:r>
      <w:r>
        <w:t xml:space="preserve"> </w:t>
      </w:r>
      <m:oMath>
        <m:r>
          <m:t>γ</m:t>
        </m:r>
      </m:oMath>
      <w:r>
        <w:t xml:space="preserve"> </w:t>
      </w:r>
      <w:r>
        <w:t xml:space="preserve">controls how much each partner reduces vulnerability, and</w:t>
      </w:r>
      <w:r>
        <w:t xml:space="preserve"> </w:t>
      </w:r>
      <m:oMath>
        <m:r>
          <m:t>α</m:t>
        </m:r>
        <m:r>
          <m:rPr>
            <m:sty m:val="p"/>
          </m:rPr>
          <m:t>(</m:t>
        </m:r>
        <m:r>
          <m:t>k</m:t>
        </m:r>
        <m:r>
          <m:rPr>
            <m:sty m:val="p"/>
          </m:rPr>
          <m:t>)</m:t>
        </m:r>
      </m:oMath>
      <w:r>
        <w:t xml:space="preserve"> </w:t>
      </w:r>
      <w: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t xml:space="preserve">). Aggregators with mature monument stocks reach within-aggregation network degree</w:t>
      </w:r>
      <w:r>
        <w:t xml:space="preserve"> </w:t>
      </w:r>
      <m:oMath>
        <m:sSub>
          <m:e>
            <m:r>
              <m:t>k</m:t>
            </m:r>
          </m:e>
          <m:sub>
            <m:r>
              <m:t>a</m:t>
            </m:r>
            <m:r>
              <m:t>g</m:t>
            </m:r>
            <m:r>
              <m:t>g</m:t>
            </m:r>
          </m:sub>
        </m:sSub>
        <m:r>
          <m:rPr>
            <m:sty m:val="p"/>
          </m:rPr>
          <m:t>≈</m:t>
        </m:r>
        <m:r>
          <m:t>4</m:t>
        </m:r>
      </m:oMath>
      <w:r>
        <w:t xml:space="preserve"> </w:t>
      </w:r>
      <w:r>
        <w:t xml:space="preserve">to</w:t>
      </w:r>
      <w:r>
        <w:t xml:space="preserve"> </w:t>
      </w:r>
      <m:oMath>
        <m:r>
          <m:t>6</m:t>
        </m:r>
      </m:oMath>
      <w:r>
        <w:t xml:space="preserve">. Aggregation occupies only a fraction</w:t>
      </w:r>
      <w:r>
        <w:t xml:space="preserve"> </w:t>
      </w:r>
      <m:oMath>
        <m:sSub>
          <m:e>
            <m:r>
              <m:t>f</m:t>
            </m:r>
          </m:e>
          <m:sub>
            <m:r>
              <m:t>a</m:t>
            </m:r>
            <m:r>
              <m:t>g</m:t>
            </m:r>
            <m:r>
              <m:t>g</m:t>
            </m:r>
          </m:sub>
        </m:sSub>
        <m:r>
          <m:rPr>
            <m:sty m:val="p"/>
          </m:rPr>
          <m:t>≈</m:t>
        </m:r>
        <m:r>
          <m:t>0.25</m:t>
        </m:r>
      </m:oMath>
      <w:r>
        <w:t xml:space="preserve"> </w:t>
      </w:r>
      <w:r>
        <w:t xml:space="preserve">of the year and the ties formed there decay during the dispersed phase, so the effective annual vulnerability</w:t>
      </w:r>
      <w:r>
        <w:t xml:space="preserve"> </w:t>
      </w:r>
      <m:oMath>
        <m:r>
          <m:t>α</m:t>
        </m:r>
        <m:r>
          <m:rPr>
            <m:sty m:val="p"/>
          </m:rPr>
          <m:t>(</m:t>
        </m:r>
        <m:sSub>
          <m:e>
            <m:r>
              <m:t>k</m:t>
            </m:r>
          </m:e>
          <m:sub>
            <m:r>
              <m:t>e</m:t>
            </m:r>
            <m:r>
              <m:t>f</m:t>
            </m:r>
            <m:r>
              <m:t>f</m:t>
            </m:r>
          </m:sub>
        </m:sSub>
        <m:r>
          <m:rPr>
            <m:sty m:val="p"/>
          </m:rPr>
          <m:t>)</m:t>
        </m:r>
      </m:oMath>
      <w:r>
        <w:t xml:space="preserve"> </w:t>
      </w:r>
      <w:r>
        <w:t xml:space="preserve">is a weighted average across the gathered and dispersed periods rather than the within-gathering value alone.</w:t>
      </w:r>
    </w:p>
    <w:p>
      <w:pPr>
        <w:pStyle w:val="BodyText"/>
      </w:pPr>
      <w: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t xml:space="preserve">Independents avoid the aggregation cost but face full regional uncertainty with only baseline networks and gain no signaling benefit. Parameter values are estimated from ethnographic analogy, archaeological inference, and theoretical constraint; full justifications are in Supplemental §S2, and sensitivity analyses across all 13 parameters are in Supplemental §S3.</w:t>
      </w:r>
    </w:p>
    <w:p>
      <w:pPr>
        <w:pStyle w:val="BodyText"/>
      </w:pPr>
      <w:r>
        <w:t xml:space="preserve">The</w:t>
      </w:r>
      <w:r>
        <w:t xml:space="preserve"> </w:t>
      </w:r>
      <w:r>
        <w:rPr>
          <w:b/>
          <w:bCs/>
        </w:rPr>
        <w:t xml:space="preserve">critical threshold</w:t>
      </w:r>
      <w:r>
        <w:t xml:space="preserve"> </w:t>
      </w:r>
      <m:oMath>
        <m:sSup>
          <m:e>
            <m:r>
              <m:t>σ</m:t>
            </m:r>
          </m:e>
          <m:sup>
            <m:r>
              <m:rPr>
                <m:sty m:val="p"/>
              </m:rPr>
              <m:t>*</m:t>
            </m:r>
          </m:sup>
        </m:sSup>
      </m:oMath>
      <w:r>
        <w:t xml:space="preserve"> </w:t>
      </w:r>
      <w:r>
        <w:t xml:space="preserve">is the value of environmental uncertainty at which the two fitness functions cross over: below</w:t>
      </w:r>
      <w:r>
        <w:t xml:space="preserve"> </w:t>
      </w:r>
      <m:oMath>
        <m:sSup>
          <m:e>
            <m:r>
              <m:t>σ</m:t>
            </m:r>
          </m:e>
          <m:sup>
            <m:r>
              <m:rPr>
                <m:sty m:val="p"/>
              </m:rPr>
              <m:t>*</m:t>
            </m:r>
          </m:sup>
        </m:sSup>
      </m:oMath>
      <w:r>
        <w:t xml:space="preserve"> </w:t>
      </w:r>
      <w:r>
        <w:t xml:space="preserve">the independent strategy pays better, above it the aggregator strategy pays better. We find</w:t>
      </w:r>
      <w:r>
        <w:t xml:space="preserve"> </w:t>
      </w:r>
      <m:oMath>
        <m:sSup>
          <m:e>
            <m:r>
              <m:t>σ</m:t>
            </m:r>
          </m:e>
          <m:sup>
            <m:r>
              <m:rPr>
                <m:sty m:val="p"/>
              </m:rPr>
              <m:t>*</m:t>
            </m:r>
          </m:sup>
        </m:sSup>
      </m:oMath>
      <w:r>
        <w:t xml:space="preserve"> </w:t>
      </w:r>
      <w:r>
        <w:t xml:space="preserve">numerically using Brent’s (1973) method, a standard one-dimensional root-finder that locates where a function changes sign. The difference</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falls steadily with rising</w:t>
      </w:r>
      <w:r>
        <w:t xml:space="preserve"> </w:t>
      </w:r>
      <m:oMath>
        <m:r>
          <m:t>σ</m:t>
        </m:r>
      </m:oMath>
      <w:r>
        <w:t xml:space="preserve"> </w:t>
      </w:r>
      <w:r>
        <w:t xml:space="preserve">across the range we use, because aggregation costs do not depend on</w:t>
      </w:r>
      <w:r>
        <w:t xml:space="preserve"> </w:t>
      </w:r>
      <m:oMath>
        <m:r>
          <m:t>σ</m:t>
        </m:r>
      </m:oMath>
      <w:r>
        <w:t xml:space="preserve"> </w:t>
      </w:r>
      <w: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t xml:space="preserve"> </w:t>
      </w:r>
      <m:oMath>
        <m:sSup>
          <m:e>
            <m:r>
              <m:t>σ</m:t>
            </m:r>
          </m:e>
          <m:sup>
            <m:r>
              <m:rPr>
                <m:sty m:val="p"/>
              </m:rPr>
              <m:t>*</m:t>
            </m:r>
          </m:sup>
        </m:sSup>
        <m:r>
          <m:rPr>
            <m:sty m:val="p"/>
          </m:rPr>
          <m:t>≈</m:t>
        </m:r>
        <m:r>
          <m:t>0.57</m:t>
        </m:r>
      </m:oMath>
      <w:r>
        <w:t xml:space="preserve">. With moderate ecotone advantage (</w:t>
      </w:r>
      <m:oMath>
        <m:r>
          <m:t>ε</m:t>
        </m:r>
        <m:r>
          <m:rPr>
            <m:sty m:val="p"/>
          </m:rPr>
          <m:t>=</m:t>
        </m:r>
        <m:r>
          <m:t>0.35</m:t>
        </m:r>
      </m:oMath>
      <w:r>
        <w:t xml:space="preserve">),</w:t>
      </w:r>
      <w:r>
        <w:t xml:space="preserve"> </w:t>
      </w:r>
      <m:oMath>
        <m:sSup>
          <m:e>
            <m:r>
              <m:t>σ</m:t>
            </m:r>
          </m:e>
          <m:sup>
            <m:r>
              <m:rPr>
                <m:sty m:val="p"/>
              </m:rPr>
              <m:t>*</m:t>
            </m:r>
          </m:sup>
        </m:sSup>
        <m:r>
          <m:rPr>
            <m:sty m:val="p"/>
          </m:rPr>
          <m:t>≈</m:t>
        </m:r>
        <m:r>
          <m:t>0.40</m:t>
        </m:r>
      </m:oMath>
      <w:r>
        <w:t xml:space="preserve">; with stronger ecotone access (</w:t>
      </w:r>
      <m:oMath>
        <m:r>
          <m:t>ε</m:t>
        </m:r>
        <m:r>
          <m:rPr>
            <m:sty m:val="p"/>
          </m:rPr>
          <m:t>=</m:t>
        </m:r>
        <m:r>
          <m:t>0.49</m:t>
        </m:r>
      </m:oMath>
      <w:r>
        <w:t xml:space="preserve">),</w:t>
      </w:r>
      <w:r>
        <w:t xml:space="preserve"> </w:t>
      </w:r>
      <m:oMath>
        <m:sSup>
          <m:e>
            <m:r>
              <m:t>σ</m:t>
            </m:r>
          </m:e>
          <m:sup>
            <m:r>
              <m:rPr>
                <m:sty m:val="p"/>
              </m:rPr>
              <m:t>*</m:t>
            </m:r>
          </m:sup>
        </m:sSup>
        <m:r>
          <m:rPr>
            <m:sty m:val="p"/>
          </m:rPr>
          <m:t>≈</m:t>
        </m:r>
        <m:r>
          <m:t>0.36</m:t>
        </m:r>
      </m:oMath>
      <w:r>
        <w:t xml:space="preserve">. Lower thresholds mean aggregation becomes adaptive under milder environmental uncertainty.</w:t>
      </w:r>
    </w:p>
    <w:p>
      <w:pPr>
        <w:pStyle w:val="BodyText"/>
      </w:pPr>
      <w:r>
        <w:t xml:space="preserve">The cooperation network feeds back on itself, which is what makes the transition at</w:t>
      </w:r>
      <w:r>
        <w:t xml:space="preserve"> </w:t>
      </w:r>
      <m:oMath>
        <m:sSup>
          <m:e>
            <m:r>
              <m:t>σ</m:t>
            </m:r>
          </m:e>
          <m:sup>
            <m:r>
              <m:rPr>
                <m:sty m:val="p"/>
              </m:rPr>
              <m:t>*</m:t>
            </m:r>
          </m:sup>
        </m:sSup>
      </m:oMath>
      <w:r>
        <w:t xml:space="preserve"> </w:t>
      </w:r>
      <w: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t xml:space="preserve">Monument investment builds an effective monument stock</w:t>
      </w:r>
      <w:r>
        <w:t xml:space="preserve"> </w:t>
      </w:r>
      <m:oMath>
        <m:sSub>
          <m:e>
            <m:r>
              <m:t>M</m:t>
            </m:r>
          </m:e>
          <m:sub>
            <m:r>
              <m:t>g</m:t>
            </m:r>
          </m:sub>
        </m:sSub>
      </m:oMath>
      <w:r>
        <w:t xml:space="preserve">;</w:t>
      </w:r>
      <w:r>
        <w:t xml:space="preserve"> </w:t>
      </w:r>
      <m:oMath>
        <m:sSub>
          <m:e>
            <m:r>
              <m:t>M</m:t>
            </m:r>
          </m:e>
          <m:sub>
            <m:r>
              <m:t>g</m:t>
            </m:r>
          </m:sub>
        </m:sSub>
      </m:oMath>
      <w:r>
        <w:t xml:space="preserve"> </w:t>
      </w:r>
      <w:r>
        <w:t xml:space="preserve">attracts cooperation partners through a saturating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 This functional form (sometimes called Michaelis-Menten) has the property that partners are recruited steadily at low stock and then plateau</w:t>
      </w:r>
      <w:r>
        <w:t xml:space="preserve"> </w:t>
      </w:r>
      <m:oMath>
        <m:sSub>
          <m:e>
            <m:r>
              <m:t>k</m:t>
            </m:r>
          </m:e>
          <m:sub>
            <m:r>
              <m:t>0</m:t>
            </m:r>
          </m:sub>
        </m:sSub>
        <m:r>
          <m:rPr>
            <m:sty m:val="p"/>
          </m:rPr>
          <m:t>+</m:t>
        </m:r>
        <m:sSub>
          <m:e>
            <m:r>
              <m:t>k</m:t>
            </m:r>
          </m:e>
          <m:sub>
            <m:r>
              <m:rPr>
                <m:sty m:val="p"/>
              </m:rPr>
              <m:t>max</m:t>
            </m:r>
          </m:sub>
        </m:sSub>
      </m:oMath>
      <w:r>
        <w:t xml:space="preserve"> </w:t>
      </w:r>
      <w:r>
        <w:t xml:space="preserve">as the maximum capacity is reached. A larger network reduces vulnerability through</w:t>
      </w:r>
      <w:r>
        <w:t xml:space="preserve"> </w:t>
      </w:r>
      <m:oMath>
        <m:r>
          <m:t>α</m:t>
        </m:r>
        <m:r>
          <m:rPr>
            <m:sty m:val="p"/>
          </m:rPr>
          <m:t>(</m:t>
        </m:r>
        <m:r>
          <m:t>k</m:t>
        </m:r>
        <m:r>
          <m:rPr>
            <m:sty m:val="p"/>
          </m:rPr>
          <m:t>)</m:t>
        </m:r>
      </m:oMath>
      <w:r>
        <w:t xml:space="preserve">. Lower vulnerability raises the cooperation-network component of the total signaling incentive</w:t>
      </w:r>
      <w:r>
        <w:t xml:space="preserve"> </w:t>
      </w:r>
      <m:oMath>
        <m:r>
          <m:t>λ</m:t>
        </m:r>
      </m:oMath>
      <w:r>
        <w:t xml:space="preserve">. Higher</w:t>
      </w:r>
      <w:r>
        <w:t xml:space="preserve"> </w:t>
      </w:r>
      <m:oMath>
        <m:r>
          <m:t>λ</m:t>
        </m:r>
      </m:oMath>
      <w:r>
        <w:t xml:space="preserve"> </w:t>
      </w:r>
      <w:r>
        <w:t xml:space="preserve">raises the optimal level of signaling investment, building more monuments. The four steps form a closed loop in which</w:t>
      </w:r>
      <w:r>
        <w:t xml:space="preserve"> </w:t>
      </w:r>
      <m:oMath>
        <m:r>
          <m:t>λ</m:t>
        </m:r>
      </m:oMath>
      <w:r>
        <w:t xml:space="preserve"> </w:t>
      </w:r>
      <w:r>
        <w:t xml:space="preserve">depends on</w:t>
      </w:r>
      <w:r>
        <w:t xml:space="preserve"> </w:t>
      </w:r>
      <m:oMath>
        <m:sSub>
          <m:e>
            <m:r>
              <m:t>M</m:t>
            </m:r>
          </m:e>
          <m:sub>
            <m:r>
              <m:t>g</m:t>
            </m:r>
          </m:sub>
        </m:sSub>
      </m:oMath>
      <w:r>
        <w:t xml:space="preserve"> </w:t>
      </w:r>
      <w:r>
        <w:t xml:space="preserve">and</w:t>
      </w:r>
      <w:r>
        <w:t xml:space="preserve"> </w:t>
      </w:r>
      <m:oMath>
        <m:sSub>
          <m:e>
            <m:r>
              <m:t>M</m:t>
            </m:r>
          </m:e>
          <m:sub>
            <m:r>
              <m:t>g</m:t>
            </m:r>
          </m:sub>
        </m:sSub>
      </m:oMath>
      <w:r>
        <w:t xml:space="preserve"> </w:t>
      </w:r>
      <w:r>
        <w:t xml:space="preserve">depends on</w:t>
      </w:r>
      <w:r>
        <w:t xml:space="preserve"> </w:t>
      </w:r>
      <m:oMath>
        <m:r>
          <m:t>λ</m:t>
        </m:r>
      </m:oMath>
      <w:r>
        <w:t xml:space="preserve">. We solve this loop computationally by what mathematicians call</w:t>
      </w:r>
      <w:r>
        <w:t xml:space="preserve"> </w:t>
      </w:r>
      <w:r>
        <w:rPr>
          <w:i/>
          <w:iCs/>
        </w:rPr>
        <w:t xml:space="preserve">fixed-point iteration</w:t>
      </w:r>
      <w:r>
        <w:t xml:space="preserve">: pick a starting value for</w:t>
      </w:r>
      <w:r>
        <w:t xml:space="preserve"> </w:t>
      </w:r>
      <m:oMath>
        <m:r>
          <m:t>λ</m:t>
        </m:r>
      </m:oMath>
      <w:r>
        <w:t xml:space="preserve">, compute the monument stock that value implies, recompute</w:t>
      </w:r>
      <w:r>
        <w:t xml:space="preserve"> </w:t>
      </w:r>
      <m:oMath>
        <m:r>
          <m:t>λ</m:t>
        </m:r>
      </m:oMath>
      <w:r>
        <w:t xml:space="preserve"> </w:t>
      </w:r>
      <w:r>
        <w:t xml:space="preserve">from that stock, and repeat until the value stops changing. The</w:t>
      </w:r>
      <w:r>
        <w:t xml:space="preserve"> </w:t>
      </w:r>
      <w:r>
        <w:t xml:space="preserve">“fixed point”</w:t>
      </w:r>
      <w:r>
        <w:t xml:space="preserve"> </w:t>
      </w:r>
      <w:r>
        <w:t xml:space="preserve">is the value of</w:t>
      </w:r>
      <w:r>
        <w:t xml:space="preserve"> </w:t>
      </w:r>
      <m:oMath>
        <m:r>
          <m:t>λ</m:t>
        </m:r>
      </m:oMath>
      <w:r>
        <w:t xml:space="preserve"> </w:t>
      </w:r>
      <w: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t xml:space="preserve"> </w:t>
      </w:r>
      <m:oMath>
        <m:sSup>
          <m:e>
            <m:r>
              <m:t>10</m:t>
            </m:r>
          </m:e>
          <m:sup>
            <m:r>
              <m:rPr>
                <m:sty m:val="p"/>
              </m:rPr>
              <m:t>−</m:t>
            </m:r>
            <m:r>
              <m:t>6</m:t>
            </m:r>
          </m:sup>
        </m:sSup>
      </m:oMath>
      <w:r>
        <w:t xml:space="preserve">. Across a 30-point sweep of</w:t>
      </w:r>
      <w:r>
        <w:t xml:space="preserve"> </w:t>
      </w:r>
      <m:oMath>
        <m:r>
          <m:t>σ</m:t>
        </m:r>
      </m:oMath>
      <w:r>
        <w:t xml:space="preserve"> </w:t>
      </w:r>
      <w:r>
        <w:t xml:space="preserve">from 0.10 to 0.95, the iteration converges in 18 steps every time, and runs starting from very different initial values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all reach the same monument stock to within 1 part in</w:t>
      </w:r>
      <w:r>
        <w:t xml:space="preserve"> </w:t>
      </w:r>
      <m:oMath>
        <m:sSup>
          <m:e>
            <m:r>
              <m:t>10</m:t>
            </m:r>
          </m:e>
          <m:sup>
            <m:r>
              <m:t>4</m:t>
            </m:r>
          </m:sup>
        </m:sSup>
      </m:oMath>
      <w:r>
        <w:t xml:space="preserve">. The equilibrium is therefore unique at the parameter values we use; the answer the model returns does not depend on the analyst’s starting guess.</w:t>
      </w:r>
    </w:p>
    <w:p>
      <w:pPr>
        <w:pStyle w:val="BodyText"/>
      </w:pPr>
      <w:r>
        <w:drawing>
          <wp:inline>
            <wp:extent cx="5943600" cy="2394556"/>
            <wp:effectExtent b="0" l="0" r="0" t="0"/>
            <wp:docPr descr="" title="" id="27" name="Picture"/>
            <a:graphic>
              <a:graphicData uri="http://schemas.openxmlformats.org/drawingml/2006/picture">
                <pic:pic>
                  <pic:nvPicPr>
                    <pic:cNvPr descr="../../figures/manuscript/figure_05_fitness_crossover.png" id="28" name="Picture"/>
                    <pic:cNvPicPr>
                      <a:picLocks noChangeArrowheads="1" noChangeAspect="1"/>
                    </pic:cNvPicPr>
                  </pic:nvPicPr>
                  <pic:blipFill>
                    <a:blip r:embed="rId26"/>
                    <a:stretch>
                      <a:fillRect/>
                    </a:stretch>
                  </pic:blipFill>
                  <pic:spPr bwMode="auto">
                    <a:xfrm>
                      <a:off x="0" y="0"/>
                      <a:ext cx="5943600" cy="2394556"/>
                    </a:xfrm>
                    <a:prstGeom prst="rect">
                      <a:avLst/>
                    </a:prstGeom>
                    <a:noFill/>
                    <a:ln w="9525">
                      <a:noFill/>
                      <a:headEnd/>
                      <a:tailEnd/>
                    </a:ln>
                  </pic:spPr>
                </pic:pic>
              </a:graphicData>
            </a:graphic>
          </wp:inline>
        </w:drawing>
      </w:r>
    </w:p>
    <w:p>
      <w:pPr>
        <w:pStyle w:val="BodyText"/>
      </w:pPr>
      <w:r>
        <w:rPr>
          <w:b/>
          <w:bCs/>
          <w:i/>
          <w:iCs/>
        </w:rPr>
        <w:t xml:space="preserve">Figure 5. Fitness crossover and the critical threshold.</w:t>
      </w:r>
      <w:r>
        <w:t xml:space="preserve"> </w:t>
      </w:r>
      <w:r>
        <w:rPr>
          <w:i/>
          <w:iCs/>
        </w:rPr>
        <w:t xml:space="preserve">Expected fitness for aggregator (orange) and independent (purple) strategies as a function of environmental uncertainty</w:t>
      </w:r>
      <w:r>
        <w:t xml:space="preserve"> </w:t>
      </w:r>
      <m:oMath>
        <m:r>
          <m:t>σ</m:t>
        </m:r>
      </m:oMath>
      <w:r>
        <w:rPr>
          <w:i/>
          <w:iCs/>
        </w:rPr>
        <w:t xml:space="preserve">. The strategies cross at</w:t>
      </w:r>
      <w:r>
        <w:t xml:space="preserve"> </w:t>
      </w:r>
      <m:oMath>
        <m:sSup>
          <m:e>
            <m:r>
              <m:t>σ</m:t>
            </m:r>
          </m:e>
          <m:sup>
            <m:r>
              <m:rPr>
                <m:sty m:val="p"/>
              </m:rPr>
              <m:t>*</m:t>
            </m:r>
          </m:sup>
        </m:sSup>
        <m:r>
          <m:rPr>
            <m:sty m:val="p"/>
          </m:rPr>
          <m:t>≈</m:t>
        </m:r>
        <m:r>
          <m:t>0.40</m:t>
        </m:r>
      </m:oMath>
      <w:r>
        <w:t xml:space="preserve"> </w:t>
      </w:r>
      <w:r>
        <w:rPr>
          <w:i/>
          <w:iCs/>
        </w:rPr>
        <w:t xml:space="preserve">given a given moderate ecotone advantage (</w:t>
      </w:r>
      <m:oMath>
        <m:r>
          <m:t>ε</m:t>
        </m:r>
        <m:r>
          <m:rPr>
            <m:sty m:val="p"/>
          </m:rPr>
          <m:t>=</m:t>
        </m:r>
        <m:r>
          <m:t>0.35</m:t>
        </m:r>
      </m:oMath>
      <w:r>
        <w:rPr>
          <w:i/>
          <w:iCs/>
        </w:rPr>
        <w:t xml:space="preserve">). Below</w:t>
      </w:r>
      <w:r>
        <w:t xml:space="preserve"> </w:t>
      </w:r>
      <m:oMath>
        <m:sSup>
          <m:e>
            <m:r>
              <m:t>σ</m:t>
            </m:r>
          </m:e>
          <m:sup>
            <m:r>
              <m:rPr>
                <m:sty m:val="p"/>
              </m:rPr>
              <m:t>*</m:t>
            </m:r>
          </m:sup>
        </m:sSup>
      </m:oMath>
      <w:r>
        <w:rPr>
          <w:i/>
          <w:iCs/>
        </w:rPr>
        <w:t xml:space="preserve">, the independent strategy yields a higher expected fitness. Above</w:t>
      </w:r>
      <w:r>
        <w:t xml:space="preserve"> </w:t>
      </w:r>
      <m:oMath>
        <m:sSup>
          <m:e>
            <m:r>
              <m:t>σ</m:t>
            </m:r>
          </m:e>
          <m:sup>
            <m:r>
              <m:rPr>
                <m:sty m:val="p"/>
              </m:rPr>
              <m:t>*</m:t>
            </m:r>
          </m:sup>
        </m:sSup>
      </m:oMath>
      <w:r>
        <w:rPr>
          <w:i/>
          <w:iCs/>
        </w:rPr>
        <w:t xml:space="preserve">, the aggregator strategy does. The 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is monotonically decreasing in</w:t>
      </w:r>
      <w:r>
        <w:t xml:space="preserve"> </w:t>
      </w:r>
      <m:oMath>
        <m:r>
          <m:t>σ</m:t>
        </m:r>
      </m:oMath>
      <w:r>
        <w:rPr>
          <w:i/>
          <w:iCs/>
        </w:rPr>
        <w:t xml:space="preserve">, so the threshold is unique.</w:t>
      </w:r>
    </w:p>
    <w:bookmarkEnd w:id="29"/>
    <w:bookmarkEnd w:id="30"/>
    <w:bookmarkStart w:id="34" w:name="the-agent-based-model"/>
    <w:p>
      <w:pPr>
        <w:pStyle w:val="Heading2"/>
      </w:pPr>
      <w:r>
        <w:t xml:space="preserve">3. The agent-based model</w:t>
      </w:r>
    </w:p>
    <w:p>
      <w:pPr>
        <w:pStyle w:val="FirstParagraph"/>
      </w:pPr>
      <w: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t xml:space="preserve"> </w:t>
      </w:r>
      <w:r>
        <w:rPr>
          <w:i/>
          <w:iCs/>
        </w:rPr>
        <w:t xml:space="preserve">dynamic sufficiency</w:t>
      </w:r>
      <w:r>
        <w:t xml:space="preserve">: whether a model’s specified state variables and transition rules contain enough machinery to generate the behavior the theory attributes to it. Dynamic sufficiency is distinct from</w:t>
      </w:r>
      <w:r>
        <w:t xml:space="preserve"> </w:t>
      </w:r>
      <w:r>
        <w:rPr>
          <w:i/>
          <w:iCs/>
        </w:rPr>
        <w:t xml:space="preserve">empirical sufficiency</w:t>
      </w:r>
      <w: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t xml:space="preserve">The agent-based model addresses the dynamic-sufficiency question. It implements the framework’s individual-level mechanisms as agent-level rules and asks whether the aggregate-level patterns predicted by the theory (the sharp phase transition near</w:t>
      </w:r>
      <w:r>
        <w:t xml:space="preserve"> </w:t>
      </w:r>
      <m:oMath>
        <m:sSup>
          <m:e>
            <m:r>
              <m:t>σ</m:t>
            </m:r>
          </m:e>
          <m:sup>
            <m:r>
              <m:rPr>
                <m:sty m:val="p"/>
              </m:rPr>
              <m:t>*</m:t>
            </m:r>
          </m:sup>
        </m:sSup>
      </m:oMath>
      <w: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an</w:t>
      </w:r>
      <w:r>
        <w:t xml:space="preserve"> </w:t>
      </w:r>
      <w:r>
        <w:rPr>
          <w:b/>
          <w:bCs/>
        </w:rPr>
        <w:t xml:space="preserve">environment module</w:t>
      </w:r>
      <w:r>
        <w:t xml:space="preserve"> </w:t>
      </w:r>
      <w:r>
        <w:t xml:space="preserve">representing a heterogeneous four-zone landscape with seasonal cycles and stochastic shortfalls; an</w:t>
      </w:r>
      <w:r>
        <w:t xml:space="preserve"> </w:t>
      </w:r>
      <w:r>
        <w:rPr>
          <w:b/>
          <w:bCs/>
        </w:rPr>
        <w:t xml:space="preserve">agent module</w:t>
      </w:r>
      <w:r>
        <w:t xml:space="preserve"> </w:t>
      </w:r>
      <w:r>
        <w:t xml:space="preserve">implementing band-level state (i.e., location, resources, monument investment, exotic holdings, obligation network), annual strategy choice (best-response between aggregator and independent), action execution, and reproduction (i.e., births and deaths weighted by fitness, fission at band size &gt; 30); and a</w:t>
      </w:r>
      <w:r>
        <w:t xml:space="preserve"> </w:t>
      </w:r>
      <w:r>
        <w:rPr>
          <w:b/>
          <w:bCs/>
        </w:rPr>
        <w:t xml:space="preserve">simulation controller</w:t>
      </w:r>
      <w:r>
        <w:t xml:space="preserve"> </w:t>
      </w:r>
      <w:r>
        <w:t xml:space="preserve">orchestrating the annual aggregation-dispersal cycle.</w:t>
      </w:r>
    </w:p>
    <w:p>
      <w:pPr>
        <w:pStyle w:val="BodyText"/>
      </w:pPr>
      <w: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they choose probabilistically using a softmax rule in which the probability of selecting strategy</w:t>
      </w:r>
      <w:r>
        <w:t xml:space="preserve"> </w:t>
      </w:r>
      <m:oMath>
        <m:r>
          <m:t>i</m:t>
        </m:r>
      </m:oMath>
      <w:r>
        <w:t xml:space="preserve"> </w:t>
      </w:r>
      <w:r>
        <w:t xml:space="preserve">is proportional to</w:t>
      </w:r>
      <w:r>
        <w:t xml:space="preserve"> </w:t>
      </w:r>
      <m:oMath>
        <m:r>
          <m:rPr>
            <m:sty m:val="p"/>
          </m:rPr>
          <m:t>exp</m:t>
        </m:r>
        <m:r>
          <m:rPr>
            <m:sty m:val="p"/>
          </m:rPr>
          <m:t>(</m:t>
        </m:r>
        <m:sSub>
          <m:e>
            <m:r>
              <m:t>W</m:t>
            </m:r>
          </m:e>
          <m:sub>
            <m:r>
              <m:t>i</m:t>
            </m:r>
          </m:sub>
        </m:sSub>
        <m:r>
          <m:rPr>
            <m:sty m:val="p"/>
          </m:rPr>
          <m:t>/</m:t>
        </m:r>
        <m:r>
          <m:t>τ</m:t>
        </m:r>
        <m:r>
          <m:rPr>
            <m:sty m:val="p"/>
          </m:rPr>
          <m:t>)</m:t>
        </m:r>
      </m:oMath>
      <w:r>
        <w:t xml:space="preserve">, where</w:t>
      </w:r>
      <w:r>
        <w:t xml:space="preserve"> </w:t>
      </w:r>
      <m:oMath>
        <m:sSub>
          <m:e>
            <m:r>
              <m:t>W</m:t>
            </m:r>
          </m:e>
          <m:sub>
            <m:r>
              <m:t>i</m:t>
            </m:r>
          </m:sub>
        </m:sSub>
      </m:oMath>
      <w:r>
        <w:t xml:space="preserve"> </w:t>
      </w:r>
      <w:r>
        <w:t xml:space="preserve">is its expected fitness and</w:t>
      </w:r>
      <w:r>
        <w:t xml:space="preserve"> </w:t>
      </w:r>
      <m:oMath>
        <m:r>
          <m:t>τ</m:t>
        </m:r>
      </m:oMath>
      <w:r>
        <w:t xml:space="preserve"> </w:t>
      </w:r>
      <w:r>
        <w:t xml:space="preserve">controls how sharply the rule discriminates between options (low</w:t>
      </w:r>
      <w:r>
        <w:t xml:space="preserve"> </w:t>
      </w:r>
      <m:oMath>
        <m:r>
          <m:t>τ</m:t>
        </m:r>
      </m:oMath>
      <w:r>
        <w:t xml:space="preserve"> </w:t>
      </w:r>
      <w:r>
        <w:t xml:space="preserve">produces near-deterministic choice; high</w:t>
      </w:r>
      <w:r>
        <w:t xml:space="preserve"> </w:t>
      </w:r>
      <m:oMath>
        <m:r>
          <m:t>τ</m:t>
        </m:r>
      </m:oMath>
      <w:r>
        <w:t xml:space="preserve"> </w:t>
      </w:r>
      <w:r>
        <w:t xml:space="preserve">produces nearly random choice). We use a low value (</w:t>
      </w:r>
      <m:oMath>
        <m:r>
          <m:t>τ</m:t>
        </m:r>
        <m:r>
          <m:rPr>
            <m:sty m:val="p"/>
          </m:rPr>
          <m:t>=</m:t>
        </m:r>
        <m:r>
          <m:t>0.1</m:t>
        </m:r>
      </m:oMath>
      <w:r>
        <w:t xml:space="preserv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are what create the multi-zone buffering effect captured by the ecotone advantage parameter</w:t>
      </w:r>
      <w:r>
        <w:t xml:space="preserve"> </w:t>
      </w:r>
      <m:oMath>
        <m:r>
          <m:t>ε</m:t>
        </m:r>
      </m:oMath>
      <w:r>
        <w:t xml:space="preserve">.</w:t>
      </w:r>
    </w:p>
    <w:p>
      <w:pPr>
        <w:pStyle w:val="BodyText"/>
      </w:pPr>
      <w:r>
        <w:t xml:space="preserve">Stochastic shortfalls (e.g., drought years, exceptional floods, mast-crop failures) are characterized by two parameters: how often they occur (</w:t>
      </w:r>
      <w:r>
        <w:rPr>
          <w:i/>
          <w:iCs/>
        </w:rPr>
        <w:t xml:space="preserve">recurrence frequency</w:t>
      </w:r>
      <w:r>
        <w:t xml:space="preserve">) and how badly they reduce productivity when they occur (</w:t>
      </w:r>
      <w:r>
        <w:rPr>
          <w:i/>
          <w:iCs/>
        </w:rPr>
        <w:t xml:space="preserve">magnitude</w:t>
      </w:r>
      <w:r>
        <w:t xml:space="preserve">). The model collapses these two into a single composite uncertainty index,</w:t>
      </w:r>
      <w:r>
        <w:t xml:space="preserve"> </w:t>
      </w:r>
      <m:oMath>
        <m:r>
          <m:t>σ</m:t>
        </m:r>
        <m:r>
          <m:rPr>
            <m:sty m:val="p"/>
          </m:rPr>
          <m:t>=</m:t>
        </m:r>
        <m:r>
          <m:t>m</m:t>
        </m:r>
        <m:r>
          <m:rPr>
            <m:sty m:val="p"/>
          </m:rPr>
          <m:t>⋅</m:t>
        </m:r>
        <m:rad>
          <m:radPr>
            <m:degHide m:val="on"/>
          </m:radPr>
          <m:deg/>
          <m:e>
            <m:r>
              <m:t>20</m:t>
            </m:r>
            <m:r>
              <m:rPr>
                <m:sty m:val="p"/>
              </m:rPr>
              <m:t>/</m:t>
            </m:r>
            <m:r>
              <m:t>T</m:t>
            </m:r>
          </m:e>
        </m:rad>
      </m:oMath>
      <w:r>
        <w:t xml:space="preserve">, where</w:t>
      </w:r>
      <w:r>
        <w:t xml:space="preserve"> </w:t>
      </w:r>
      <m:oMath>
        <m:r>
          <m:t>m</m:t>
        </m:r>
      </m:oMath>
      <w:r>
        <w:t xml:space="preserve"> </w:t>
      </w:r>
      <w:r>
        <w:t xml:space="preserve">is the average proportional productivity loss in a shortfall year (so</w:t>
      </w:r>
      <w:r>
        <w:t xml:space="preserve"> </w:t>
      </w:r>
      <m:oMath>
        <m:r>
          <m:t>m</m:t>
        </m:r>
        <m:r>
          <m:rPr>
            <m:sty m:val="p"/>
          </m:rPr>
          <m:t>=</m:t>
        </m:r>
        <m:r>
          <m:t>0.45</m:t>
        </m:r>
      </m:oMath>
      <w:r>
        <w:t xml:space="preserve"> </w:t>
      </w:r>
      <w:r>
        <w:t xml:space="preserve">means a shortfall year delivers 55% of normal productivity) and</w:t>
      </w:r>
      <w:r>
        <w:t xml:space="preserve"> </w:t>
      </w:r>
      <m:oMath>
        <m:r>
          <m:t>T</m:t>
        </m:r>
      </m:oMath>
      <w:r>
        <w:t xml:space="preserve"> </w:t>
      </w:r>
      <w:r>
        <w:t xml:space="preserve">is the mean spacing between shortfalls in years. The derivation (Supplemental §S1.4) treats shortfalls as random events that arrive at an average rate of one per</w:t>
      </w:r>
      <w:r>
        <w:t xml:space="preserve"> </w:t>
      </w:r>
      <m:oMath>
        <m:r>
          <m:t>T</m:t>
        </m:r>
      </m:oMath>
      <w:r>
        <w:t xml:space="preserve"> </w:t>
      </w:r>
      <w:r>
        <w:t xml:space="preserve">year, each reducing that year’s productivity by</w:t>
      </w:r>
      <w:r>
        <w:t xml:space="preserve"> </w:t>
      </w:r>
      <m:oMath>
        <m:r>
          <m:t>m</m:t>
        </m:r>
      </m:oMath>
      <w:r>
        <w:t xml:space="preserve">. Standard probability theory then gives the standard deviation of annual productivity loss across many years as</w:t>
      </w:r>
      <w:r>
        <w:t xml:space="preserve"> </w:t>
      </w:r>
      <m:oMath>
        <m:r>
          <m:t>m</m:t>
        </m:r>
        <m:r>
          <m:rPr>
            <m:sty m:val="p"/>
          </m:rPr>
          <m:t>/</m:t>
        </m:r>
        <m:rad>
          <m:radPr>
            <m:degHide m:val="on"/>
          </m:radPr>
          <m:deg/>
          <m:e>
            <m:r>
              <m:t>T</m:t>
            </m:r>
          </m:e>
        </m:rad>
      </m:oMath>
      <w:r>
        <w:t xml:space="preserve">. We multiply by</w:t>
      </w:r>
      <w:r>
        <w:t xml:space="preserve"> </w:t>
      </w:r>
      <m:oMath>
        <m:rad>
          <m:radPr>
            <m:degHide m:val="on"/>
          </m:radPr>
          <m:deg/>
          <m:e>
            <m:r>
              <m:t>20</m:t>
            </m:r>
          </m:e>
        </m:rad>
      </m:oMath>
      <w:r>
        <w:t xml:space="preserve"> </w:t>
      </w:r>
      <w:r>
        <w:t xml:space="preserve">to express this in 20-year-reference units, so that a shortfall regime with</w:t>
      </w:r>
      <w:r>
        <w:t xml:space="preserve"> </w:t>
      </w:r>
      <m:oMath>
        <m:r>
          <m:t>T</m:t>
        </m:r>
        <m:r>
          <m:rPr>
            <m:sty m:val="p"/>
          </m:rPr>
          <m:t>=</m:t>
        </m:r>
        <m:r>
          <m:t>20</m:t>
        </m:r>
      </m:oMath>
      <w:r>
        <w:t xml:space="preserve"> </w:t>
      </w:r>
      <w:r>
        <w:t xml:space="preserve">produces</w:t>
      </w:r>
      <w:r>
        <w:t xml:space="preserve"> </w:t>
      </w:r>
      <m:oMath>
        <m:r>
          <m:t>σ</m:t>
        </m:r>
        <m:r>
          <m:rPr>
            <m:sty m:val="p"/>
          </m:rPr>
          <m:t>=</m:t>
        </m:r>
        <m:r>
          <m:t>m</m:t>
        </m:r>
      </m:oMath>
      <w:r>
        <w:t xml:space="preserve">. The intuitive consequence is that frequency and magnitude trade off. A regime with severity-0.5 shortfalls every twenty years yields the same</w:t>
      </w:r>
      <w:r>
        <w:t xml:space="preserve"> </w:t>
      </w:r>
      <m:oMath>
        <m:r>
          <m:t>σ</m:t>
        </m:r>
      </m:oMath>
      <w:r>
        <w:t xml:space="preserve"> </w:t>
      </w:r>
      <w:r>
        <w:t xml:space="preserve">as a regime with severity-0.25 shortfalls every five years, because both expose a band to the same cumulative variance over a generation-scale horizon.</w:t>
      </w:r>
    </w:p>
    <w:p>
      <w:pPr>
        <w:pStyle w:val="BodyText"/>
      </w:pPr>
      <w:r>
        <w:t xml:space="preserve">A note on interpretation is in order, because the symbol</w:t>
      </w:r>
      <w:r>
        <w:t xml:space="preserve"> </w:t>
      </w:r>
      <m:oMath>
        <m:r>
          <m:t>σ</m:t>
        </m:r>
      </m:oMath>
      <w:r>
        <w:t xml:space="preserve"> </w:t>
      </w:r>
      <w:r>
        <w:t xml:space="preserve">is conventionally read as a statistical standard deviation. In the fitness functions of §2.4,</w:t>
      </w:r>
      <w:r>
        <w:t xml:space="preserve"> </w:t>
      </w:r>
      <m:oMath>
        <m:r>
          <m:t>σ</m:t>
        </m:r>
      </m:oMath>
      <w:r>
        <w:t xml:space="preserve"> </w:t>
      </w:r>
      <w: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t xml:space="preserve"> </w:t>
      </w:r>
      <w:r>
        <w:t xml:space="preserve">“effective shortfall severity index over a 20-year horizon,”</w:t>
      </w:r>
      <w:r>
        <w:t xml:space="preserve"> </w:t>
      </w:r>
      <w:r>
        <w:t xml:space="preserve">not</w:t>
      </w:r>
      <w:r>
        <w:t xml:space="preserve"> </w:t>
      </w:r>
      <w:r>
        <w:t xml:space="preserve">“year-to-year variability in harvest yields.”</w:t>
      </w:r>
      <w:r>
        <w:t xml:space="preserve"> </w:t>
      </w:r>
      <w:r>
        <w:t xml:space="preserve">A higher</w:t>
      </w:r>
      <w:r>
        <w:t xml:space="preserve"> </w:t>
      </w:r>
      <m:oMath>
        <m:r>
          <m:t>σ</m:t>
        </m:r>
      </m:oMath>
      <w:r>
        <w:t xml:space="preserve"> </w:t>
      </w:r>
      <w: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t xml:space="preserve"> </w:t>
      </w:r>
      <m:oMath>
        <m:r>
          <m:t>σ</m:t>
        </m:r>
      </m:oMath>
      <w:r>
        <w:t xml:space="preserve"> </w:t>
      </w:r>
      <w:r>
        <w:t xml:space="preserve">values while a longer one (say, 50 years) would yield larger values, because more shortfalls accumulate over a longer span. Critically, this rescaling does not affect the comparisons that drive the analysis. The empirical estimate</w:t>
      </w:r>
      <w:r>
        <w:t xml:space="preserve"> </w:t>
      </w:r>
      <m:oMath>
        <m:sSub>
          <m:e>
            <m:r>
              <m:t>σ</m:t>
            </m:r>
          </m:e>
          <m:sub>
            <m:r>
              <m:t>L</m:t>
            </m:r>
            <m:r>
              <m:t>M</m:t>
            </m:r>
            <m:r>
              <m:t>V</m:t>
            </m:r>
          </m:sub>
        </m:sSub>
      </m:oMath>
      <w:r>
        <w:t xml:space="preserve"> </w:t>
      </w:r>
      <w:r>
        <w:t xml:space="preserve">(i.e., the severity inferred from late-Holocene Lower Mississippi Valley paleoclimate proxies; §5.5) and the model-derived critical threshold</w:t>
      </w:r>
      <w:r>
        <w:t xml:space="preserve"> </w:t>
      </w:r>
      <m:oMath>
        <m:sSup>
          <m:e>
            <m:r>
              <m:t>σ</m:t>
            </m:r>
          </m:e>
          <m:sup>
            <m:r>
              <m:rPr>
                <m:sty m:val="p"/>
              </m:rPr>
              <m:t>*</m:t>
            </m:r>
          </m:sup>
        </m:sSup>
      </m:oMath>
      <w:r>
        <w:t xml:space="preserve"> </w:t>
      </w:r>
      <w:r>
        <w:t xml:space="preserve">are computed on the same scale, so their ratio is invariant under any consistent change of reference window. We confirm this in §S1.4: across</w:t>
      </w:r>
      <w: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t xml:space="preserve"> </w:t>
      </w:r>
      <w:r>
        <w:t xml:space="preserve">years, the ratio</w:t>
      </w:r>
      <w:r>
        <w:t xml:space="preserve"> </w:t>
      </w:r>
      <m:oMath>
        <m:sSub>
          <m:e>
            <m:r>
              <m:t>σ</m:t>
            </m:r>
          </m:e>
          <m:sub>
            <m:r>
              <m:t>L</m:t>
            </m:r>
            <m:r>
              <m:t>M</m:t>
            </m:r>
            <m:r>
              <m:t>V</m:t>
            </m:r>
          </m:sub>
        </m:sSub>
        <m:r>
          <m:rPr>
            <m:sty m:val="p"/>
          </m:rPr>
          <m:t>/</m:t>
        </m:r>
        <m:sSup>
          <m:e>
            <m:r>
              <m:t>σ</m:t>
            </m:r>
          </m:e>
          <m:sup>
            <m:r>
              <m:rPr>
                <m:sty m:val="p"/>
              </m:rPr>
              <m:t>*</m:t>
            </m:r>
          </m:sup>
        </m:sSup>
        <m:r>
          <m:rPr>
            <m:sty m:val="p"/>
          </m:rPr>
          <m:t>=</m:t>
        </m:r>
        <m:r>
          <m:t>1.591</m:t>
        </m:r>
      </m:oMath>
      <w:r>
        <w:t xml:space="preserve"> </w:t>
      </w:r>
      <w:r>
        <w:t xml:space="preserve">is preserved exactly. This invariance is what makes threshold-proximity comparisons meaningful, and we rely on it when reporting results below.</w:t>
      </w:r>
    </w:p>
    <w:p>
      <w:pPr>
        <w:pStyle w:val="BodyText"/>
      </w:pPr>
      <w:r>
        <w:t xml:space="preserve">The aggregator fitness function combines vulnerability and shortfall severity multiplicatively, as</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where</w:t>
      </w:r>
      <w:r>
        <w:t xml:space="preserve"> </w:t>
      </w:r>
      <m:oMath>
        <m:r>
          <m:t>α</m:t>
        </m:r>
        <m:r>
          <m:rPr>
            <m:sty m:val="p"/>
          </m:rPr>
          <m:t>(</m:t>
        </m:r>
        <m:sSub>
          <m:e>
            <m:r>
              <m:t>k</m:t>
            </m:r>
          </m:e>
          <m:sub>
            <m:r>
              <m:t>e</m:t>
            </m:r>
            <m:r>
              <m:t>f</m:t>
            </m:r>
            <m:r>
              <m:t>f</m:t>
            </m:r>
          </m:sub>
        </m:sSub>
        <m:r>
          <m:rPr>
            <m:sty m:val="p"/>
          </m:rPr>
          <m:t>)</m:t>
        </m:r>
      </m:oMath>
      <w:r>
        <w:t xml:space="preserve"> </w:t>
      </w:r>
      <w:r>
        <w:t xml:space="preserve">is the vulnerability coefficient (i.e., the fraction of unbuffered shortfall loss the band actually experiences given its network) and</w:t>
      </w:r>
      <w:r>
        <w:t xml:space="preserve"> </w:t>
      </w:r>
      <m:oMath>
        <m:sSub>
          <m:e>
            <m:r>
              <m:t>σ</m:t>
            </m:r>
          </m:e>
          <m:sub>
            <m:r>
              <m:t>e</m:t>
            </m:r>
            <m:r>
              <m:t>f</m:t>
            </m:r>
            <m:r>
              <m:t>f</m:t>
            </m:r>
          </m:sub>
        </m:sSub>
      </m:oMath>
      <w:r>
        <w:t xml:space="preserve"> </w:t>
      </w:r>
      <w:r>
        <w:t xml:space="preserve">is the effective shortfall severity. The plain-language reading of the function is</w:t>
      </w:r>
      <w:r>
        <w:t xml:space="preserve"> </w:t>
      </w:r>
      <w:r>
        <w:t xml:space="preserve">“fraction of productivity lost = vulnerability × severity.”</w:t>
      </w:r>
      <w:r>
        <w:t xml:space="preserve"> </w:t>
      </w:r>
      <w:r>
        <w:t xml:space="preserve">This product is the principled choice given the meanings of the two factors:</w:t>
      </w:r>
      <w:r>
        <w:t xml:space="preserve"> </w:t>
      </w:r>
      <m:oMath>
        <m:r>
          <m:t>α</m:t>
        </m:r>
      </m:oMath>
      <w:r>
        <w:t xml:space="preserve"> </w:t>
      </w:r>
      <w:r>
        <w:t xml:space="preserve">does not denote a fractional loss in its own right. Instead, it modulates how a</w:t>
      </w:r>
      <w:r>
        <w:t xml:space="preserve"> </w:t>
      </w:r>
      <m:oMath>
        <m:r>
          <m:t>σ</m:t>
        </m:r>
      </m:oMath>
      <w:r>
        <w:t xml:space="preserve">-induced loss is perceived, and the multiplicative coupling ensures that modulation operates on the right scale. We considered two alternative couplings discussed in the broader risk-pooling literature,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and document them in §S3.6. Direct substitution of either alternative produces degenerate or quantitatively incomparable results because</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not on commensurate scales (a vulnerability coefficient is not a hazard rate), so a fair coupling-form comparison would require reformulating</w:t>
      </w:r>
      <w:r>
        <w:t xml:space="preserve"> </w:t>
      </w:r>
      <m:oMath>
        <m:r>
          <m:t>α</m:t>
        </m:r>
      </m:oMath>
      <w:r>
        <w:t xml:space="preserve"> </w:t>
      </w:r>
      <w:r>
        <w:t xml:space="preserve">as a probability-like quantity. We retain the multiplicative form throughout the analyses below, and report the §S3.6 reformulation as evidence that the phase-transition structure (a sharp transition at some</w:t>
      </w:r>
      <w:r>
        <w:t xml:space="preserve"> </w:t>
      </w:r>
      <m:oMath>
        <m:sSup>
          <m:e>
            <m:r>
              <m:t>σ</m:t>
            </m:r>
          </m:e>
          <m:sup>
            <m:r>
              <m:rPr>
                <m:sty m:val="p"/>
              </m:rPr>
              <m:t>*</m:t>
            </m:r>
          </m:sup>
        </m:sSup>
      </m:oMath>
      <w:r>
        <w:t xml:space="preserve">) is a generic property of the framework rather than the result of this specific functional form.</w:t>
      </w:r>
    </w:p>
    <w:p>
      <w:pPr>
        <w:pStyle w:val="BodyText"/>
      </w:pPr>
      <w:r>
        <w:rPr>
          <w:b/>
          <w:bCs/>
        </w:rPr>
        <w:t xml:space="preserve">Run configurations.</w:t>
      </w:r>
      <w:r>
        <w:t xml:space="preserve"> </w:t>
      </w:r>
      <w:r>
        <w:t xml:space="preserve">The model is run in three configurations in this study, each addressing a different question and each labeled at the point of use.</w:t>
      </w:r>
    </w:p>
    <w:p>
      <w:pPr>
        <w:numPr>
          <w:ilvl w:val="0"/>
          <w:numId w:val="1001"/>
        </w:numPr>
      </w:pPr>
      <w:r>
        <w:rPr>
          <w:i/>
          <w:iCs/>
        </w:rPr>
        <w:t xml:space="preserve">Phase-transition sweep</w:t>
      </w:r>
      <w:r>
        <w:t xml:space="preserve"> </w:t>
      </w:r>
      <w: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i/>
          <w:iCs/>
        </w:rPr>
        <w:t xml:space="preserve">Ablation experiment</w:t>
      </w:r>
      <w:r>
        <w:t xml:space="preserve"> </w:t>
      </w:r>
      <w: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i/>
          <w:iCs/>
        </w:rPr>
        <w:t xml:space="preserve">One-at-a-time (OAT) sensitivity</w:t>
      </w:r>
      <w:r>
        <w:t xml:space="preserve"> </w:t>
      </w:r>
      <w:r>
        <w:t xml:space="preserve">(§S3.1): tests how strongly each model parameter influences the critical threshold. Each parameter is shifted by</w:t>
      </w:r>
      <w:r>
        <w:t xml:space="preserve"> </w:t>
      </w:r>
      <m:oMath>
        <m:r>
          <m:rPr>
            <m:sty m:val="p"/>
          </m:rPr>
          <m:t>±</m:t>
        </m:r>
        <m:r>
          <m:t>50</m:t>
        </m:r>
        <m:r>
          <m:rPr>
            <m:sty m:val="p"/>
          </m:rPr>
          <m:t>%</m:t>
        </m:r>
      </m:oMath>
      <w:r>
        <w:t xml:space="preserve"> </w:t>
      </w:r>
      <w:r>
        <w:t xml:space="preserve">from its default value, and the threshold</w:t>
      </w:r>
      <w:r>
        <w:t xml:space="preserve"> </w:t>
      </w:r>
      <m:oMath>
        <m:sSup>
          <m:e>
            <m:r>
              <m:t>σ</m:t>
            </m:r>
          </m:e>
          <m:sup>
            <m:r>
              <m:rPr>
                <m:sty m:val="p"/>
              </m:rPr>
              <m:t>*</m:t>
            </m:r>
          </m:sup>
        </m:sSup>
      </m:oMath>
      <w:r>
        <w:t xml:space="preserve"> </w:t>
      </w:r>
      <w:r>
        <w:t xml:space="preserve">is recomputed analytically as the value of</w:t>
      </w:r>
      <w:r>
        <w:t xml:space="preserve"> </w:t>
      </w:r>
      <m:oMath>
        <m:r>
          <m:t>σ</m:t>
        </m:r>
      </m:oMath>
      <w:r>
        <w:t xml:space="preserve"> </w:t>
      </w:r>
      <w: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b/>
          <w:bCs/>
        </w:rPr>
        <w:t xml:space="preserve">Restructured network-saturation function (§S5.2).</w:t>
      </w:r>
      <w:r>
        <w:t xml:space="preserve"> </w:t>
      </w:r>
      <w:r>
        <w:t xml:space="preserve">The default formulation of the cooperation-network channel,</w:t>
      </w:r>
      <w:r>
        <w:t xml:space="preserve"> </w:t>
      </w:r>
      <m:oMath>
        <m:sSub>
          <m:e>
            <m:r>
              <m:t>λ</m:t>
            </m:r>
          </m:e>
          <m:sub>
            <m:r>
              <m:t>X</m:t>
            </m:r>
          </m:sub>
        </m:sSub>
      </m:oMath>
      <w:r>
        <w:t xml:space="preserve">, captures only the</w:t>
      </w:r>
      <w:r>
        <w:t xml:space="preserve"> </w:t>
      </w:r>
      <w:r>
        <w:rPr>
          <w:i/>
          <w:iCs/>
        </w:rPr>
        <w:t xml:space="preserve">incremental</w:t>
      </w:r>
      <w:r>
        <w:t xml:space="preserve"> </w:t>
      </w:r>
      <w:r>
        <w:t xml:space="preserve">value of one additional partner. Once a band has already accumulated many partners through past investment, that incremental value falls toward zero, and so</w:t>
      </w:r>
      <w:r>
        <w:t xml:space="preserve"> </w:t>
      </w:r>
      <m:oMath>
        <m:sSub>
          <m:e>
            <m:r>
              <m:t>λ</m:t>
            </m:r>
          </m:e>
          <m:sub>
            <m:r>
              <m:t>X</m:t>
            </m:r>
          </m:sub>
        </m:sSub>
      </m:oMath>
      <w:r>
        <w:t xml:space="preserve"> </w:t>
      </w:r>
      <w:r>
        <w:t xml:space="preserve">effectively goes silent at equilibrium, even though the network itself is still doing real work buffering shortfalls. To recover that buffering value, we test a restructured form that adds an absolute</w:t>
      </w:r>
      <w:r>
        <w:t xml:space="preserve"> </w:t>
      </w:r>
      <w:r>
        <w:rPr>
          <w:i/>
          <w:iCs/>
        </w:rPr>
        <w:t xml:space="preserve">network-density</w:t>
      </w:r>
      <w:r>
        <w:t xml:space="preserve"> </w:t>
      </w:r>
      <w: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t xml:space="preserve"> </w:t>
      </w:r>
      <m:oMath>
        <m:sSub>
          <m:e>
            <m:r>
              <m:t>ξ</m:t>
            </m:r>
          </m:e>
          <m:sub>
            <m:r>
              <m:t>X</m:t>
            </m:r>
          </m:sub>
        </m:sSub>
      </m:oMath>
      <w:r>
        <w:t xml:space="preserve"> </w:t>
      </w:r>
      <w:r>
        <w:t xml:space="preserve">controls how much this density term contributes; at</w:t>
      </w:r>
      <w:r>
        <w:t xml:space="preserve"> </w:t>
      </w:r>
      <m:oMath>
        <m:sSub>
          <m:e>
            <m:r>
              <m:t>ξ</m:t>
            </m:r>
          </m:e>
          <m:sub>
            <m:r>
              <m:t>X</m:t>
            </m:r>
          </m:sub>
        </m:sSub>
        <m:r>
          <m:rPr>
            <m:sty m:val="p"/>
          </m:rPr>
          <m:t>=</m:t>
        </m:r>
        <m:r>
          <m:t>0</m:t>
        </m:r>
      </m:oMath>
      <w:r>
        <w:t xml:space="preserve"> </w:t>
      </w:r>
      <w:r>
        <w:t xml:space="preserve">the formulation reduces to the default, and at</w:t>
      </w:r>
      <w:r>
        <w:t xml:space="preserve"> </w:t>
      </w:r>
      <m:oMath>
        <m:sSub>
          <m:e>
            <m:r>
              <m:t>ξ</m:t>
            </m:r>
          </m:e>
          <m:sub>
            <m:r>
              <m:t>X</m:t>
            </m:r>
          </m:sub>
        </m:sSub>
        <m:r>
          <m:rPr>
            <m:sty m:val="p"/>
          </m:rPr>
          <m:t>=</m:t>
        </m:r>
        <m:r>
          <m:t>0.5</m:t>
        </m:r>
      </m:oMath>
      <w:r>
        <w:t xml:space="preserve"> </w:t>
      </w:r>
      <w:r>
        <w:t xml:space="preserve">the density term adds</w:t>
      </w:r>
      <w:r>
        <w:t xml:space="preserve"> </w:t>
      </w:r>
      <m:oMath>
        <m:r>
          <m:t>0.03</m:t>
        </m:r>
      </m:oMath>
      <w:r>
        <w:t xml:space="preserve"> </w:t>
      </w:r>
      <w:r>
        <w:t xml:space="preserve">to</w:t>
      </w:r>
      <w:r>
        <w:t xml:space="preserve"> </w:t>
      </w:r>
      <m:oMath>
        <m:r>
          <m:t>λ</m:t>
        </m:r>
      </m:oMath>
      <w:r>
        <w:t xml:space="preserve"> </w:t>
      </w:r>
      <w:r>
        <w:t xml:space="preserve">the equilibrium. The full functional form and parameter values are given in §S5.2; the implications for the §4.3 ablation are developed below.</w:t>
      </w:r>
    </w:p>
    <w:p>
      <w:pPr>
        <w:pStyle w:val="BodyText"/>
      </w:pPr>
      <w:r>
        <w:drawing>
          <wp:inline>
            <wp:extent cx="5943600" cy="5199164"/>
            <wp:effectExtent b="0" l="0" r="0" t="0"/>
            <wp:docPr descr="" title="" id="32" name="Picture"/>
            <a:graphic>
              <a:graphicData uri="http://schemas.openxmlformats.org/drawingml/2006/picture">
                <pic:pic>
                  <pic:nvPicPr>
                    <pic:cNvPr descr="../../figures/manuscript/figure_06_model_architecture.png" id="33" name="Picture"/>
                    <pic:cNvPicPr>
                      <a:picLocks noChangeArrowheads="1" noChangeAspect="1"/>
                    </pic:cNvPicPr>
                  </pic:nvPicPr>
                  <pic:blipFill>
                    <a:blip r:embed="rId31"/>
                    <a:stretch>
                      <a:fillRect/>
                    </a:stretch>
                  </pic:blipFill>
                  <pic:spPr bwMode="auto">
                    <a:xfrm>
                      <a:off x="0" y="0"/>
                      <a:ext cx="5943600" cy="5199164"/>
                    </a:xfrm>
                    <a:prstGeom prst="rect">
                      <a:avLst/>
                    </a:prstGeom>
                    <a:noFill/>
                    <a:ln w="9525">
                      <a:noFill/>
                      <a:headEnd/>
                      <a:tailEnd/>
                    </a:ln>
                  </pic:spPr>
                </pic:pic>
              </a:graphicData>
            </a:graphic>
          </wp:inline>
        </w:drawing>
      </w:r>
    </w:p>
    <w:p>
      <w:pPr>
        <w:pStyle w:val="BodyText"/>
      </w:pPr>
      <w:r>
        <w:rPr>
          <w:b/>
          <w:bCs/>
          <w:i/>
          <w:iCs/>
        </w:rPr>
        <w:t xml:space="preserve">Figure 6. Agent-based model architecture.</w:t>
      </w:r>
      <w:r>
        <w:t xml:space="preserve"> </w:t>
      </w:r>
      <w:r>
        <w:rPr>
          <w:i/>
          <w:iCs/>
        </w:rPr>
        <w:t xml:space="preserve">(A) Environment module: heterogeneous four-zone landscape (i.e., aquatic, terrestrial game, mast, ecotone-edge) with seasonal cycles and stochastic shortfalls; the ecotone parameter</w:t>
      </w:r>
      <w:r>
        <w:t xml:space="preserve"> </w:t>
      </w:r>
      <m:oMath>
        <m:r>
          <m:t>ε</m:t>
        </m:r>
      </m:oMath>
      <w:r>
        <w:t xml:space="preserve"> </w:t>
      </w:r>
      <w:r>
        <w:rPr>
          <w:i/>
          <w:iCs/>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t xml:space="preserve"> </w:t>
      </w:r>
      <m:oMath>
        <m:sSub>
          <m:e>
            <m:r>
              <m:t>W</m:t>
            </m:r>
          </m:e>
          <m:sub>
            <m:r>
              <m:t>a</m:t>
            </m:r>
            <m:r>
              <m:t>g</m:t>
            </m:r>
            <m:r>
              <m:t>g</m:t>
            </m:r>
          </m:sub>
        </m:sSub>
      </m:oMath>
      <w:r>
        <w:t xml:space="preserve"> </w:t>
      </w:r>
      <w:r>
        <w:rPr>
          <w:i/>
          <w:iCs/>
        </w:rPr>
        <w:t xml:space="preserve">and</w:t>
      </w:r>
      <w:r>
        <w:t xml:space="preserve"> </w:t>
      </w:r>
      <m:oMath>
        <m:sSub>
          <m:e>
            <m:r>
              <m:t>W</m:t>
            </m:r>
          </m:e>
          <m:sub>
            <m:r>
              <m:t>i</m:t>
            </m:r>
            <m:r>
              <m:t>n</m:t>
            </m:r>
            <m:r>
              <m:t>d</m:t>
            </m:r>
          </m:sub>
        </m:sSub>
      </m:oMath>
      <w:r>
        <w:t xml:space="preserve"> </w:t>
      </w:r>
      <w:r>
        <w:rPr>
          <w:i/>
          <w:iCs/>
        </w:rPr>
        <w:t xml:space="preserve">(eq. §2.4) determine the critical threshold</w:t>
      </w:r>
      <w:r>
        <w:t xml:space="preserve"> </w:t>
      </w:r>
      <m:oMath>
        <m:sSup>
          <m:e>
            <m:r>
              <m:t>σ</m:t>
            </m:r>
          </m:e>
          <m:sup>
            <m:r>
              <m:rPr>
                <m:sty m:val="p"/>
              </m:rPr>
              <m:t>*</m:t>
            </m:r>
          </m:sup>
        </m:sSup>
      </m:oMath>
      <w:r>
        <w:t xml:space="preserve"> </w:t>
      </w:r>
      <w:r>
        <w:rPr>
          <w:i/>
          <w:iCs/>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t xml:space="preserve">4. Theory and simulation results</w:t>
      </w:r>
    </w:p>
    <w:bookmarkStart w:id="41" w:name="phase-transition"/>
    <w:p>
      <w:pPr>
        <w:pStyle w:val="Heading3"/>
      </w:pPr>
      <w:r>
        <w:t xml:space="preserve">4.1 Phase transition</w:t>
      </w:r>
    </w:p>
    <w:p>
      <w:pPr>
        <w:pStyle w:val="FirstParagraph"/>
      </w:pPr>
      <w:r>
        <w:t xml:space="preserve">The first test is whether the simulation exhibits the sharp behavioral threshold predicted by the theory. We define the</w:t>
      </w:r>
      <w:r>
        <w:t xml:space="preserve"> </w:t>
      </w:r>
      <w:r>
        <w:rPr>
          <w:b/>
          <w:bCs/>
        </w:rPr>
        <w:t xml:space="preserve">strategy-dominance metric</w:t>
      </w:r>
      <w:r>
        <w:t xml:space="preserve"> </w:t>
      </w:r>
      <w:r>
        <w:t xml:space="preserve">as the population fraction of aggregator bands minus the population fraction of independent bands, ranging from</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 with</w:t>
      </w:r>
      <w:r>
        <w:t xml:space="preserve"> </w:t>
      </w:r>
      <m:oMath>
        <m:r>
          <m:t>0</m:t>
        </m:r>
      </m:oMath>
      <w:r>
        <w:t xml:space="preserve"> </w:t>
      </w:r>
      <w:r>
        <w:t xml:space="preserve">marking parity. Running the model at PP-scenario parameters (</w:t>
      </w:r>
      <m:oMath>
        <m:r>
          <m:t>ε</m:t>
        </m:r>
        <m:r>
          <m:rPr>
            <m:sty m:val="p"/>
          </m:rPr>
          <m:t>=</m:t>
        </m:r>
        <m:r>
          <m:t>0.35</m:t>
        </m:r>
      </m:oMath>
      <w:r>
        <w:t xml:space="preserve">) across a sweep of effective uncertainty values, the signal-conditional configuration produces a clean S-curve in strategy dominance: the metric climbs from strongly negative at low</w:t>
      </w:r>
      <w:r>
        <w:t xml:space="preserve"> </w:t>
      </w:r>
      <m:oMath>
        <m:sSub>
          <m:e>
            <m:r>
              <m:t>σ</m:t>
            </m:r>
          </m:e>
          <m:sub>
            <m:r>
              <m:t>e</m:t>
            </m:r>
            <m:r>
              <m:t>f</m:t>
            </m:r>
            <m:r>
              <m:t>f</m:t>
            </m:r>
          </m:sub>
        </m:sSub>
      </m:oMath>
      <w:r>
        <w:t xml:space="preserve"> </w:t>
      </w:r>
      <w: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t xml:space="preserve">to saturation near</w:t>
      </w:r>
      <w:r>
        <w:t xml:space="preserve"> </w:t>
      </w:r>
      <m:oMath>
        <m:r>
          <m:rPr>
            <m:sty m:val="p"/>
          </m:rPr>
          <m:t>+</m:t>
        </m:r>
        <m:r>
          <m:t>0.92</m:t>
        </m:r>
      </m:oMath>
      <w:r>
        <w:t xml:space="preserve"> </w:t>
      </w:r>
      <w:r>
        <w:t xml:space="preserve">at the highest</w:t>
      </w:r>
      <w:r>
        <w:t xml:space="preserve"> </w:t>
      </w:r>
      <m:oMath>
        <m:sSub>
          <m:e>
            <m:r>
              <m:t>σ</m:t>
            </m:r>
          </m:e>
          <m:sub>
            <m:r>
              <m:t>e</m:t>
            </m:r>
            <m:r>
              <m:t>f</m:t>
            </m:r>
            <m:r>
              <m:t>f</m:t>
            </m:r>
          </m:sub>
        </m:sSub>
      </m:oMath>
      <w:r>
        <w:t xml:space="preserve"> </w:t>
      </w:r>
      <w:r>
        <w:t xml:space="preserve">values (Figure 7A). The replicate spread across the transition zone (SD typically 0.03–0.10) is tight enough to characterize both the location of the crossing and the sharpness of the transition. The simulated crossover at</w:t>
      </w:r>
      <w:r>
        <w:t xml:space="preserve"> </w:t>
      </w:r>
      <m:oMath>
        <m:sSubSup>
          <m:e>
            <m:r>
              <m:t>σ</m:t>
            </m:r>
          </m:e>
          <m:sub>
            <m:r>
              <m:t>e</m:t>
            </m:r>
            <m:r>
              <m:t>f</m:t>
            </m:r>
            <m:r>
              <m:t>f</m:t>
            </m:r>
          </m:sub>
          <m:sup>
            <m:r>
              <m:rPr>
                <m:sty m:val="p"/>
              </m:rPr>
              <m:t>*</m:t>
            </m:r>
          </m:sup>
        </m:sSubSup>
        <m:r>
          <m:rPr>
            <m:sty m:val="p"/>
          </m:rPr>
          <m:t>≈</m:t>
        </m:r>
        <m:r>
          <m:t>0.42</m:t>
        </m:r>
      </m:oMath>
      <w:r>
        <w:t xml:space="preserve"> </w:t>
      </w:r>
      <w:r>
        <w:t xml:space="preserve">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 confirming that the agent-based dynamics reproduce the multilevel-selection threshold derived in §2.4. Sweep configuration, the precise</w:t>
      </w:r>
      <w:r>
        <w:t xml:space="preserve"> </w:t>
      </w:r>
      <m:oMath>
        <m:sSub>
          <m:e>
            <m:r>
              <m:t>σ</m:t>
            </m:r>
          </m:e>
          <m:sub>
            <m:r>
              <m:t>t</m:t>
            </m:r>
            <m:r>
              <m:t>a</m:t>
            </m:r>
            <m:r>
              <m:t>r</m:t>
            </m:r>
            <m:r>
              <m:t>g</m:t>
            </m:r>
            <m:r>
              <m:t>e</m:t>
            </m:r>
            <m:r>
              <m:t>t</m:t>
            </m:r>
          </m:sub>
        </m:sSub>
      </m:oMath>
      <w:r>
        <w:t xml:space="preserve"> </w:t>
      </w:r>
      <w:r>
        <w:t xml:space="preserve">values, and the realized-vs-target sigma adjustment are documented in §S7.1.</w:t>
      </w:r>
    </w:p>
    <w:p>
      <w:pPr>
        <w:pStyle w:val="BodyText"/>
      </w:pPr>
      <w:r>
        <w:drawing>
          <wp:inline>
            <wp:extent cx="5943600" cy="4966936"/>
            <wp:effectExtent b="0" l="0" r="0" t="0"/>
            <wp:docPr descr="" title="" id="36" name="Picture"/>
            <a:graphic>
              <a:graphicData uri="http://schemas.openxmlformats.org/drawingml/2006/picture">
                <pic:pic>
                  <pic:nvPicPr>
                    <pic:cNvPr descr="../../figures/manuscript/figure_07_phase_transition.png" id="37" name="Picture"/>
                    <pic:cNvPicPr>
                      <a:picLocks noChangeArrowheads="1" noChangeAspect="1"/>
                    </pic:cNvPicPr>
                  </pic:nvPicPr>
                  <pic:blipFill>
                    <a:blip r:embed="rId35"/>
                    <a:stretch>
                      <a:fillRect/>
                    </a:stretch>
                  </pic:blipFill>
                  <pic:spPr bwMode="auto">
                    <a:xfrm>
                      <a:off x="0" y="0"/>
                      <a:ext cx="5943600" cy="4966936"/>
                    </a:xfrm>
                    <a:prstGeom prst="rect">
                      <a:avLst/>
                    </a:prstGeom>
                    <a:noFill/>
                    <a:ln w="9525">
                      <a:noFill/>
                      <a:headEnd/>
                      <a:tailEnd/>
                    </a:ln>
                  </pic:spPr>
                </pic:pic>
              </a:graphicData>
            </a:graphic>
          </wp:inline>
        </w:drawing>
      </w:r>
    </w:p>
    <w:p>
      <w:pPr>
        <w:pStyle w:val="BodyText"/>
      </w:pPr>
      <w:r>
        <w:rPr>
          <w:b/>
          <w:bCs/>
          <w:i/>
          <w:iCs/>
        </w:rPr>
        <w:t xml:space="preserve">Figure 7. Phase transition validation at the calibrated PP scenario.</w:t>
      </w:r>
      <w:r>
        <w:t xml:space="preserve"> </w:t>
      </w:r>
      <w:r>
        <w:rPr>
          <w:i/>
          <w:iCs/>
        </w:rPr>
        <w:t xml:space="preserve">Six stochastic replicates per cell × 7</w:t>
      </w:r>
      <w:r>
        <w:t xml:space="preserve"> </w:t>
      </w:r>
      <m:oMath>
        <m:sSub>
          <m:e>
            <m:r>
              <m:t>σ</m:t>
            </m:r>
          </m:e>
          <m:sub>
            <m:r>
              <m:t>e</m:t>
            </m:r>
            <m:r>
              <m:t>f</m:t>
            </m:r>
            <m:r>
              <m:t>f</m:t>
            </m:r>
          </m:sub>
        </m:sSub>
      </m:oMath>
      <w:r>
        <w:t xml:space="preserve"> </w:t>
      </w:r>
      <w:r>
        <w:rPr>
          <w:i/>
          <w:iCs/>
        </w:rPr>
        <w:t xml:space="preserve">points at PP-scenario parameters (</w:t>
      </w:r>
      <m:oMath>
        <m:r>
          <m:t>ε</m:t>
        </m:r>
        <m:r>
          <m:rPr>
            <m:sty m:val="p"/>
          </m:rPr>
          <m:t>=</m:t>
        </m:r>
        <m:r>
          <m:t>0.35</m:t>
        </m:r>
      </m:oMath>
      <w:r>
        <w:rPr>
          <w:i/>
          <w:iCs/>
        </w:rPr>
        <w:t xml:space="preserve">). (A) Strategy dominance vs effective environmental uncertainty</w:t>
      </w:r>
      <w:r>
        <w:t xml:space="preserve"> </w:t>
      </w:r>
      <m:oMath>
        <m:sSub>
          <m:e>
            <m:r>
              <m:t>σ</m:t>
            </m:r>
          </m:e>
          <m:sub>
            <m:r>
              <m:t>e</m:t>
            </m:r>
            <m:r>
              <m:t>f</m:t>
            </m:r>
            <m:r>
              <m:t>f</m:t>
            </m:r>
          </m:sub>
        </m:sSub>
      </m:oMath>
      <w:r>
        <w:rPr>
          <w:i/>
          <w:iCs/>
        </w:rPr>
        <w:t xml:space="preserve">. The metric climbs from strongly negative at low</w:t>
      </w:r>
      <w:r>
        <w:t xml:space="preserve"> </w:t>
      </w:r>
      <m:oMath>
        <m:sSub>
          <m:e>
            <m:r>
              <m:t>σ</m:t>
            </m:r>
          </m:e>
          <m:sub>
            <m:r>
              <m:t>e</m:t>
            </m:r>
            <m:r>
              <m:t>f</m:t>
            </m:r>
            <m:r>
              <m:t>f</m:t>
            </m:r>
          </m:sub>
        </m:sSub>
      </m:oMath>
      <w:r>
        <w:t xml:space="preserve"> </w:t>
      </w:r>
      <w:r>
        <w:rPr>
          <w:i/>
          <w:iCs/>
        </w:rP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rPr>
          <w:i/>
          <w:iCs/>
        </w:rPr>
        <w:t xml:space="preserve">to saturation near</w:t>
      </w:r>
      <w:r>
        <w:t xml:space="preserve"> </w:t>
      </w:r>
      <m:oMath>
        <m:r>
          <m:rPr>
            <m:sty m:val="p"/>
          </m:rPr>
          <m:t>+</m:t>
        </m:r>
        <m:r>
          <m:t>0.92</m:t>
        </m:r>
      </m:oMath>
      <w:r>
        <w:t xml:space="preserve"> </w:t>
      </w:r>
      <w:r>
        <w:rPr>
          <w:i/>
          <w:iCs/>
        </w:rPr>
        <w:t xml:space="preserve">at the highest</w:t>
      </w:r>
      <w:r>
        <w:t xml:space="preserve"> </w:t>
      </w:r>
      <m:oMath>
        <m:sSub>
          <m:e>
            <m:r>
              <m:t>σ</m:t>
            </m:r>
          </m:e>
          <m:sub>
            <m:r>
              <m:t>e</m:t>
            </m:r>
            <m:r>
              <m:t>f</m:t>
            </m:r>
            <m:r>
              <m:t>f</m:t>
            </m:r>
          </m:sub>
        </m:sSub>
      </m:oMath>
      <w:r>
        <w:t xml:space="preserve"> </w:t>
      </w:r>
      <w:r>
        <w:rPr>
          <w:i/>
          <w:iCs/>
        </w:rPr>
        <w:t xml:space="preserve">values, matching the analytical threshold</w:t>
      </w:r>
      <w:r>
        <w:t xml:space="preserve"> </w:t>
      </w:r>
      <m:oMath>
        <m:sSup>
          <m:e>
            <m:r>
              <m:t>σ</m:t>
            </m:r>
          </m:e>
          <m:sup>
            <m:r>
              <m:rPr>
                <m:sty m:val="p"/>
              </m:rPr>
              <m:t>*</m:t>
            </m:r>
          </m:sup>
        </m:sSup>
        <m:r>
          <m:rPr>
            <m:sty m:val="p"/>
          </m:rPr>
          <m:t>=</m:t>
        </m:r>
        <m:r>
          <m:t>0.40</m:t>
        </m:r>
      </m:oMath>
      <w:r>
        <w:t xml:space="preserve"> </w:t>
      </w:r>
      <w:r>
        <w:rPr>
          <w:i/>
          <w:iCs/>
        </w:rPr>
        <w:t xml:space="preserve">to within 0.02. (B) Mean aggregation size in bands per gathering, increasing sharply above</w:t>
      </w:r>
      <w:r>
        <w:t xml:space="preserve"> </w:t>
      </w:r>
      <m:oMath>
        <m:sSup>
          <m:e>
            <m:r>
              <m:t>σ</m:t>
            </m:r>
          </m:e>
          <m:sup>
            <m:r>
              <m:rPr>
                <m:sty m:val="p"/>
              </m:rPr>
              <m:t>*</m:t>
            </m:r>
          </m:sup>
        </m:sSup>
      </m:oMath>
      <w:r>
        <w:t xml:space="preserve"> </w:t>
      </w:r>
      <w:r>
        <w:rPr>
          <w:i/>
          <w:iCs/>
        </w:rPr>
        <w:t xml:space="preserve">and reaching the optimal</w:t>
      </w:r>
      <w:r>
        <w:t xml:space="preserve"> </w:t>
      </w:r>
      <m:oMath>
        <m:sSub>
          <m:e>
            <m:r>
              <m:t>n</m:t>
            </m:r>
          </m:e>
          <m:sub>
            <m:r>
              <m:t>a</m:t>
            </m:r>
            <m:r>
              <m:t>g</m:t>
            </m:r>
            <m:r>
              <m:t>g</m:t>
            </m:r>
          </m:sub>
        </m:sSub>
        <m:r>
          <m:rPr>
            <m:sty m:val="p"/>
          </m:rPr>
          <m:t>≈</m:t>
        </m:r>
        <m:r>
          <m:t>25</m:t>
        </m:r>
      </m:oMath>
      <w:r>
        <w:t xml:space="preserve"> </w:t>
      </w:r>
      <w:r>
        <w:rPr>
          <w:i/>
          <w:iCs/>
        </w:rPr>
        <w:t xml:space="preserve">at the highest uncertainty values. (C) Monument investment (cumulative units across the 200-year simulated interval), climbing from baseline at low</w:t>
      </w:r>
      <w:r>
        <w:t xml:space="preserve"> </w:t>
      </w:r>
      <m:oMath>
        <m:sSub>
          <m:e>
            <m:r>
              <m:t>σ</m:t>
            </m:r>
          </m:e>
          <m:sub>
            <m:r>
              <m:t>e</m:t>
            </m:r>
            <m:r>
              <m:t>f</m:t>
            </m:r>
            <m:r>
              <m:t>f</m:t>
            </m:r>
          </m:sub>
        </m:sSub>
      </m:oMath>
      <w:r>
        <w:t xml:space="preserve"> </w:t>
      </w:r>
      <w:r>
        <w:rPr>
          <w:i/>
          <w:iCs/>
        </w:rPr>
        <w:t xml:space="preserve">to large accumulations at high</w:t>
      </w:r>
      <w:r>
        <w:t xml:space="preserve"> </w:t>
      </w:r>
      <m:oMath>
        <m:sSub>
          <m:e>
            <m:r>
              <m:t>σ</m:t>
            </m:r>
          </m:e>
          <m:sub>
            <m:r>
              <m:t>e</m:t>
            </m:r>
            <m:r>
              <m:t>f</m:t>
            </m:r>
            <m:r>
              <m:t>f</m:t>
            </m:r>
          </m:sub>
        </m:sSub>
      </m:oMath>
      <w:r>
        <w:rPr>
          <w:i/>
          <w:iCs/>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i/>
          <w:iCs/>
        </w:rPr>
        <w:t xml:space="preserve">, yellow shading) separating cleanly from the pre-threshold cluster. The signal-conditional vs random-partner ablation comparison (§4.3) is tabulated per-cell in §S7.1 rather than plotted here; the substantive result is that the two versions cross the threshold at almost the same point (signal-conditional</w:t>
      </w:r>
      <w:r>
        <w:t xml:space="preserve"> </w:t>
      </w:r>
      <m:oMath>
        <m:sSubSup>
          <m:e>
            <m:r>
              <m:t>σ</m:t>
            </m:r>
          </m:e>
          <m:sub>
            <m:r>
              <m:t>e</m:t>
            </m:r>
            <m:r>
              <m:t>f</m:t>
            </m:r>
            <m:r>
              <m:t>f</m:t>
            </m:r>
          </m:sub>
          <m:sup>
            <m:r>
              <m:rPr>
                <m:sty m:val="p"/>
              </m:rPr>
              <m:t>*</m:t>
            </m:r>
          </m:sup>
        </m:sSubSup>
        <m:r>
          <m:rPr>
            <m:sty m:val="p"/>
          </m:rPr>
          <m:t>≈</m:t>
        </m:r>
        <m:r>
          <m:t>0.42</m:t>
        </m:r>
      </m:oMath>
      <w:r>
        <w:rPr>
          <w:i/>
          <w:iCs/>
        </w:rPr>
        <w:t xml:space="preserve">, random-partner</w:t>
      </w:r>
      <w:r>
        <w:t xml:space="preserve"> </w:t>
      </w:r>
      <m:oMath>
        <m:sSubSup>
          <m:e>
            <m:r>
              <m:t>σ</m:t>
            </m:r>
          </m:e>
          <m:sub>
            <m:r>
              <m:t>e</m:t>
            </m:r>
            <m:r>
              <m:t>f</m:t>
            </m:r>
            <m:r>
              <m:t>f</m:t>
            </m:r>
          </m:sub>
          <m:sup>
            <m:r>
              <m:rPr>
                <m:sty m:val="p"/>
              </m:rPr>
              <m:t>*</m:t>
            </m:r>
          </m:sup>
        </m:sSubSup>
        <m:r>
          <m:rPr>
            <m:sty m:val="p"/>
          </m:rPr>
          <m:t>≈</m:t>
        </m:r>
        <m:r>
          <m:t>0.41</m:t>
        </m:r>
      </m:oMath>
      <w:r>
        <w:rPr>
          <w:i/>
          <w:iCs/>
        </w:rPr>
        <w:t xml:space="preserve">; threshold shift</w:t>
      </w:r>
      <w:r>
        <w:t xml:space="preserve"> </w:t>
      </w:r>
      <m:oMath>
        <m:r>
          <m:rPr>
            <m:sty m:val="p"/>
          </m:rPr>
          <m:t>−</m:t>
        </m:r>
        <m:r>
          <m:t>0.010</m:t>
        </m:r>
      </m:oMath>
      <w:r>
        <w:t xml:space="preserve"> </w:t>
      </w:r>
      <w:r>
        <w:rPr>
          <w:i/>
          <w:iCs/>
        </w:rPr>
        <w:t xml:space="preserve">or</w:t>
      </w:r>
      <w:r>
        <w:t xml:space="preserve"> </w:t>
      </w:r>
      <m:oMath>
        <m:r>
          <m:rPr>
            <m:sty m:val="p"/>
          </m:rPr>
          <m:t>−</m:t>
        </m:r>
        <m:r>
          <m:t>2.4</m:t>
        </m:r>
        <m:r>
          <m:rPr>
            <m:sty m:val="p"/>
          </m:rPr>
          <m:t>%</m:t>
        </m:r>
      </m:oMath>
      <w:r>
        <w:rPr>
          <w:i/>
          <w:iCs/>
        </w:rPr>
        <w:t xml:space="preserve">, within replicate noise).</w:t>
      </w:r>
    </w:p>
    <w:p>
      <w:pPr>
        <w:pStyle w:val="BodyText"/>
      </w:pPr>
      <w:r>
        <w:t xml:space="preserve">The phase-transition sweep characterizes where the threshold lies; Figure 8 shows what the dynamics look like</w:t>
      </w:r>
      <w:r>
        <w:t xml:space="preserve"> </w:t>
      </w:r>
      <w:r>
        <w:rPr>
          <w:i/>
          <w:iCs/>
        </w:rPr>
        <w:t xml:space="preserve">at</w:t>
      </w:r>
      <w:r>
        <w:t xml:space="preserve"> </w:t>
      </w:r>
      <w:r>
        <w:t xml:space="preserve">the calibrated PP scenario, run as a single 500-year trajectory above the threshold. Strategy dominance stabilizes near</w:t>
      </w:r>
      <w:r>
        <w:t xml:space="preserve"> </w:t>
      </w:r>
      <m:oMath>
        <m:r>
          <m:rPr>
            <m:sty m:val="p"/>
          </m:rPr>
          <m:t>+</m:t>
        </m:r>
        <m:r>
          <m:t>0.70</m:t>
        </m:r>
      </m:oMath>
      <w:r>
        <w:t xml:space="preserve"> </w:t>
      </w:r>
      <w:r>
        <w:t xml:space="preserve">within the burn-in window and remains stable thereafter (Panel A); construction rate and aggregation size co-vary as bands respond to shortfall events (Panel B); cumulative monument investment grows steadily through the simulated interval (Panel C); and the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remains positive throughout (Panel D), confirming that the aggregator strategy is the stable equilibrium under PP-scenario uncertainty rather than a transient outcome.</w:t>
      </w:r>
    </w:p>
    <w:p>
      <w:pPr>
        <w:pStyle w:val="BodyText"/>
      </w:pPr>
      <w:r>
        <w:drawing>
          <wp:inline>
            <wp:extent cx="5943600" cy="4136102"/>
            <wp:effectExtent b="0" l="0" r="0" t="0"/>
            <wp:docPr descr="" title="" id="39" name="Picture"/>
            <a:graphic>
              <a:graphicData uri="http://schemas.openxmlformats.org/drawingml/2006/picture">
                <pic:pic>
                  <pic:nvPicPr>
                    <pic:cNvPr descr="../../figures/manuscript/figure_08_temporal_dynamics.png" id="40" name="Picture"/>
                    <pic:cNvPicPr>
                      <a:picLocks noChangeArrowheads="1" noChangeAspect="1"/>
                    </pic:cNvPicPr>
                  </pic:nvPicPr>
                  <pic:blipFill>
                    <a:blip r:embed="rId38"/>
                    <a:stretch>
                      <a:fillRect/>
                    </a:stretch>
                  </pic:blipFill>
                  <pic:spPr bwMode="auto">
                    <a:xfrm>
                      <a:off x="0" y="0"/>
                      <a:ext cx="5943600" cy="4136102"/>
                    </a:xfrm>
                    <a:prstGeom prst="rect">
                      <a:avLst/>
                    </a:prstGeom>
                    <a:noFill/>
                    <a:ln w="9525">
                      <a:noFill/>
                      <a:headEnd/>
                      <a:tailEnd/>
                    </a:ln>
                  </pic:spPr>
                </pic:pic>
              </a:graphicData>
            </a:graphic>
          </wp:inline>
        </w:drawing>
      </w:r>
    </w:p>
    <w:p>
      <w:pPr>
        <w:pStyle w:val="BodyText"/>
      </w:pPr>
      <w:r>
        <w:rPr>
          <w:b/>
          <w:bCs/>
          <w:i/>
          <w:iCs/>
        </w:rPr>
        <w:t xml:space="preserve">Figure 8. Temporal dynamics at calibrated PP-scenario parameters.</w:t>
      </w:r>
      <w:r>
        <w:t xml:space="preserve"> </w:t>
      </w:r>
      <w:r>
        <w:rPr>
          <w:i/>
          <w:iCs/>
        </w:rPr>
        <w:t xml:space="preserve">Single 500-year trajectory at PP-scenario parameters (</w:t>
      </w:r>
      <m:oMath>
        <m:r>
          <m:t>σ</m:t>
        </m:r>
        <m:r>
          <m:rPr>
            <m:sty m:val="p"/>
          </m:rPr>
          <m:t>=</m:t>
        </m:r>
        <m:r>
          <m:t>0.64</m:t>
        </m:r>
      </m:oMath>
      <w:r>
        <w:rPr>
          <w:i/>
          <w:iCs/>
        </w:rPr>
        <w:t xml:space="preserve">,</w:t>
      </w:r>
      <w:r>
        <w:t xml:space="preserve"> </w:t>
      </w:r>
      <m:oMath>
        <m:r>
          <m:t>ε</m:t>
        </m:r>
        <m:r>
          <m:rPr>
            <m:sty m:val="p"/>
          </m:rPr>
          <m:t>=</m:t>
        </m:r>
        <m:r>
          <m:t>0.35</m:t>
        </m:r>
      </m:oMath>
      <w:r>
        <w:rPr>
          <w:i/>
          <w:iCs/>
        </w:rPr>
        <w:t xml:space="preserve">), above the threshold. (A) Strategy-dominance metric (10-year mean, orange) with shortfall periods overlaid (light orange ticks); dominance is the fraction of aggregator bands minus the fraction of independent bands. The metric stabilizes near</w:t>
      </w:r>
      <w:r>
        <w:t xml:space="preserve"> </w:t>
      </w:r>
      <m:oMath>
        <m:r>
          <m:rPr>
            <m:sty m:val="p"/>
          </m:rPr>
          <m:t>+</m:t>
        </m:r>
        <m:r>
          <m:t>0.70</m:t>
        </m:r>
      </m:oMath>
      <w:r>
        <w:t xml:space="preserve"> </w:t>
      </w:r>
      <w:r>
        <w:rPr>
          <w:i/>
          <w:iCs/>
        </w:rPr>
        <w:t xml:space="preserve">after burn-in and remains in the aggregator-dominant band for the duration. (B) Construction rate and aggregation size as deviations from their temporal means, demonstrating that construction tempo tracks the assembled aggregation size. (C) Cumulative monument investment (solid black, left axis) climbing approximately linearly through the simulated interval; construction rate (dashed magenta, right axis) fluctuates around the mean as shortfall events drive variation. (D)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over time, remaining positive throughout the interval (</w:t>
      </w:r>
      <m:oMath>
        <m:r>
          <m:rPr>
            <m:sty m:val="p"/>
          </m:rPr>
          <m:t>∼</m:t>
        </m:r>
        <m:r>
          <m:t>0.19</m:t>
        </m:r>
      </m:oMath>
      <w:r>
        <w:t xml:space="preserve"> </w:t>
      </w:r>
      <w:r>
        <w:rPr>
          <w:i/>
          <w:iCs/>
        </w:rPr>
        <w:t xml:space="preserve">at equilibrium); the persistent positive value confirms that the aggregator strategy is the equilibrium outcome rather than a transient state.</w:t>
      </w:r>
    </w:p>
    <w:bookmarkEnd w:id="41"/>
    <w:bookmarkStart w:id="45" w:name="phase-space-structure"/>
    <w:p>
      <w:pPr>
        <w:pStyle w:val="Heading3"/>
      </w:pPr>
      <w:r>
        <w:t xml:space="preserve">4.2 Phase-space structure</w:t>
      </w:r>
    </w:p>
    <w:p>
      <w:pPr>
        <w:pStyle w:val="FirstParagraph"/>
      </w:pPr>
      <w:r>
        <w:t xml:space="preserve">The §4.1 sweep validates the threshold along a single slice through parameter space (</w:t>
      </w:r>
      <m:oMath>
        <m:r>
          <m:t>ε</m:t>
        </m:r>
        <m:r>
          <m:rPr>
            <m:sty m:val="p"/>
          </m:rPr>
          <m:t>=</m:t>
        </m:r>
        <m:r>
          <m:t>0.35</m:t>
        </m:r>
      </m:oMath>
      <w:r>
        <w:t xml:space="preserve">, varying</w:t>
      </w:r>
      <w:r>
        <w:t xml:space="preserve"> </w:t>
      </w:r>
      <m:oMath>
        <m:r>
          <m:t>σ</m:t>
        </m:r>
      </m:oMath>
      <w:r>
        <w:t xml:space="preserve">). The framework’s analytical prediction is more general: the threshold</w:t>
      </w:r>
      <w:r>
        <w:t xml:space="preserve"> </w:t>
      </w:r>
      <m:oMath>
        <m:sSup>
          <m:e>
            <m:r>
              <m:t>σ</m:t>
            </m:r>
          </m:e>
          <m:sup>
            <m:r>
              <m:rPr>
                <m:sty m:val="p"/>
              </m:rPr>
              <m:t>*</m:t>
            </m:r>
          </m:sup>
        </m:sSup>
      </m:oMath>
      <w:r>
        <w:t xml:space="preserve"> </w:t>
      </w:r>
      <w:r>
        <w:t xml:space="preserve">is a function of</w:t>
      </w:r>
      <w:r>
        <w:t xml:space="preserve"> </w:t>
      </w:r>
      <m:oMath>
        <m:r>
          <m:t>ε</m:t>
        </m:r>
      </m:oMath>
      <w:r>
        <w:t xml:space="preserve">, with low-</w:t>
      </w:r>
      <m:oMath>
        <m:r>
          <m:t>ε</m:t>
        </m:r>
      </m:oMath>
      <w:r>
        <w:t xml:space="preserve"> </w:t>
      </w:r>
      <w:r>
        <w:t xml:space="preserve">sites requiring higher</w:t>
      </w:r>
      <w:r>
        <w:t xml:space="preserve"> </w:t>
      </w:r>
      <m:oMath>
        <m:r>
          <m:t>σ</m:t>
        </m:r>
      </m:oMath>
      <w:r>
        <w:t xml:space="preserve"> </w:t>
      </w:r>
      <w:r>
        <w:t xml:space="preserve">for aggregation to become adaptive, and high-</w:t>
      </w:r>
      <m:oMath>
        <m:r>
          <m:t>ε</m:t>
        </m:r>
      </m:oMath>
      <w:r>
        <w:t xml:space="preserve"> </w:t>
      </w:r>
      <w:r>
        <w:t xml:space="preserve">sites crossing into the aggregator regime at lower</w:t>
      </w:r>
      <w:r>
        <w:t xml:space="preserve"> </w:t>
      </w:r>
      <m:oMath>
        <m:r>
          <m:t>σ</m:t>
        </m:r>
      </m:oMath>
      <w:r>
        <w:t xml:space="preserve">. To test whether the agent-based dynamics reproduce this structure across the joint parameter plane, rather than just along the slice, we ran the model on a grid spanning environmental uncertainty</w:t>
      </w:r>
      <w:r>
        <w:t xml:space="preserve"> </w:t>
      </w:r>
      <m:oMath>
        <m:r>
          <m:t>σ</m:t>
        </m:r>
      </m:oMath>
      <w:r>
        <w:t xml:space="preserve"> </w:t>
      </w:r>
      <w:r>
        <w:t xml:space="preserve">and ecotone advantage</w:t>
      </w:r>
      <w:r>
        <w:t xml:space="preserve"> </w:t>
      </w:r>
      <m:oMath>
        <m:r>
          <m:t>ε</m:t>
        </m:r>
      </m:oMath>
      <w:r>
        <w:t xml:space="preserve">.</w:t>
      </w:r>
    </w:p>
    <w:p>
      <w:pPr>
        <w:pStyle w:val="BodyText"/>
      </w:pPr>
      <w:r>
        <w:t xml:space="preserve">The simulated phase space matches the analytical prediction across the plane (Figure 9). At low</w:t>
      </w:r>
      <w:r>
        <w:t xml:space="preserve"> </w:t>
      </w:r>
      <m:oMath>
        <m:r>
          <m:t>ε</m:t>
        </m:r>
      </m:oMath>
      <w:r>
        <w:t xml:space="preserve"> </w:t>
      </w:r>
      <w:r>
        <w:t xml:space="preserve">(</w:t>
      </w:r>
      <m:oMath>
        <m:r>
          <m:rPr>
            <m:sty m:val="p"/>
          </m:rPr>
          <m:t>&lt;</m:t>
        </m:r>
        <m:r>
          <m:t>0.2</m:t>
        </m:r>
      </m:oMath>
      <w:r>
        <w:t xml:space="preserve">), the regime boundary shifts right, requiring</w:t>
      </w:r>
      <w:r>
        <w:t xml:space="preserve"> </w:t>
      </w:r>
      <m:oMath>
        <m:r>
          <m:t>σ</m:t>
        </m:r>
        <m:r>
          <m:rPr>
            <m:sty m:val="p"/>
          </m:rPr>
          <m:t>&gt;</m:t>
        </m:r>
        <m:r>
          <m:t>0.60</m:t>
        </m:r>
      </m:oMath>
      <w:r>
        <w:t xml:space="preserve"> </w:t>
      </w:r>
      <w:r>
        <w:t xml:space="preserve">for sustained aggregator dominance. At high</w:t>
      </w:r>
      <w:r>
        <w:t xml:space="preserve"> </w:t>
      </w:r>
      <m:oMath>
        <m:r>
          <m:t>ε</m:t>
        </m:r>
      </m:oMath>
      <w:r>
        <w:t xml:space="preserve"> </w:t>
      </w:r>
      <w:r>
        <w:t xml:space="preserve">(</w:t>
      </w:r>
      <m:oMath>
        <m:r>
          <m:rPr>
            <m:sty m:val="p"/>
          </m:rPr>
          <m:t>&gt;</m:t>
        </m:r>
        <m:r>
          <m:t>0.4</m:t>
        </m:r>
      </m:oMath>
      <w:r>
        <w:t xml:space="preserve">), the boundary shifts left to</w:t>
      </w:r>
      <w:r>
        <w:t xml:space="preserve"> </w:t>
      </w:r>
      <m:oMath>
        <m:r>
          <m:t>σ</m:t>
        </m:r>
        <m:r>
          <m:rPr>
            <m:sty m:val="p"/>
          </m:rPr>
          <m:t>≈</m:t>
        </m:r>
        <m:r>
          <m:t>0.45</m:t>
        </m:r>
      </m:oMath>
      <w: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at</w:t>
      </w:r>
      <w:r>
        <w:t xml:space="preserve"> </w:t>
      </w:r>
      <m:oMath>
        <m:r>
          <m:rPr>
            <m:sty m:val="p"/>
          </m:rPr>
          <m:t>(</m:t>
        </m:r>
        <m:r>
          <m:t>σ</m:t>
        </m:r>
        <m:r>
          <m:rPr>
            <m:sty m:val="p"/>
          </m:rPr>
          <m:t>=</m:t>
        </m:r>
        <m:r>
          <m:t>0.80</m:t>
        </m:r>
        <m:r>
          <m:rPr>
            <m:sty m:val="p"/>
          </m:rPr>
          <m:t>,</m:t>
        </m:r>
        <m:r>
          <m:t>ε</m:t>
        </m:r>
        <m:r>
          <m:rPr>
            <m:sty m:val="p"/>
          </m:rPr>
          <m:t>=</m:t>
        </m:r>
        <m:r>
          <m:t>0.50</m:t>
        </m:r>
        <m:r>
          <m:rPr>
            <m:sty m:val="p"/>
          </m:rPr>
          <m:t>)</m:t>
        </m:r>
      </m:oMath>
      <w: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drawing>
          <wp:inline>
            <wp:extent cx="5943600" cy="2546639"/>
            <wp:effectExtent b="0" l="0" r="0" t="0"/>
            <wp:docPr descr="" title="" id="43" name="Picture"/>
            <a:graphic>
              <a:graphicData uri="http://schemas.openxmlformats.org/drawingml/2006/picture">
                <pic:pic>
                  <pic:nvPicPr>
                    <pic:cNvPr descr="../../figures/manuscript/figure_09_phase_space.png" id="44" name="Picture"/>
                    <pic:cNvPicPr>
                      <a:picLocks noChangeArrowheads="1" noChangeAspect="1"/>
                    </pic:cNvPicPr>
                  </pic:nvPicPr>
                  <pic:blipFill>
                    <a:blip r:embed="rId42"/>
                    <a:stretch>
                      <a:fillRect/>
                    </a:stretch>
                  </pic:blipFill>
                  <pic:spPr bwMode="auto">
                    <a:xfrm>
                      <a:off x="0" y="0"/>
                      <a:ext cx="5943600" cy="2546639"/>
                    </a:xfrm>
                    <a:prstGeom prst="rect">
                      <a:avLst/>
                    </a:prstGeom>
                    <a:noFill/>
                    <a:ln w="9525">
                      <a:noFill/>
                      <a:headEnd/>
                      <a:tailEnd/>
                    </a:ln>
                  </pic:spPr>
                </pic:pic>
              </a:graphicData>
            </a:graphic>
          </wp:inline>
        </w:drawing>
      </w:r>
    </w:p>
    <w:p>
      <w:pPr>
        <w:pStyle w:val="BodyText"/>
      </w:pPr>
      <w:r>
        <w:rPr>
          <w:b/>
          <w:bCs/>
          <w:i/>
          <w:iCs/>
        </w:rPr>
        <w:t xml:space="preserve">Figure 9. Phase-space structure across the joint</w:t>
      </w:r>
      <w:r>
        <w:t xml:space="preserve"> </w:t>
      </w:r>
      <m:oMath>
        <m:r>
          <m:rPr>
            <m:sty m:val="p"/>
          </m:rPr>
          <m:t>(</m:t>
        </m:r>
        <m:r>
          <m:t>σ</m:t>
        </m:r>
        <m:r>
          <m:rPr>
            <m:sty m:val="p"/>
          </m:rPr>
          <m:t>,</m:t>
        </m:r>
        <m:r>
          <m:t>ε</m:t>
        </m:r>
        <m:r>
          <m:rPr>
            <m:sty m:val="p"/>
          </m:rPr>
          <m:t>)</m:t>
        </m:r>
      </m:oMath>
      <w:r>
        <w:t xml:space="preserve"> </w:t>
      </w:r>
      <w:r>
        <w:rPr>
          <w:b/>
          <w:bCs/>
          <w:i/>
          <w:iCs/>
        </w:rPr>
        <w:t xml:space="preserve">plane.</w:t>
      </w:r>
      <w:r>
        <w:t xml:space="preserve"> </w:t>
      </w:r>
      <w:r>
        <w:rPr>
          <w:i/>
          <w:iCs/>
        </w:rPr>
        <w:t xml:space="preserve">Strategy dominance and monument investment across the two-dimensional parameter space defined by environmental uncertainty</w:t>
      </w:r>
      <w:r>
        <w:t xml:space="preserve"> </w:t>
      </w:r>
      <m:oMath>
        <m:r>
          <m:t>σ</m:t>
        </m:r>
      </m:oMath>
      <w:r>
        <w:t xml:space="preserve"> </w:t>
      </w:r>
      <w:r>
        <w:rPr>
          <w:i/>
          <w:iCs/>
        </w:rPr>
        <w:t xml:space="preserve">(horizontal axis) and ecotone advantage</w:t>
      </w:r>
      <w:r>
        <w:t xml:space="preserve"> </w:t>
      </w:r>
      <m:oMath>
        <m:r>
          <m:t>ε</m:t>
        </m:r>
      </m:oMath>
      <w:r>
        <w:t xml:space="preserve"> </w:t>
      </w:r>
      <w:r>
        <w:rPr>
          <w:i/>
          <w:iCs/>
        </w:rPr>
        <w:t xml:space="preserve">(vertical axis), produced by running the agent-based model on a grid spanning both parameters at otherwise PP-scenario settings. A) The analytical critical-threshold line (the value of</w:t>
      </w:r>
      <w:r>
        <w:t xml:space="preserve"> </w:t>
      </w:r>
      <m:oMath>
        <m:r>
          <m:t>σ</m:t>
        </m:r>
      </m:oMath>
      <w:r>
        <w:t xml:space="preserve"> </w:t>
      </w:r>
      <w:r>
        <w:rPr>
          <w:i/>
          <w:iCs/>
        </w:rP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for each</w:t>
      </w:r>
      <w:r>
        <w:t xml:space="preserve"> </w:t>
      </w:r>
      <m:oMath>
        <m:r>
          <m:t>ε</m:t>
        </m:r>
      </m:oMath>
      <w:r>
        <w:rPr>
          <w:i/>
          <w:iCs/>
        </w:rPr>
        <w:t xml:space="preserve">, derived in §2.4) is overlaid on a continuous color map of simulated strategy dominance (purple = independents dominate at</w:t>
      </w:r>
      <w:r>
        <w:t xml:space="preserve"> </w:t>
      </w:r>
      <m:oMath>
        <m:r>
          <m:t>σ</m:t>
        </m:r>
        <m:r>
          <m:rPr>
            <m:sty m:val="p"/>
          </m:rPr>
          <m:t>&lt;</m:t>
        </m:r>
        <m:sSup>
          <m:e>
            <m:r>
              <m:t>σ</m:t>
            </m:r>
          </m:e>
          <m:sup>
            <m:r>
              <m:rPr>
                <m:sty m:val="p"/>
              </m:rPr>
              <m:t>*</m:t>
            </m:r>
          </m:sup>
        </m:sSup>
      </m:oMath>
      <w:r>
        <w:rPr>
          <w:i/>
          <w:iCs/>
        </w:rPr>
        <w:t xml:space="preserve">; off-white = parity at the threshold; orange = aggregators dominate at</w:t>
      </w:r>
      <w:r>
        <w:t xml:space="preserve"> </w:t>
      </w:r>
      <m:oMath>
        <m:r>
          <m:t>σ</m:t>
        </m:r>
        <m:r>
          <m:rPr>
            <m:sty m:val="p"/>
          </m:rPr>
          <m:t>&gt;</m:t>
        </m:r>
        <m:sSup>
          <m:e>
            <m:r>
              <m:t>σ</m:t>
            </m:r>
          </m:e>
          <m:sup>
            <m:r>
              <m:rPr>
                <m:sty m:val="p"/>
              </m:rPr>
              <m:t>*</m:t>
            </m:r>
          </m:sup>
        </m:sSup>
      </m:oMath>
      <w:r>
        <w:rPr>
          <w:i/>
          <w:iCs/>
        </w:rPr>
        <w:t xml:space="preserve">). The threshold line falls along the color transition across the plane. B) Maximum monument accumulation occurs at high</w:t>
      </w:r>
      <w:r>
        <w:t xml:space="preserve"> </w:t>
      </w:r>
      <m:oMath>
        <m:r>
          <m:t>σ</m:t>
        </m:r>
      </m:oMath>
      <w:r>
        <w:t xml:space="preserve"> </w:t>
      </w:r>
      <w:r>
        <w:rPr>
          <w:i/>
          <w:iCs/>
        </w:rPr>
        <w:t xml:space="preserve">combined with high</w:t>
      </w:r>
      <w:r>
        <w:t xml:space="preserve"> </w:t>
      </w:r>
      <m:oMath>
        <m:r>
          <m:t>ε</m:t>
        </m:r>
      </m:oMath>
      <w:r>
        <w:rPr>
          <w:i/>
          <w:iCs/>
        </w:rPr>
        <w:t xml:space="preserve">, exactly where the framework predicts the strongest joint operation of uncertainty pressure and ecotone-buffered cooperation.</w:t>
      </w:r>
    </w:p>
    <w:bookmarkEnd w:id="45"/>
    <w:bookmarkStart w:id="46" w:name="signaling-vs-cooperation-ablation"/>
    <w:p>
      <w:pPr>
        <w:pStyle w:val="Heading3"/>
      </w:pPr>
      <w:r>
        <w:t xml:space="preserve">4.3 Signaling-vs-cooperation ablation</w:t>
      </w:r>
    </w:p>
    <w:p>
      <w:pPr>
        <w:pStyle w:val="FirstParagraph"/>
      </w:pPr>
      <w:r>
        <w:t xml:space="preserve">A reasonable concern about any signaling model is whether the signaling apparatus does explanatory work that generic cooperation theory does not. If a model that simply pools risk through cooperative networks produces the same predictions as one that adds signaling on top, then</w:t>
      </w:r>
      <w:r>
        <w:t xml:space="preserve"> </w:t>
      </w:r>
      <w:r>
        <w:t xml:space="preserve">“costly signaling”</w:t>
      </w:r>
      <w:r>
        <w:t xml:space="preserve"> </w:t>
      </w:r>
      <w:r>
        <w:t xml:space="preserve">on the threshold dimension is no more than collective-action theory in different vocabulary (cf. Penn and Szamadó 2020). We address this with an</w:t>
      </w:r>
      <w:r>
        <w:t xml:space="preserve"> </w:t>
      </w:r>
      <w:r>
        <w:rPr>
          <w:i/>
          <w:iCs/>
        </w:rPr>
        <w:t xml:space="preserve">ablation comparison</w:t>
      </w:r>
      <w: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on the basis of visible signals (i.e., monument contributions and exotic-goods possession),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t xml:space="preserve"> </w:t>
      </w:r>
      <m:oMath>
        <m:sSub>
          <m:e>
            <m:r>
              <m:t>σ</m:t>
            </m:r>
          </m:e>
          <m:sub>
            <m:r>
              <m:t>t</m:t>
            </m:r>
            <m:r>
              <m:t>a</m:t>
            </m:r>
            <m:r>
              <m:t>r</m:t>
            </m:r>
            <m:r>
              <m:t>g</m:t>
            </m:r>
            <m:r>
              <m:t>e</m:t>
            </m:r>
            <m:r>
              <m:t>t</m:t>
            </m:r>
          </m:sub>
        </m:sSub>
      </m:oMath>
      <w:r>
        <w:t xml:space="preserve"> </w:t>
      </w:r>
      <w:r>
        <w:t xml:space="preserve">sweep with PP-scenario parameters (</w:t>
      </w:r>
      <m:oMath>
        <m:r>
          <m:t>ε</m:t>
        </m:r>
        <m:r>
          <m:rPr>
            <m:sty m:val="p"/>
          </m:rPr>
          <m:t>=</m:t>
        </m:r>
        <m:r>
          <m:t>0.35</m:t>
        </m:r>
      </m:oMath>
      <w:r>
        <w:t xml:space="preserve">); the sweep configuration and per-cell statistics for both versions are documented in §S7.1.</w:t>
      </w:r>
    </w:p>
    <w:p>
      <w:pPr>
        <w:pStyle w:val="BodyText"/>
      </w:pPr>
      <w:r>
        <w:rPr>
          <w:b/>
          <w:bCs/>
        </w:rPr>
        <w:t xml:space="preserve">Result: the two versions cross the threshold at almost the same point.</w:t>
      </w:r>
      <w:r>
        <w:t xml:space="preserve"> </w:t>
      </w:r>
      <w:r>
        <w:t xml:space="preserve">The signal-conditional version crosses at</w:t>
      </w:r>
      <w:r>
        <w:t xml:space="preserve"> </w:t>
      </w:r>
      <m:oMath>
        <m:sSub>
          <m:e>
            <m:r>
              <m:t>σ</m:t>
            </m:r>
          </m:e>
          <m:sub>
            <m:r>
              <m:t>e</m:t>
            </m:r>
            <m:r>
              <m:t>f</m:t>
            </m:r>
            <m:r>
              <m:t>f</m:t>
            </m:r>
          </m:sub>
        </m:sSub>
        <m:r>
          <m:rPr>
            <m:sty m:val="p"/>
          </m:rPr>
          <m:t>≈</m:t>
        </m:r>
        <m:r>
          <m:t>0.42</m:t>
        </m:r>
      </m:oMath>
      <w:r>
        <w:t xml:space="preserve"> </w:t>
      </w:r>
      <w:r>
        <w:t xml:space="preserve">and the random-partner version at</w:t>
      </w:r>
      <w:r>
        <w:t xml:space="preserve"> </w:t>
      </w:r>
      <m:oMath>
        <m:sSub>
          <m:e>
            <m:r>
              <m:t>σ</m:t>
            </m:r>
          </m:e>
          <m:sub>
            <m:r>
              <m:t>e</m:t>
            </m:r>
            <m:r>
              <m:t>f</m:t>
            </m:r>
            <m:r>
              <m:t>f</m:t>
            </m:r>
          </m:sub>
        </m:sSub>
        <m:r>
          <m:rPr>
            <m:sty m:val="p"/>
          </m:rPr>
          <m:t>≈</m:t>
        </m:r>
        <m:r>
          <m:t>0.41</m:t>
        </m:r>
      </m:oMath>
      <w:r>
        <w:t xml:space="preserve">, a difference of about 2.4% in realized</w:t>
      </w:r>
      <w:r>
        <w:t xml:space="preserve"> </w:t>
      </w:r>
      <m:oMath>
        <m:sSub>
          <m:e>
            <m:r>
              <m:t>σ</m:t>
            </m:r>
          </m:e>
          <m:sub>
            <m:r>
              <m:t>e</m:t>
            </m:r>
            <m:r>
              <m:t>f</m:t>
            </m:r>
            <m:r>
              <m:t>f</m:t>
            </m:r>
          </m:sub>
        </m:sSub>
      </m:oMath>
      <w:r>
        <w:t xml:space="preserve"> </w:t>
      </w:r>
      <w:r>
        <w:t xml:space="preserve">that lies well within the replicate-to-replicate noise. Both versions reach near-total aggregator dominance (</w:t>
      </w:r>
      <m:oMath>
        <m:r>
          <m:rPr>
            <m:sty m:val="p"/>
          </m:rPr>
          <m:t>≈</m:t>
        </m:r>
        <m:r>
          <m:rPr>
            <m:sty m:val="p"/>
          </m:rPr>
          <m:t>+</m:t>
        </m:r>
        <m:r>
          <m:t>0.90</m:t>
        </m:r>
      </m:oMath>
      <w:r>
        <w:t xml:space="preserve">) at the highest uncertainty levels. At the parameterization used here, the signaling apparatus does not move the threshold relative to a network-cooperation model with random partner choice. The point-by-point comparison statistics are reported in §S7.1.</w:t>
      </w:r>
    </w:p>
    <w:p>
      <w:pPr>
        <w:pStyle w:val="BodyText"/>
      </w:pPr>
      <w: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where the threshold lies.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and Kidder and Grooms (2025:7) describe the flow as effectively one-directional. Under the signaling reading, exotic acquisition operates through partner-choice premium at the gathering, so material accumulates at the hub while only personal-effects fractions return home with visitor bands; that is the pattern observed. The alternatives predict different patterns. A generic down-the-line exchange predicts smooth distance-decay from each geological source, with no single node dominating; the Smith 1991 concentration figures rule this out. Risk-pooling, as read in the Halstead and O’Shea (1989) tradition, predicts bidirectional flow at the hub, with exotics moving in during productive years and out (or converted to subsistence media) during shortfall years; the observed pattern is monotonic inflow during the active period rather than bidirectional storage and redistribution. Subsistence-level risk-pooling among hunter-gatherers operates primarily in food, dried provisions, labor, and hospitality during the dispersed phase, none of which are preserved archaeologically as well as galena and steatite; the exotic-flow signature is therefore a secondary indicator of regional flow asymmetry rather than a direct measure of risk-pooling itself. The framework passes the discriminating test on the existing record despite producing no detectable threshold shift.</w:t>
      </w:r>
    </w:p>
    <w:p>
      <w:pPr>
        <w:pStyle w:val="BodyText"/>
      </w:pPr>
      <w:r>
        <w:t xml:space="preserve">The second reading is that in the threshold dimension, the framework reduces to a multilevel-selection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t xml:space="preserve"> </w:t>
      </w:r>
      <w:r>
        <w:rPr>
          <w:i/>
          <w:iCs/>
        </w:rPr>
        <w:t xml:space="preserve">costly signaling</w:t>
      </w:r>
      <w:r>
        <w:t xml:space="preserve"> </w:t>
      </w:r>
      <w:r>
        <w:t xml:space="preserve">on this dimension; rather, the cooperation-network channel (</w:t>
      </w:r>
      <m:oMath>
        <m:sSub>
          <m:e>
            <m:r>
              <m:t>λ</m:t>
            </m:r>
          </m:e>
          <m:sub>
            <m:r>
              <m:t>X</m:t>
            </m:r>
          </m:sub>
        </m:sSub>
      </m:oMath>
      <w:r>
        <w:t xml:space="preserve">) produces the threshold, and the signal-conditional partner formation layered on top does not shift it further.</w:t>
      </w:r>
    </w:p>
    <w:p>
      <w:pPr>
        <w:pStyle w:val="BodyText"/>
      </w:pPr>
      <w:r>
        <w:t xml:space="preserve">The ablation result reported here does not resolve the discrepancy between these two findings. The choice is made by a different test, the spatial-flow signature evaluated in §6.1, not by where the threshold lies.</w:t>
      </w:r>
    </w:p>
    <w:p>
      <w:pPr>
        <w:pStyle w:val="BodyText"/>
      </w:pPr>
      <w:r>
        <w:t xml:space="preserve">For completeness, we also report an earlier surrogate test that the framework used prior to the random-partner comparison. Setting the within-group reward parameter</w:t>
      </w:r>
      <w:r>
        <w:t xml:space="preserve"> </w:t>
      </w:r>
      <m:oMath>
        <m:sSub>
          <m:e>
            <m:r>
              <m:t>λ</m:t>
            </m:r>
          </m:e>
          <m:sub>
            <m:r>
              <m:t>W</m:t>
            </m:r>
          </m:sub>
        </m:sSub>
      </m:oMath>
      <w:r>
        <w:t xml:space="preserve"> </w:t>
      </w:r>
      <w:r>
        <w:t xml:space="preserve">to zero (i.e., removing the bonus that visibly cooperative bands receive, while leaving all network and ecotone effects intact) shifts the analytical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upward move. Sweeping</w:t>
      </w:r>
      <w:r>
        <w:t xml:space="preserve"> </w:t>
      </w:r>
      <m:oMath>
        <m:sSub>
          <m:e>
            <m:r>
              <m:t>λ</m:t>
            </m:r>
          </m:e>
          <m:sub>
            <m:r>
              <m:t>W</m:t>
            </m:r>
          </m:sub>
        </m:sSub>
      </m:oMath>
      <w:r>
        <w:t xml:space="preserve"> </w:t>
      </w:r>
      <w:r>
        <w:t xml:space="preserve">across its plausible ethnographic range</w:t>
      </w:r>
      <w:r>
        <w:t xml:space="preserve"> </w:t>
      </w:r>
      <m:oMath>
        <m:r>
          <m:rPr>
            <m:sty m:val="p"/>
          </m:rPr>
          <m:t>[</m:t>
        </m:r>
        <m:r>
          <m:t>0.05</m:t>
        </m:r>
        <m:r>
          <m:rPr>
            <m:sty m:val="p"/>
          </m:rPr>
          <m:t>,</m:t>
        </m:r>
        <m:r>
          <m:t>0.30</m:t>
        </m:r>
        <m:r>
          <m:rPr>
            <m:sty m:val="p"/>
          </m:rPr>
          <m:t>]</m:t>
        </m:r>
      </m:oMath>
      <w:r>
        <w:t xml:space="preserve"> </w:t>
      </w:r>
      <w:r>
        <w:t xml:space="preserve">traces</w:t>
      </w:r>
      <w:r>
        <w:t xml:space="preserve"> </w:t>
      </w:r>
      <m:oMath>
        <m:sSup>
          <m:e>
            <m:r>
              <m:t>σ</m:t>
            </m:r>
          </m:e>
          <m:sup>
            <m:r>
              <m:rPr>
                <m:sty m:val="p"/>
              </m:rPr>
              <m:t>*</m:t>
            </m:r>
          </m:sup>
        </m:sSup>
      </m:oMath>
      <w:r>
        <w:t xml:space="preserve"> </w:t>
      </w:r>
      <w:r>
        <w:t xml:space="preserve">monotonically from 0.543 to 0.263. This sensitivity indicates that</w:t>
      </w:r>
      <w:r>
        <w:t xml:space="preserve"> </w:t>
      </w:r>
      <m:oMath>
        <m:sSub>
          <m:e>
            <m:r>
              <m:t>λ</m:t>
            </m:r>
          </m:e>
          <m:sub>
            <m:r>
              <m:t>W</m:t>
            </m:r>
          </m:sub>
        </m:sSub>
      </m:oMath>
      <w:r>
        <w:t xml:space="preserve"> </w:t>
      </w:r>
      <w:r>
        <w:t xml:space="preserve">is not a free dial; its value matters quantitatively in determining the threshold location. But the test does not isolate signaling from generic cooperation, because what is removed by setting</w:t>
      </w:r>
      <w:r>
        <w:t xml:space="preserve"> </w:t>
      </w:r>
      <m:oMath>
        <m:sSub>
          <m:e>
            <m:r>
              <m:t>λ</m:t>
            </m:r>
          </m:e>
          <m:sub>
            <m:r>
              <m:t>W</m:t>
            </m:r>
          </m:sub>
        </m:sSub>
        <m:r>
          <m:rPr>
            <m:sty m:val="p"/>
          </m:rPr>
          <m:t>=</m:t>
        </m:r>
        <m:r>
          <m:t>0</m:t>
        </m:r>
      </m:oMath>
      <w:r>
        <w:t xml:space="preserve"> </w:t>
      </w:r>
      <w: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t xml:space="preserve">The plausible-range claim for</w:t>
      </w:r>
      <w:r>
        <w:t xml:space="preserve"> </w:t>
      </w:r>
      <m:oMath>
        <m:sSub>
          <m:e>
            <m:r>
              <m:t>λ</m:t>
            </m:r>
          </m:e>
          <m:sub>
            <m:r>
              <m:t>W</m:t>
            </m:r>
          </m:sub>
        </m:sSub>
      </m:oMath>
      <w:r>
        <w:t xml:space="preserve"> </w:t>
      </w:r>
      <w: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its plausible range.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t xml:space="preserve">‘hoansi (!Kung) record showing that good hunters’</w:t>
      </w:r>
      <w:r>
        <w:t xml:space="preserve"> </w:t>
      </w:r>
      <w: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t xml:space="preserve"> </w:t>
      </w:r>
      <m:oMath>
        <m:sSub>
          <m:e>
            <m:r>
              <m:t>λ</m:t>
            </m:r>
          </m:e>
          <m:sub>
            <m:r>
              <m:t>W</m:t>
            </m:r>
          </m:sub>
        </m:sSub>
      </m:oMath>
      <w:r>
        <w:t xml:space="preserve"> </w:t>
      </w:r>
      <w:r>
        <w:t xml:space="preserve">on the order of</w:t>
      </w:r>
      <w:r>
        <w:t xml:space="preserve"> </w:t>
      </w:r>
      <m:oMath>
        <m:r>
          <m:t>0.05</m:t>
        </m:r>
      </m:oMath>
      <w:r>
        <w:t xml:space="preserve">-</w:t>
      </w:r>
      <m:oMath>
        <m:r>
          <m:t>0.30</m:t>
        </m:r>
      </m:oMath>
      <w:r>
        <w:t xml:space="preserve">, with central values around</w:t>
      </w:r>
      <w:r>
        <w:t xml:space="preserve"> </w:t>
      </w:r>
      <m:oMath>
        <m:r>
          <m:t>0.10</m:t>
        </m:r>
      </m:oMath>
      <w:r>
        <w:t xml:space="preserve">-</w:t>
      </w:r>
      <m:oMath>
        <m:r>
          <m:t>0.20</m:t>
        </m:r>
      </m:oMath>
      <w:r>
        <w:t xml:space="preserve">. We do not claim that this analysis derives</w:t>
      </w:r>
      <w:r>
        <w:t xml:space="preserve"> </w:t>
      </w:r>
      <m:oMath>
        <m:sSub>
          <m:e>
            <m:r>
              <m:t>λ</m:t>
            </m:r>
          </m:e>
          <m:sub>
            <m:r>
              <m:t>W</m:t>
            </m:r>
          </m:sub>
        </m:sSub>
      </m:oMath>
      <w:r>
        <w:t xml:space="preserve"> </w:t>
      </w:r>
      <w:r>
        <w:t xml:space="preserve">from the data; it brackets a defensible range within which the asserted central value of 0.15 lies. The corresponding threshold sensitivity to</w:t>
      </w:r>
      <w:r>
        <w:t xml:space="preserve"> </w:t>
      </w:r>
      <m:oMath>
        <m:sSub>
          <m:e>
            <m:r>
              <m:t>λ</m:t>
            </m:r>
          </m:e>
          <m:sub>
            <m:r>
              <m:t>W</m:t>
            </m:r>
          </m:sub>
        </m:sSub>
      </m:oMath>
      <w:r>
        <w:t xml:space="preserve"> </w:t>
      </w:r>
      <w:r>
        <w:t xml:space="preserve">across this range is reported in §4.4.</w:t>
      </w:r>
    </w:p>
    <w:bookmarkEnd w:id="46"/>
    <w:bookmarkStart w:id="47" w:name="sensitivity"/>
    <w:p>
      <w:pPr>
        <w:pStyle w:val="Heading3"/>
      </w:pPr>
      <w:r>
        <w:t xml:space="preserve">4.4 Sensitivity</w:t>
      </w:r>
    </w:p>
    <w:p>
      <w:pPr>
        <w:pStyle w:val="FirstParagraph"/>
      </w:pPr>
      <w:r>
        <w:t xml:space="preserve">A one-at-a-time (OAT) sensitivity analysis varies each model parameter individually across a defined range while holding the other parameters at their default values, and records how much the critical threshold</w:t>
      </w:r>
      <w:r>
        <w:t xml:space="preserve"> </w:t>
      </w:r>
      <m:oMath>
        <m:sSup>
          <m:e>
            <m:r>
              <m:t>σ</m:t>
            </m:r>
          </m:e>
          <m:sup>
            <m:r>
              <m:rPr>
                <m:sty m:val="p"/>
              </m:rPr>
              <m:t>*</m:t>
            </m:r>
          </m:sup>
        </m:sSup>
      </m:oMath>
      <w:r>
        <w:t xml:space="preserve"> </w:t>
      </w:r>
      <w:r>
        <w:t xml:space="preserve">changes as a result. The resulting</w:t>
      </w:r>
      <w:r>
        <w:t xml:space="preserve"> </w:t>
      </w:r>
      <w:r>
        <w:rPr>
          <w:i/>
          <w:iCs/>
        </w:rPr>
        <w:t xml:space="preserve">swing</w:t>
      </w:r>
      <w:r>
        <w:t xml:space="preserve"> </w:t>
      </w:r>
      <w:r>
        <w:t xml:space="preserve">is the difference between the highest and lowest</w:t>
      </w:r>
      <w:r>
        <w:t xml:space="preserve"> </w:t>
      </w:r>
      <m:oMath>
        <m:sSup>
          <m:e>
            <m:r>
              <m:t>σ</m:t>
            </m:r>
          </m:e>
          <m:sup>
            <m:r>
              <m:rPr>
                <m:sty m:val="p"/>
              </m:rPr>
              <m:t>*</m:t>
            </m:r>
          </m:sup>
        </m:sSup>
      </m:oMath>
      <w:r>
        <w:t xml:space="preserve"> </w:t>
      </w:r>
      <w:r>
        <w:t xml:space="preserve">produced across the parameter’s tested range, and it measures how strongly that parameter influences the threshold. With baseline</w:t>
      </w:r>
      <w:r>
        <w:t xml:space="preserve"> </w:t>
      </w:r>
      <m:oMath>
        <m:sSup>
          <m:e>
            <m:r>
              <m:t>σ</m:t>
            </m:r>
          </m:e>
          <m:sup>
            <m:r>
              <m:rPr>
                <m:sty m:val="p"/>
              </m:rPr>
              <m:t>*</m:t>
            </m:r>
          </m:sup>
        </m:sSup>
        <m:r>
          <m:rPr>
            <m:sty m:val="p"/>
          </m:rPr>
          <m:t>≈</m:t>
        </m:r>
        <m:r>
          <m:t>0.40</m:t>
        </m:r>
      </m:oMath>
      <w:r>
        <w:t xml:space="preserve"> </w:t>
      </w:r>
      <w:r>
        <w:t xml:space="preserve">at PP-scenario parameters, a swing of 0.20 means the threshold can move by half its baseline value depending on the setting of that parameter alone. The full table is in Supplemental §S3.1.</w:t>
      </w:r>
    </w:p>
    <w:p>
      <w:pPr>
        <w:pStyle w:val="BodyText"/>
      </w:pPr>
      <w:r>
        <w:t xml:space="preserve">Four parameters produce large swings. Varying the signaling-investment cost</w:t>
      </w:r>
      <w:r>
        <w:t xml:space="preserve"> </w:t>
      </w:r>
      <m:oMath>
        <m:sSub>
          <m:e>
            <m:r>
              <m:t>C</m:t>
            </m:r>
          </m:e>
          <m:sub>
            <m:r>
              <m:t>s</m:t>
            </m:r>
            <m:r>
              <m:t>i</m:t>
            </m:r>
            <m:r>
              <m:t>g</m:t>
            </m:r>
            <m:r>
              <m:t>n</m:t>
            </m:r>
            <m:r>
              <m:t>a</m:t>
            </m:r>
            <m:r>
              <m:t>l</m:t>
            </m:r>
          </m:sub>
        </m:sSub>
      </m:oMath>
      <w:r>
        <w:t xml:space="preserve"> </w:t>
      </w:r>
      <w:r>
        <w:t xml:space="preserve">across</w:t>
      </w:r>
      <w:r>
        <w:t xml:space="preserve"> </w:t>
      </w:r>
      <m:oMath>
        <m:r>
          <m:rPr>
            <m:sty m:val="p"/>
          </m:rPr>
          <m:t>±</m:t>
        </m:r>
        <m:r>
          <m:t>50</m:t>
        </m:r>
        <m:r>
          <m:rPr>
            <m:sty m:val="p"/>
          </m:rPr>
          <m:t>%</m:t>
        </m:r>
      </m:oMath>
      <w:r>
        <w:t xml:space="preserve"> </w:t>
      </w:r>
      <w:r>
        <w:t xml:space="preserve">of its default produces a swing of 0.225 in</w:t>
      </w:r>
      <w:r>
        <w:t xml:space="preserve"> </w:t>
      </w:r>
      <m:oMath>
        <m:sSup>
          <m:e>
            <m:r>
              <m:t>σ</m:t>
            </m:r>
          </m:e>
          <m:sup>
            <m:r>
              <m:rPr>
                <m:sty m:val="p"/>
              </m:rPr>
              <m:t>*</m:t>
            </m:r>
          </m:sup>
        </m:sSup>
      </m:oMath>
      <w:r>
        <w:t xml:space="preserve">. Varying the ecotone advantage</w:t>
      </w:r>
      <w:r>
        <w:t xml:space="preserve"> </w:t>
      </w:r>
      <m:oMath>
        <m:r>
          <m:t>ε</m:t>
        </m:r>
      </m:oMath>
      <w:r>
        <w:t xml:space="preserve"> </w:t>
      </w:r>
      <w:r>
        <w:t xml:space="preserve">across its full plausible range</w:t>
      </w:r>
      <w:r>
        <w:t xml:space="preserve"> </w:t>
      </w:r>
      <m:oMath>
        <m:r>
          <m:rPr>
            <m:sty m:val="p"/>
          </m:rPr>
          <m:t>[</m:t>
        </m:r>
        <m:r>
          <m:t>0.10</m:t>
        </m:r>
        <m:r>
          <m:rPr>
            <m:sty m:val="p"/>
          </m:rPr>
          <m:t>,</m:t>
        </m:r>
        <m:r>
          <m:t>0.50</m:t>
        </m:r>
        <m:r>
          <m:rPr>
            <m:sty m:val="p"/>
          </m:rPr>
          <m:t>]</m:t>
        </m:r>
      </m:oMath>
      <w:r>
        <w:t xml:space="preserve"> </w:t>
      </w:r>
      <w:r>
        <w:t xml:space="preserve">produces a swing of 0.154; varying the opportunity cost</w:t>
      </w:r>
      <w:r>
        <w:t xml:space="preserve"> </w:t>
      </w:r>
      <m:oMath>
        <m:sSub>
          <m:e>
            <m:r>
              <m:t>C</m:t>
            </m:r>
          </m:e>
          <m:sub>
            <m:r>
              <m:t>o</m:t>
            </m:r>
            <m:r>
              <m:t>p</m:t>
            </m:r>
            <m:r>
              <m:t>p</m:t>
            </m:r>
            <m:r>
              <m:t>o</m:t>
            </m:r>
            <m:r>
              <m:t>r</m:t>
            </m:r>
            <m:r>
              <m:t>t</m:t>
            </m:r>
            <m:r>
              <m:t>u</m:t>
            </m:r>
            <m:r>
              <m:t>n</m:t>
            </m:r>
            <m:r>
              <m:t>i</m:t>
            </m:r>
            <m:r>
              <m:t>t</m:t>
            </m:r>
            <m:r>
              <m:t>y</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0.150; and varying the within-group signaling reward</w:t>
      </w:r>
      <w:r>
        <w:t xml:space="preserve"> </w:t>
      </w:r>
      <m:oMath>
        <m:sSub>
          <m:e>
            <m:r>
              <m:t>λ</m:t>
            </m:r>
          </m:e>
          <m:sub>
            <m:r>
              <m:t>W</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0.137. The network parameters (</w:t>
      </w:r>
      <m:oMath>
        <m:sSub>
          <m:e>
            <m:r>
              <m:t>k</m:t>
            </m:r>
          </m:e>
          <m:sub>
            <m:r>
              <m:rPr>
                <m:sty m:val="p"/>
              </m:rPr>
              <m:t>max</m:t>
            </m:r>
          </m:sub>
        </m:sSub>
      </m:oMath>
      <w:r>
        <w:t xml:space="preserve">,</w:t>
      </w:r>
      <w:r>
        <w:t xml:space="preserve"> </w:t>
      </w:r>
      <m:oMath>
        <m:r>
          <m:t>γ</m:t>
        </m:r>
      </m:oMath>
      <w:r>
        <w:t xml:space="preserve">) and travel-cost coefficient produce moderate swings. Three parameters leave the threshold essentially unchanged: monument depreciation (</w:t>
      </w:r>
      <m:oMath>
        <m:r>
          <m:t>δ</m:t>
        </m:r>
      </m:oMath>
      <w:r>
        <w:t xml:space="preserve">), the half-saturation constant (</w:t>
      </w:r>
      <m:oMath>
        <m:sSub>
          <m:e>
            <m:r>
              <m:t>M</m:t>
            </m:r>
          </m:e>
          <m:sub>
            <m:r>
              <m:t>h</m:t>
            </m:r>
            <m:r>
              <m:t>a</m:t>
            </m:r>
            <m:r>
              <m:t>l</m:t>
            </m:r>
            <m:r>
              <m:t>f</m:t>
            </m:r>
          </m:sub>
        </m:sSub>
      </m:oMath>
      <w:r>
        <w:t xml:space="preserve">), and aggregation size (</w:t>
      </w:r>
      <m:oMath>
        <m:sSub>
          <m:e>
            <m:r>
              <m:t>n</m:t>
            </m:r>
          </m:e>
          <m:sub>
            <m:r>
              <m:t>a</m:t>
            </m:r>
            <m:r>
              <m:t>g</m:t>
            </m:r>
            <m:r>
              <m:t>g</m:t>
            </m:r>
          </m:sub>
        </m:sSub>
      </m:oMath>
      <w:r>
        <w:t xml:space="preserve"> </w:t>
      </w:r>
      <w:r>
        <w:t xml:space="preserve">over the plausible range</w:t>
      </w:r>
      <w:r>
        <w:t xml:space="preserve"> </w:t>
      </w:r>
      <m:oMath>
        <m:r>
          <m:t>5</m:t>
        </m:r>
        <m:r>
          <m:rPr>
            <m:sty m:val="p"/>
          </m:rPr>
          <m:t>≤</m:t>
        </m:r>
        <m:sSub>
          <m:e>
            <m:r>
              <m:t>n</m:t>
            </m:r>
          </m:e>
          <m:sub>
            <m:r>
              <m:t>a</m:t>
            </m:r>
            <m:r>
              <m:t>g</m:t>
            </m:r>
            <m:r>
              <m:t>g</m:t>
            </m:r>
          </m:sub>
        </m:sSub>
        <m:r>
          <m:rPr>
            <m:sty m:val="p"/>
          </m:rPr>
          <m:t>≤</m:t>
        </m:r>
        <m:r>
          <m:t>50</m:t>
        </m:r>
      </m:oMath>
      <w:r>
        <w:t xml:space="preserve">) show swings below 0.02. The cooperation-network channel parameters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register zero sensitivity because their values are not free dials but are determined endogenously by the lambda-sigma feedback loop, so perturbing their starting values does not affect the equilibrium the loop converges to.</w:t>
      </w:r>
    </w:p>
    <w:p>
      <w:pPr>
        <w:pStyle w:val="BodyText"/>
      </w:pPr>
      <w:r>
        <w:t xml:space="preserve">The substantive implication is that the threshold’s location is set primarily by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 and by ecotone access (</w:t>
      </w:r>
      <m:oMath>
        <m:r>
          <m:t>ε</m:t>
        </m:r>
      </m:oMath>
      <w:r>
        <w:t xml:space="preserve">). The within-group signaling reward</w:t>
      </w:r>
      <w:r>
        <w:t xml:space="preserve"> </w:t>
      </w:r>
      <m:oMath>
        <m:sSub>
          <m:e>
            <m:r>
              <m:t>λ</m:t>
            </m:r>
          </m:e>
          <m:sub>
            <m:r>
              <m:t>W</m:t>
            </m:r>
          </m:sub>
        </m:sSub>
      </m:oMath>
      <w:r>
        <w:t xml:space="preserve"> </w:t>
      </w:r>
      <w:r>
        <w:t xml:space="preserve">modulates the threshold but does not dominate it. The cooperation-network channels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t xml:space="preserve">5. The Lower Mississippi Valley Late Archaic record</w:t>
      </w:r>
    </w:p>
    <w:p>
      <w:pPr>
        <w:pStyle w:val="FirstParagraph"/>
      </w:pPr>
      <w:r>
        <w:t xml:space="preserve">We now turn from the framework’s theoretical predictions to its empirical sufficiency. The Lower Mississippi Valley between approximately 4,200 and 3,000 cal BP records the densest expression of the Eastern Archaic monumental tradition and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t xml:space="preserve">5.1 Site inventory</w:t>
      </w:r>
    </w:p>
    <w:p>
      <w:pPr>
        <w:pStyle w:val="FirstParagraph"/>
      </w:pPr>
      <w: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provides the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b/>
          <w:bCs/>
        </w:rPr>
        <w:t xml:space="preserve">Table 1.</w:t>
      </w:r>
      <w:r>
        <w:t xml:space="preserve"> </w:t>
      </w:r>
      <w:r>
        <w:rPr>
          <w:i/>
          <w:iCs/>
        </w:rPr>
        <w:t xml:space="preserve">The eleven LMV sites. Coordinates are decimal degrees (NAD83), derived from the source UTM coordinates in data/site utms.xlsx (zone 15N for interior LA/MS sites; zone 16N for the coastal MS pair).</w:t>
      </w:r>
      <w:r>
        <w:rPr>
          <w:i/>
          <w:iCs/>
        </w:rPr>
        <w:t xml:space="preserve"> </w:t>
      </w:r>
      <w:r>
        <w:rPr>
          <w:i/>
          <w:iCs/>
        </w:rPr>
        <w:t xml:space="preserve">“Period”</w:t>
      </w:r>
      <w:r>
        <w:rPr>
          <w:i/>
          <w:iCs/>
        </w:rPr>
        <w:t xml:space="preserve"> </w:t>
      </w:r>
      <w:r>
        <w:rPr>
          <w:i/>
          <w:iCs/>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4955"/>
        <w:tblLayout w:type="fixed"/>
        <w:tblLook w:firstRow="1" w:lastRow="0" w:firstColumn="0" w:lastColumn="0" w:noHBand="0" w:noVBand="0" w:val="0020"/>
      </w:tblPr>
      <w:tblGrid>
        <w:gridCol w:w="1044"/>
        <w:gridCol w:w="972"/>
        <w:gridCol w:w="756"/>
        <w:gridCol w:w="2124"/>
        <w:gridCol w:w="2196"/>
        <w:gridCol w:w="756"/>
      </w:tblGrid>
      <w:tr>
        <w:trPr>
          <w:tblHeader w:val="on"/>
        </w:trPr>
        <w:tc>
          <w:tcPr/>
          <w:p>
            <w:pPr>
              <w:pStyle w:val="Compact"/>
              <w:jc w:val="left"/>
            </w:pPr>
            <w:r>
              <w:rPr>
                <w:b/>
                <w:bCs/>
              </w:rPr>
              <w:t xml:space="preserve">Site (trinomial)</w:t>
            </w:r>
          </w:p>
        </w:tc>
        <w:tc>
          <w:tcPr/>
          <w:p>
            <w:pPr>
              <w:pStyle w:val="Compact"/>
              <w:jc w:val="left"/>
            </w:pPr>
            <w:r>
              <w:rPr>
                <w:b/>
                <w:bCs/>
              </w:rPr>
              <w:t xml:space="preserve">County/Parish, State</w:t>
            </w:r>
          </w:p>
        </w:tc>
        <w:tc>
          <w:tcPr/>
          <w:p>
            <w:pPr>
              <w:pStyle w:val="Compact"/>
              <w:jc w:val="left"/>
            </w:pPr>
            <w:r>
              <w:rPr>
                <w:b/>
                <w:bCs/>
              </w:rPr>
              <w:t xml:space="preserve">Lat / Lon</w:t>
            </w:r>
          </w:p>
        </w:tc>
        <w:tc>
          <w:tcPr/>
          <w:p>
            <w:pPr>
              <w:pStyle w:val="Compact"/>
              <w:jc w:val="left"/>
            </w:pPr>
            <w:r>
              <w:rPr>
                <w:b/>
                <w:bCs/>
              </w:rPr>
              <w:t xml:space="preserve">Setting</w:t>
            </w:r>
          </w:p>
        </w:tc>
        <w:tc>
          <w:tcPr/>
          <w:p>
            <w:pPr>
              <w:pStyle w:val="Compact"/>
              <w:jc w:val="left"/>
            </w:pPr>
            <w:r>
              <w:rPr>
                <w:b/>
                <w:bCs/>
              </w:rPr>
              <w:t xml:space="preserve">Dates (cal BP)</w:t>
            </w:r>
          </w:p>
        </w:tc>
        <w:tc>
          <w:tcPr/>
          <w:p>
            <w:pPr>
              <w:pStyle w:val="Compact"/>
              <w:jc w:val="left"/>
            </w:pPr>
            <w:r>
              <w:rPr>
                <w:b/>
                <w:bCs/>
              </w:rPr>
              <w:t xml:space="preserve">Monument scale</w:t>
            </w:r>
          </w:p>
        </w:tc>
      </w:tr>
      <w:tr>
        <w:tc>
          <w:tcPr/>
          <w:p>
            <w:pPr>
              <w:pStyle w:val="Compact"/>
              <w:jc w:val="left"/>
            </w:pPr>
            <w:r>
              <w:t xml:space="preserve">Poverty Point (16WC5)</w:t>
            </w:r>
          </w:p>
        </w:tc>
        <w:tc>
          <w:tcPr/>
          <w:p>
            <w:pPr>
              <w:pStyle w:val="Compact"/>
              <w:jc w:val="left"/>
            </w:pPr>
            <w:r>
              <w:t xml:space="preserve">West Carroll, LA</w:t>
            </w:r>
          </w:p>
        </w:tc>
        <w:tc>
          <w:tcPr/>
          <w:p>
            <w:pPr>
              <w:pStyle w:val="Compact"/>
              <w:jc w:val="left"/>
            </w:pPr>
            <w:r>
              <w:t xml:space="preserve">32.6366 / -91.4074</w:t>
            </w:r>
          </w:p>
        </w:tc>
        <w:tc>
          <w:tcPr/>
          <w:p>
            <w:pPr>
              <w:pStyle w:val="Compact"/>
              <w:jc w:val="left"/>
            </w:pPr>
            <w:r>
              <w:t xml:space="preserve">Macon Ridge / Bayou Maçon confluence</w:t>
            </w:r>
          </w:p>
        </w:tc>
        <w:tc>
          <w:tcPr/>
          <w:p>
            <w:pPr>
              <w:pStyle w:val="Compact"/>
              <w:jc w:val="left"/>
            </w:pPr>
            <w:r>
              <w:t xml:space="preserve">3650-3050</w:t>
            </w:r>
          </w:p>
        </w:tc>
        <w:tc>
          <w:tcPr/>
          <w:p>
            <w:pPr>
              <w:pStyle w:val="Compact"/>
              <w:jc w:val="left"/>
            </w:pPr>
            <w:r>
              <w:t xml:space="preserve">Very large</w:t>
            </w:r>
          </w:p>
        </w:tc>
      </w:tr>
      <w:tr>
        <w:tc>
          <w:tcPr/>
          <w:p>
            <w:pPr>
              <w:pStyle w:val="Compact"/>
              <w:jc w:val="left"/>
            </w:pPr>
            <w:r>
              <w:t xml:space="preserve">Lower Jackson (16WC10)</w:t>
            </w:r>
          </w:p>
        </w:tc>
        <w:tc>
          <w:tcPr/>
          <w:p>
            <w:pPr>
              <w:pStyle w:val="Compact"/>
              <w:jc w:val="left"/>
            </w:pPr>
            <w:r>
              <w:t xml:space="preserve">West Carroll, LA</w:t>
            </w:r>
          </w:p>
        </w:tc>
        <w:tc>
          <w:tcPr/>
          <w:p>
            <w:pPr>
              <w:pStyle w:val="Compact"/>
              <w:jc w:val="left"/>
            </w:pPr>
            <w:r>
              <w:t xml:space="preserve">32.6105 / -91.4108</w:t>
            </w:r>
          </w:p>
        </w:tc>
        <w:tc>
          <w:tcPr/>
          <w:p>
            <w:pPr>
              <w:pStyle w:val="Compact"/>
              <w:jc w:val="left"/>
            </w:pPr>
            <w:r>
              <w:t xml:space="preserve">Macon Ridge, ~3 km S of PP</w:t>
            </w:r>
          </w:p>
        </w:tc>
        <w:tc>
          <w:tcPr/>
          <w:p>
            <w:pPr>
              <w:pStyle w:val="Compact"/>
              <w:jc w:val="left"/>
            </w:pPr>
            <w:r>
              <w:t xml:space="preserve">~5500</w:t>
            </w:r>
          </w:p>
        </w:tc>
        <w:tc>
          <w:tcPr/>
          <w:p>
            <w:pPr>
              <w:pStyle w:val="Compact"/>
              <w:jc w:val="left"/>
            </w:pPr>
            <w:r>
              <w:t xml:space="preserve">Minimal</w:t>
            </w:r>
          </w:p>
        </w:tc>
      </w:tr>
      <w:tr>
        <w:tc>
          <w:tcPr/>
          <w:p>
            <w:pPr>
              <w:pStyle w:val="Compact"/>
              <w:jc w:val="left"/>
            </w:pPr>
            <w:r>
              <w:t xml:space="preserve">Watson Brake (16OU175)</w:t>
            </w:r>
          </w:p>
        </w:tc>
        <w:tc>
          <w:tcPr/>
          <w:p>
            <w:pPr>
              <w:pStyle w:val="Compact"/>
              <w:jc w:val="left"/>
            </w:pPr>
            <w:r>
              <w:t xml:space="preserve">Ouachita, LA</w:t>
            </w:r>
          </w:p>
        </w:tc>
        <w:tc>
          <w:tcPr/>
          <w:p>
            <w:pPr>
              <w:pStyle w:val="Compact"/>
              <w:jc w:val="left"/>
            </w:pPr>
            <w:r>
              <w:t xml:space="preserve">32.3684 / -92.1311</w:t>
            </w:r>
          </w:p>
        </w:tc>
        <w:tc>
          <w:tcPr/>
          <w:p>
            <w:pPr>
              <w:pStyle w:val="Compact"/>
              <w:jc w:val="left"/>
            </w:pPr>
            <w:r>
              <w:t xml:space="preserve">Pleistocene terrace / Ouachita River</w:t>
            </w:r>
          </w:p>
        </w:tc>
        <w:tc>
          <w:tcPr/>
          <w:p>
            <w:pPr>
              <w:pStyle w:val="Compact"/>
              <w:jc w:val="left"/>
            </w:pPr>
            <w:r>
              <w:t xml:space="preserve">5400-4700</w:t>
            </w:r>
          </w:p>
        </w:tc>
        <w:tc>
          <w:tcPr/>
          <w:p>
            <w:pPr>
              <w:pStyle w:val="Compact"/>
              <w:jc w:val="left"/>
            </w:pPr>
            <w:r>
              <w:t xml:space="preserve">Mid</w:t>
            </w:r>
          </w:p>
        </w:tc>
      </w:tr>
      <w:tr>
        <w:tc>
          <w:tcPr/>
          <w:p>
            <w:pPr>
              <w:pStyle w:val="Compact"/>
              <w:jc w:val="left"/>
            </w:pPr>
            <w:r>
              <w:t xml:space="preserve">Frenchman’s Bend (16OU259)</w:t>
            </w:r>
          </w:p>
        </w:tc>
        <w:tc>
          <w:tcPr/>
          <w:p>
            <w:pPr>
              <w:pStyle w:val="Compact"/>
              <w:jc w:val="left"/>
            </w:pPr>
            <w:r>
              <w:t xml:space="preserve">Ouachita, LA</w:t>
            </w:r>
          </w:p>
        </w:tc>
        <w:tc>
          <w:tcPr/>
          <w:p>
            <w:pPr>
              <w:pStyle w:val="Compact"/>
              <w:jc w:val="left"/>
            </w:pPr>
            <w:r>
              <w:t xml:space="preserve">32.6357 / -92.0437</w:t>
            </w:r>
          </w:p>
        </w:tc>
        <w:tc>
          <w:tcPr/>
          <w:p>
            <w:pPr>
              <w:pStyle w:val="Compact"/>
              <w:jc w:val="left"/>
            </w:pPr>
            <w:r>
              <w:t xml:space="preserve">Pleistocene terrace / Ouachita tributary, Bayou DeSiard</w:t>
            </w:r>
          </w:p>
        </w:tc>
        <w:tc>
          <w:tcPr/>
          <w:p>
            <w:pPr>
              <w:pStyle w:val="Compact"/>
              <w:jc w:val="left"/>
            </w:pPr>
            <w:r>
              <w:t xml:space="preserve">Middle Archaic (5600-5320 BP cluster; many large-SD dates)</w:t>
            </w:r>
          </w:p>
        </w:tc>
        <w:tc>
          <w:tcPr/>
          <w:p>
            <w:pPr>
              <w:pStyle w:val="Compact"/>
              <w:jc w:val="left"/>
            </w:pPr>
            <w:r>
              <w:t xml:space="preserve">Mid?</w:t>
            </w:r>
          </w:p>
        </w:tc>
      </w:tr>
      <w:tr>
        <w:tc>
          <w:tcPr/>
          <w:p>
            <w:pPr>
              <w:pStyle w:val="Compact"/>
              <w:jc w:val="left"/>
            </w:pPr>
            <w:r>
              <w:t xml:space="preserve">Caney (16CT5)</w:t>
            </w:r>
          </w:p>
        </w:tc>
        <w:tc>
          <w:tcPr/>
          <w:p>
            <w:pPr>
              <w:pStyle w:val="Compact"/>
              <w:jc w:val="left"/>
            </w:pPr>
            <w:r>
              <w:t xml:space="preserve">Catahoula, LA</w:t>
            </w:r>
          </w:p>
        </w:tc>
        <w:tc>
          <w:tcPr/>
          <w:p>
            <w:pPr>
              <w:pStyle w:val="Compact"/>
              <w:jc w:val="left"/>
            </w:pPr>
            <w:r>
              <w:t xml:space="preserve">31.4822 / -92.0004</w:t>
            </w:r>
          </w:p>
        </w:tc>
        <w:tc>
          <w:tcPr/>
          <w:p>
            <w:pPr>
              <w:pStyle w:val="Compact"/>
              <w:jc w:val="left"/>
            </w:pPr>
            <w:r>
              <w:t xml:space="preserve">Pleistocene terrace / small drainage / mast forest</w:t>
            </w:r>
          </w:p>
        </w:tc>
        <w:tc>
          <w:tcPr/>
          <w:p>
            <w:pPr>
              <w:pStyle w:val="Compact"/>
              <w:jc w:val="left"/>
            </w:pPr>
            <w:r>
              <w:t xml:space="preserve">MA + later?</w:t>
            </w:r>
          </w:p>
        </w:tc>
        <w:tc>
          <w:tcPr/>
          <w:p>
            <w:pPr>
              <w:pStyle w:val="Compact"/>
              <w:jc w:val="left"/>
            </w:pPr>
            <w:r>
              <w:t xml:space="preserve">Mid</w:t>
            </w:r>
          </w:p>
        </w:tc>
      </w:tr>
      <w:tr>
        <w:tc>
          <w:tcPr/>
          <w:p>
            <w:pPr>
              <w:pStyle w:val="Compact"/>
              <w:jc w:val="left"/>
            </w:pPr>
            <w:r>
              <w:t xml:space="preserve">Insley (16FR3)</w:t>
            </w:r>
          </w:p>
        </w:tc>
        <w:tc>
          <w:tcPr/>
          <w:p>
            <w:pPr>
              <w:pStyle w:val="Compact"/>
              <w:jc w:val="left"/>
            </w:pPr>
            <w:r>
              <w:t xml:space="preserve">Franklin, LA</w:t>
            </w:r>
          </w:p>
        </w:tc>
        <w:tc>
          <w:tcPr/>
          <w:p>
            <w:pPr>
              <w:pStyle w:val="Compact"/>
              <w:jc w:val="left"/>
            </w:pPr>
            <w:r>
              <w:t xml:space="preserve">32.3893 / -91.4791</w:t>
            </w:r>
          </w:p>
        </w:tc>
        <w:tc>
          <w:tcPr/>
          <w:p>
            <w:pPr>
              <w:pStyle w:val="Compact"/>
              <w:jc w:val="left"/>
            </w:pPr>
            <w:r>
              <w:t xml:space="preserve">Macon Ridge / Bayou Maçon / small drainage / mast forest</w:t>
            </w:r>
          </w:p>
        </w:tc>
        <w:tc>
          <w:tcPr/>
          <w:p>
            <w:pPr>
              <w:pStyle w:val="Compact"/>
              <w:jc w:val="left"/>
            </w:pPr>
            <w:r>
              <w:t xml:space="preserve">Pov Pt with Coles Creek Mnds.</w:t>
            </w:r>
          </w:p>
        </w:tc>
        <w:tc>
          <w:tcPr/>
          <w:p>
            <w:pPr>
              <w:pStyle w:val="Compact"/>
              <w:jc w:val="left"/>
            </w:pPr>
            <w:r>
              <w:t xml:space="preserve">?</w:t>
            </w:r>
          </w:p>
        </w:tc>
      </w:tr>
      <w:tr>
        <w:tc>
          <w:tcPr/>
          <w:p>
            <w:pPr>
              <w:pStyle w:val="Compact"/>
              <w:jc w:val="left"/>
            </w:pPr>
            <w:r>
              <w:t xml:space="preserve">Cowpen Slough (16CT147)</w:t>
            </w:r>
          </w:p>
        </w:tc>
        <w:tc>
          <w:tcPr/>
          <w:p>
            <w:pPr>
              <w:pStyle w:val="Compact"/>
              <w:jc w:val="left"/>
            </w:pPr>
            <w:r>
              <w:t xml:space="preserve">Catahoula, LA</w:t>
            </w:r>
          </w:p>
        </w:tc>
        <w:tc>
          <w:tcPr/>
          <w:p>
            <w:pPr>
              <w:pStyle w:val="Compact"/>
              <w:jc w:val="left"/>
            </w:pPr>
            <w:r>
              <w:t xml:space="preserve">31.3293 / -91.9346</w:t>
            </w:r>
          </w:p>
        </w:tc>
        <w:tc>
          <w:tcPr/>
          <w:p>
            <w:pPr>
              <w:pStyle w:val="Compact"/>
              <w:jc w:val="left"/>
            </w:pPr>
            <w:r>
              <w:t xml:space="preserve">Red/Black River confluence area</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J.W. Copes (16MA147)</w:t>
            </w:r>
          </w:p>
        </w:tc>
        <w:tc>
          <w:tcPr/>
          <w:p>
            <w:pPr>
              <w:pStyle w:val="Compact"/>
              <w:jc w:val="left"/>
            </w:pPr>
            <w:r>
              <w:t xml:space="preserve">Madison, LA</w:t>
            </w:r>
          </w:p>
        </w:tc>
        <w:tc>
          <w:tcPr/>
          <w:p>
            <w:pPr>
              <w:pStyle w:val="Compact"/>
              <w:jc w:val="left"/>
            </w:pPr>
            <w:r>
              <w:t xml:space="preserve">32.5339 / -91.3894</w:t>
            </w:r>
          </w:p>
        </w:tc>
        <w:tc>
          <w:tcPr/>
          <w:p>
            <w:pPr>
              <w:pStyle w:val="Compact"/>
              <w:jc w:val="left"/>
            </w:pPr>
            <w:r>
              <w:t xml:space="preserve">Joe’s Bayou / small drainage; PP satellite</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Jaketown (22HU505)</w:t>
            </w:r>
          </w:p>
        </w:tc>
        <w:tc>
          <w:tcPr/>
          <w:p>
            <w:pPr>
              <w:pStyle w:val="Compact"/>
              <w:jc w:val="left"/>
            </w:pPr>
            <w:r>
              <w:t xml:space="preserve">Humphreys, MS</w:t>
            </w:r>
          </w:p>
        </w:tc>
        <w:tc>
          <w:tcPr/>
          <w:p>
            <w:pPr>
              <w:pStyle w:val="Compact"/>
              <w:jc w:val="left"/>
            </w:pPr>
            <w:r>
              <w:t xml:space="preserve">33.2349 / -90.4872</w:t>
            </w:r>
          </w:p>
        </w:tc>
        <w:tc>
          <w:tcPr/>
          <w:p>
            <w:pPr>
              <w:pStyle w:val="Compact"/>
              <w:jc w:val="left"/>
            </w:pPr>
            <w:r>
              <w:t xml:space="preserve">Yazoo Basin meander belt</w:t>
            </w:r>
          </w:p>
        </w:tc>
        <w:tc>
          <w:tcPr/>
          <w:p>
            <w:pPr>
              <w:pStyle w:val="Compact"/>
              <w:jc w:val="left"/>
            </w:pPr>
            <w:r>
              <w:t xml:space="preserve">4000-3000</w:t>
            </w:r>
          </w:p>
        </w:tc>
        <w:tc>
          <w:tcPr/>
          <w:p>
            <w:pPr>
              <w:pStyle w:val="Compact"/>
              <w:jc w:val="left"/>
            </w:pPr>
            <w:r>
              <w:t xml:space="preserve">Small</w:t>
            </w:r>
          </w:p>
        </w:tc>
      </w:tr>
      <w:tr>
        <w:tc>
          <w:tcPr/>
          <w:p>
            <w:pPr>
              <w:pStyle w:val="Compact"/>
              <w:jc w:val="left"/>
            </w:pPr>
            <w:r>
              <w:t xml:space="preserve">Claiborne (22HA501)</w:t>
            </w:r>
          </w:p>
        </w:tc>
        <w:tc>
          <w:tcPr/>
          <w:p>
            <w:pPr>
              <w:pStyle w:val="Compact"/>
              <w:jc w:val="left"/>
            </w:pPr>
            <w:r>
              <w:t xml:space="preserve">Hancock, MS</w:t>
            </w:r>
          </w:p>
        </w:tc>
        <w:tc>
          <w:tcPr/>
          <w:p>
            <w:pPr>
              <w:pStyle w:val="Compact"/>
              <w:jc w:val="left"/>
            </w:pPr>
            <w:r>
              <w:t xml:space="preserve">30.2141 / -89.5758</w:t>
            </w:r>
          </w:p>
        </w:tc>
        <w:tc>
          <w:tcPr/>
          <w:p>
            <w:pPr>
              <w:pStyle w:val="Compact"/>
              <w:jc w:val="left"/>
            </w:pPr>
            <w:r>
              <w:t xml:space="preserve">Pearl River mouth, coastal</w:t>
            </w:r>
          </w:p>
        </w:tc>
        <w:tc>
          <w:tcPr/>
          <w:p>
            <w:pPr>
              <w:pStyle w:val="Compact"/>
              <w:jc w:val="left"/>
            </w:pPr>
            <w:r>
              <w:t xml:space="preserve">LA-PP</w:t>
            </w:r>
          </w:p>
        </w:tc>
        <w:tc>
          <w:tcPr/>
          <w:p>
            <w:pPr>
              <w:pStyle w:val="Compact"/>
              <w:jc w:val="left"/>
            </w:pPr>
            <w:r>
              <w:t xml:space="preserve">Minimal</w:t>
            </w:r>
          </w:p>
        </w:tc>
      </w:tr>
      <w:tr>
        <w:tc>
          <w:tcPr/>
          <w:p>
            <w:pPr>
              <w:pStyle w:val="Compact"/>
              <w:jc w:val="left"/>
            </w:pPr>
            <w:r>
              <w:t xml:space="preserve">Cedarland (22HA506)</w:t>
            </w:r>
          </w:p>
        </w:tc>
        <w:tc>
          <w:tcPr/>
          <w:p>
            <w:pPr>
              <w:pStyle w:val="Compact"/>
              <w:jc w:val="left"/>
            </w:pPr>
            <w:r>
              <w:t xml:space="preserve">Hancock, MS</w:t>
            </w:r>
          </w:p>
        </w:tc>
        <w:tc>
          <w:tcPr/>
          <w:p>
            <w:pPr>
              <w:pStyle w:val="Compact"/>
              <w:jc w:val="left"/>
            </w:pPr>
            <w:r>
              <w:t xml:space="preserve">30.2186 / -89.5804</w:t>
            </w:r>
          </w:p>
        </w:tc>
        <w:tc>
          <w:tcPr/>
          <w:p>
            <w:pPr>
              <w:pStyle w:val="Compact"/>
              <w:jc w:val="left"/>
            </w:pPr>
            <w:r>
              <w:t xml:space="preserve">Pearl River mouth, coastal</w:t>
            </w:r>
          </w:p>
        </w:tc>
        <w:tc>
          <w:tcPr/>
          <w:p>
            <w:pPr>
              <w:pStyle w:val="Compact"/>
              <w:jc w:val="left"/>
            </w:pPr>
            <w:r>
              <w:t xml:space="preserve">3880-3800 BP (Kidder et al. 2025)</w:t>
            </w:r>
          </w:p>
        </w:tc>
        <w:tc>
          <w:tcPr/>
          <w:p>
            <w:pPr>
              <w:pStyle w:val="Compact"/>
              <w:jc w:val="left"/>
            </w:pPr>
            <w:r>
              <w:t xml:space="preserve">Shell/earth midden</w:t>
            </w:r>
          </w:p>
        </w:tc>
      </w:tr>
    </w:tbl>
    <w:p>
      <w:pPr>
        <w:pStyle w:val="BodyText"/>
      </w:pPr>
      <w: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b/>
          <w:bCs/>
        </w:rPr>
        <w:t xml:space="preserve">Lower Jackson</w:t>
      </w:r>
      <w:r>
        <w:t xml:space="preserve"> </w:t>
      </w:r>
      <w: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 terminus post quem and treat the Middle Archaic assignment as unconfirmed. We follow the literature in treating Lower Jackson as a single-band or single-event minimal-construction event with no associated residential or exchange evidence, but the Middle Archaic chronology should be understood as provisional. Despite sharing PP’s catchment context, Lower Jackson never attained even WB-scale construction. The site is important to the framework’s structural claim because it indicates that high-</w:t>
      </w:r>
      <m:oMath>
        <m:r>
          <m:t>ε</m:t>
        </m:r>
      </m:oMath>
      <w:r>
        <w:t xml:space="preserve"> </w:t>
      </w:r>
      <w:r>
        <w:t xml:space="preserve">access alone is insufficient; the discussion in §6.6 on magnitude limits returns to this point.</w:t>
      </w:r>
    </w:p>
    <w:p>
      <w:pPr>
        <w:pStyle w:val="BodyText"/>
      </w:pPr>
      <w:r>
        <w:rPr>
          <w:b/>
          <w:bCs/>
        </w:rPr>
        <w:t xml:space="preserve">Watson Brake</w:t>
      </w:r>
      <w:r>
        <w:t xml:space="preserve"> </w:t>
      </w:r>
      <w: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and treats the inter-mound surface as natural ground rather than as constructed fill. Summing across all clusters gives a total of</w:t>
      </w:r>
      <w:r>
        <w:t xml:space="preserve"> </w:t>
      </w:r>
      <w:r>
        <w:rPr>
          <w:b/>
          <w:bCs/>
        </w:rPr>
        <w:t xml:space="preserve">27,065 m³</w:t>
      </w:r>
      <w: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b/>
          <w:bCs/>
        </w:rPr>
        <w:t xml:space="preserve">Frenchman’s Bend</w:t>
      </w:r>
      <w:r>
        <w:t xml:space="preserve"> </w:t>
      </w:r>
      <w: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b/>
          <w:bCs/>
        </w:rPr>
        <w:t xml:space="preserve">Caney</w:t>
      </w:r>
      <w:r>
        <w:t xml:space="preserve"> </w:t>
      </w:r>
      <w:r>
        <w:t xml:space="preserve">(16CT5) in Catahoula Parish has Middle Archaic dates on mid-mound organically-enriched sediments at Mounds C and D, but artifacts at the site span Paleoindian through Plaquemine periods, the last stage of Mound B contained a complete Marksville pot, and pedogenetic evidence in mound soils indicates that most of the six mounds were constructed during Poverty Point or Tchefuncte times rather than the Middle Archaic (Sassaman 2005b:340-341, summarizing Saunders). Caney’s documented mounds scale to roughly 1-2× Watson Brake’s individual mounds.</w:t>
      </w:r>
    </w:p>
    <w:p>
      <w:pPr>
        <w:pStyle w:val="BodyText"/>
      </w:pPr>
      <w:r>
        <w:rPr>
          <w:b/>
          <w:bCs/>
        </w:rPr>
        <w:t xml:space="preserve">Insley</w:t>
      </w:r>
      <w:r>
        <w:t xml:space="preserve"> </w:t>
      </w:r>
      <w:r>
        <w:t xml:space="preserve">(16FR3) in Franklin Parish was originally assigned to the Middle Archaic on the basis of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b/>
          <w:bCs/>
        </w:rPr>
        <w:t xml:space="preserve">Cowpen Slough</w:t>
      </w:r>
      <w:r>
        <w:t xml:space="preserve"> </w:t>
      </w:r>
      <w:r>
        <w:t xml:space="preserve">(16CT147) in Catahoula Parish is a LA/PP-period hamlet near the confluence of the Red and Black Rivers, with no monument architecture and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that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b/>
          <w:bCs/>
        </w:rPr>
        <w:t xml:space="preserve">J.W. Copes</w:t>
      </w:r>
      <w:r>
        <w:t xml:space="preserve"> </w:t>
      </w:r>
      <w:r>
        <w:t xml:space="preserve">(16MA147)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(a galena cube) is present, indicating that participation in the long-distance exchange network extended beyond the Poverty Point type site (Jackson 1981:84; cf. Walthall et al. 1982).</w:t>
      </w:r>
    </w:p>
    <w:p>
      <w:pPr>
        <w:pStyle w:val="BodyText"/>
      </w:pPr>
      <w:r>
        <w:rPr>
          <w:b/>
          <w:bCs/>
        </w:rPr>
        <w:t xml:space="preserve">Jaketown</w:t>
      </w:r>
      <w:r>
        <w:t xml:space="preserve"> </w:t>
      </w:r>
      <w: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Jaketown developed PP cultural traits 400+ years before Poverty Point, indicating that PP is not a downstream diffusion endpoint but rather a convergence point drawing on multiple regional traditions (Grooms et al. 2023).</w:t>
      </w:r>
    </w:p>
    <w:p>
      <w:pPr>
        <w:pStyle w:val="BodyText"/>
      </w:pPr>
      <w:r>
        <w:rPr>
          <w:b/>
          <w:bCs/>
        </w:rPr>
        <w:t xml:space="preserve">Claiborne</w:t>
      </w:r>
      <w:r>
        <w:t xml:space="preserve"> </w:t>
      </w:r>
      <w:r>
        <w:t xml:space="preserve">(22HA501) and</w:t>
      </w:r>
      <w:r>
        <w:t xml:space="preserve"> </w:t>
      </w:r>
      <w:r>
        <w:rPr>
          <w:b/>
          <w:bCs/>
        </w:rPr>
        <w:t xml:space="preserve">Cedarland</w:t>
      </w:r>
      <w:r>
        <w:t xml:space="preserve"> </w:t>
      </w:r>
      <w: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while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coastal pair is the framework’s natural negative case in the LMV: if the screening claim is correct, these sites should fall on the low-</w:t>
      </w:r>
      <m:oMath>
        <m:r>
          <m:t>ε</m:t>
        </m:r>
      </m:oMath>
      <w:r>
        <w:t xml:space="preserve"> </w:t>
      </w:r>
      <w:r>
        <w:t xml:space="preserve">side of the threshold while the interior monument-building sites should not.</w:t>
      </w:r>
    </w:p>
    <w:bookmarkEnd w:id="49"/>
    <w:bookmarkStart w:id="53" w:name="chronology"/>
    <w:p>
      <w:pPr>
        <w:pStyle w:val="Heading3"/>
      </w:pPr>
      <w:r>
        <w:t xml:space="preserve">5.2 Chronology</w:t>
      </w:r>
    </w:p>
    <w:p>
      <w:pPr>
        <w:pStyle w:val="FirstParagraph"/>
      </w:pPr>
      <w: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drawing>
          <wp:inline>
            <wp:extent cx="5943600" cy="4330109"/>
            <wp:effectExtent b="0" l="0" r="0" t="0"/>
            <wp:docPr descr="" title="" id="51" name="Picture"/>
            <a:graphic>
              <a:graphicData uri="http://schemas.openxmlformats.org/drawingml/2006/picture">
                <pic:pic>
                  <pic:nvPicPr>
                    <pic:cNvPr descr="../../figures/manuscript/figure_10_regional_chronology.png" id="52" name="Picture"/>
                    <pic:cNvPicPr>
                      <a:picLocks noChangeArrowheads="1" noChangeAspect="1"/>
                    </pic:cNvPicPr>
                  </pic:nvPicPr>
                  <pic:blipFill>
                    <a:blip r:embed="rId50"/>
                    <a:stretch>
                      <a:fillRect/>
                    </a:stretch>
                  </pic:blipFill>
                  <pic:spPr bwMode="auto">
                    <a:xfrm>
                      <a:off x="0" y="0"/>
                      <a:ext cx="5943600" cy="4330109"/>
                    </a:xfrm>
                    <a:prstGeom prst="rect">
                      <a:avLst/>
                    </a:prstGeom>
                    <a:noFill/>
                    <a:ln w="9525">
                      <a:noFill/>
                      <a:headEnd/>
                      <a:tailEnd/>
                    </a:ln>
                  </pic:spPr>
                </pic:pic>
              </a:graphicData>
            </a:graphic>
          </wp:inline>
        </w:drawing>
      </w:r>
    </w:p>
    <w:p>
      <w:pPr>
        <w:pStyle w:val="BodyText"/>
      </w:pPr>
      <w:r>
        <w:rPr>
          <w:b/>
          <w:bCs/>
          <w:i/>
          <w:iCs/>
        </w:rPr>
        <w:t xml:space="preserve">Figure 10. Regional chronological synthesis.</w:t>
      </w:r>
      <w:r>
        <w:t xml:space="preserve"> </w:t>
      </w:r>
      <w:r>
        <w:rPr>
          <w:i/>
          <w:iCs/>
        </w:rPr>
        <w:t xml:space="preserve">(A) Full timeline showing Frenchman’s Bend (5600-5320 BP reliable cluster shown as solid purple band, with lighter extension to older large-SD dates (Sanders et al. 1994, 2009), Lower Jackson (single isolated mound at ~5500 cal BP shown as gray diamond with</w:t>
      </w:r>
      <w:r>
        <w:t xml:space="preserve"> </w:t>
      </w:r>
      <m:oMath>
        <m:r>
          <m:rPr>
            <m:sty m:val="p"/>
          </m:rPr>
          <m:t>±</m:t>
        </m:r>
        <m:r>
          <m:t>150</m:t>
        </m:r>
      </m:oMath>
      <w:r>
        <w:t xml:space="preserve"> </w:t>
      </w:r>
      <w:r>
        <w:rPr>
          <w:i/>
          <w:iCs/>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Watson Brake abandonment and Poverty Point emergence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t xml:space="preserve"> </w:t>
      </w:r>
      <w:r>
        <w:t xml:space="preserve">in situ</w:t>
      </w:r>
      <w:r>
        <w:t xml:space="preserve"> </w:t>
      </w:r>
      <w:r>
        <w:rPr>
          <w:i/>
          <w:iCs/>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2018) rests instead on PPO production volumes and assemblage composition. Source: Kidder and Grooms (2024); Grooms et al. (2023); Saunders et al. (2001, 2005).</w:t>
      </w:r>
    </w:p>
    <w:bookmarkEnd w:id="53"/>
    <w:bookmarkStart w:id="54" w:name="construction-tempo"/>
    <w:p>
      <w:pPr>
        <w:pStyle w:val="Heading3"/>
      </w:pPr>
      <w:r>
        <w:t xml:space="preserve">5.3 Construction tempo</w:t>
      </w:r>
    </w:p>
    <w:p>
      <w:pPr>
        <w:pStyle w:val="FirstParagraph"/>
      </w:pPr>
      <w: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t xml:space="preserve">5.4 Exotic-goods inventory</w:t>
      </w:r>
    </w:p>
    <w:p>
      <w:pPr>
        <w:pStyle w:val="FirstParagraph"/>
      </w:pPr>
      <w: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t xml:space="preserve"> </w:t>
      </w:r>
      <w:r>
        <w:t xml:space="preserve">“several hundred vessels”</w:t>
      </w:r>
      <w:r>
        <w:t xml:space="preserve"> </w:t>
      </w:r>
      <w:r>
        <w:t xml:space="preserve">(Hays 2019: Table 1; Webb 1982:45, who notes that total site vessels</w:t>
      </w:r>
      <w:r>
        <w:t xml:space="preserve"> </w:t>
      </w:r>
      <w:r>
        <w:t xml:space="preserve">“must have been in the thousands”</w:t>
      </w:r>
      <w: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t xml:space="preserve">5.5 Paleoclimate</w:t>
      </w:r>
    </w:p>
    <w:p>
      <w:pPr>
        <w:pStyle w:val="FirstParagraph"/>
      </w:pPr>
      <w:r>
        <w:t xml:space="preserve">The Late Holocene LMV climate is documented through several independent proxy systems. The Temperature 12k database (Kaufman et al. 2020)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Critically, this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shows that the occupation overlapped a hyperactive hurricane interval (~3800-1000 BP), with landfall rates roughly 5× the baseline. Combining drought and hurricane recurrence, we estimate a shortfall frequency of ~10 years and magnitude of ~0.45, yielding</w:t>
      </w:r>
      <w:r>
        <w:t xml:space="preserve"> </w:t>
      </w:r>
      <m:oMath>
        <m:sSub>
          <m:e>
            <m:r>
              <m:t>σ</m:t>
            </m:r>
          </m:e>
          <m:sub>
            <m:r>
              <m:t>L</m:t>
            </m:r>
            <m:r>
              <m:t>M</m:t>
            </m:r>
            <m:r>
              <m:t>V</m:t>
            </m:r>
          </m:sub>
        </m:sSub>
        <m:r>
          <m:rPr>
            <m:sty m:val="p"/>
          </m:rPr>
          <m:t>≈</m:t>
        </m:r>
        <m:r>
          <m:t>0.64</m:t>
        </m:r>
      </m:oMath>
      <w:r>
        <w:t xml:space="preserve"> </w:t>
      </w:r>
      <w:r>
        <w:t xml:space="preserve">(95% CI 0.41-0.94) under the composite-uncertainty index defined in §3 (full derivation in §S1.4).</w:t>
      </w:r>
    </w:p>
    <w:p>
      <w:pPr>
        <w:pStyle w:val="BodyText"/>
      </w:pPr>
      <w:r>
        <w:drawing>
          <wp:inline>
            <wp:extent cx="5943600" cy="5162489"/>
            <wp:effectExtent b="0" l="0" r="0" t="0"/>
            <wp:docPr descr="" title="" id="57" name="Picture"/>
            <a:graphic>
              <a:graphicData uri="http://schemas.openxmlformats.org/drawingml/2006/picture">
                <pic:pic>
                  <pic:nvPicPr>
                    <pic:cNvPr descr="../../figures/manuscript/figure_11_paleoclimate_proxy.png" id="58" name="Picture"/>
                    <pic:cNvPicPr>
                      <a:picLocks noChangeArrowheads="1" noChangeAspect="1"/>
                    </pic:cNvPicPr>
                  </pic:nvPicPr>
                  <pic:blipFill>
                    <a:blip r:embed="rId56"/>
                    <a:stretch>
                      <a:fillRect/>
                    </a:stretch>
                  </pic:blipFill>
                  <pic:spPr bwMode="auto">
                    <a:xfrm>
                      <a:off x="0" y="0"/>
                      <a:ext cx="5943600" cy="5162489"/>
                    </a:xfrm>
                    <a:prstGeom prst="rect">
                      <a:avLst/>
                    </a:prstGeom>
                    <a:noFill/>
                    <a:ln w="9525">
                      <a:noFill/>
                      <a:headEnd/>
                      <a:tailEnd/>
                    </a:ln>
                  </pic:spPr>
                </pic:pic>
              </a:graphicData>
            </a:graphic>
          </wp:inline>
        </w:drawing>
      </w:r>
    </w:p>
    <w:p>
      <w:pPr>
        <w:pStyle w:val="BodyText"/>
      </w:pPr>
      <w:r>
        <w:rPr>
          <w:b/>
          <w:bCs/>
          <w:i/>
          <w:iCs/>
        </w:rPr>
        <w:t xml:space="preserve">Figure 11. Paleoclimate proxy synthesis for the Late Holocene Lower Mississippi Valley.</w:t>
      </w:r>
      <w:r>
        <w:t xml:space="preserve"> </w:t>
      </w:r>
      <w:r>
        <w:rPr>
          <w:i/>
          <w:iCs/>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t xml:space="preserve"> </w:t>
      </w:r>
      <m:oMath>
        <m:r>
          <m:t>σ</m:t>
        </m:r>
        <m:r>
          <m:rPr>
            <m:sty m:val="p"/>
          </m:rPr>
          <m:t>=</m:t>
        </m:r>
        <m:r>
          <m:t>m</m:t>
        </m:r>
        <m:rad>
          <m:radPr>
            <m:degHide m:val="on"/>
          </m:radPr>
          <m:deg/>
          <m:e>
            <m:r>
              <m:t>20</m:t>
            </m:r>
            <m:r>
              <m:rPr>
                <m:sty m:val="p"/>
              </m:rPr>
              <m:t>/</m:t>
            </m:r>
            <m:r>
              <m:t>T</m:t>
            </m:r>
          </m:e>
        </m:rad>
      </m:oMath>
      <w:r>
        <w:t xml:space="preserve"> </w:t>
      </w:r>
      <w:r>
        <w:rPr>
          <w:i/>
          <w:iCs/>
        </w:rPr>
        <w:t xml:space="preserve">for the three highest-</w:t>
      </w:r>
      <w:r>
        <w:t xml:space="preserve"> </w:t>
      </w:r>
      <m:oMath>
        <m:r>
          <m:t>σ</m:t>
        </m:r>
      </m:oMath>
      <w:r>
        <w:t xml:space="preserve"> </w:t>
      </w:r>
      <w:r>
        <w:rPr>
          <w:i/>
          <w:iCs/>
        </w:rPr>
        <w:t xml:space="preserve">LMV mound-building cases: Poverty Point (</w:t>
      </w:r>
      <m:oMath>
        <m:r>
          <m:t>T</m:t>
        </m:r>
        <m:r>
          <m:rPr>
            <m:sty m:val="p"/>
          </m:rPr>
          <m:t>=</m:t>
        </m:r>
        <m:r>
          <m:t>10</m:t>
        </m:r>
      </m:oMath>
      <w:r>
        <w:t xml:space="preserve"> </w:t>
      </w:r>
      <w:r>
        <w:rPr>
          <w:i/>
          <w:iCs/>
        </w:rPr>
        <w:t xml:space="preserve">yr,</w:t>
      </w:r>
      <w:r>
        <w:t xml:space="preserve"> </w:t>
      </w:r>
      <m:oMath>
        <m:r>
          <m:t>m</m:t>
        </m:r>
        <m:r>
          <m:rPr>
            <m:sty m:val="p"/>
          </m:rPr>
          <m:t>=</m:t>
        </m:r>
        <m:r>
          <m:t>0.45</m:t>
        </m:r>
      </m:oMath>
      <w:r>
        <w:rPr>
          <w:i/>
          <w:iCs/>
        </w:rPr>
        <w:t xml:space="preserve">,</w:t>
      </w:r>
      <w:r>
        <w:t xml:space="preserve"> </w:t>
      </w:r>
      <m:oMath>
        <m:r>
          <m:t>σ</m:t>
        </m:r>
        <m:r>
          <m:rPr>
            <m:sty m:val="p"/>
          </m:rPr>
          <m:t>=</m:t>
        </m:r>
        <m:r>
          <m:t>0.64</m:t>
        </m:r>
      </m:oMath>
      <w:r>
        <w:rPr>
          <w:i/>
          <w:iCs/>
        </w:rPr>
        <w:t xml:space="preserve">), Watson Brake (</w:t>
      </w:r>
      <m:oMath>
        <m:r>
          <m:t>T</m:t>
        </m:r>
        <m:r>
          <m:rPr>
            <m:sty m:val="p"/>
          </m:rPr>
          <m:t>=</m:t>
        </m:r>
        <m:r>
          <m:t>12</m:t>
        </m:r>
      </m:oMath>
      <w:r>
        <w:t xml:space="preserve"> </w:t>
      </w:r>
      <w:r>
        <w:rPr>
          <w:i/>
          <w:iCs/>
        </w:rPr>
        <w:t xml:space="preserve">yr,</w:t>
      </w:r>
      <w:r>
        <w:t xml:space="preserve"> </w:t>
      </w:r>
      <m:oMath>
        <m:r>
          <m:t>m</m:t>
        </m:r>
        <m:r>
          <m:rPr>
            <m:sty m:val="p"/>
          </m:rPr>
          <m:t>=</m:t>
        </m:r>
        <m:r>
          <m:t>0.40</m:t>
        </m:r>
      </m:oMath>
      <w:r>
        <w:rPr>
          <w:i/>
          <w:iCs/>
        </w:rPr>
        <w:t xml:space="preserve">,</w:t>
      </w:r>
      <w:r>
        <w:t xml:space="preserve"> </w:t>
      </w:r>
      <m:oMath>
        <m:r>
          <m:t>σ</m:t>
        </m:r>
        <m:r>
          <m:rPr>
            <m:sty m:val="p"/>
          </m:rPr>
          <m:t>=</m:t>
        </m:r>
        <m:r>
          <m:t>0.52</m:t>
        </m:r>
      </m:oMath>
      <w:r>
        <w:rPr>
          <w:i/>
          <w:iCs/>
        </w:rPr>
        <w:t xml:space="preserve">), and Jaketown (</w:t>
      </w:r>
      <m:oMath>
        <m:r>
          <m:t>T</m:t>
        </m:r>
        <m:r>
          <m:rPr>
            <m:sty m:val="p"/>
          </m:rPr>
          <m:t>=</m:t>
        </m:r>
        <m:r>
          <m:t>11</m:t>
        </m:r>
      </m:oMath>
      <w:r>
        <w:t xml:space="preserve"> </w:t>
      </w:r>
      <w:r>
        <w:rPr>
          <w:i/>
          <w:iCs/>
        </w:rPr>
        <w:t xml:space="preserve">yr,</w:t>
      </w:r>
      <w:r>
        <w:t xml:space="preserve"> </w:t>
      </w:r>
      <m:oMath>
        <m:r>
          <m:t>m</m:t>
        </m:r>
        <m:r>
          <m:rPr>
            <m:sty m:val="p"/>
          </m:rPr>
          <m:t>=</m:t>
        </m:r>
        <m:r>
          <m:t>0.42</m:t>
        </m:r>
      </m:oMath>
      <w:r>
        <w:rPr>
          <w:i/>
          <w:iCs/>
        </w:rPr>
        <w:t xml:space="preserve">,</w:t>
      </w:r>
      <w:r>
        <w:t xml:space="preserve"> </w:t>
      </w:r>
      <m:oMath>
        <m:r>
          <m:t>σ</m:t>
        </m:r>
        <m:r>
          <m:rPr>
            <m:sty m:val="p"/>
          </m:rPr>
          <m:t>=</m:t>
        </m:r>
        <m:r>
          <m:t>0.57</m:t>
        </m:r>
      </m:oMath>
      <w:r>
        <w:rPr>
          <w:i/>
          <w:iCs/>
        </w:rPr>
        <w:t xml:space="preserve">), showing the frequency-effect component</w:t>
      </w:r>
      <w:r>
        <w:t xml:space="preserve"> </w:t>
      </w:r>
      <m:oMath>
        <m:rad>
          <m:radPr>
            <m:degHide m:val="on"/>
          </m:radPr>
          <m:deg/>
          <m:e>
            <m:r>
              <m:t>20</m:t>
            </m:r>
            <m:r>
              <m:rPr>
                <m:sty m:val="p"/>
              </m:rPr>
              <m:t>/</m:t>
            </m:r>
            <m:r>
              <m:t>T</m:t>
            </m:r>
          </m:e>
        </m:rad>
      </m:oMath>
      <w:r>
        <w:t xml:space="preserve"> </w:t>
      </w:r>
      <w:r>
        <w:rPr>
          <w:i/>
          <w:iCs/>
        </w:rPr>
        <w:t xml:space="preserve">(blue bars) and magnitude component</w:t>
      </w:r>
      <w:r>
        <w:t xml:space="preserve"> </w:t>
      </w:r>
      <m:oMath>
        <m:r>
          <m:t>m</m:t>
        </m:r>
      </m:oMath>
      <w:r>
        <w:t xml:space="preserve"> </w:t>
      </w:r>
      <w:r>
        <w:rPr>
          <w:i/>
          <w:iCs/>
        </w:rPr>
        <w:t xml:space="preserve">(orange bars); dashed red line marks the analytical critical threshold</w:t>
      </w:r>
      <w:r>
        <w:t xml:space="preserve"> </w:t>
      </w:r>
      <m:oMath>
        <m:sSup>
          <m:e>
            <m:r>
              <m:t>σ</m:t>
            </m:r>
          </m:e>
          <m:sup>
            <m:r>
              <m:rPr>
                <m:sty m:val="p"/>
              </m:rPr>
              <m:t>*</m:t>
            </m:r>
          </m:sup>
        </m:sSup>
        <m:r>
          <m:rPr>
            <m:sty m:val="p"/>
          </m:rPr>
          <m:t>≈</m:t>
        </m:r>
        <m:r>
          <m:t>0.40</m:t>
        </m:r>
      </m:oMath>
      <w:r>
        <w:rPr>
          <w:i/>
          <w:iCs/>
        </w:rPr>
        <w:t xml:space="preserve">. (E) Cross-site composite uncertainty (</w:t>
      </w:r>
      <w:r>
        <w:t xml:space="preserve"> </w:t>
      </w:r>
      <m:oMath>
        <m:r>
          <m:t>σ</m:t>
        </m:r>
      </m:oMath>
      <w:r>
        <w:t xml:space="preserve"> </w:t>
      </w:r>
      <w:r>
        <w:rPr>
          <w:i/>
          <w:iCs/>
        </w:rPr>
        <w:t xml:space="preserve">with ±1 SD error bars) across the five highest-</w:t>
      </w:r>
      <w:r>
        <w:t xml:space="preserve"> </w:t>
      </w:r>
      <m:oMath>
        <m:r>
          <m:t>σ</m:t>
        </m:r>
      </m:oMath>
      <w:r>
        <w:t xml:space="preserve"> </w:t>
      </w:r>
      <w:r>
        <w:rPr>
          <w:i/>
          <w:iCs/>
        </w:rPr>
        <w:t xml:space="preserve">LMV sites (Poverty Point, Watson Brake, Jaketown, Lower Jackson, Frenchman’s Bend); each site’s central estimate exceeds the</w:t>
      </w:r>
      <w:r>
        <w:t xml:space="preserve"> </w:t>
      </w:r>
      <m:oMath>
        <m:sSup>
          <m:e>
            <m:r>
              <m:t>σ</m:t>
            </m:r>
          </m:e>
          <m:sup>
            <m:r>
              <m:rPr>
                <m:sty m:val="p"/>
              </m:rPr>
              <m:t>*</m:t>
            </m:r>
          </m:sup>
        </m:sSup>
        <m:r>
          <m:rPr>
            <m:sty m:val="p"/>
          </m:rPr>
          <m:t>≈</m:t>
        </m:r>
        <m:r>
          <m:t>0.40</m:t>
        </m:r>
      </m:oMath>
      <w:r>
        <w:t xml:space="preserve"> </w:t>
      </w:r>
      <w:r>
        <w:rPr>
          <w:i/>
          <w:iCs/>
        </w:rPr>
        <w:t xml:space="preserve">threshold (dashed red line). (F) Environmental phase space defined by shortfall frequency (horizontal axis) and shortfall magnitude (vertical axis). The analytical critical-threshold contour</w:t>
      </w:r>
      <w:r>
        <w:t xml:space="preserve"> </w:t>
      </w:r>
      <m:oMath>
        <m:sSup>
          <m:e>
            <m:r>
              <m:t>σ</m:t>
            </m:r>
          </m:e>
          <m:sup>
            <m:r>
              <m:rPr>
                <m:sty m:val="p"/>
              </m:rPr>
              <m:t>*</m:t>
            </m:r>
          </m:sup>
        </m:sSup>
        <m:r>
          <m:rPr>
            <m:sty m:val="p"/>
          </m:rPr>
          <m:t>≈</m:t>
        </m:r>
        <m:r>
          <m:t>0.40</m:t>
        </m:r>
      </m:oMath>
      <w:r>
        <w:t xml:space="preserve"> </w:t>
      </w:r>
      <w:r>
        <w:rPr>
          <w:i/>
          <w:iCs/>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t xml:space="preserve"> </w:t>
      </w:r>
      <m:oMath>
        <m:r>
          <m:rPr>
            <m:sty m:val="p"/>
          </m:rPr>
          <m:t>(</m:t>
        </m:r>
        <m:r>
          <m:t>T</m:t>
        </m:r>
        <m:r>
          <m:rPr>
            <m:sty m:val="p"/>
          </m:rPr>
          <m:t>,</m:t>
        </m:r>
        <m:r>
          <m:t>m</m:t>
        </m:r>
        <m:r>
          <m:rPr>
            <m:sty m:val="p"/>
          </m:rPr>
          <m:t>)</m:t>
        </m:r>
      </m:oMath>
      <w:r>
        <w:t xml:space="preserve"> </w:t>
      </w:r>
      <w:r>
        <w:rPr>
          <w:i/>
          <w:iCs/>
        </w:rPr>
        <w:t xml:space="preserve">coordinates.</w:t>
      </w:r>
    </w:p>
    <w:bookmarkEnd w:id="59"/>
    <w:bookmarkEnd w:id="60"/>
    <w:bookmarkStart w:id="81" w:name="X7f56f72728939b2e31227af71f8d33710616234"/>
    <w:p>
      <w:pPr>
        <w:pStyle w:val="Heading2"/>
      </w:pPr>
      <w:r>
        <w:t xml:space="preserve">6. Empirical evaluation: Poverty Point and the LMV transition</w:t>
      </w:r>
    </w:p>
    <w:p>
      <w:pPr>
        <w:pStyle w:val="FirstParagraph"/>
      </w:pPr>
      <w: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known mound-builders);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t xml:space="preserve">6.1 Calibration anchor and exotic-goods consistency</w:t>
      </w:r>
    </w:p>
    <w:p>
      <w:pPr>
        <w:pStyle w:val="FirstParagraph"/>
      </w:pPr>
      <w:r>
        <w:t xml:space="preserve">Our model uses abstract investment units rather than cubic meters or artifact counts. To compare model output with the archaeological record, we anchor a single archaeological value,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684 (mean ± sample SD; ddof = 1 throughout).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t xml:space="preserve">The scaling factor is fit to the volume target, so the volume match itself is</w:t>
      </w:r>
      <w:r>
        <w:t xml:space="preserve"> </w:t>
      </w:r>
      <w:r>
        <w:rPr>
          <w:i/>
          <w:iCs/>
        </w:rPr>
        <w:t xml:space="preserve">not</w:t>
      </w:r>
      <w:r>
        <w:t xml:space="preserve"> </w:t>
      </w:r>
      <w: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t xml:space="preserve">,</w:t>
      </w:r>
      <w:r>
        <w:t xml:space="preserve"> </w:t>
      </w:r>
      <m:oMath>
        <m:r>
          <m:t>ε</m:t>
        </m:r>
      </m:oMath>
      <w:r>
        <w:t xml:space="preserve">,</w:t>
      </w:r>
      <w:r>
        <w:t xml:space="preserve"> </w:t>
      </w:r>
      <m:oMath>
        <m:sSub>
          <m:e>
            <m:r>
              <m:t>n</m:t>
            </m:r>
          </m:e>
          <m:sub>
            <m:r>
              <m:t>a</m:t>
            </m:r>
            <m:r>
              <m:t>g</m:t>
            </m:r>
            <m:r>
              <m:t>g</m:t>
            </m:r>
          </m:sub>
        </m:sSub>
      </m:oMath>
      <w:r>
        <w:t xml:space="preserve">) were derived from independent paleoclimate and Saunders et al. (2005) site-description sources after PP calibration but before the model was run at WB inputs.</w:t>
      </w:r>
    </w:p>
    <w:p>
      <w:pPr>
        <w:pStyle w:val="BodyText"/>
      </w:pPr>
      <w: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t xml:space="preserve">,</w:t>
      </w:r>
      <w:r>
        <w:t xml:space="preserve"> </w:t>
      </w:r>
      <m:oMath>
        <m:sSub>
          <m:e>
            <m:r>
              <m:t>σ</m:t>
            </m:r>
          </m:e>
          <m:sub>
            <m:r>
              <m:t>e</m:t>
            </m:r>
            <m:r>
              <m:t>f</m:t>
            </m:r>
            <m:r>
              <m:t>f</m:t>
            </m:r>
          </m:sub>
        </m:sSub>
        <m:r>
          <m:rPr>
            <m:sty m:val="p"/>
          </m:rPr>
          <m:t>≈</m:t>
        </m:r>
        <m:r>
          <m:t>0.38</m:t>
        </m:r>
      </m:oMath>
      <w:r>
        <w:t xml:space="preserve">) produces 9,731 ± 684 cumulative monument units and 21,469 ± 1,502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SD. The archaeological record documents 155 copper objects, 2,221 steatite fragments, and 740 galena masses and shaped objects (Hays 2019; Webb 1982). The calibrated PP scenario produces 178 ± 21 copper, 838 ± 87 steatite, and 1,265 ± 103 galena items per material (mean ± sample SD, eight replicates). The per-material counts are not directly comparable across the model-archaeology boundary because the units of count differ. The model’s</w:t>
      </w:r>
      <w:r>
        <w:t xml:space="preserve"> </w:t>
      </w:r>
      <w:r>
        <w:t xml:space="preserve">“item”</w:t>
      </w:r>
      <w:r>
        <w:t xml:space="preserve"> </w:t>
      </w:r>
      <w:r>
        <w:t xml:space="preserve">is one acquisition event, equivalent to one imported</w:t>
      </w:r>
      <w:r>
        <w:t xml:space="preserve"> </w:t>
      </w:r>
      <w:r>
        <w:rPr>
          <w:i/>
          <w:iCs/>
        </w:rPr>
        <w:t xml:space="preserve">object</w:t>
      </w:r>
      <w:r>
        <w:t xml:space="preserve"> </w:t>
      </w:r>
      <w:r>
        <w:t xml:space="preserve">(one bowl, one mass, one sheet); steatite is reported as fragments, copper as objects, and galena as masses and shaped artifacts. Compared on a per-vessel basis, the model’s 838 steatite acquisitions are closer to a match or moderate overshoot against the</w:t>
      </w:r>
      <w:r>
        <w:t xml:space="preserve"> </w:t>
      </w:r>
      <w:r>
        <w:t xml:space="preserve">“several hundred vessels”</w:t>
      </w:r>
      <w:r>
        <w:t xml:space="preserve"> </w:t>
      </w:r>
      <w:r>
        <w:t xml:space="preserve">estimate than a 2.6× fragment-count undershoot. Copper (1.15×) and galena (1.80×) are at least within the same order of magnitude. Novaculite and crystal quartz are tracked by the model and are included in the distance-decay test in Panel C using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t xml:space="preserve">We treat the per-material comparison as a posterior predictive check. Each material’s eight-replicate distribution defines a 95% predictive interval at PP-calibrated parameters, and we ask whether the archaeological count falls inside it.</w:t>
      </w:r>
      <w:r>
        <w:t xml:space="preserve"> </w:t>
      </w:r>
      <w:r>
        <w:rPr>
          <w:i/>
          <w:iCs/>
        </w:rPr>
        <w:t xml:space="preserve">Copper</w:t>
      </w:r>
      <w:r>
        <w:t xml:space="preserve"> </w:t>
      </w:r>
      <w:r>
        <w:t xml:space="preserve">is the cleanest test in counting-unit terms (model produces acquired objects, archaeology counts objects): the central 95% predictive interval (mean ± 1.96 × SD) is [137, 219] and contains the archaeological 155, so the model is consistent with the recovered count. The apparent fit may understate the true import volume because copper preserves poorly in the corrosive Macon Ridge soils (Greenlee, personal communication), so the surviving 155 specimens represent a lower bound on what was originally deposited.</w:t>
      </w:r>
      <w:r>
        <w:t xml:space="preserve"> </w:t>
      </w:r>
      <w:r>
        <w:rPr>
          <w:i/>
          <w:iCs/>
        </w:rPr>
        <w:t xml:space="preserve">Galena</w:t>
      </w:r>
      <w:r>
        <w:t xml:space="preserve"> </w:t>
      </w:r>
      <w: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t xml:space="preserve"> </w:t>
      </w:r>
      <w:r>
        <w:rPr>
          <w:i/>
          <w:iCs/>
        </w:rPr>
        <w:t xml:space="preserve">acquisition flow</w:t>
      </w:r>
      <w:r>
        <w:t xml:space="preserve"> </w:t>
      </w:r>
      <w:r>
        <w:t xml:space="preserve">(the number of galena units imported into the system per unit time), while the archaeological record captures</w:t>
      </w:r>
      <w:r>
        <w:t xml:space="preserve"> </w:t>
      </w:r>
      <w:r>
        <w:rPr>
          <w:i/>
          <w:iCs/>
        </w:rPr>
        <w:t xml:space="preserve">recovered discard</w:t>
      </w:r>
      <w:r>
        <w:t xml:space="preserve"> </w:t>
      </w:r>
      <w:r>
        <w:t xml:space="preserve">(what fell out of the curation cycle, survived the active occupation, was deposited in the sampled portions of the site, and was catalogued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t xml:space="preserve"> </w:t>
      </w:r>
      <w:r>
        <w:rPr>
          <w:i/>
          <w:iCs/>
        </w:rPr>
        <w:t xml:space="preserve">direction</w:t>
      </w:r>
      <w:r>
        <w:t xml:space="preserve"> </w:t>
      </w:r>
      <w:r>
        <w:t xml:space="preserve">of the gap (curation of valuable signaling materials reduces preserved counts) even though it does not derive the precise magnitude; the implied ~58% net retention is a back-calculated figure consistent with both mechanisms operating but not independently anchored to either.</w:t>
      </w:r>
      <w:r>
        <w:t xml:space="preserve"> </w:t>
      </w:r>
      <w:r>
        <w:rPr>
          <w:i/>
          <w:iCs/>
        </w:rPr>
        <w:t xml:space="preserve">Steatite</w:t>
      </w:r>
      <w:r>
        <w:t xml:space="preserve"> </w:t>
      </w:r>
      <w:r>
        <w:t xml:space="preserve">depends on whether the archaeological count is taken as fragments (2,221) or vessels (Webb’s</w:t>
      </w:r>
      <w:r>
        <w:t xml:space="preserve"> </w:t>
      </w:r>
      <w:r>
        <w:t xml:space="preserve">“in the thousands”</w:t>
      </w:r>
      <w:r>
        <w:t xml:space="preserve">). On the vessel basis,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consistent-on-vessel-basis for steatite, and consistent-after-curation-and-partial-recovery for galena; in each case, the reconciliation is framework-consistent rather than ad-hoc.</w:t>
      </w:r>
    </w:p>
    <w:p>
      <w:pPr>
        <w:pStyle w:val="BodyText"/>
      </w:pPr>
      <w: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t xml:space="preserve"> </w:t>
      </w:r>
      <w:r>
        <w:t xml:space="preserve">to</w:t>
      </w:r>
      <w:r>
        <w:t xml:space="preserve"> </w:t>
      </w:r>
      <m:oMath>
        <m:r>
          <m:t>0.42</m:t>
        </m:r>
      </m:oMath>
      <w:r>
        <w:t xml:space="preserve">), but steatite, galena, novaculite, and crystal quartz move together strongly (</w:t>
      </w:r>
      <m:oMath>
        <m:r>
          <m:t>r</m:t>
        </m:r>
        <m:r>
          <m:rPr>
            <m:sty m:val="p"/>
          </m:rPr>
          <m:t>=</m:t>
        </m:r>
        <m:r>
          <m:t>0.85</m:t>
        </m:r>
      </m:oMath>
      <w:r>
        <w:t xml:space="preserve"> </w:t>
      </w:r>
      <w:r>
        <w:t xml:space="preserve">to</w:t>
      </w:r>
      <w:r>
        <w:t xml:space="preserve"> </w:t>
      </w:r>
      <m:oMath>
        <m:r>
          <m:t>0.97</m:t>
        </m:r>
      </m:oMath>
      <w: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sits from the simulation’s mean, taking into account that the four counts are correlated rather than independent. The four-material archaeological vector (copper 155, steatite 2,221, galena 740, crystal quartz 395) against the simulation distribution gives</w:t>
      </w:r>
      <w:r>
        <w:t xml:space="preserve"> </w:t>
      </w:r>
      <m:oMath>
        <m:sSup>
          <m:e>
            <m:r>
              <m:t>d</m:t>
            </m:r>
          </m:e>
          <m:sup>
            <m:r>
              <m:t>2</m:t>
            </m:r>
          </m:sup>
        </m:sSup>
        <m:r>
          <m:rPr>
            <m:sty m:val="p"/>
          </m:rPr>
          <m:t>=</m:t>
        </m:r>
        <m:r>
          <m:t>4</m:t>
        </m:r>
        <m:r>
          <m:rPr>
            <m:sty m:val="p"/>
          </m:rPr>
          <m:t>,</m:t>
        </m:r>
        <m:r>
          <m:t>252</m:t>
        </m:r>
      </m:oMath>
      <w:r>
        <w:t xml:space="preserve">, far outside any rejection threshold appropriate for an eight-replicate covariance estimate. The deviation decomposes into four substantively distinct sources: copper at</w:t>
      </w:r>
      <w:r>
        <w:t xml:space="preserve"> </w:t>
      </w:r>
      <m:oMath>
        <m:r>
          <m:rPr>
            <m:sty m:val="p"/>
          </m:rPr>
          <m:t>−</m:t>
        </m:r>
        <m:r>
          <m:t>1.1</m:t>
        </m:r>
      </m:oMath>
      <w:r>
        <w:t xml:space="preserve"> </w:t>
      </w:r>
      <w:r>
        <w:t xml:space="preserve">SDs (within noise); steatite at</w:t>
      </w:r>
      <w:r>
        <w:t xml:space="preserve"> </w:t>
      </w:r>
      <m:oMath>
        <m:r>
          <m:rPr>
            <m:sty m:val="p"/>
          </m:rPr>
          <m:t>+</m:t>
        </m:r>
        <m:r>
          <m:t>15.8</m:t>
        </m:r>
      </m:oMath>
      <w:r>
        <w:t xml:space="preserve"> </w:t>
      </w:r>
      <w:r>
        <w:t xml:space="preserve">SDs (the published count is in fragments while the model produces vessels, with roughly six fragments per vessel reconciling the gap; Webb 1982:45); galena at</w:t>
      </w:r>
      <w:r>
        <w:t xml:space="preserve"> </w:t>
      </w:r>
      <m:oMath>
        <m:r>
          <m:rPr>
            <m:sty m:val="p"/>
          </m:rPr>
          <m:t>−</m:t>
        </m:r>
        <m:r>
          <m:t>5.1</m:t>
        </m:r>
      </m:oMath>
      <w:r>
        <w:t xml:space="preserve"> </w:t>
      </w:r>
      <w: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t xml:space="preserve"> </w:t>
      </w:r>
      <m:oMath>
        <m:r>
          <m:rPr>
            <m:sty m:val="p"/>
          </m:rPr>
          <m:t>−</m:t>
        </m:r>
        <m:r>
          <m:t>13.5</m:t>
        </m:r>
      </m:oMath>
      <w:r>
        <w:t xml:space="preserve"> </w:t>
      </w:r>
      <w:r>
        <w:t xml:space="preserve">SDs (two mechanisms compound: the same curation-and-recovery effect operating on galena, plus the Panel C</w:t>
      </w:r>
      <w:r>
        <w:t xml:space="preserve"> </w:t>
      </w:r>
      <w:r>
        <w:t xml:space="preserve">“PP downstream of close-source distance-decay”</w:t>
      </w:r>
      <w:r>
        <w:t xml:space="preserve"> </w:t>
      </w:r>
      <w:r>
        <w:t xml:space="preserve">finding that reduces acquisition flow into PP in the first place). The substantive point is that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drawing>
          <wp:inline>
            <wp:extent cx="5943600" cy="1848824"/>
            <wp:effectExtent b="0" l="0" r="0" t="0"/>
            <wp:docPr descr="" title="" id="62" name="Picture"/>
            <a:graphic>
              <a:graphicData uri="http://schemas.openxmlformats.org/drawingml/2006/picture">
                <pic:pic>
                  <pic:nvPicPr>
                    <pic:cNvPr descr="../../figures/manuscript/figure_12_calibration.png" id="63" name="Picture"/>
                    <pic:cNvPicPr>
                      <a:picLocks noChangeArrowheads="1" noChangeAspect="1"/>
                    </pic:cNvPicPr>
                  </pic:nvPicPr>
                  <pic:blipFill>
                    <a:blip r:embed="rId61"/>
                    <a:stretch>
                      <a:fillRect/>
                    </a:stretch>
                  </pic:blipFill>
                  <pic:spPr bwMode="auto">
                    <a:xfrm>
                      <a:off x="0" y="0"/>
                      <a:ext cx="5943600" cy="1848824"/>
                    </a:xfrm>
                    <a:prstGeom prst="rect">
                      <a:avLst/>
                    </a:prstGeom>
                    <a:noFill/>
                    <a:ln w="9525">
                      <a:noFill/>
                      <a:headEnd/>
                      <a:tailEnd/>
                    </a:ln>
                  </pic:spPr>
                </pic:pic>
              </a:graphicData>
            </a:graphic>
          </wp:inline>
        </w:drawing>
      </w:r>
    </w:p>
    <w:p>
      <w:pPr>
        <w:pStyle w:val="BodyText"/>
      </w:pPr>
      <w:r>
        <w:rPr>
          <w:b/>
          <w:bCs/>
          <w:i/>
          <w:iCs/>
        </w:rPr>
        <w:t xml:space="preserve">Figure 12. Archaeological calibration with replicate-spread error bars.</w:t>
      </w:r>
      <w:r>
        <w:t xml:space="preserve"> </w:t>
      </w:r>
      <w:r>
        <w:rPr>
          <w:i/>
          <w:iCs/>
        </w:rPr>
        <w:t xml:space="preserve">Bars are means across 8 stochastic replicates of 200 simulated years each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i/>
          <w:iCs/>
        </w:rPr>
        <w:t xml:space="preserve"> </w:t>
      </w:r>
      <w:r>
        <w:rPr>
          <w:i/>
          <w:iCs/>
        </w:rPr>
        <w:t xml:space="preserve">“item”</w:t>
      </w:r>
      <w:r>
        <w:rPr>
          <w:i/>
          <w:iCs/>
        </w:rPr>
        <w:t xml:space="preserve"> </w:t>
      </w:r>
      <w:r>
        <w:rPr>
          <w:i/>
          <w:iCs/>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t xml:space="preserve"> </w:t>
      </w:r>
      <m:oMath>
        <m:r>
          <m:rPr>
            <m:sty m:val="p"/>
          </m:rPr>
          <m:t>exp</m:t>
        </m:r>
        <m:r>
          <m:rPr>
            <m:sty m:val="p"/>
          </m:rPr>
          <m:t>(</m:t>
        </m:r>
        <m:r>
          <m:rPr>
            <m:sty m:val="p"/>
          </m:rPr>
          <m:t>−</m:t>
        </m:r>
        <m:r>
          <m:t>d</m:t>
        </m:r>
        <m:r>
          <m:rPr>
            <m:sty m:val="p"/>
          </m:rPr>
          <m:t>/</m:t>
        </m:r>
        <m:r>
          <m:t>500</m:t>
        </m:r>
        <m:r>
          <m:rPr>
            <m:sty m:val="p"/>
          </m:rPr>
          <m:t>)</m:t>
        </m:r>
      </m:oMath>
      <w:r>
        <w:t xml:space="preserve"> </w:t>
      </w:r>
      <w:r>
        <w:rPr>
          <w:i/>
          <w:iCs/>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t xml:space="preserve"> </w:t>
      </w:r>
      <m:oMath>
        <m:r>
          <m:t>ρ</m:t>
        </m:r>
        <m:r>
          <m:rPr>
            <m:sty m:val="p"/>
          </m:rPr>
          <m:t>=</m:t>
        </m:r>
        <m:r>
          <m:rPr>
            <m:sty m:val="p"/>
          </m:rPr>
          <m:t>−</m:t>
        </m:r>
        <m:r>
          <m:t>0.40</m:t>
        </m:r>
      </m:oMath>
      <w:r>
        <w:t xml:space="preserve"> </w:t>
      </w:r>
      <w:r>
        <w:rPr>
          <w:i/>
          <w:iCs/>
        </w:rPr>
        <w:t xml:space="preserve">and log-space</w:t>
      </w:r>
      <w:r>
        <w:t xml:space="preserve"> </w:t>
      </w:r>
      <m:oMath>
        <m:sSup>
          <m:e>
            <m:r>
              <m:t>R</m:t>
            </m:r>
          </m:e>
          <m:sup>
            <m:r>
              <m:t>2</m:t>
            </m:r>
          </m:sup>
        </m:sSup>
        <m:r>
          <m:rPr>
            <m:sty m:val="p"/>
          </m:rPr>
          <m:t>=</m:t>
        </m:r>
        <m:r>
          <m:rPr>
            <m:sty m:val="p"/>
          </m:rPr>
          <m:t>−</m:t>
        </m:r>
        <m:r>
          <m:t>1.23</m:t>
        </m:r>
      </m:oMath>
      <w:r>
        <w:t xml:space="preserve"> </w:t>
      </w:r>
      <w:r>
        <w:rPr>
          <w:i/>
          <w:iCs/>
        </w:rPr>
        <w:t xml:space="preserve">across the five materials, reflecting that the uniform model does not capture the near-source vs far-source asymmetry; the same statistics restricted to the three far-source materials (galena, steatite, copper) give</w:t>
      </w:r>
      <w:r>
        <w:t xml:space="preserve"> </w:t>
      </w:r>
      <m:oMath>
        <m:r>
          <m:t>ρ</m:t>
        </m:r>
        <m:r>
          <m:rPr>
            <m:sty m:val="p"/>
          </m:rPr>
          <m:t>=</m:t>
        </m:r>
        <m:r>
          <m:rPr>
            <m:sty m:val="p"/>
          </m:rPr>
          <m:t>+</m:t>
        </m:r>
        <m:r>
          <m:t>0.50</m:t>
        </m:r>
      </m:oMath>
      <w:r>
        <w:rPr>
          <w:i/>
          <w:iCs/>
        </w:rPr>
        <w:t xml:space="preserve">.</w:t>
      </w:r>
    </w:p>
    <w:p>
      <w:pPr>
        <w:pStyle w:val="BodyText"/>
      </w:pPr>
      <w:r>
        <w:t xml:space="preserve">The distance-decay prediction provides a partially independent test, with informative failures. The model’s exotic-acquisition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w:t>
      </w:r>
      <w: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t xml:space="preserve"> </w:t>
      </w:r>
      <m:oMath>
        <m:r>
          <m:t>ρ</m:t>
        </m:r>
        <m:r>
          <m:rPr>
            <m:sty m:val="p"/>
          </m:rPr>
          <m:t>=</m:t>
        </m:r>
        <m:r>
          <m:rPr>
            <m:sty m:val="p"/>
          </m:rPr>
          <m:t>−</m:t>
        </m:r>
        <m:r>
          <m:t>0.40</m:t>
        </m:r>
      </m:oMath>
      <w:r>
        <w:t xml:space="preserve"> </w:t>
      </w:r>
      <w:r>
        <w:t xml:space="preserve">and log-space</w:t>
      </w:r>
      <w:r>
        <w:t xml:space="preserve"> </w:t>
      </w:r>
      <m:oMath>
        <m:sSup>
          <m:e>
            <m:r>
              <m:t>R</m:t>
            </m:r>
          </m:e>
          <m:sup>
            <m:r>
              <m:t>2</m:t>
            </m:r>
          </m:sup>
        </m:sSup>
        <m:r>
          <m:rPr>
            <m:sty m:val="p"/>
          </m:rPr>
          <m:t>=</m:t>
        </m:r>
        <m:r>
          <m:rPr>
            <m:sty m:val="p"/>
          </m:rPr>
          <m:t>−</m:t>
        </m:r>
        <m:r>
          <m:t>1.23</m:t>
        </m:r>
      </m:oMath>
      <w:r>
        <w:t xml:space="preserve"> </w:t>
      </w:r>
      <w: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t xml:space="preserve"> </w:t>
      </w:r>
      <m:oMath>
        <m:r>
          <m:t>ρ</m:t>
        </m:r>
        <m:r>
          <m:rPr>
            <m:sty m:val="p"/>
          </m:rPr>
          <m:t>=</m:t>
        </m:r>
        <m:r>
          <m:rPr>
            <m:sty m:val="p"/>
          </m:rPr>
          <m:t>+</m:t>
        </m:r>
        <m:r>
          <m:t>0.50</m:t>
        </m:r>
      </m:oMath>
      <w: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distance-decays rather than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t xml:space="preserve"> </w:t>
      </w:r>
      <w:r>
        <w:rPr>
          <w:i/>
          <w:iCs/>
        </w:rPr>
        <w:t xml:space="preserve">requires</w:t>
      </w:r>
      <w:r>
        <w:t xml:space="preserve"> </w:t>
      </w:r>
      <w:r>
        <w:t xml:space="preserve">a partner network (far-source materials) and merely a downstream beneficiary for materials that closer sites can intercept (near-source materials).</w:t>
      </w:r>
    </w:p>
    <w:p>
      <w:pPr>
        <w:pStyle w:val="BodyText"/>
      </w:pPr>
      <w:r>
        <w:t xml:space="preserve">Three caveats apply to this test. First, the 500 km characteristic length scale is a model parameter, not an</w:t>
      </w:r>
      <w:r>
        <w:t xml:space="preserve"> </w:t>
      </w:r>
      <w:r>
        <w:rPr>
          <w:i/>
          <w:iCs/>
        </w:rPr>
        <w:t xml:space="preserve">a priori</w:t>
      </w:r>
      <w:r>
        <w:t xml:space="preserve"> </w:t>
      </w:r>
      <w:r>
        <w:t xml:space="preserve">prediction, and it is not derived from data independent of the LMV. Second, the Spearman ranking is invariant under any monotonically decreasing</w:t>
      </w:r>
      <w:r>
        <w:t xml:space="preserve"> </w:t>
      </w:r>
      <m:oMath>
        <m:r>
          <m:t>p</m:t>
        </m:r>
        <m:r>
          <m:rPr>
            <m:sty m:val="p"/>
          </m:rPr>
          <m:t>(</m:t>
        </m:r>
        <m:r>
          <m:t>d</m:t>
        </m:r>
        <m:r>
          <m:rPr>
            <m:sty m:val="p"/>
          </m:rPr>
          <m:t>)</m:t>
        </m:r>
      </m:oMath>
      <w:r>
        <w:t xml:space="preserve">, so any model in the uniform-decay family (including a generic transport-cost or down-the-line exchange model) would produce the same</w:t>
      </w:r>
      <w:r>
        <w:t xml:space="preserve"> </w:t>
      </w:r>
      <m:oMath>
        <m:r>
          <m:t>ρ</m:t>
        </m:r>
      </m:oMath>
      <w: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while materials available from sources within day-trip range of multiple regional sites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t xml:space="preserve">The signaling-specific signature in the exotic record is an asymmetric concentration ratio: under partner-choice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characterize the flow as effectively one-directional. The empirical question is therefore not whether outflow exists in principle but whether the regional concentration ratio is high enough, and the directionality consistent enough, to discriminate among the candidate mechanisms.</w:t>
      </w:r>
    </w:p>
    <w:p>
      <w:pPr>
        <w:pStyle w:val="BodyText"/>
      </w:pPr>
      <w: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t xml:space="preserve">The coarse asymmetry test (</w:t>
      </w:r>
      <w:r>
        <w:t xml:space="preserve">“is the regional concentration ratio strong enough, and the directionality one-way enough, to distinguish hub-accumulation from bidirectional storage-and-redistribution or smooth distance-decay?”</w:t>
      </w:r>
      <w:r>
        <w:t xml:space="preserve">) is passed by Smith (1991) on concentration, by Gibson and Griffing (1994) and Mitch (2023) on the low magnitude of hinterland counts, and by Kidder and Grooms (2025:7) on the unidirectionality of flow during the active period. The finer-grained version of the test (</w:t>
      </w:r>
      <w:r>
        <w:t xml:space="preserve">“is the hinterland-to-hub concentration ratio specifically patterned at sites whose visitor-band status is independently established?”</w:t>
      </w:r>
      <w: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t xml:space="preserve">6.2 Bayesian threshold-proximity under joint uncertainty propagation</w:t>
      </w:r>
    </w:p>
    <w:p>
      <w:pPr>
        <w:pStyle w:val="FirstParagraph"/>
      </w:pPr>
      <w:r>
        <w:t xml:space="preserve">A demanding test of the framework is whether environmental conditions estimated from paleoclimate proxies, with no archaeological data included in the</w:t>
      </w:r>
      <w:r>
        <w:t xml:space="preserve"> </w:t>
      </w:r>
      <m:oMath>
        <m:r>
          <m:t>σ</m:t>
        </m:r>
      </m:oMath>
      <w:r>
        <w:t xml:space="preserve"> </w:t>
      </w:r>
      <w:r>
        <w:t xml:space="preserve">calculation, fall on the model-predicted threshold. The structural reasoning is that if Poverty Point exhibits the archaeological hallmarks of monumental aggregation, and the framework predicts that such aggregation should occur only when</w:t>
      </w:r>
      <w:r>
        <w:t xml:space="preserve"> </w:t>
      </w:r>
      <m:oMath>
        <m:r>
          <m:t>σ</m:t>
        </m:r>
      </m:oMath>
      <w:r>
        <w:t xml:space="preserve"> </w:t>
      </w:r>
      <w:r>
        <w:t xml:space="preserve">exceeds</w:t>
      </w:r>
      <w:r>
        <w:t xml:space="preserve"> </w:t>
      </w:r>
      <m:oMath>
        <m:sSup>
          <m:e>
            <m:r>
              <m:t>σ</m:t>
            </m:r>
          </m:e>
          <m:sup>
            <m:r>
              <m:rPr>
                <m:sty m:val="p"/>
              </m:rPr>
              <m:t>*</m:t>
            </m:r>
          </m:sup>
        </m:sSup>
      </m:oMath>
      <w:r>
        <w:t xml:space="preserve">, then estimating</w:t>
      </w:r>
      <w:r>
        <w:t xml:space="preserve"> </w:t>
      </w:r>
      <m:oMath>
        <m:r>
          <m:t>σ</m:t>
        </m:r>
      </m:oMath>
      <w:r>
        <w:t xml:space="preserve"> </w:t>
      </w:r>
      <w:r>
        <w:t xml:space="preserve">from independent climate proxies and comparing it to</w:t>
      </w:r>
      <w:r>
        <w:t xml:space="preserve"> </w:t>
      </w:r>
      <m:oMath>
        <m:sSup>
          <m:e>
            <m:r>
              <m:t>σ</m:t>
            </m:r>
          </m:e>
          <m:sup>
            <m:r>
              <m:rPr>
                <m:sty m:val="p"/>
              </m:rPr>
              <m:t>*</m:t>
            </m:r>
          </m:sup>
        </m:sSup>
      </m:oMath>
      <w:r>
        <w:t xml:space="preserve"> </w:t>
      </w:r>
      <w:r>
        <w:t xml:space="preserve">tests the prediction. If proxy-derived</w:t>
      </w:r>
      <w:r>
        <w:t xml:space="preserve"> </w:t>
      </w:r>
      <m:oMath>
        <m:r>
          <m:t>σ</m:t>
        </m:r>
      </m:oMath>
      <w:r>
        <w:t xml:space="preserve"> </w:t>
      </w:r>
      <w:r>
        <w:t xml:space="preserve">falls</w:t>
      </w:r>
      <w:r>
        <w:t xml:space="preserve"> </w:t>
      </w:r>
      <w:r>
        <w:rPr>
          <w:i/>
          <w:iCs/>
        </w:rPr>
        <w:t xml:space="preserve">above</w:t>
      </w:r>
      <w:r>
        <w:t xml:space="preserve"> </w:t>
      </w:r>
      <m:oMath>
        <m:sSup>
          <m:e>
            <m:r>
              <m:t>σ</m:t>
            </m:r>
          </m:e>
          <m:sup>
            <m:r>
              <m:rPr>
                <m:sty m:val="p"/>
              </m:rPr>
              <m:t>*</m:t>
            </m:r>
          </m:sup>
        </m:sSup>
      </m:oMath>
      <w:r>
        <w:t xml:space="preserve">, the prediction holds. If it falls below, the prediction fails.</w:t>
      </w:r>
    </w:p>
    <w:p>
      <w:pPr>
        <w:pStyle w:val="BodyText"/>
      </w:pPr>
      <w:r>
        <w:t xml:space="preserve">The</w:t>
      </w:r>
      <w:r>
        <w:t xml:space="preserve"> </w:t>
      </w:r>
      <w:r>
        <w:t xml:space="preserve">“independence”</w:t>
      </w:r>
      <w:r>
        <w:t xml:space="preserve"> </w:t>
      </w:r>
      <w:r>
        <w:t xml:space="preserve">framing of this test has a caveat: the model’s threshold</w:t>
      </w:r>
      <w:r>
        <w:t xml:space="preserve"> </w:t>
      </w:r>
      <m:oMath>
        <m:sSup>
          <m:e>
            <m:r>
              <m:t>σ</m:t>
            </m:r>
          </m:e>
          <m:sup>
            <m:r>
              <m:rPr>
                <m:sty m:val="p"/>
              </m:rPr>
              <m:t>*</m:t>
            </m:r>
          </m:sup>
        </m:sSup>
      </m:oMath>
      <w:r>
        <w:t xml:space="preserve"> </w:t>
      </w:r>
      <w:r>
        <w:t xml:space="preserve">is not derived independently of Poverty Point. The cost parameters (</w:t>
      </w:r>
      <m:oMath>
        <m:sSub>
          <m:e>
            <m:r>
              <m:t>C</m:t>
            </m:r>
          </m:e>
          <m:sub>
            <m:r>
              <m:t>s</m:t>
            </m:r>
            <m:r>
              <m:t>i</m:t>
            </m:r>
            <m:r>
              <m:t>g</m:t>
            </m:r>
            <m:r>
              <m:t>n</m:t>
            </m:r>
            <m:r>
              <m:t>a</m:t>
            </m:r>
            <m:r>
              <m:t>l</m:t>
            </m:r>
          </m:sub>
        </m:sSub>
        <m:r>
          <m:rPr>
            <m:sty m:val="p"/>
          </m:rPr>
          <m:t>=</m:t>
        </m:r>
        <m:r>
          <m:t>0.18</m:t>
        </m:r>
      </m:oMath>
      <w:r>
        <w:t xml:space="preserve">,</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the within-group reward asserted at</w:t>
      </w:r>
      <w:r>
        <w:t xml:space="preserve"> </w:t>
      </w:r>
      <m:oMath>
        <m:sSub>
          <m:e>
            <m:r>
              <m:t>λ</m:t>
            </m:r>
          </m:e>
          <m:sub>
            <m:r>
              <m:t>W</m:t>
            </m:r>
          </m:sub>
        </m:sSub>
        <m:r>
          <m:rPr>
            <m:sty m:val="p"/>
          </m:rPr>
          <m:t>=</m:t>
        </m:r>
        <m:r>
          <m:t>0.15</m:t>
        </m:r>
      </m:oMath>
      <w:r>
        <w:t xml:space="preserve">, the network-saturation constants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and the default ecotone-weighting rubric were all chosen so that the model run at PP-scenario parameters produces a calibrated PP-scale operation. The §S3.1 one-at-a-time sensitivity table shows that</w:t>
      </w:r>
      <w:r>
        <w:t xml:space="preserve"> </w:t>
      </w:r>
      <m:oMath>
        <m:sSup>
          <m:e>
            <m:r>
              <m:t>σ</m:t>
            </m:r>
          </m:e>
          <m:sup>
            <m:r>
              <m:rPr>
                <m:sty m:val="p"/>
              </m:rPr>
              <m:t>*</m:t>
            </m:r>
          </m:sup>
        </m:sSup>
      </m:oMath>
      <w:r>
        <w:t xml:space="preserve"> </w:t>
      </w:r>
      <w:r>
        <w:t xml:space="preserve">has a 0.225 swing under</w:t>
      </w:r>
      <w:r>
        <w:t xml:space="preserve"> </w:t>
      </w:r>
      <m:oMath>
        <m:r>
          <m:rPr>
            <m:sty m:val="p"/>
          </m:rPr>
          <m:t>±</m:t>
        </m:r>
        <m:r>
          <m:t>50</m:t>
        </m:r>
        <m:r>
          <m:rPr>
            <m:sty m:val="p"/>
          </m:rPr>
          <m:t>%</m:t>
        </m:r>
      </m:oMath>
      <w:r>
        <w:t xml:space="preserve"> </w:t>
      </w:r>
      <m:oMath>
        <m:sSub>
          <m:e>
            <m:r>
              <m:t>C</m:t>
            </m:r>
          </m:e>
          <m:sub>
            <m:r>
              <m:t>s</m:t>
            </m:r>
            <m:r>
              <m:t>i</m:t>
            </m:r>
            <m:r>
              <m:t>g</m:t>
            </m:r>
            <m:r>
              <m:t>n</m:t>
            </m:r>
            <m:r>
              <m:t>a</m:t>
            </m:r>
            <m:r>
              <m:t>l</m:t>
            </m:r>
          </m:sub>
        </m:sSub>
      </m:oMath>
      <w:r>
        <w:t xml:space="preserve"> </w:t>
      </w:r>
      <w:r>
        <w:t xml:space="preserve">and a 0.154 swing under</w:t>
      </w:r>
      <w:r>
        <w:t xml:space="preserve"> </w:t>
      </w:r>
      <m:oMath>
        <m:r>
          <m:t>ε</m:t>
        </m:r>
        <m:r>
          <m:rPr>
            <m:sty m:val="p"/>
          </m:rPr>
          <m:t>∈</m:t>
        </m:r>
        <m:r>
          <m:rPr>
            <m:sty m:val="p"/>
          </m:rPr>
          <m:t>[</m:t>
        </m:r>
        <m:r>
          <m:t>0.10</m:t>
        </m:r>
        <m:r>
          <m:rPr>
            <m:sty m:val="p"/>
          </m:rPr>
          <m:t>,</m:t>
        </m:r>
        <m:r>
          <m:t>0.50</m:t>
        </m:r>
        <m:r>
          <m:rPr>
            <m:sty m:val="p"/>
          </m:rPr>
          <m:t>]</m:t>
        </m:r>
      </m:oMath>
      <w:r>
        <w:t xml:space="preserve">. So</w:t>
      </w:r>
      <w:r>
        <w:t xml:space="preserve"> </w:t>
      </w:r>
      <m:oMath>
        <m:sSup>
          <m:e>
            <m:r>
              <m:t>σ</m:t>
            </m:r>
          </m:e>
          <m:sup>
            <m:r>
              <m:rPr>
                <m:sty m:val="p"/>
              </m:rPr>
              <m:t>*</m:t>
            </m:r>
          </m:sup>
        </m:sSup>
      </m:oMath>
      <w:r>
        <w:t xml:space="preserve"> </w:t>
      </w:r>
      <w:r>
        <w:t xml:space="preserve">is conditioned on a parameter set chosen consistent with Poverty Point operation, even though the paleoclimate</w:t>
      </w:r>
      <w:r>
        <w:t xml:space="preserve"> </w:t>
      </w:r>
      <m:oMath>
        <m:r>
          <m:t>σ</m:t>
        </m:r>
      </m:oMath>
      <w:r>
        <w:t xml:space="preserve"> </w:t>
      </w:r>
      <w:r>
        <w:t xml:space="preserve">is independent of the Poverty Point archaeological record. The test below evaluates whether paleoclimate</w:t>
      </w:r>
      <w:r>
        <w:t xml:space="preserve"> </w:t>
      </w:r>
      <m:oMath>
        <m:r>
          <m:t>σ</m:t>
        </m:r>
      </m:oMath>
      <w:r>
        <w:t xml:space="preserve"> </w:t>
      </w:r>
      <w:r>
        <w:t xml:space="preserve">exceeds a threshold that the model places near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t xml:space="preserve"> </w:t>
      </w:r>
      <m:oMath>
        <m:sSup>
          <m:e>
            <m:r>
              <m:t>σ</m:t>
            </m:r>
          </m:e>
          <m:sup>
            <m:r>
              <m:rPr>
                <m:sty m:val="p"/>
              </m:rPr>
              <m:t>*</m:t>
            </m:r>
          </m:sup>
        </m:sSup>
      </m:oMath>
      <w:r>
        <w:t xml:space="preserve"> </w:t>
      </w:r>
      <w:r>
        <w:t xml:space="preserve">as well; we identify this as a priority for empirical work in §7.4.</w:t>
      </w:r>
    </w:p>
    <w:p>
      <w:pPr>
        <w:pStyle w:val="BodyText"/>
      </w:pPr>
      <w:r>
        <w:t xml:space="preserve">Our estimated regional uncertainty for Poverty Point (</w:t>
      </w:r>
      <m:oMath>
        <m:sSub>
          <m:e>
            <m:r>
              <m:t>σ</m:t>
            </m:r>
          </m:e>
          <m:sub>
            <m:r>
              <m:t>L</m:t>
            </m:r>
            <m:r>
              <m:t>M</m:t>
            </m:r>
            <m:r>
              <m:t>V</m:t>
            </m:r>
          </m:sub>
        </m:sSub>
        <m:r>
          <m:rPr>
            <m:sty m:val="p"/>
          </m:rPr>
          <m:t>≈</m:t>
        </m:r>
        <m:r>
          <m:t>0.64</m:t>
        </m:r>
      </m:oMath>
      <w:r>
        <w:t xml:space="preserve">, 95% CI 0.41-0.94) was derived from paleoclimate proxies (§5.5). The central estimate exceeds the model-predicted threshold (</w:t>
      </w:r>
      <m:oMath>
        <m:sSup>
          <m:e>
            <m:r>
              <m:t>σ</m:t>
            </m:r>
          </m:e>
          <m:sup>
            <m:r>
              <m:rPr>
                <m:sty m:val="p"/>
              </m:rPr>
              <m:t>*</m:t>
            </m:r>
          </m:sup>
        </m:sSup>
        <m:r>
          <m:rPr>
            <m:sty m:val="p"/>
          </m:rPr>
          <m:t>≈</m:t>
        </m:r>
        <m:r>
          <m:t>0.40</m:t>
        </m:r>
      </m:oMath>
      <w:r>
        <w:t xml:space="preserve"> </w:t>
      </w:r>
      <w:r>
        <w:t xml:space="preserve">given the site’s ecotone advantage;</w:t>
      </w:r>
      <w:r>
        <w:t xml:space="preserve"> </w:t>
      </w:r>
      <m:oMath>
        <m:sSup>
          <m:e>
            <m:r>
              <m:t>σ</m:t>
            </m:r>
          </m:e>
          <m:sup>
            <m:r>
              <m:rPr>
                <m:sty m:val="p"/>
              </m:rPr>
              <m:t>*</m:t>
            </m:r>
          </m:sup>
        </m:sSup>
        <m:r>
          <m:rPr>
            <m:sty m:val="p"/>
          </m:rPr>
          <m:t>≈</m:t>
        </m:r>
        <m:r>
          <m:t>0.57</m:t>
        </m:r>
      </m:oMath>
      <w:r>
        <w:t xml:space="preserve"> </w:t>
      </w:r>
      <w:r>
        <w:t xml:space="preserve">without). However, two sources of uncertainty must be propagated through the comparison: the paleoclimate uncertainty in</w:t>
      </w:r>
      <w:r>
        <w:t xml:space="preserve"> </w:t>
      </w:r>
      <m:oMath>
        <m:sSub>
          <m:e>
            <m:r>
              <m:t>σ</m:t>
            </m:r>
          </m:e>
          <m:sub>
            <m:r>
              <m:t>L</m:t>
            </m:r>
            <m:r>
              <m:t>M</m:t>
            </m:r>
            <m:r>
              <m:t>V</m:t>
            </m:r>
          </m:sub>
        </m:sSub>
      </m:oMath>
      <w:r>
        <w:t xml:space="preserve">, and the ecotone-weighting uncertainty in</w:t>
      </w:r>
      <w:r>
        <w:t xml:space="preserve"> </w:t>
      </w:r>
      <m:oMath>
        <m:r>
          <m:t>ε</m:t>
        </m:r>
      </m:oMath>
      <w:r>
        <w:t xml:space="preserve">. Once both are propagated, the inference is more measured than the central estimate alone suggests.</w:t>
      </w:r>
    </w:p>
    <w:p>
      <w:pPr>
        <w:pStyle w:val="BodyText"/>
      </w:pPr>
      <w: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t xml:space="preserve"> </w:t>
      </w:r>
      <w:r>
        <w:t xml:space="preserve">“above threshold”</w:t>
      </w:r>
      <w:r>
        <w:t xml:space="preserve"> </w:t>
      </w:r>
      <w: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t xml:space="preserve"> </w:t>
      </w:r>
      <w:r>
        <w:t xml:space="preserve">“priors”</w:t>
      </w:r>
      <w:r>
        <w:t xml:space="preserve">), and run the model on each sample. The result is a distribution of outcomes (the</w:t>
      </w:r>
      <w:r>
        <w:t xml:space="preserve"> </w:t>
      </w:r>
      <w:r>
        <w:t xml:space="preserve">“posterior”</w:t>
      </w:r>
      <w:r>
        <w:t xml:space="preserve">) for</w:t>
      </w:r>
      <w:r>
        <w:t xml:space="preserve"> </w:t>
      </w:r>
      <m:oMath>
        <m:r>
          <m:t>σ</m:t>
        </m:r>
      </m:oMath>
      <w:r>
        <w:t xml:space="preserve">,</w:t>
      </w:r>
      <w:r>
        <w:t xml:space="preserve"> </w:t>
      </w:r>
      <m:oMath>
        <m:r>
          <m:t>ε</m:t>
        </m:r>
      </m:oMath>
      <w:r>
        <w:t xml:space="preserve">,</w:t>
      </w:r>
      <w:r>
        <w:t xml:space="preserve"> </w:t>
      </w:r>
      <m:oMath>
        <m:sSub>
          <m:e>
            <m:r>
              <m:t>σ</m:t>
            </m:r>
          </m:e>
          <m:sub>
            <m:r>
              <m:t>e</m:t>
            </m:r>
            <m:r>
              <m:t>f</m:t>
            </m:r>
            <m:r>
              <m:t>f</m:t>
            </m:r>
          </m:sub>
        </m:sSub>
      </m:oMath>
      <w:r>
        <w:t xml:space="preserve">, and</w:t>
      </w:r>
      <w:r>
        <w:t xml:space="preserve"> </w:t>
      </w:r>
      <m:oMath>
        <m:sSup>
          <m:e>
            <m:r>
              <m:t>σ</m:t>
            </m:r>
          </m:e>
          <m:sup>
            <m:r>
              <m:rPr>
                <m:sty m:val="p"/>
              </m:rPr>
              <m:t>*</m:t>
            </m:r>
          </m:sup>
        </m:sSup>
      </m:oMath>
      <w:r>
        <w:t xml:space="preserve"> </w:t>
      </w:r>
      <w: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t xml:space="preserve"> </w:t>
      </w:r>
      <w: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t xml:space="preserve">).</w:t>
      </w:r>
    </w:p>
    <w:p>
      <w:pPr>
        <w:pStyle w:val="BodyText"/>
      </w:pPr>
      <w:r>
        <w:t xml:space="preserve">Three different priors on the ecotone parameter test whether the result hinges on a specific operationalization.</w:t>
      </w:r>
      <w:r>
        <w:t xml:space="preserve"> </w:t>
      </w:r>
      <w:r>
        <w:rPr>
          <w:i/>
          <w:iCs/>
        </w:rPr>
        <w:t xml:space="preserve">Prior 1 (rubric):</w:t>
      </w:r>
      <w:r>
        <w:t xml:space="preserve"> </w:t>
      </w:r>
      <w:r>
        <w:t xml:space="preserve">uniform</w:t>
      </w:r>
      <w:r>
        <w:t xml:space="preserve"> </w:t>
      </w:r>
      <m:oMath>
        <m:r>
          <m:rPr>
            <m:sty m:val="p"/>
          </m:rPr>
          <m:t>±</m:t>
        </m:r>
        <m:r>
          <m:t>0.2</m:t>
        </m:r>
      </m:oMath>
      <w:r>
        <w:t xml:space="preserve"> </w:t>
      </w:r>
      <w:r>
        <w:t xml:space="preserve">on each of the five PP ecotone weights, centered on the qualitative rubric of §S6.</w:t>
      </w:r>
      <w:r>
        <w:t xml:space="preserve"> </w:t>
      </w:r>
      <w:r>
        <w:rPr>
          <w:i/>
          <w:iCs/>
        </w:rPr>
        <w:t xml:space="preserve">Prior 2 (flat):</w:t>
      </w:r>
      <w:r>
        <w:t xml:space="preserve"> </w:t>
      </w:r>
      <m:oMath>
        <m:r>
          <m:t>ε</m:t>
        </m:r>
        <m:r>
          <m:rPr>
            <m:sty m:val="p"/>
          </m:rPr>
          <m:t>∼</m:t>
        </m:r>
        <m:r>
          <m:t>U</m:t>
        </m:r>
        <m:r>
          <m:rPr>
            <m:sty m:val="p"/>
          </m:rPr>
          <m:t>[</m:t>
        </m:r>
        <m:r>
          <m:t>0.10</m:t>
        </m:r>
        <m:r>
          <m:rPr>
            <m:sty m:val="p"/>
          </m:rPr>
          <m:t>,</m:t>
        </m:r>
        <m:r>
          <m:t>0.50</m:t>
        </m:r>
        <m:r>
          <m:rPr>
            <m:sty m:val="p"/>
          </m:rPr>
          <m:t>]</m:t>
        </m:r>
      </m:oMath>
      <w:r>
        <w:t xml:space="preserve">, treating the disagreement among GIS-derived and rubric-based estimates (Saucier-categorical 0.22, EPA L4 0.33, rubric 0.49, phenology 0.50) as genuine uncertainty over the operative quantity.</w:t>
      </w:r>
      <w:r>
        <w:t xml:space="preserve"> </w:t>
      </w:r>
      <w:r>
        <w:rPr>
          <w:i/>
          <w:iCs/>
        </w:rPr>
        <w:t xml:space="preserve">Prior 3 (GIS mixture):</w:t>
      </w:r>
      <w:r>
        <w:t xml:space="preserve"> </w:t>
      </w:r>
      <w:r>
        <w:t xml:space="preserve">draws from the four GIS-derived</w:t>
      </w:r>
      <w:r>
        <w:t xml:space="preserve"> </w:t>
      </w:r>
      <m:oMath>
        <m:r>
          <m:t>ε</m:t>
        </m:r>
      </m:oMath>
      <w:r>
        <w:t xml:space="preserve"> </w:t>
      </w:r>
      <w:r>
        <w:t xml:space="preserve">estimates with</w:t>
      </w:r>
      <w:r>
        <w:t xml:space="preserve"> </w:t>
      </w:r>
      <m:oMath>
        <m:r>
          <m:rPr>
            <m:sty m:val="p"/>
          </m:rPr>
          <m:t>±</m:t>
        </m:r>
        <m:r>
          <m:t>0.05</m:t>
        </m:r>
      </m:oMath>
      <w:r>
        <w:t xml:space="preserve"> </w:t>
      </w:r>
      <w:r>
        <w:t xml:space="preserve">jitter. Under the three priors, the average posterior</w:t>
      </w:r>
      <w:r>
        <w:t xml:space="preserve"> </w:t>
      </w:r>
      <m:oMath>
        <m:sSub>
          <m:e>
            <m:r>
              <m:t>σ</m:t>
            </m:r>
          </m:e>
          <m:sub>
            <m:r>
              <m:t>e</m:t>
            </m:r>
            <m:r>
              <m:t>f</m:t>
            </m:r>
            <m:r>
              <m:t>f</m:t>
            </m:r>
          </m:sub>
        </m:sSub>
      </m:oMath>
      <w:r>
        <w:t xml:space="preserve"> </w:t>
      </w:r>
      <w:r>
        <w:t xml:space="preserve">is 0.324, 0.445, and 0.393, and the average posterior</w:t>
      </w:r>
      <w:r>
        <w:t xml:space="preserve"> </w:t>
      </w:r>
      <m:oMath>
        <m:sSup>
          <m:e>
            <m:r>
              <m:t>σ</m:t>
            </m:r>
          </m:e>
          <m:sup>
            <m:r>
              <m:rPr>
                <m:sty m:val="p"/>
              </m:rPr>
              <m:t>*</m:t>
            </m:r>
          </m:sup>
        </m:sSup>
      </m:oMath>
      <w:r>
        <w:t xml:space="preserve"> </w:t>
      </w:r>
      <w:r>
        <w:t xml:space="preserve">is 0.357, 0.422, and 0.392. The probability that aggregation is adaptive at Poverty Point,</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is</w:t>
      </w:r>
      <w:r>
        <w:t xml:space="preserve"> </w:t>
      </w:r>
      <w:r>
        <w:rPr>
          <w:b/>
          <w:bCs/>
        </w:rPr>
        <w:t xml:space="preserve">0.36</w:t>
      </w:r>
      <w:r>
        <w:t xml:space="preserve"> </w:t>
      </w:r>
      <w:r>
        <w:t xml:space="preserve">under the rubric prior,</w:t>
      </w:r>
      <w:r>
        <w:t xml:space="preserve"> </w:t>
      </w:r>
      <w:r>
        <w:rPr>
          <w:b/>
          <w:bCs/>
        </w:rPr>
        <w:t xml:space="preserve">0.56</w:t>
      </w:r>
      <w:r>
        <w:t xml:space="preserve"> </w:t>
      </w:r>
      <w:r>
        <w:t xml:space="preserve">under the flat prior, and</w:t>
      </w:r>
      <w:r>
        <w:t xml:space="preserve"> </w:t>
      </w:r>
      <w:r>
        <w:rPr>
          <w:b/>
          <w:bCs/>
        </w:rPr>
        <w:t xml:space="preserve">0.48</w:t>
      </w:r>
      <w:r>
        <w:t xml:space="preserve"> </w:t>
      </w:r>
      <w:r>
        <w:t xml:space="preserve">under the GIS-mixture prior. The probability rises rather than falls under less-informative priors, because lower-</w:t>
      </w:r>
      <m:oMath>
        <m:r>
          <m:t>ε</m:t>
        </m:r>
      </m:oMath>
      <w:r>
        <w:t xml:space="preserve"> </w:t>
      </w:r>
      <w:r>
        <w:t xml:space="preserve">samples raise</w:t>
      </w:r>
      <w:r>
        <w:t xml:space="preserve"> </w:t>
      </w:r>
      <m:oMath>
        <m:sSup>
          <m:e>
            <m:r>
              <m:t>σ</m:t>
            </m:r>
          </m:e>
          <m:sup>
            <m:r>
              <m:rPr>
                <m:sty m:val="p"/>
              </m:rPr>
              <m:t>*</m:t>
            </m:r>
          </m:sup>
        </m:sSup>
      </m:oMath>
      <w:r>
        <w:t xml:space="preserve"> </w:t>
      </w:r>
      <w:r>
        <w:t xml:space="preserve">but raise</w:t>
      </w:r>
      <w:r>
        <w:t xml:space="preserve"> </w:t>
      </w:r>
      <m:oMath>
        <m:sSub>
          <m:e>
            <m:r>
              <m:t>σ</m:t>
            </m:r>
          </m:e>
          <m:sub>
            <m:r>
              <m:t>e</m:t>
            </m:r>
            <m:r>
              <m:t>f</m:t>
            </m:r>
            <m:r>
              <m:t>f</m:t>
            </m:r>
          </m:sub>
        </m:sSub>
      </m:oMath>
      <w:r>
        <w:t xml:space="preserve"> </w:t>
      </w:r>
      <w:r>
        <w:t xml:space="preserve">even faster (since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qualitative conclusion that Poverty Point sits in the threshold zone is robust to the choice of prior. What is not robust is whether the site sits clearly above or below the threshold; the interval</w:t>
      </w:r>
      <w:r>
        <w:t xml:space="preserve"> </w:t>
      </w:r>
      <m:oMath>
        <m:r>
          <m:t>P</m:t>
        </m:r>
        <m:r>
          <m:rPr>
            <m:sty m:val="p"/>
          </m:rPr>
          <m:t>∈</m:t>
        </m:r>
        <m:r>
          <m:rPr>
            <m:sty m:val="p"/>
          </m:rPr>
          <m:t>[</m:t>
        </m:r>
        <m:r>
          <m:t>0.36</m:t>
        </m:r>
        <m:r>
          <m:rPr>
            <m:sty m:val="p"/>
          </m:rPr>
          <m:t>,</m:t>
        </m:r>
        <m:r>
          <m:t>0.56</m:t>
        </m:r>
        <m:r>
          <m:rPr>
            <m:sty m:val="p"/>
          </m:rPr>
          <m:t>]</m:t>
        </m:r>
      </m:oMath>
      <w:r>
        <w:t xml:space="preserve"> </w:t>
      </w:r>
      <w:r>
        <w:t xml:space="preserve">across plausible priors describes a near-tie rather than a confident result. Tightening the input distributions, either by using a narrower LMV-specific paleoclimate reconstruction or by deriving a covariance-based</w:t>
      </w:r>
      <w:r>
        <w:t xml:space="preserve"> </w:t>
      </w:r>
      <m:oMath>
        <m:r>
          <m:t>ε</m:t>
        </m:r>
      </m:oMath>
      <w:r>
        <w:t xml:space="preserve"> </w:t>
      </w:r>
      <w:r>
        <w:t xml:space="preserve">from drainage-resolved hydrographs, would shift the probability further; the full sensitivity output is available in the project repository.</w:t>
      </w:r>
    </w:p>
    <w:p>
      <w:pPr>
        <w:pStyle w:val="BodyText"/>
      </w:pPr>
      <w:r>
        <w:t xml:space="preserve">To address the conditioning caveat above, we extend the Bayesian propagation to include uncertainty in the model parameters that determine where</w:t>
      </w:r>
      <w:r>
        <w:t xml:space="preserve"> </w:t>
      </w:r>
      <m:oMath>
        <m:sSup>
          <m:e>
            <m:r>
              <m:t>σ</m:t>
            </m:r>
          </m:e>
          <m:sup>
            <m:r>
              <m:rPr>
                <m:sty m:val="p"/>
              </m:rPr>
              <m:t>*</m:t>
            </m:r>
          </m:sup>
        </m:sSup>
      </m:oMath>
      <w:r>
        <w:t xml:space="preserve"> </w:t>
      </w:r>
      <w:r>
        <w:t xml:space="preserve">lies. We sample the six parameters that the §S3.1 sensitivity analysis identifies as determining</w:t>
      </w:r>
      <w:r>
        <w:t xml:space="preserve"> </w:t>
      </w:r>
      <m:oMath>
        <m:sSup>
          <m:e>
            <m:r>
              <m:t>σ</m:t>
            </m:r>
          </m:e>
          <m:sup>
            <m:r>
              <m:rPr>
                <m:sty m:val="p"/>
              </m:rPr>
              <m:t>*</m:t>
            </m:r>
          </m:sup>
        </m:sSup>
      </m:oMath>
      <w:r>
        <w:t xml:space="preserve"> </w:t>
      </w:r>
      <w:r>
        <w:t xml:space="preserve">(</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from independent uniform priors at</w:t>
      </w:r>
      <w:r>
        <w:t xml:space="preserve"> </w:t>
      </w:r>
      <m:oMath>
        <m:r>
          <m:rPr>
            <m:sty m:val="p"/>
          </m:rPr>
          <m:t>±</m:t>
        </m:r>
        <m:r>
          <m:t>50</m:t>
        </m:r>
        <m:r>
          <m:rPr>
            <m:sty m:val="p"/>
          </m:rPr>
          <m:t>%</m:t>
        </m:r>
      </m:oMath>
      <w:r>
        <w:t xml:space="preserve"> </w:t>
      </w:r>
      <w:r>
        <w:t xml:space="preserve">around their default values, jointly with the rubric priors on</w:t>
      </w:r>
      <w:r>
        <w:t xml:space="preserve"> </w:t>
      </w:r>
      <m:oMath>
        <m:r>
          <m:t>σ</m:t>
        </m:r>
      </m:oMath>
      <w:r>
        <w:t xml:space="preserve"> </w:t>
      </w:r>
      <w:r>
        <w:t xml:space="preserve">and</w:t>
      </w:r>
      <w:r>
        <w:t xml:space="preserve"> </w:t>
      </w:r>
      <m:oMath>
        <m:r>
          <m:t>ε</m:t>
        </m:r>
      </m:oMath>
      <w:r>
        <w:t xml:space="preserve">. Across 1,000 joint samples (Figure S2; full output in the project repository), the posterior probability</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is between 0.33 and 0.36 depending on Monte Carlo seed, comparable to the 0.36 result under the rubric prior alone. The posterior on the gap</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a mean</w:t>
      </w:r>
      <w:r>
        <w:t xml:space="preserve"> </w:t>
      </w:r>
      <m:oMath>
        <m:r>
          <m:rPr>
            <m:sty m:val="p"/>
          </m:rPr>
          <m:t>−</m:t>
        </m:r>
        <m:r>
          <m:t>0.05</m:t>
        </m:r>
      </m:oMath>
      <w:r>
        <w:t xml:space="preserve"> </w:t>
      </w:r>
      <w:r>
        <w:t xml:space="preserve">with a 95% interval</w:t>
      </w:r>
      <w:r>
        <w:t xml:space="preserve"> </w:t>
      </w:r>
      <m:oMath>
        <m:r>
          <m:rPr>
            <m:sty m:val="p"/>
          </m:rPr>
          <m:t>[</m:t>
        </m:r>
        <m:r>
          <m:rPr>
            <m:sty m:val="p"/>
          </m:rPr>
          <m:t>−</m:t>
        </m:r>
        <m:r>
          <m:t>0.26</m:t>
        </m:r>
        <m:r>
          <m:rPr>
            <m:sty m:val="p"/>
          </m:rPr>
          <m:t>,</m:t>
        </m:r>
        <m:r>
          <m:rPr>
            <m:sty m:val="p"/>
          </m:rPr>
          <m:t>+</m:t>
        </m:r>
        <m:r>
          <m:t>0.18</m:t>
        </m:r>
        <m:r>
          <m:rPr>
            <m:sty m:val="p"/>
          </m:rPr>
          <m:t>]</m:t>
        </m:r>
      </m:oMath>
      <w:r>
        <w:t xml:space="preserve"> </w:t>
      </w:r>
      <w:r>
        <w:t xml:space="preserve">that substantially straddles zero. The conditioning caveat is therefore real but bounded: the §6.2 result is robust against adding</w:t>
      </w:r>
      <w:r>
        <w:t xml:space="preserve"> </w:t>
      </w:r>
      <m:oMath>
        <m:r>
          <m:rPr>
            <m:sty m:val="p"/>
          </m:rPr>
          <m:t>±</m:t>
        </m:r>
        <m:r>
          <m:t>50</m:t>
        </m:r>
        <m:r>
          <m:rPr>
            <m:sty m:val="p"/>
          </m:rPr>
          <m:t>%</m:t>
        </m:r>
      </m:oMath>
      <w:r>
        <w:t xml:space="preserve"> </w:t>
      </w:r>
      <w:r>
        <w:t xml:space="preserve">uncertainty in the parameters that fix</w:t>
      </w:r>
      <w:r>
        <w:t xml:space="preserve"> </w:t>
      </w:r>
      <m:oMath>
        <m:sSup>
          <m:e>
            <m:r>
              <m:t>σ</m:t>
            </m:r>
          </m:e>
          <m:sup>
            <m:r>
              <m:rPr>
                <m:sty m:val="p"/>
              </m:rPr>
              <m:t>*</m:t>
            </m:r>
          </m:sup>
        </m:sSup>
      </m:oMath>
      <w: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t xml:space="preserve">6.3 The Watson Brake near-threshold case</w:t>
      </w:r>
    </w:p>
    <w:p>
      <w:pPr>
        <w:pStyle w:val="FirstParagraph"/>
      </w:pPr>
      <w: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t xml:space="preserve">,</w:t>
      </w:r>
      <w:r>
        <w:t xml:space="preserve"> </w:t>
      </w:r>
      <m:oMath>
        <m:r>
          <m:t>σ</m:t>
        </m:r>
        <m:r>
          <m:rPr>
            <m:sty m:val="p"/>
          </m:rPr>
          <m:t>≈</m:t>
        </m:r>
        <m:r>
          <m:t>0.56</m:t>
        </m:r>
      </m:oMath>
      <w:r>
        <w:t xml:space="preserve"> </w:t>
      </w:r>
      <w:r>
        <w:t xml:space="preserve">from mid-Holocene LMV proxies,</w:t>
      </w:r>
      <w:r>
        <w:t xml:space="preserve"> </w:t>
      </w:r>
      <m:oMath>
        <m:sSub>
          <m:e>
            <m:r>
              <m:t>n</m:t>
            </m:r>
          </m:e>
          <m:sub>
            <m:r>
              <m:t>a</m:t>
            </m:r>
            <m:r>
              <m:t>g</m:t>
            </m:r>
            <m:r>
              <m:t>g</m:t>
            </m:r>
          </m:sub>
        </m:sSub>
        <m:r>
          <m:rPr>
            <m:sty m:val="p"/>
          </m:rPr>
          <m:t>≈</m:t>
        </m:r>
        <m:r>
          <m:t>8</m:t>
        </m:r>
      </m:oMath>
      <w:r>
        <w:t xml:space="preserve"> </w:t>
      </w:r>
      <w:r>
        <w:t xml:space="preserve">from the smaller monumental footprint) returns</w:t>
      </w:r>
      <w:r>
        <w:t xml:space="preserve"> </w:t>
      </w:r>
      <m:oMath>
        <m:sSup>
          <m:e>
            <m:r>
              <m:t>σ</m:t>
            </m:r>
          </m:e>
          <m:sup>
            <m:r>
              <m:rPr>
                <m:sty m:val="p"/>
              </m:rPr>
              <m:t>*</m:t>
            </m:r>
          </m:sup>
        </m:sSup>
        <m:r>
          <m:rPr>
            <m:sty m:val="p"/>
          </m:rPr>
          <m:t>≈</m:t>
        </m:r>
        <m:r>
          <m:t>0.38</m:t>
        </m:r>
      </m:oMath>
      <w:r>
        <w:t xml:space="preserve">, exceeded by</w:t>
      </w:r>
      <w:r>
        <w:t xml:space="preserve"> </w:t>
      </w:r>
      <m:oMath>
        <m:sSub>
          <m:e>
            <m:r>
              <m:t>σ</m:t>
            </m:r>
          </m:e>
          <m:sub>
            <m:r>
              <m:t>W</m:t>
            </m:r>
            <m:r>
              <m:t>B</m:t>
            </m:r>
          </m:sub>
        </m:sSub>
      </m:oMath>
      <w:r>
        <w:t xml:space="preserve"> </w:t>
      </w:r>
      <w: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i/>
          <w:iCs/>
        </w:rPr>
        <w:t xml:space="preserve">Per-event labor scaling</w:t>
      </w:r>
      <w:r>
        <w:t xml:space="preserve"> </w:t>
      </w:r>
      <w:r>
        <w:t xml:space="preserve">(§S17.2). The conversion factor between simulated</w:t>
      </w:r>
      <w:r>
        <w:t xml:space="preserve"> </w:t>
      </w:r>
      <w:r>
        <w:t xml:space="preserve">“investment units”</w:t>
      </w:r>
      <w:r>
        <w:t xml:space="preserve"> </w:t>
      </w:r>
      <w:r>
        <w:t xml:space="preserve">and physical m³ of fill may not be constant across sites with different crew sizes; coordination among many laborers may be more or less productive per worker than coordination among a few. We test two assumptions. With linear scaling (</w:t>
      </w:r>
      <m:oMath>
        <m:r>
          <m:t>α</m:t>
        </m:r>
        <m:r>
          <m:rPr>
            <m:sty m:val="p"/>
          </m:rPr>
          <m:t>=</m:t>
        </m:r>
        <m:r>
          <m:t>1</m:t>
        </m:r>
      </m:oMath>
      <w: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~7% (ratio 0.93×). Under the refined WB volume estimate, per-event labor scaling at</w:t>
      </w:r>
      <w:r>
        <w:t xml:space="preserve"> </w:t>
      </w:r>
      <m:oMath>
        <m:r>
          <m:t>α</m:t>
        </m:r>
        <m:r>
          <m:rPr>
            <m:sty m:val="p"/>
          </m:rPr>
          <m:t>=</m:t>
        </m:r>
        <m:r>
          <m:t>2</m:t>
        </m:r>
      </m:oMath>
      <w:r>
        <w:t xml:space="preserve"> </w:t>
      </w:r>
      <w:r>
        <w:t xml:space="preserve">closes the WB gap cleanly, without requiring the regime-switching extension below.</w:t>
      </w:r>
    </w:p>
    <w:p>
      <w:pPr>
        <w:pStyle w:val="BodyText"/>
      </w:pPr>
      <w:r>
        <w:rPr>
          <w:i/>
          <w:iCs/>
        </w:rPr>
        <w:t xml:space="preserve">Regime switching</w:t>
      </w:r>
      <w:r>
        <w:t xml:space="preserve"> </w:t>
      </w:r>
      <w:r>
        <w:t xml:space="preserve">(§S17.1). The continuous-equilibrium reading treats the system as smoothly transitioning from</w:t>
      </w:r>
      <w:r>
        <w:t xml:space="preserve"> </w:t>
      </w:r>
      <w:r>
        <w:t xml:space="preserve">“no construction”</w:t>
      </w:r>
      <w:r>
        <w:t xml:space="preserve"> </w:t>
      </w:r>
      <w:r>
        <w:t xml:space="preserve">to</w:t>
      </w:r>
      <w:r>
        <w:t xml:space="preserve"> </w:t>
      </w:r>
      <w:r>
        <w:t xml:space="preserve">“full construction”</w:t>
      </w:r>
      <w:r>
        <w:t xml:space="preserve"> </w:t>
      </w:r>
      <w: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t xml:space="preserve"> </w:t>
      </w:r>
      <m:oMath>
        <m:r>
          <m:t>K</m:t>
        </m:r>
      </m:oMath>
      <w:r>
        <w:t xml:space="preserve"> </w:t>
      </w:r>
      <w:r>
        <w:t xml:space="preserve">consecutive years before the population shifts to the construction regime, capturing the realistic time needed to establish trust and coordinate across bands. With year-to-year variability in</w:t>
      </w:r>
      <w:r>
        <w:t xml:space="preserve"> </w:t>
      </w:r>
      <m:oMath>
        <m:r>
          <m:t>σ</m:t>
        </m:r>
      </m:oMath>
      <w: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at</w:t>
      </w:r>
      <w:r>
        <w:t xml:space="preserve"> </w:t>
      </w:r>
      <m:oMath>
        <m:sSub>
          <m:e>
            <m:r>
              <m:t>σ</m:t>
            </m:r>
          </m:e>
          <m:sub>
            <m:r>
              <m:t>s</m:t>
            </m:r>
            <m:r>
              <m:t>d</m:t>
            </m:r>
          </m:sub>
        </m:sSub>
        <m:r>
          <m:rPr>
            <m:sty m:val="p"/>
          </m:rPr>
          <m:t>≈</m:t>
        </m:r>
        <m:r>
          <m:t>0.10</m:t>
        </m:r>
      </m:oMath>
      <w:r>
        <w:t xml:space="preserve">-</w:t>
      </w:r>
      <m:oMath>
        <m:r>
          <m:t>0.125</m:t>
        </m:r>
      </m:oMath>
      <w:r>
        <w:t xml:space="preserve"> </w:t>
      </w:r>
      <w:r>
        <w:t xml:space="preserve">span ~5,000 to ~54,000 m³ (with</w:t>
      </w:r>
      <w:r>
        <w:t xml:space="preserve"> </w:t>
      </w:r>
      <m:oMath>
        <m:r>
          <m:t>K</m:t>
        </m:r>
        <m:r>
          <m:rPr>
            <m:sty m:val="p"/>
          </m:rPr>
          <m:t>=</m:t>
        </m:r>
        <m:r>
          <m:t>1</m:t>
        </m:r>
      </m:oMath>
      <w:r>
        <w:t xml:space="preserve"> </w:t>
      </w:r>
      <w:r>
        <w:t xml:space="preserve">at the upper end overshooting by ~2× and</w:t>
      </w:r>
      <w:r>
        <w:t xml:space="preserve"> </w:t>
      </w:r>
      <m:oMath>
        <m:r>
          <m:t>K</m:t>
        </m:r>
        <m:r>
          <m:rPr>
            <m:sty m:val="p"/>
          </m:rPr>
          <m:t>=</m:t>
        </m:r>
        <m:r>
          <m:t>3</m:t>
        </m:r>
      </m:oMath>
      <w:r>
        <w:t xml:space="preserve"> </w:t>
      </w:r>
      <w:r>
        <w:t xml:space="preserve">at the lower end undershooting by ~5×); the observed 27,065 m³ sits between these and is bracketed by an intermediate</w:t>
      </w:r>
      <w:r>
        <w:t xml:space="preserve"> </w:t>
      </w:r>
      <m:oMath>
        <m:r>
          <m:t>K</m:t>
        </m:r>
        <m:r>
          <m:rPr>
            <m:sty m:val="p"/>
          </m:rPr>
          <m:t>=</m:t>
        </m:r>
        <m:r>
          <m:t>2</m:t>
        </m:r>
      </m:oMath>
      <w:r>
        <w:t xml:space="preserve"> </w:t>
      </w:r>
      <w:r>
        <w:t xml:space="preserve">value. Because the per-event labor-scaling extension above already closes the WB gap essentially exactly without invoking regime switching, the substantive role of the regime-switching mechanism is now to account for the</w:t>
      </w:r>
      <w:r>
        <w:t xml:space="preserve"> </w:t>
      </w:r>
      <w:r>
        <w:rPr>
          <w:i/>
          <w:iCs/>
        </w:rPr>
        <w:t xml:space="preserve">episodic tempo</w:t>
      </w:r>
      <w:r>
        <w:t xml:space="preserve"> </w:t>
      </w:r>
      <w:r>
        <w:t xml:space="preserve">of WB construction (matching the 200+-year inter-stage gaps documented by Saunders et al. 2005), not to bracket the total volume.</w:t>
      </w:r>
    </w:p>
    <w:p>
      <w:pPr>
        <w:pStyle w:val="BodyText"/>
      </w:pPr>
      <w:r>
        <w:t xml:space="preserve">The closure is therefore conditional on</w:t>
      </w:r>
      <w:r>
        <w:t xml:space="preserve"> </w:t>
      </w:r>
      <m:oMath>
        <m:r>
          <m:t>α</m:t>
        </m:r>
        <m:r>
          <m:rPr>
            <m:sty m:val="p"/>
          </m:rPr>
          <m:t>=</m:t>
        </m:r>
        <m:r>
          <m:t>2</m:t>
        </m:r>
      </m:oMath>
      <w:r>
        <w:t xml:space="preserve"> </w:t>
      </w:r>
      <w:r>
        <w:t xml:space="preserve">(ethnographically unsupported) and</w:t>
      </w:r>
      <w:r>
        <w:t xml:space="preserve"> </w:t>
      </w:r>
      <m:oMath>
        <m:sSub>
          <m:e>
            <m:r>
              <m:t>σ</m:t>
            </m:r>
          </m:e>
          <m:sub>
            <m:r>
              <m:t>s</m:t>
            </m:r>
            <m:r>
              <m:t>d</m:t>
            </m:r>
          </m:sub>
        </m:sSub>
        <m:r>
          <m:rPr>
            <m:sty m:val="p"/>
          </m:rPr>
          <m:t>∈</m:t>
        </m:r>
        <m:r>
          <m:rPr>
            <m:sty m:val="p"/>
          </m:rPr>
          <m:t>[</m:t>
        </m:r>
        <m:r>
          <m:t>0.10</m:t>
        </m:r>
        <m:r>
          <m:rPr>
            <m:sty m:val="p"/>
          </m:rPr>
          <m:t>,</m:t>
        </m:r>
        <m:r>
          <m:t>0.125</m:t>
        </m:r>
        <m:r>
          <m:rPr>
            <m:sty m:val="p"/>
          </m:rPr>
          <m:t>]</m:t>
        </m:r>
      </m:oMath>
      <w:r>
        <w:t xml:space="preserve"> </w:t>
      </w:r>
      <w:r>
        <w:t xml:space="preserve">(paleoclimate-central); the regime-switching</w:t>
      </w:r>
      <w:r>
        <w:t xml:space="preserve"> </w:t>
      </w:r>
      <m:oMath>
        <m:r>
          <m:t>K</m:t>
        </m:r>
      </m:oMath>
      <w:r>
        <w:t xml:space="preserve"> </w:t>
      </w:r>
      <w:r>
        <w:t xml:space="preserve">parameter no longer drives the volume closure (it accounts for the episodic tempo) but</w:t>
      </w:r>
      <w:r>
        <w:t xml:space="preserve"> </w:t>
      </w:r>
      <m:oMath>
        <m:r>
          <m:t>K</m:t>
        </m:r>
        <m:r>
          <m:rPr>
            <m:sty m:val="p"/>
          </m:rPr>
          <m:t>≈</m:t>
        </m:r>
        <m:r>
          <m:t>2</m:t>
        </m:r>
      </m:oMath>
      <w:r>
        <w:t xml:space="preserve"> </w:t>
      </w:r>
      <w:r>
        <w:t xml:space="preserve">would bracket the LiDAR-derived 27,065 m³ between the</w:t>
      </w:r>
      <w:r>
        <w:t xml:space="preserve"> </w:t>
      </w:r>
      <m:oMath>
        <m:r>
          <m:t>K</m:t>
        </m:r>
        <m:r>
          <m:rPr>
            <m:sty m:val="p"/>
          </m:rPr>
          <m:t>=</m:t>
        </m:r>
        <m:r>
          <m:t>1</m:t>
        </m:r>
      </m:oMath>
      <w:r>
        <w:t xml:space="preserve"> </w:t>
      </w:r>
      <w:r>
        <w:t xml:space="preserve">overshoot and</w:t>
      </w:r>
      <w:r>
        <w:t xml:space="preserve"> </w:t>
      </w:r>
      <m:oMath>
        <m:r>
          <m:t>K</m:t>
        </m:r>
        <m:r>
          <m:rPr>
            <m:sty m:val="p"/>
          </m:rPr>
          <m:t>=</m:t>
        </m:r>
        <m:r>
          <m:t>3</m:t>
        </m:r>
      </m:oMath>
      <w:r>
        <w:t xml:space="preserve"> </w:t>
      </w:r>
      <w:r>
        <w:t xml:space="preserve">undershoot. The closure remains a demonstration of consistency conditional on a fitted labor-scaling exponent, not a passed test. The Watson Brake observation could have failed under arbitrary parameter choices. Under the ethnographically defensible</w:t>
      </w:r>
      <w:r>
        <w:t xml:space="preserve"> </w:t>
      </w:r>
      <m:oMath>
        <m:r>
          <m:t>α</m:t>
        </m:r>
        <m:r>
          <m:rPr>
            <m:sty m:val="p"/>
          </m:rPr>
          <m:t>=</m:t>
        </m:r>
        <m:r>
          <m:t>1</m:t>
        </m:r>
      </m:oMath>
      <w:r>
        <w:t xml:space="preserve">, the closure does not hold, and the framework underpredicts Watson Brake by approximately an order of magnitude (~7.7-fold).</w:t>
      </w:r>
    </w:p>
    <w:p>
      <w:pPr>
        <w:pStyle w:val="BodyText"/>
      </w:pPr>
      <w: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t xml:space="preserve"> </w:t>
      </w:r>
      <m:oMath>
        <m:r>
          <m:t>σ</m:t>
        </m:r>
      </m:oMath>
      <w:r>
        <w:t xml:space="preserve"> </w:t>
      </w:r>
      <w:r>
        <w:t xml:space="preserve">and its</w:t>
      </w:r>
      <w:r>
        <w:t xml:space="preserve"> </w:t>
      </w:r>
      <m:oMath>
        <m:sSup>
          <m:e>
            <m:r>
              <m:t>σ</m:t>
            </m:r>
          </m:e>
          <m:sup>
            <m:r>
              <m:rPr>
                <m:sty m:val="p"/>
              </m:rPr>
              <m:t>*</m:t>
            </m:r>
          </m:sup>
        </m:sSup>
      </m:oMath>
      <w:r>
        <w:t xml:space="preserve"> </w:t>
      </w:r>
      <w:r>
        <w:t xml:space="preserve">places WB within the narrow band of conditions where ordinary year-to-year fluctuations are large enough to flip the regime, while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t xml:space="preserve">We treat this as a</w:t>
      </w:r>
      <w:r>
        <w:t xml:space="preserve"> </w:t>
      </w:r>
      <w:r>
        <w:rPr>
          <w:i/>
          <w:iCs/>
        </w:rPr>
        <w:t xml:space="preserve">consistency demonstration conditional on parameter choices</w:t>
      </w:r>
      <w:r>
        <w:t xml:space="preserve"> </w:t>
      </w:r>
      <w:r>
        <w:t xml:space="preserve">rather than a passed test, because the labor-scaling exponent was not derived from independent ethnographic data:</w:t>
      </w:r>
      <w:r>
        <w:t xml:space="preserve"> </w:t>
      </w:r>
      <m:oMath>
        <m:r>
          <m:t>α</m:t>
        </m:r>
        <m:r>
          <m:rPr>
            <m:sty m:val="p"/>
          </m:rPr>
          <m:t>=</m:t>
        </m:r>
        <m:r>
          <m:t>2</m:t>
        </m:r>
      </m:oMath>
      <w:r>
        <w:t xml:space="preserve"> </w:t>
      </w:r>
      <w:r>
        <w:t xml:space="preserve">was selected to minimize log-overprediction across the eleven-site sample. Under the refined LiDAR-derived 27,065 m³,</w:t>
      </w:r>
      <w:r>
        <w:t xml:space="preserve"> </w:t>
      </w:r>
      <m:oMath>
        <m:r>
          <m:t>α</m:t>
        </m:r>
        <m:r>
          <m:rPr>
            <m:sty m:val="p"/>
          </m:rPr>
          <m:t>=</m:t>
        </m:r>
        <m:r>
          <m:t>2</m:t>
        </m:r>
      </m:oMath>
      <w:r>
        <w:t xml:space="preserve"> </w:t>
      </w:r>
      <w:r>
        <w:t xml:space="preserve">produces a near-exact match (0.93×);</w:t>
      </w:r>
      <w:r>
        <w:t xml:space="preserve"> </w:t>
      </w:r>
      <m:oMath>
        <m:r>
          <m:t>α</m:t>
        </m:r>
        <m:r>
          <m:rPr>
            <m:sty m:val="p"/>
          </m:rPr>
          <m:t>=</m:t>
        </m:r>
        <m:r>
          <m:t>1</m:t>
        </m:r>
      </m:oMath>
      <w:r>
        <w:t xml:space="preserve"> </w:t>
      </w:r>
      <w:r>
        <w:t xml:space="preserve">(Erasmus-grounded) underpredicts by ~7.7-fold. The regime-switching</w:t>
      </w:r>
      <w:r>
        <w:t xml:space="preserve"> </w:t>
      </w:r>
      <m:oMath>
        <m:r>
          <m:t>K</m:t>
        </m:r>
      </m:oMath>
      <w:r>
        <w:t xml:space="preserve"> </w:t>
      </w:r>
      <w:r>
        <w:t xml:space="preserve">parameter is no longer required to bracket the volume observation (the labor-scaling extension closes the gap on its own); its substantive role is to account for the episodic tempo of WB construction (the 200+-year inter-stage gaps), which it does at any</w:t>
      </w:r>
      <w:r>
        <w:t xml:space="preserve"> </w:t>
      </w:r>
      <m:oMath>
        <m:r>
          <m:t>K</m:t>
        </m:r>
        <m:r>
          <m:rPr>
            <m:sty m:val="p"/>
          </m:rPr>
          <m:t>≥</m:t>
        </m:r>
        <m:r>
          <m:t>1</m:t>
        </m:r>
      </m:oMath>
      <w:r>
        <w:t xml:space="preserve"> </w:t>
      </w:r>
      <w:r>
        <w:t xml:space="preserve">given WB’s threshold proximity. The result demonstrates that the bistable framework reading is</w:t>
      </w:r>
      <w:r>
        <w:t xml:space="preserve"> </w:t>
      </w:r>
      <w:r>
        <w:rPr>
          <w:i/>
          <w:iCs/>
        </w:rPr>
        <w:t xml:space="preserve">consistent with</w:t>
      </w:r>
      <w:r>
        <w:t xml:space="preserve"> </w:t>
      </w:r>
      <w:r>
        <w:t xml:space="preserve">observed WB volume and tempo; it is not a test that the WB observation could have failed under arbitrary parameter choices.</w:t>
      </w:r>
    </w:p>
    <w:bookmarkEnd w:id="66"/>
    <w:bookmarkStart w:id="70" w:name="cross-lmv-regional-analysis"/>
    <w:p>
      <w:pPr>
        <w:pStyle w:val="Heading3"/>
      </w:pPr>
      <w:r>
        <w:t xml:space="preserve">6.4 Cross-LMV regional analysis</w:t>
      </w:r>
    </w:p>
    <w:p>
      <w:pPr>
        <w:pStyle w:val="FirstParagraph"/>
      </w:pPr>
      <w:r>
        <w:t xml:space="preserve">The framework’s necessary condition for sustained aggregation is that the buffered uncertainty at the site,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sits below the threshold</w:t>
      </w:r>
      <w:r>
        <w:t xml:space="preserve"> </w:t>
      </w:r>
      <m:oMath>
        <m:sSup>
          <m:e>
            <m:r>
              <m:t>σ</m:t>
            </m:r>
          </m:e>
          <m:sup>
            <m:r>
              <m:rPr>
                <m:sty m:val="p"/>
              </m:rPr>
              <m:t>*</m:t>
            </m:r>
          </m:sup>
        </m:sSup>
      </m:oMath>
      <w:r>
        <w:t xml:space="preserve">. To screen LMV mound-building sites against this condition, we compute a Shannon diversity index across five resource zones at each site, with zone-access weights derived from published site-catchment descriptions (see rubric in §S6). All nine interior monument-building sites cluster in the high-</w:t>
      </w:r>
      <m:oMath>
        <m:r>
          <m:t>ε</m:t>
        </m:r>
      </m:oMath>
      <w:r>
        <w:t xml:space="preserve"> </w:t>
      </w:r>
      <w:r>
        <w:t xml:space="preserve">band (</w:t>
      </w:r>
      <m:oMath>
        <m:r>
          <m:t>ε</m:t>
        </m:r>
        <m:r>
          <m:rPr>
            <m:sty m:val="p"/>
          </m:rPr>
          <m:t>≈</m:t>
        </m:r>
        <m:r>
          <m:t>0.40</m:t>
        </m:r>
      </m:oMath>
      <w:r>
        <w:t xml:space="preserve"> </w:t>
      </w:r>
      <w:r>
        <w:t xml:space="preserve">to</w:t>
      </w:r>
      <w:r>
        <w:t xml:space="preserve"> </w:t>
      </w:r>
      <m:oMath>
        <m:r>
          <m:t>0.49</m:t>
        </m:r>
      </m:oMath>
      <w:r>
        <w:t xml:space="preserve">), with predicted</w:t>
      </w:r>
      <w:r>
        <w:t xml:space="preserve"> </w:t>
      </w:r>
      <m:oMath>
        <m:sSup>
          <m:e>
            <m:r>
              <m:t>σ</m:t>
            </m:r>
          </m:e>
          <m:sup>
            <m:r>
              <m:rPr>
                <m:sty m:val="p"/>
              </m:rPr>
              <m:t>*</m:t>
            </m:r>
          </m:sup>
        </m:sSup>
      </m:oMath>
      <w:r>
        <w:t xml:space="preserve"> </w:t>
      </w:r>
      <w:r>
        <w:t xml:space="preserve">comfortably below the regional</w:t>
      </w:r>
      <w:r>
        <w:t xml:space="preserve"> </w:t>
      </w:r>
      <m:oMath>
        <m:sSub>
          <m:e>
            <m:r>
              <m:t>σ</m:t>
            </m:r>
          </m:e>
          <m:sub>
            <m:r>
              <m:t>L</m:t>
            </m:r>
            <m:r>
              <m:t>M</m:t>
            </m:r>
            <m:r>
              <m:t>V</m:t>
            </m:r>
          </m:sub>
        </m:sSub>
        <m:r>
          <m:rPr>
            <m:sty m:val="p"/>
          </m:rPr>
          <m:t>≈</m:t>
        </m:r>
        <m:r>
          <m:t>0.64</m:t>
        </m:r>
      </m:oMath>
      <w:r>
        <w:t xml:space="preserve">; only the coastal Pearl River pair (Claiborne, Cedarland) falls substantially lower (</w:t>
      </w:r>
      <m:oMath>
        <m:r>
          <m:t>ε</m:t>
        </m:r>
        <m:r>
          <m:rPr>
            <m:sty m:val="p"/>
          </m:rPr>
          <m:t>≈</m:t>
        </m:r>
        <m:r>
          <m:t>0.30</m:t>
        </m:r>
      </m:oMath>
      <w:r>
        <w:t xml:space="preserve">). The static-diversity proxy distinguishes the interior monument-building sites from the coastal pair (Table 2).</w:t>
      </w:r>
    </w:p>
    <w:p>
      <w:pPr>
        <w:pStyle w:val="BodyText"/>
      </w:pPr>
      <w:r>
        <w:rPr>
          <w:b/>
          <w:bCs/>
        </w:rPr>
        <w:t xml:space="preserve">Table 2.</w:t>
      </w:r>
      <w:r>
        <w:t xml:space="preserve"> </w:t>
      </w:r>
      <w:r>
        <w:rPr>
          <w:i/>
          <w:iCs/>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t xml:space="preserve"> </w:t>
      </w:r>
      <m:oMath>
        <m:r>
          <m:t>H</m:t>
        </m:r>
        <m:r>
          <m:rPr>
            <m:sty m:val="p"/>
          </m:rPr>
          <m:t>/</m:t>
        </m:r>
        <m:sSub>
          <m:e>
            <m:r>
              <m:t>H</m:t>
            </m:r>
          </m:e>
          <m:sub>
            <m:r>
              <m:rPr>
                <m:sty m:val="p"/>
              </m:rPr>
              <m:t>max</m:t>
            </m:r>
          </m:sub>
        </m:sSub>
      </m:oMath>
      <w:r>
        <w:t xml:space="preserve"> </w:t>
      </w:r>
      <w:r>
        <w:rPr>
          <w:i/>
          <w:iCs/>
        </w:rPr>
        <w:t xml:space="preserve">normalizes by</w:t>
      </w:r>
      <w:r>
        <w:t xml:space="preserve"> </w:t>
      </w:r>
      <m:oMath>
        <m:r>
          <m:rPr>
            <m:sty m:val="p"/>
          </m:rPr>
          <m:t>ln</m:t>
        </m:r>
        <m:r>
          <m:t>5</m:t>
        </m:r>
      </m:oMath>
      <w:r>
        <w:rPr>
          <w:i/>
          <w:iCs/>
        </w:rPr>
        <w:t xml:space="preserve">;</w:t>
      </w:r>
      <w: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t xml:space="preserve"> </w:t>
      </w:r>
      <w:r>
        <w:rPr>
          <w:i/>
          <w:iCs/>
        </w:rPr>
        <w:t xml:space="preserve">maps the normalized fraction onto the model’s ecotone parameter; predicted</w:t>
      </w:r>
      <w:r>
        <w:t xml:space="preserve"> </w:t>
      </w:r>
      <m:oMath>
        <m:sSup>
          <m:e>
            <m:r>
              <m:t>σ</m:t>
            </m:r>
          </m:e>
          <m:sup>
            <m:r>
              <m:rPr>
                <m:sty m:val="p"/>
              </m:rPr>
              <m:t>*</m:t>
            </m:r>
          </m:sup>
        </m:sSup>
      </m:oMath>
      <w:r>
        <w:t xml:space="preserve"> </w:t>
      </w:r>
      <w:r>
        <w:rPr>
          <w:i/>
          <w:iCs/>
        </w:rPr>
        <w:t xml:space="preserve">uses</w:t>
      </w:r>
      <w:r>
        <w:t xml:space="preserve"> </w:t>
      </w:r>
      <m:oMath>
        <m:sSub>
          <m:e>
            <m:r>
              <m:t>n</m:t>
            </m:r>
          </m:e>
          <m:sub>
            <m:r>
              <m:t>a</m:t>
            </m:r>
            <m:r>
              <m:t>g</m:t>
            </m:r>
            <m:r>
              <m:t>g</m:t>
            </m:r>
          </m:sub>
        </m:sSub>
        <m:r>
          <m:rPr>
            <m:sty m:val="p"/>
          </m:rPr>
          <m:t>=</m:t>
        </m:r>
        <m:r>
          <m:t>25</m:t>
        </m:r>
      </m:oMath>
      <w:r>
        <w:rPr>
          <w:i/>
          <w:iCs/>
        </w:rPr>
        <w:t xml:space="preserve">. The five zone-access weights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rPr>
          <w:i/>
          <w:iCs/>
        </w:rPr>
        <w:t xml:space="preserve">are for</w:t>
      </w:r>
      <w:r>
        <w:rPr>
          <w:i/>
          <w:iCs/>
        </w:rPr>
        <w:t xml:space="preserve"> </w:t>
      </w:r>
      <w:r>
        <w:rPr>
          <w:b/>
          <w:bCs/>
          <w:i/>
          <w:iCs/>
        </w:rPr>
        <w:t xml:space="preserve">a</w:t>
      </w:r>
      <w:r>
        <w:rPr>
          <w:i/>
          <w:iCs/>
        </w:rPr>
        <w:t xml:space="preserve">quatic,</w:t>
      </w:r>
      <w:r>
        <w:rPr>
          <w:i/>
          <w:iCs/>
        </w:rPr>
        <w:t xml:space="preserve"> </w:t>
      </w:r>
      <w:r>
        <w:rPr>
          <w:b/>
          <w:bCs/>
          <w:i/>
          <w:iCs/>
        </w:rPr>
        <w:t xml:space="preserve">u</w:t>
      </w:r>
      <w:r>
        <w:rPr>
          <w:i/>
          <w:iCs/>
        </w:rPr>
        <w:t xml:space="preserve">pland,</w:t>
      </w:r>
      <w:r>
        <w:rPr>
          <w:i/>
          <w:iCs/>
        </w:rPr>
        <w:t xml:space="preserve"> </w:t>
      </w:r>
      <w:r>
        <w:rPr>
          <w:b/>
          <w:bCs/>
          <w:i/>
          <w:iCs/>
        </w:rPr>
        <w:t xml:space="preserve">d</w:t>
      </w:r>
      <w:r>
        <w:rPr>
          <w:i/>
          <w:iCs/>
        </w:rPr>
        <w:t xml:space="preserve">rainage,</w:t>
      </w:r>
      <w:r>
        <w:rPr>
          <w:i/>
          <w:iCs/>
        </w:rPr>
        <w:t xml:space="preserve"> </w:t>
      </w:r>
      <w:r>
        <w:rPr>
          <w:b/>
          <w:bCs/>
          <w:i/>
          <w:iCs/>
        </w:rPr>
        <w:t xml:space="preserve">m</w:t>
      </w:r>
      <w:r>
        <w:rPr>
          <w:i/>
          <w:iCs/>
        </w:rPr>
        <w:t xml:space="preserve">ast, and</w:t>
      </w:r>
      <w:r>
        <w:rPr>
          <w:i/>
          <w:iCs/>
        </w:rPr>
        <w:t xml:space="preserve"> </w:t>
      </w:r>
      <w:r>
        <w:rPr>
          <w:b/>
          <w:bCs/>
          <w:i/>
          <w:iCs/>
        </w:rPr>
        <w:t xml:space="preserve">p</w:t>
      </w:r>
      <w:r>
        <w:rPr>
          <w:i/>
          <w:iCs/>
        </w:rPr>
        <w:t xml:space="preserve">rairie zones. Observed monument scale (rightmost column) is ordinal: very large = type-site PP, mid = WB-scale (5+ mounds), small = 1-2 mounds, minimal = no monument or single-component construction.</w:t>
      </w:r>
    </w:p>
    <w:tbl>
      <w:tblPr>
        <w:tblStyle w:val="Table"/>
        <w:tblW w:type="pct" w:w="4965"/>
        <w:tblLayout w:type="fixed"/>
        <w:tblLook w:firstRow="1" w:lastRow="0" w:firstColumn="0" w:lastColumn="0" w:noHBand="0" w:noVBand="0" w:val="0020"/>
      </w:tblPr>
      <w:tblGrid>
        <w:gridCol w:w="808"/>
        <w:gridCol w:w="948"/>
        <w:gridCol w:w="474"/>
        <w:gridCol w:w="1478"/>
        <w:gridCol w:w="752"/>
        <w:gridCol w:w="1310"/>
        <w:gridCol w:w="2091"/>
      </w:tblGrid>
      <w:tr>
        <w:trPr>
          <w:tblHeader w:val="on"/>
        </w:trPr>
        <w:tc>
          <w:tcPr/>
          <w:p>
            <w:pPr>
              <w:pStyle w:val="Compact"/>
              <w:jc w:val="left"/>
            </w:pPr>
            <w:r>
              <w:rPr>
                <w:b/>
                <w:bCs/>
              </w:rPr>
              <w:t xml:space="preserve">Site</w:t>
            </w:r>
          </w:p>
        </w:tc>
        <w:tc>
          <w:tcPr/>
          <w:p>
            <w:pPr>
              <w:pStyle w:val="Compact"/>
              <w:jc w:val="left"/>
            </w:pPr>
            <w:r>
              <w:rPr>
                <w:b/>
                <w:bCs/>
              </w:rPr>
              <w:t xml:space="preserve">Zones (aq, up, dr, mst, pr)</w:t>
            </w:r>
          </w:p>
        </w:tc>
        <w:tc>
          <w:tcPr/>
          <w:p>
            <w:pPr>
              <w:pStyle w:val="Compact"/>
              <w:jc w:val="left"/>
            </w:pPr>
            <m:oMathPara>
              <m:oMathParaPr>
                <m:jc m:val="center"/>
              </m:oMathParaPr>
              <m:oMath>
                <m:r>
                  <m:rPr>
                    <m:sty m:val="bi"/>
                  </m:rPr>
                  <m:t>H</m:t>
                </m:r>
              </m:oMath>
            </m:oMathPara>
          </w:p>
        </w:tc>
        <w:tc>
          <w:tcPr/>
          <w:p>
            <w:pPr>
              <w:pStyle w:val="Compact"/>
              <w:jc w:val="lef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left"/>
            </w:pPr>
            <m:oMathPara>
              <m:oMathParaPr>
                <m:jc m:val="center"/>
              </m:oMathParaPr>
              <m:oMath>
                <m:r>
                  <m:rPr>
                    <m:sty m:val="bi"/>
                  </m:rPr>
                  <m:t>ε</m:t>
                </m:r>
              </m:oMath>
            </m:oMathPara>
          </w:p>
        </w:tc>
        <w:tc>
          <w:tcPr/>
          <w:p>
            <w:pPr>
              <w:pStyle w:val="Compact"/>
              <w:jc w:val="left"/>
            </w:pPr>
            <w:r>
              <w:rPr>
                <w:b/>
                <w:bCs/>
              </w:rPr>
              <w:t xml:space="preserve">Predicted</w:t>
            </w:r>
            <w:r>
              <w:t xml:space="preserve"> </w:t>
            </w:r>
            <m:oMath>
              <m:sSup>
                <m:e>
                  <m:r>
                    <m:rPr>
                      <m:sty m:val="bi"/>
                    </m:rPr>
                    <m:t>σ</m:t>
                  </m:r>
                </m:e>
                <m:sup>
                  <m:r>
                    <m:rPr>
                      <m:sty m:val="b"/>
                    </m:rPr>
                    <m:t>*</m:t>
                  </m:r>
                </m:sup>
              </m:sSup>
            </m:oMath>
          </w:p>
        </w:tc>
        <w:tc>
          <w:tcPr/>
          <w:p>
            <w:pPr>
              <w:pStyle w:val="Compact"/>
              <w:jc w:val="left"/>
            </w:pPr>
            <w:r>
              <w:rPr>
                <w:b/>
                <w:bCs/>
              </w:rPr>
              <w:t xml:space="preserve">Observed monuments</w:t>
            </w:r>
          </w:p>
        </w:tc>
      </w:tr>
      <w:tr>
        <w:tc>
          <w:tcPr/>
          <w:p>
            <w:pPr>
              <w:pStyle w:val="Compact"/>
              <w:jc w:val="left"/>
            </w:pPr>
            <w:r>
              <w:t xml:space="preserve">Poverty Point (16WC5)</w:t>
            </w:r>
          </w:p>
        </w:tc>
        <w:tc>
          <w:tcPr/>
          <w:p>
            <w:pPr>
              <w:pStyle w:val="Compact"/>
              <w:jc w:val="left"/>
            </w:pPr>
            <w:r>
              <w:t xml:space="preserve">(1.0, 1.0, 1.0, 1.0, 0.5)</w:t>
            </w:r>
          </w:p>
        </w:tc>
        <w:tc>
          <w:tcPr/>
          <w:p>
            <w:pPr>
              <w:pStyle w:val="Compact"/>
              <w:jc w:val="left"/>
            </w:pPr>
            <w:r>
              <w:t xml:space="preserve">1.58</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0.36</w:t>
            </w:r>
          </w:p>
        </w:tc>
        <w:tc>
          <w:tcPr/>
          <w:p>
            <w:pPr>
              <w:pStyle w:val="Compact"/>
              <w:jc w:val="left"/>
            </w:pPr>
            <w:r>
              <w:t xml:space="preserve">very large (~750k m³, ~140 ha core)</w:t>
            </w:r>
          </w:p>
        </w:tc>
      </w:tr>
      <w:tr>
        <w:tc>
          <w:tcPr/>
          <w:p>
            <w:pPr>
              <w:pStyle w:val="Compact"/>
              <w:jc w:val="left"/>
            </w:pPr>
            <w:r>
              <w:t xml:space="preserve">Lower Jackson (16WC10)</w:t>
            </w:r>
          </w:p>
        </w:tc>
        <w:tc>
          <w:tcPr/>
          <w:p>
            <w:pPr>
              <w:pStyle w:val="Compact"/>
              <w:jc w:val="left"/>
            </w:pPr>
            <w:r>
              <w:t xml:space="preserve">(1.0, 0.9, 0.9, 1.0, 0.3)</w:t>
            </w:r>
          </w:p>
        </w:tc>
        <w:tc>
          <w:tcPr/>
          <w:p>
            <w:pPr>
              <w:pStyle w:val="Compact"/>
              <w:jc w:val="left"/>
            </w:pPr>
            <w:r>
              <w:t xml:space="preserve">1.55</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minimal (single mound, ~5500 cal BP)</w:t>
            </w:r>
          </w:p>
        </w:tc>
      </w:tr>
      <w:tr>
        <w:tc>
          <w:tcPr/>
          <w:p>
            <w:pPr>
              <w:pStyle w:val="Compact"/>
              <w:jc w:val="left"/>
            </w:pPr>
            <w:r>
              <w:t xml:space="preserve">Watson Brake (16OU175)</w:t>
            </w:r>
          </w:p>
        </w:tc>
        <w:tc>
          <w:tcPr/>
          <w:p>
            <w:pPr>
              <w:pStyle w:val="Compact"/>
              <w:jc w:val="left"/>
            </w:pPr>
            <w:r>
              <w:t xml:space="preserve">(0.8, 0.7, 0.7, 0.8, 0.0)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0.37</w:t>
            </w:r>
          </w:p>
        </w:tc>
        <w:tc>
          <w:tcPr/>
          <w:p>
            <w:pPr>
              <w:pStyle w:val="Compact"/>
              <w:jc w:val="left"/>
            </w:pPr>
            <w:r>
              <w:t xml:space="preserve">mid (27,065 m³ per-mound, 11 mounds)</w:t>
            </w:r>
          </w:p>
        </w:tc>
      </w:tr>
      <w:tr>
        <w:tc>
          <w:tcPr/>
          <w:p>
            <w:pPr>
              <w:pStyle w:val="Compact"/>
              <w:jc w:val="left"/>
            </w:pPr>
            <w:r>
              <w:t xml:space="preserve">Caney (16CT5)</w:t>
            </w:r>
          </w:p>
        </w:tc>
        <w:tc>
          <w:tcPr/>
          <w:p>
            <w:pPr>
              <w:pStyle w:val="Compact"/>
              <w:jc w:val="left"/>
            </w:pPr>
            <w:r>
              <w:t xml:space="preserve">(0.9, 0.6, 0.8, 0.8, 0.0)</w:t>
            </w:r>
          </w:p>
        </w:tc>
        <w:tc>
          <w:tcPr/>
          <w:p>
            <w:pPr>
              <w:pStyle w:val="Compact"/>
              <w:jc w:val="left"/>
            </w:pPr>
            <w:r>
              <w:t xml:space="preserve">1.38</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(Middle Archaic; ~1.2× WB)</w:t>
            </w:r>
          </w:p>
        </w:tc>
      </w:tr>
      <w:tr>
        <w:tc>
          <w:tcPr/>
          <w:p>
            <w:pPr>
              <w:pStyle w:val="Compact"/>
              <w:jc w:val="left"/>
            </w:pPr>
            <w:r>
              <w:t xml:space="preserve">Frenchman’s Bend (16OU259)</w:t>
            </w:r>
          </w:p>
        </w:tc>
        <w:tc>
          <w:tcPr/>
          <w:p>
            <w:pPr>
              <w:pStyle w:val="Compact"/>
              <w:jc w:val="left"/>
            </w:pPr>
            <w:r>
              <w:t xml:space="preserve">(0.7, 0.5, 0.7, 0.7, 0.0)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(5 mounds)</w:t>
            </w:r>
          </w:p>
        </w:tc>
      </w:tr>
      <w:tr>
        <w:tc>
          <w:tcPr/>
          <w:p>
            <w:pPr>
              <w:pStyle w:val="Compact"/>
              <w:jc w:val="left"/>
            </w:pPr>
            <w:r>
              <w:t xml:space="preserve">Insley (16FR3)</w:t>
            </w:r>
          </w:p>
        </w:tc>
        <w:tc>
          <w:tcPr/>
          <w:p>
            <w:pPr>
              <w:pStyle w:val="Compact"/>
              <w:jc w:val="left"/>
            </w:pPr>
            <w:r>
              <w:t xml:space="preserve">(0.9, 0.6, 0.8, 0.9, 0.0)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w:t>
            </w:r>
          </w:p>
        </w:tc>
      </w:tr>
      <w:tr>
        <w:tc>
          <w:tcPr/>
          <w:p>
            <w:pPr>
              <w:pStyle w:val="Compact"/>
              <w:jc w:val="left"/>
            </w:pPr>
            <w:r>
              <w:t xml:space="preserve">J.W. Copes (16MA147)</w:t>
            </w:r>
          </w:p>
        </w:tc>
        <w:tc>
          <w:tcPr/>
          <w:p>
            <w:pPr>
              <w:pStyle w:val="Compact"/>
              <w:jc w:val="left"/>
            </w:pPr>
            <w:r>
              <w:t xml:space="preserve">(0.5, 0.6, 0.4, 0.7, 0.0)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 (PP-period satellite)</w:t>
            </w:r>
          </w:p>
        </w:tc>
      </w:tr>
      <w:tr>
        <w:tc>
          <w:tcPr/>
          <w:p>
            <w:pPr>
              <w:pStyle w:val="Compact"/>
              <w:jc w:val="left"/>
            </w:pPr>
            <w:r>
              <w:t xml:space="preserve">Cowpen Slough (16CT147)</w:t>
            </w:r>
          </w:p>
        </w:tc>
        <w:tc>
          <w:tcPr/>
          <w:p>
            <w:pPr>
              <w:pStyle w:val="Compact"/>
              <w:jc w:val="left"/>
            </w:pPr>
            <w:r>
              <w:t xml:space="preserve">(0.9, 0.5, 0.8, 0.7, 0.0)</w:t>
            </w:r>
          </w:p>
        </w:tc>
        <w:tc>
          <w:tcPr/>
          <w:p>
            <w:pPr>
              <w:pStyle w:val="Compact"/>
              <w:jc w:val="left"/>
            </w:pPr>
            <w:r>
              <w:t xml:space="preserve">1.36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w:t>
            </w:r>
          </w:p>
        </w:tc>
      </w:tr>
      <w:tr>
        <w:tc>
          <w:tcPr/>
          <w:p>
            <w:pPr>
              <w:pStyle w:val="Compact"/>
              <w:jc w:val="left"/>
            </w:pPr>
            <w:r>
              <w:t xml:space="preserve">Jaketown (22HU505)</w:t>
            </w:r>
          </w:p>
        </w:tc>
        <w:tc>
          <w:tcPr/>
          <w:p>
            <w:pPr>
              <w:pStyle w:val="Compact"/>
              <w:jc w:val="left"/>
            </w:pPr>
            <w:r>
              <w:t xml:space="preserve">(1.0, 0.3, 0.8, 0.5, 0.0)</w:t>
            </w:r>
          </w:p>
        </w:tc>
        <w:tc>
          <w:tcPr/>
          <w:p>
            <w:pPr>
              <w:pStyle w:val="Compact"/>
              <w:jc w:val="left"/>
            </w:pPr>
            <w:r>
              <w:t xml:space="preserve">1.30</w:t>
            </w:r>
          </w:p>
        </w:tc>
        <w:tc>
          <w:tcPr/>
          <w:p>
            <w:pPr>
              <w:pStyle w:val="Compact"/>
              <w:jc w:val="left"/>
            </w:pPr>
            <w:r>
              <w:t xml:space="preserve">0.81</w:t>
            </w:r>
          </w:p>
        </w:tc>
        <w:tc>
          <w:tcPr/>
          <w:p>
            <w:pPr>
              <w:pStyle w:val="Compact"/>
              <w:jc w:val="left"/>
            </w:pPr>
            <w:r>
              <w:t xml:space="preserve">0.40</w:t>
            </w:r>
          </w:p>
        </w:tc>
        <w:tc>
          <w:tcPr/>
          <w:p>
            <w:pPr>
              <w:pStyle w:val="Compact"/>
              <w:jc w:val="left"/>
            </w:pPr>
            <w:r>
              <w:t xml:space="preserve">0.38</w:t>
            </w:r>
          </w:p>
        </w:tc>
        <w:tc>
          <w:tcPr/>
          <w:p>
            <w:pPr>
              <w:pStyle w:val="Compact"/>
              <w:jc w:val="left"/>
            </w:pPr>
            <w:r>
              <w:t xml:space="preserve">small (3 PP-period mounds)</w:t>
            </w:r>
          </w:p>
        </w:tc>
      </w:tr>
      <w:tr>
        <w:tc>
          <w:tcPr/>
          <w:p>
            <w:pPr>
              <w:pStyle w:val="Compact"/>
              <w:jc w:val="left"/>
            </w:pPr>
            <w:r>
              <w:t xml:space="preserve">Claiborne (22HA501)</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 ring; single-component construction, possible sand mound)</w:t>
            </w:r>
          </w:p>
        </w:tc>
      </w:tr>
      <w:tr>
        <w:tc>
          <w:tcPr/>
          <w:p>
            <w:pPr>
              <w:pStyle w:val="Compact"/>
              <w:jc w:val="left"/>
            </w:pPr>
            <w:r>
              <w:t xml:space="preserve">Cedarland (22HA506)</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(shell/earth midden; non-mound construction)</w:t>
            </w:r>
          </w:p>
        </w:tc>
      </w:tr>
    </w:tbl>
    <w:p>
      <w:pPr>
        <w:pStyle w:val="BodyText"/>
      </w:pPr>
      <w: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t xml:space="preserve"> </w:t>
      </w:r>
      <w: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t xml:space="preserve"> </w:t>
      </w:r>
      <w:r>
        <w:t xml:space="preserve">filter is therefore not evidence that mound-building was confined to high-</w:t>
      </w:r>
      <m:oMath>
        <m:r>
          <m:t>ε</m:t>
        </m:r>
      </m:oMath>
      <w:r>
        <w:t xml:space="preserve"> </w:t>
      </w:r>
      <w: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t xml:space="preserve"> </w:t>
      </w:r>
      <m:oMath>
        <m:r>
          <m:t>ε</m:t>
        </m:r>
      </m:oMath>
      <w:r>
        <w:t xml:space="preserve"> </w:t>
      </w:r>
      <w:r>
        <w:t xml:space="preserve">values similar to those of the mound-building sites without themselves becoming monumental, consistent with high-</w:t>
      </w:r>
      <m:oMath>
        <m:r>
          <m:t>ε</m:t>
        </m:r>
      </m:oMath>
      <w:r>
        <w:t xml:space="preserve"> </w:t>
      </w:r>
      <w: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t xml:space="preserve"> </w:t>
      </w:r>
      <m:oMath>
        <m:r>
          <m:t>ε</m:t>
        </m:r>
        <m:r>
          <m:rPr>
            <m:sty m:val="p"/>
          </m:rPr>
          <m:t>=</m:t>
        </m:r>
        <m:r>
          <m:t>0.40</m:t>
        </m:r>
      </m:oMath>
      <w:r>
        <w:t xml:space="preserve"> </w:t>
      </w:r>
      <w:r>
        <w:t xml:space="preserve">and predicted</w:t>
      </w:r>
      <w:r>
        <w:t xml:space="preserve"> </w:t>
      </w:r>
      <m:oMath>
        <m:sSup>
          <m:e>
            <m:r>
              <m:t>σ</m:t>
            </m:r>
          </m:e>
          <m:sup>
            <m:r>
              <m:rPr>
                <m:sty m:val="p"/>
              </m:rPr>
              <m:t>*</m:t>
            </m:r>
          </m:sup>
        </m:sSup>
        <m:r>
          <m:rPr>
            <m:sty m:val="p"/>
          </m:rPr>
          <m:t>≈</m:t>
        </m:r>
        <m:r>
          <m:t>0.38</m:t>
        </m:r>
      </m:oMath>
      <w:r>
        <w:t xml:space="preserve">, effectively the same threshold as Jaketown. What Table 2 still distinguishes is the coastal pair’s lower static-diversity ranking (H = 1.29 vs the interior 1.36-1.58 band), and the §6.5 multi-drainage analysis distinguishes them more sharply (two regimes vs three-to-four for the interior monument-builders). Beyond this descriptive distinction, Table 2 does not test the framework’s magnitude prediction; static zone count is not the operative quantity, and §6.6 develops that point.</w:t>
      </w:r>
    </w:p>
    <w:p>
      <w:pPr>
        <w:pStyle w:val="BodyText"/>
      </w:pPr>
      <w:r>
        <w:drawing>
          <wp:inline>
            <wp:extent cx="5943600" cy="6965430"/>
            <wp:effectExtent b="0" l="0" r="0" t="0"/>
            <wp:docPr descr="" title="" id="68" name="Picture"/>
            <a:graphic>
              <a:graphicData uri="http://schemas.openxmlformats.org/drawingml/2006/picture">
                <pic:pic>
                  <pic:nvPicPr>
                    <pic:cNvPr descr="../../figures/manuscript/figure_13_gis_ecoregions.png" id="69" name="Picture"/>
                    <pic:cNvPicPr>
                      <a:picLocks noChangeArrowheads="1" noChangeAspect="1"/>
                    </pic:cNvPicPr>
                  </pic:nvPicPr>
                  <pic:blipFill>
                    <a:blip r:embed="rId67"/>
                    <a:stretch>
                      <a:fillRect/>
                    </a:stretch>
                  </pic:blipFill>
                  <pic:spPr bwMode="auto">
                    <a:xfrm>
                      <a:off x="0" y="0"/>
                      <a:ext cx="5943600" cy="6965430"/>
                    </a:xfrm>
                    <a:prstGeom prst="rect">
                      <a:avLst/>
                    </a:prstGeom>
                    <a:noFill/>
                    <a:ln w="9525">
                      <a:noFill/>
                      <a:headEnd/>
                      <a:tailEnd/>
                    </a:ln>
                  </pic:spPr>
                </pic:pic>
              </a:graphicData>
            </a:graphic>
          </wp:inline>
        </w:drawing>
      </w:r>
    </w:p>
    <w:p>
      <w:pPr>
        <w:pStyle w:val="BodyText"/>
      </w:pPr>
      <w:r>
        <w:rPr>
          <w:b/>
          <w:bCs/>
          <w:i/>
          <w:iCs/>
        </w:rPr>
        <w:t xml:space="preserve">Figure 13. Lower Mississippi Valley sites overlaid on EPA Level IV ecoregions: the static-diversity baseline.</w:t>
      </w:r>
      <w:r>
        <w:t xml:space="preserve"> </w:t>
      </w:r>
      <w:r>
        <w:rPr>
          <w:i/>
          <w:iCs/>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t xml:space="preserve"> </w:t>
      </w:r>
      <w:r>
        <w:rPr>
          <w:i/>
          <w:iCs/>
        </w:rPr>
        <w:t xml:space="preserve">Watson Brake’s buffer</w:t>
      </w:r>
      <w:r>
        <w:t xml:space="preserve"> </w:t>
      </w:r>
      <w:r>
        <w:rPr>
          <w:i/>
          <w:iCs/>
        </w:rPr>
        <w:t xml:space="preserve">crosses the highest count of distinct Level IV polygons (7) of any LMV site, with Caney (6) and Frenchman’s Bend (6) close behind. Polygon coloring is categorical and arbitrary;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t xml:space="preserve"> </w:t>
      </w:r>
      <m:oMath>
        <m:r>
          <m:t>ε</m:t>
        </m:r>
      </m:oMath>
      <w:r>
        <w:t xml:space="preserve"> </w:t>
      </w:r>
      <w:r>
        <w:rPr>
          <w:i/>
          <w:iCs/>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t xml:space="preserve">6.5 Multi-drainage shortfall buffering: USGS gauge analysis</w:t>
      </w:r>
    </w:p>
    <w:p>
      <w:pPr>
        <w:pStyle w:val="FirstParagraph"/>
      </w:pPr>
      <w:r>
        <w:t xml:space="preserve">The framework’s</w:t>
      </w:r>
      <w:r>
        <w:t xml:space="preserve"> </w:t>
      </w:r>
      <m:oMath>
        <m:r>
          <m:t>ε</m:t>
        </m:r>
      </m:oMath>
      <w:r>
        <w:t xml:space="preserve"> </w:t>
      </w:r>
      <w: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while Bayou Maçon and the Tensas-Boeuf system are local-precipitation-driven sub-basins of Macon Ridge geomorphology, and the Yazoo Basin is structured by separate Loess Hills runoff and backwater flooding from the main Mississippi (Saucier 1994).</w:t>
      </w:r>
    </w:p>
    <w:p>
      <w:pPr>
        <w:pStyle w:val="BodyText"/>
      </w:pPr>
      <w:r>
        <w:t xml:space="preserve">Modern USGS gauge records establish that PP’s catchment integrates</w:t>
      </w:r>
      <w:r>
        <w:t xml:space="preserve"> </w:t>
      </w:r>
      <w:r>
        <w:rPr>
          <w:b/>
          <w:bCs/>
        </w:rPr>
        <w:t xml:space="preserve">three substantively independent drainage signals</w:t>
      </w:r>
      <w:r>
        <w:t xml:space="preserve"> </w:t>
      </w:r>
      <w:r>
        <w:t xml:space="preserve">rather than four: Bayou Maçon and the Tensas River are highly correlated (</w:t>
      </w:r>
      <m:oMath>
        <m:r>
          <m:t>r</m:t>
        </m:r>
        <m:r>
          <m:rPr>
            <m:sty m:val="p"/>
          </m:rPr>
          <m:t>=</m:t>
        </m:r>
        <m:r>
          <m:t>0.90</m:t>
        </m:r>
      </m:oMath>
      <w:r>
        <w:t xml:space="preserve"> </w:t>
      </w:r>
      <w:r>
        <w:t xml:space="preserve">on log-monthly anomalies, n = 93), reflecting their shared Macon-Ridge geomorphology, and function as a single</w:t>
      </w:r>
      <w:r>
        <w:t xml:space="preserve"> </w:t>
      </w:r>
      <w:r>
        <w:t xml:space="preserve">“Macon Ridge drainage system”</w:t>
      </w:r>
      <w:r>
        <w:t xml:space="preserve"> </w:t>
      </w:r>
      <w:r>
        <w:t xml:space="preserve">from the framework’s covariance-based</w:t>
      </w:r>
      <w:r>
        <w:t xml:space="preserve"> </w:t>
      </w:r>
      <m:oMath>
        <m:r>
          <m:t>ε</m:t>
        </m:r>
      </m:oMath>
      <w:r>
        <w:t xml:space="preserve"> </w:t>
      </w:r>
      <w:r>
        <w:t xml:space="preserve">standpoint. The genuinely independent regimes are the Macon Ridge system, the Yazoo Basin (uncorrelated with the Mississippi at</w:t>
      </w:r>
      <w:r>
        <w:t xml:space="preserve"> </w:t>
      </w:r>
      <m:oMath>
        <m:r>
          <m:t>r</m:t>
        </m:r>
        <m:r>
          <m:rPr>
            <m:sty m:val="p"/>
          </m:rPr>
          <m:t>=</m:t>
        </m:r>
        <m:r>
          <m:t>0.11</m:t>
        </m:r>
      </m:oMath>
      <w:r>
        <w:t xml:space="preserve">), and the Mississippi mainstem (partly shared with the Tensas at</w:t>
      </w:r>
      <w:r>
        <w:t xml:space="preserve"> </w:t>
      </w:r>
      <m:oMath>
        <m:r>
          <m:t>r</m:t>
        </m:r>
        <m:r>
          <m:rPr>
            <m:sty m:val="p"/>
          </m:rPr>
          <m:t>=</m:t>
        </m:r>
        <m:r>
          <m:t>0.34</m:t>
        </m:r>
      </m:oMath>
      <w: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t xml:space="preserve"> </w:t>
      </w:r>
      <w:r>
        <w:t xml:space="preserve">“three vs one”</w:t>
      </w:r>
      <w:r>
        <w:t xml:space="preserve"> </w:t>
      </w:r>
      <w:r>
        <w:t xml:space="preserve">rather than</w:t>
      </w:r>
      <w:r>
        <w:t xml:space="preserve"> </w:t>
      </w:r>
      <w:r>
        <w:t xml:space="preserve">“four vs one.”</w:t>
      </w:r>
      <w:r>
        <w:t xml:space="preserve"> </w:t>
      </w:r>
      <w:r>
        <w:t xml:space="preserve">Full pairwise correlation analysis in §S15.</w:t>
      </w:r>
    </w:p>
    <w:p>
      <w:pPr>
        <w:pStyle w:val="BodyText"/>
      </w:pPr>
      <w:r>
        <w:t xml:space="preserve">One assumption deserves explicit treatment. We use modern hydrograph data as a first-order proxy for Late Archaic drainage independence. Pre-channelization Mississippi-Yazoo correlations could plausibly have been higher than modern values (e.g., frequent overbank events synchronizing both systems through backwater flooding before levee construction) or lower (e.g., more independent floodplain hydrographs before 19th-20th-century channelization). To bound the sensitivity of the three-regime claim, we consider a case in which the Mississippi-Yazoo correlation is shifted upward by</w:t>
      </w:r>
      <w:r>
        <w:t xml:space="preserve"> </w:t>
      </w:r>
      <m:oMath>
        <m:r>
          <m:rPr>
            <m:sty m:val="p"/>
          </m:rPr>
          <m:t>Δ</m:t>
        </m:r>
        <m:r>
          <m:t>r</m:t>
        </m:r>
        <m:r>
          <m:rPr>
            <m:sty m:val="p"/>
          </m:rPr>
          <m:t>=</m:t>
        </m:r>
        <m:r>
          <m:rPr>
            <m:sty m:val="p"/>
          </m:rPr>
          <m:t>+</m:t>
        </m:r>
        <m:r>
          <m:t>0.30</m:t>
        </m:r>
      </m:oMath>
      <w:r>
        <w:t xml:space="preserve"> </w:t>
      </w:r>
      <w:r>
        <w:t xml:space="preserve">(from</w:t>
      </w:r>
      <w:r>
        <w:t xml:space="preserve"> </w:t>
      </w:r>
      <m:oMath>
        <m:r>
          <m:t>r</m:t>
        </m:r>
        <m:r>
          <m:rPr>
            <m:sty m:val="p"/>
          </m:rPr>
          <m:t>=</m:t>
        </m:r>
        <m:r>
          <m:t>0.11</m:t>
        </m:r>
      </m:oMath>
      <w:r>
        <w:t xml:space="preserve"> </w:t>
      </w:r>
      <w:r>
        <w:t xml:space="preserve">to</w:t>
      </w:r>
      <w:r>
        <w:t xml:space="preserve"> </w:t>
      </w:r>
      <m:oMath>
        <m:r>
          <m:t>r</m:t>
        </m:r>
        <m:r>
          <m:rPr>
            <m:sty m:val="p"/>
          </m:rPr>
          <m:t>=</m:t>
        </m:r>
        <m:r>
          <m:t>0.41</m:t>
        </m:r>
      </m:oMath>
      <w:r>
        <w:t xml:space="preserve">), the Yazoo and Mississippi remain substantively independent under any standard threshold (</w:t>
      </w:r>
      <m:oMath>
        <m:r>
          <m:t>r</m:t>
        </m:r>
        <m:r>
          <m:rPr>
            <m:sty m:val="p"/>
          </m:rPr>
          <m:t>&lt;</m:t>
        </m:r>
        <m:r>
          <m:t>0.50</m:t>
        </m:r>
      </m:oMath>
      <w:r>
        <w:t xml:space="preserve"> </w:t>
      </w:r>
      <w:r>
        <w:t xml:space="preserve">for</w:t>
      </w:r>
      <w:r>
        <w:t xml:space="preserve"> </w:t>
      </w:r>
      <w:r>
        <w:t xml:space="preserve">“uncorrelated”</w:t>
      </w:r>
      <w:r>
        <w:t xml:space="preserve">), and Poverty Point’s three-regime claim survives. At</w:t>
      </w:r>
      <w:r>
        <w:t xml:space="preserve"> </w:t>
      </w:r>
      <m:oMath>
        <m:r>
          <m:rPr>
            <m:sty m:val="p"/>
          </m:rPr>
          <m:t>Δ</m:t>
        </m:r>
        <m:r>
          <m:t>r</m:t>
        </m:r>
        <m:r>
          <m:rPr>
            <m:sty m:val="p"/>
          </m:rPr>
          <m:t>=</m:t>
        </m:r>
        <m:r>
          <m:rPr>
            <m:sty m:val="p"/>
          </m:rPr>
          <m:t>+</m:t>
        </m:r>
        <m:r>
          <m:t>0.50</m:t>
        </m:r>
      </m:oMath>
      <w:r>
        <w:t xml:space="preserve"> </w:t>
      </w:r>
      <w:r>
        <w:t xml:space="preserve">(</w:t>
      </w:r>
      <m:oMath>
        <m:r>
          <m:t>r</m:t>
        </m:r>
        <m:r>
          <m:rPr>
            <m:sty m:val="p"/>
          </m:rPr>
          <m:t>=</m:t>
        </m:r>
        <m:r>
          <m:t>0.61</m:t>
        </m:r>
      </m:oMath>
      <w:r>
        <w:t xml:space="preserve">), the Yazoo would collapse into the Mississippi regime as a single integrated system, reducing Poverty Point from three to two independent regimes. The</w:t>
      </w:r>
      <w:r>
        <w:t xml:space="preserve"> </w:t>
      </w:r>
      <w:r>
        <w:t xml:space="preserve">“unique multi-regime outlier”</w:t>
      </w:r>
      <w:r>
        <w:t xml:space="preserve"> </w:t>
      </w:r>
      <w:r>
        <w:t xml:space="preserve">framing among LMV mound sites (where every other interior site accesses one regime) survives as long as PP retains at least two independent regimes; that claim therefore holds under plausible upward shifts in paleo correlations up to</w:t>
      </w:r>
      <w:r>
        <w:t xml:space="preserve"> </w:t>
      </w:r>
      <m:oMath>
        <m:r>
          <m:rPr>
            <m:sty m:val="p"/>
          </m:rPr>
          <m:t>Δ</m:t>
        </m:r>
        <m:r>
          <m:t>r</m:t>
        </m:r>
        <m:r>
          <m:rPr>
            <m:sty m:val="p"/>
          </m:rPr>
          <m:t>≈</m:t>
        </m:r>
        <m:r>
          <m:rPr>
            <m:sty m:val="p"/>
          </m:rPr>
          <m:t>+</m:t>
        </m:r>
        <m:r>
          <m:t>0.50</m:t>
        </m:r>
      </m:oMath>
      <w:r>
        <w:t xml:space="preserve">. The three-regime-specific quantitative result requires that the modern correlation structure hold approximately; the qualitative multi-regime vs. single-regime contrast is robust to proxy uncertainty.</w:t>
      </w:r>
    </w:p>
    <w:p>
      <w:pPr>
        <w:pStyle w:val="BodyText"/>
      </w:pPr>
      <w: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t xml:space="preserve"> </w:t>
      </w:r>
      <w:r>
        <w:t xml:space="preserve">between Bayou Maçon and Upland;</w:t>
      </w:r>
      <w:r>
        <w:t xml:space="preserve"> </w:t>
      </w:r>
      <m:oMath>
        <m:r>
          <m:t>r</m:t>
        </m:r>
        <m:r>
          <m:rPr>
            <m:sty m:val="p"/>
          </m:rPr>
          <m:t>=</m:t>
        </m:r>
        <m:r>
          <m:t>0.30</m:t>
        </m:r>
      </m:oMath>
      <w:r>
        <w:t xml:space="preserve"> </w:t>
      </w:r>
      <w:r>
        <w:t xml:space="preserve">between Mississippi and Upland), well below the</w:t>
      </w:r>
      <w:r>
        <w:t xml:space="preserve"> </w:t>
      </w:r>
      <m:oMath>
        <m:r>
          <m:t>ρ</m:t>
        </m:r>
        <m:r>
          <m:rPr>
            <m:sty m:val="p"/>
          </m:rPr>
          <m:t>≥</m:t>
        </m:r>
        <m:r>
          <m:t>0.6</m:t>
        </m:r>
      </m:oMath>
      <w:r>
        <w:t xml:space="preserve"> </w:t>
      </w:r>
      <w:r>
        <w:t xml:space="preserve">threshold for treating two regimes as the same shortfall channel. We therefore count the Macon Ridge (or other) upland as an independent regime wherever a site has direct canoe-day access at weight</w:t>
      </w:r>
      <w:r>
        <w:t xml:space="preserve"> </w:t>
      </w:r>
      <m:oMath>
        <m:r>
          <m:rPr>
            <m:sty m:val="p"/>
          </m:rPr>
          <m:t>≥</m:t>
        </m:r>
        <m:r>
          <m:t>0.5</m:t>
        </m:r>
      </m:oMath>
      <w:r>
        <w:t xml:space="preserve">. Under this count, Poverty Point and Lower Jackson each integrate four independent regimes (Bayou Maçon clustered with Tensas at</w:t>
      </w:r>
      <w:r>
        <w:t xml:space="preserve"> </w:t>
      </w:r>
      <m:oMath>
        <m:r>
          <m:t>r</m:t>
        </m:r>
        <m:r>
          <m:rPr>
            <m:sty m:val="p"/>
          </m:rPr>
          <m:t>=</m:t>
        </m:r>
        <m:r>
          <m:t>0.90</m:t>
        </m:r>
      </m:oMath>
      <w:r>
        <w:t xml:space="preserve"> </w:t>
      </w:r>
      <w:r>
        <w:t xml:space="preserve">as one Macon-Ridge-bottom regime; Mississippi mainstem; Yazoo Basin; Macon Ridge upland); Insley and J.W. Copes (both on Macon Ridge in Franklin and Madison Parishes respectively) integrate two (one local Macon-Ridge-drainage regime plus upland);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no separate upland regime); the coastal Pearl River pair (Claiborne, Cedarland) integrates two (Pearl-River-estuarine/marsh system plus the Coastal Plain Upland Gulf Flatwoods, both structurally distinct from the LMV interior). Lower Jackson’s PP-comparable regime access, despite a single-band, single-event construction, is the case. §6.6 returns to: high</w:t>
      </w:r>
      <w:r>
        <w:t xml:space="preserve"> </w:t>
      </w:r>
      <m:oMath>
        <m:r>
          <m:t>ε</m:t>
        </m:r>
      </m:oMath>
      <w:r>
        <w:t xml:space="preserve"> </w:t>
      </w:r>
      <w:r>
        <w:t xml:space="preserve">is necessary but not sufficient for large-scale monument accumulation. Among LMV mound sites with substantial attained</w:t>
      </w:r>
      <w:r>
        <w:t xml:space="preserve"> </w:t>
      </w:r>
      <m:oMath>
        <m:sSub>
          <m:e>
            <m:r>
              <m:t>n</m:t>
            </m:r>
          </m:e>
          <m:sub>
            <m:r>
              <m:t>a</m:t>
            </m:r>
            <m:r>
              <m:t>g</m:t>
            </m:r>
            <m:r>
              <m:t>g</m:t>
            </m:r>
          </m:sub>
        </m:sSub>
      </m:oMath>
      <w:r>
        <w:t xml:space="preserve">, Poverty Point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w:t>
      </w:r>
    </w:p>
    <w:p>
      <w:pPr>
        <w:pStyle w:val="BodyText"/>
      </w:pPr>
      <w:r>
        <w:drawing>
          <wp:inline>
            <wp:extent cx="5943600" cy="2876702"/>
            <wp:effectExtent b="0" l="0" r="0" t="0"/>
            <wp:docPr descr="" title="" id="72" name="Picture"/>
            <a:graphic>
              <a:graphicData uri="http://schemas.openxmlformats.org/drawingml/2006/picture">
                <pic:pic>
                  <pic:nvPicPr>
                    <pic:cNvPr descr="../../figures/manuscript/figure_14_multi_drainage.png" id="73" name="Picture"/>
                    <pic:cNvPicPr>
                      <a:picLocks noChangeArrowheads="1" noChangeAspect="1"/>
                    </pic:cNvPicPr>
                  </pic:nvPicPr>
                  <pic:blipFill>
                    <a:blip r:embed="rId71"/>
                    <a:stretch>
                      <a:fillRect/>
                    </a:stretch>
                  </pic:blipFill>
                  <pic:spPr bwMode="auto">
                    <a:xfrm>
                      <a:off x="0" y="0"/>
                      <a:ext cx="5943600" cy="2876702"/>
                    </a:xfrm>
                    <a:prstGeom prst="rect">
                      <a:avLst/>
                    </a:prstGeom>
                    <a:noFill/>
                    <a:ln w="9525">
                      <a:noFill/>
                      <a:headEnd/>
                      <a:tailEnd/>
                    </a:ln>
                  </pic:spPr>
                </pic:pic>
              </a:graphicData>
            </a:graphic>
          </wp:inline>
        </w:drawing>
      </w:r>
    </w:p>
    <w:p>
      <w:pPr>
        <w:pStyle w:val="BodyText"/>
      </w:pPr>
      <w:r>
        <w:rPr>
          <w:b/>
          <w:bCs/>
          <w:i/>
          <w:iCs/>
        </w:rPr>
        <w:t xml:space="preserve">Figure 14. Multi-drainage shortfall buffering across LMV mound-building sites.</w:t>
      </w:r>
      <w:r>
        <w:t xml:space="preserve"> </w:t>
      </w:r>
      <w:r>
        <w:rPr>
          <w:i/>
          <w:iCs/>
        </w:rPr>
        <w:t xml:space="preserve">(A) Shannon diversity index</w:t>
      </w:r>
      <w:r>
        <w:t xml:space="preserve"> </w:t>
      </w:r>
      <m:oMath>
        <m:r>
          <m:t>H</m:t>
        </m:r>
      </m:oMath>
      <w:r>
        <w:t xml:space="preserve"> </w:t>
      </w:r>
      <w:r>
        <w:rPr>
          <w:i/>
          <w:iCs/>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i/>
          <w:iCs/>
        </w:rPr>
        <w:t xml:space="preserve">). All nine interior monument-building sites cluster in the</w:t>
      </w:r>
      <w:r>
        <w:t xml:space="preserve"> </w:t>
      </w:r>
      <m:oMath>
        <m:r>
          <m:t>H</m:t>
        </m:r>
        <m:r>
          <m:rPr>
            <m:sty m:val="p"/>
          </m:rPr>
          <m:t>≈</m:t>
        </m:r>
        <m:r>
          <m:t>1.30</m:t>
        </m:r>
        <m:r>
          <m:rPr>
            <m:nor/>
            <m:sty m:val="p"/>
          </m:rPr>
          <m:t>-</m:t>
        </m:r>
        <m:r>
          <m:t>1.58</m:t>
        </m:r>
      </m:oMath>
      <w:r>
        <w:t xml:space="preserve"> </w:t>
      </w:r>
      <w:r>
        <w:rPr>
          <w:i/>
          <w:iCs/>
        </w:rPr>
        <w:t xml:space="preserve">band; only the coastal Pearl River pair falls substantially lower. (B) Number of substantively independent shortfall regimes per site, derived from the modern USGS gauge correlation matrix (§S15) via</w:t>
      </w:r>
      <w:r>
        <w:t xml:space="preserve"> </w:t>
      </w:r>
      <m:oMath>
        <m:r>
          <m:t>ρ</m:t>
        </m:r>
        <m:r>
          <m:rPr>
            <m:sty m:val="p"/>
          </m:rPr>
          <m:t>≥</m:t>
        </m:r>
        <m:r>
          <m:t>0.6</m:t>
        </m:r>
      </m:oMath>
      <w:r>
        <w:t xml:space="preserve"> </w:t>
      </w:r>
      <w:r>
        <w:rPr>
          <w:i/>
          <w:iCs/>
        </w:rPr>
        <w:t xml:space="preserve">clustering at access</w:t>
      </w:r>
      <w:r>
        <w:t xml:space="preserve"> </w:t>
      </w:r>
      <m:oMath>
        <m:r>
          <m:rPr>
            <m:sty m:val="p"/>
          </m:rPr>
          <m:t>≥</m:t>
        </m:r>
        <m:r>
          <m:t>0.5</m:t>
        </m:r>
      </m:oMath>
      <w:r>
        <w:rPr>
          <w:i/>
          <w:iCs/>
        </w:rPr>
        <w:t xml:space="preserve">. Poverty Point and Lower Jackson each integrate four independent regimes (Bayou Maçon + Tensas at</w:t>
      </w:r>
      <w:r>
        <w:t xml:space="preserve"> </w:t>
      </w:r>
      <m:oMath>
        <m:r>
          <m:t>r</m:t>
        </m:r>
        <m:r>
          <m:rPr>
            <m:sty m:val="p"/>
          </m:rPr>
          <m:t>=</m:t>
        </m:r>
        <m:r>
          <m:t>0.90</m:t>
        </m:r>
      </m:oMath>
      <w:r>
        <w:t xml:space="preserve"> </w:t>
      </w:r>
      <w:r>
        <w:rPr>
          <w:i/>
          <w:iCs/>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the other interior sites integrate two each; the coastal Pearl River pair integrates one. Lower Jackson’s PP-comparable regime access combined with single-band, single-event construction is the case §6.6 develops; PP is the unique outlier on the joint</w:t>
      </w:r>
      <w:r>
        <w:t xml:space="preserve"> </w:t>
      </w:r>
      <m:oMath>
        <m:r>
          <m:t>ε</m:t>
        </m:r>
        <m:r>
          <m:rPr>
            <m:sty m:val="p"/>
          </m:rPr>
          <m:t>×</m:t>
        </m:r>
        <m:sSub>
          <m:e>
            <m:r>
              <m:t>n</m:t>
            </m:r>
          </m:e>
          <m:sub>
            <m:r>
              <m:t>a</m:t>
            </m:r>
            <m:r>
              <m:t>g</m:t>
            </m:r>
            <m:r>
              <m:t>g</m:t>
            </m:r>
          </m:sub>
        </m:sSub>
      </m:oMath>
      <w:r>
        <w:t xml:space="preserve"> </w:t>
      </w:r>
      <w:r>
        <w:rPr>
          <w:i/>
          <w:iCs/>
        </w:rPr>
        <w:t xml:space="preserve">surface rather than on</w:t>
      </w:r>
      <w:r>
        <w:t xml:space="preserve"> </w:t>
      </w:r>
      <m:oMath>
        <m:r>
          <m:t>ε</m:t>
        </m:r>
      </m:oMath>
      <w:r>
        <w:t xml:space="preserve"> </w:t>
      </w:r>
      <w:r>
        <w:rPr>
          <w:i/>
          <w:iCs/>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t xml:space="preserve"> </w:t>
      </w:r>
      <m:oMath>
        <m:r>
          <m:t>ε</m:t>
        </m:r>
      </m:oMath>
      <w:r>
        <w:t xml:space="preserve"> </w:t>
      </w:r>
      <w:r>
        <w:rPr>
          <w:i/>
          <w:iCs/>
        </w:rPr>
        <w:t xml:space="preserve">encodes.</w:t>
      </w:r>
    </w:p>
    <w:p>
      <w:pPr>
        <w:pStyle w:val="BodyText"/>
      </w:pPr>
      <w: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t xml:space="preserve">6.6 Convergence dynamics and the magnitude limit</w:t>
      </w:r>
    </w:p>
    <w:p>
      <w:pPr>
        <w:pStyle w:val="FirstParagraph"/>
      </w:pPr>
      <w:r>
        <w:t xml:space="preserve">Magnitude variation among the high-</w:t>
      </w:r>
      <m:oMath>
        <m:r>
          <m:t>ε</m:t>
        </m:r>
      </m:oMath>
      <w:r>
        <w:t xml:space="preserve"> </w:t>
      </w:r>
      <w:r>
        <w:t xml:space="preserve">sites is set by two factors the static rubric does not measure: differential covariance-based</w:t>
      </w:r>
      <w:r>
        <w:t xml:space="preserve"> </w:t>
      </w:r>
      <m:oMath>
        <m:r>
          <m:t>ε</m:t>
        </m:r>
      </m:oMath>
      <w:r>
        <w:t xml:space="preserve"> </w:t>
      </w:r>
      <w:r>
        <w:t xml:space="preserve">(multi-drainage shortfall buffering, addressed in §6.5), and attained aggregation size</w:t>
      </w:r>
      <w:r>
        <w:t xml:space="preserve"> </w:t>
      </w:r>
      <m:oMath>
        <m:sSub>
          <m:e>
            <m:r>
              <m:t>n</m:t>
            </m:r>
          </m:e>
          <m:sub>
            <m:r>
              <m:t>a</m:t>
            </m:r>
            <m:r>
              <m:t>g</m:t>
            </m:r>
            <m:r>
              <m:t>g</m:t>
            </m:r>
          </m:sub>
        </m:sSub>
      </m:oMath>
      <w:r>
        <w:t xml:space="preserve"> </w:t>
      </w:r>
      <w:r>
        <w:t xml:space="preserve">via convergence dynamics. The convergence dimension is itself substantive. Lower Jackson, with the second-highest static</w:t>
      </w:r>
      <w:r>
        <w:t xml:space="preserve"> </w:t>
      </w:r>
      <m:oMath>
        <m:r>
          <m:t>H</m:t>
        </m:r>
      </m:oMath>
      <w:r>
        <w:t xml:space="preserve"> </w:t>
      </w:r>
      <w: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t xml:space="preserve"> </w:t>
      </w:r>
      <w:r>
        <w:t xml:space="preserve">band but never achieved comparable scale. Poverty Point’s primacy follows from the combination of confluence-based shortfall buffering with a uniquely large attained</w:t>
      </w:r>
      <w:r>
        <w:t xml:space="preserve"> </w:t>
      </w:r>
      <m:oMath>
        <m:sSub>
          <m:e>
            <m:r>
              <m:t>n</m:t>
            </m:r>
          </m:e>
          <m:sub>
            <m:r>
              <m:t>a</m:t>
            </m:r>
            <m:r>
              <m:t>g</m:t>
            </m:r>
            <m:r>
              <m:t>g</m:t>
            </m:r>
          </m:sub>
        </m:sSub>
      </m:oMath>
      <w:r>
        <w:t xml:space="preserve">, driven by the convergence of multiple cultural traditions documented by Grooms et al. (2023) and Kidder and Grooms (2024). Of the high-</w:t>
      </w:r>
      <m:oMath>
        <m:r>
          <m:t>ε</m:t>
        </m:r>
      </m:oMath>
      <w:r>
        <w:t xml:space="preserve"> </w:t>
      </w:r>
      <w:r>
        <w:t xml:space="preserve">LMV sites, Poverty Point is the one that drew bands from across the midcontinent. The others operated at much smaller</w:t>
      </w:r>
      <w:r>
        <w:t xml:space="preserve"> </w:t>
      </w:r>
      <m:oMath>
        <m:sSub>
          <m:e>
            <m:r>
              <m:t>n</m:t>
            </m:r>
          </m:e>
          <m:sub>
            <m:r>
              <m:t>a</m:t>
            </m:r>
            <m:r>
              <m:t>g</m:t>
            </m:r>
            <m:r>
              <m:t>g</m:t>
            </m:r>
          </m:sub>
        </m:sSub>
      </m:oMath>
      <w:r>
        <w:t xml:space="preserve">, which the framework predicts produces correspondingly smaller fitness differentials and equilibrium monument stocks.</w:t>
      </w:r>
    </w:p>
    <w:p>
      <w:pPr>
        <w:pStyle w:val="BodyText"/>
      </w:pPr>
      <w:r>
        <w:t xml:space="preserve">The framework’s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formula (§2.4) lets us compute the predicted equilibrium monument stock at each Table 2 site using each site’s</w:t>
      </w:r>
      <w:r>
        <w:t xml:space="preserve"> </w:t>
      </w:r>
      <m:oMath>
        <m:r>
          <m:t>ε</m:t>
        </m:r>
      </m:oMath>
      <w:r>
        <w:t xml:space="preserve"> </w:t>
      </w:r>
      <w:r>
        <w:t xml:space="preserve">value from the static rubric and an</w:t>
      </w:r>
      <w:r>
        <w:t xml:space="preserve"> </w:t>
      </w:r>
      <m:oMath>
        <m:sSub>
          <m:e>
            <m:r>
              <m:t>n</m:t>
            </m:r>
          </m:e>
          <m:sub>
            <m:r>
              <m:t>a</m:t>
            </m:r>
            <m:r>
              <m:t>g</m:t>
            </m:r>
            <m:r>
              <m:t>g</m:t>
            </m:r>
          </m:sub>
        </m:sSub>
      </m:oMath>
      <w:r>
        <w:t xml:space="preserve"> </w:t>
      </w:r>
      <w:r>
        <w:t xml:space="preserve">value from the convergence-model literature (PP</w:t>
      </w:r>
      <w:r>
        <w:t xml:space="preserve"> </w:t>
      </w:r>
      <m:oMath>
        <m:r>
          <m:rPr>
            <m:sty m:val="p"/>
          </m:rPr>
          <m:t>≈</m:t>
        </m:r>
        <m:r>
          <m:t>25</m:t>
        </m:r>
      </m:oMath>
      <w:r>
        <w:t xml:space="preserve">; Jaketown</w:t>
      </w:r>
      <w:r>
        <w:t xml:space="preserve"> </w:t>
      </w:r>
      <m:oMath>
        <m:r>
          <m:rPr>
            <m:sty m:val="p"/>
          </m:rPr>
          <m:t>≈</m:t>
        </m:r>
        <m:r>
          <m:t>5</m:t>
        </m:r>
      </m:oMath>
      <w:r>
        <w:t xml:space="preserve"> </w:t>
      </w:r>
      <w:r>
        <w:t xml:space="preserve">to</w:t>
      </w:r>
      <w:r>
        <w:t xml:space="preserve"> </w:t>
      </w:r>
      <m:oMath>
        <m:r>
          <m:t>10</m:t>
        </m:r>
      </m:oMath>
      <w:r>
        <w:t xml:space="preserve">; Watson Brake</w:t>
      </w:r>
      <w:r>
        <w:t xml:space="preserve"> </w:t>
      </w:r>
      <m:oMath>
        <m:r>
          <m:rPr>
            <m:sty m:val="p"/>
          </m:rPr>
          <m:t>≈</m:t>
        </m:r>
        <m:r>
          <m:t>8</m:t>
        </m:r>
      </m:oMath>
      <w:r>
        <w:t xml:space="preserve">; Lower Jackson, Caney, Insley, Frenchman’s Bend, J.W. Copes, Cowpen Slough</w:t>
      </w:r>
      <w:r>
        <w:t xml:space="preserve"> </w:t>
      </w:r>
      <m:oMath>
        <m:r>
          <m:rPr>
            <m:sty m:val="p"/>
          </m:rPr>
          <m:t>≈</m:t>
        </m:r>
        <m:r>
          <m:t>2</m:t>
        </m:r>
      </m:oMath>
      <w:r>
        <w:t xml:space="preserve"> </w:t>
      </w:r>
      <w:r>
        <w:t xml:space="preserve">to</w:t>
      </w:r>
      <w:r>
        <w:t xml:space="preserve"> </w:t>
      </w:r>
      <m:oMath>
        <m:r>
          <m:t>5</m:t>
        </m:r>
      </m:oMath>
      <w:r>
        <w:t xml:space="preserve">; Pearl River pair</w:t>
      </w:r>
      <w:r>
        <w:t xml:space="preserve"> </w:t>
      </w:r>
      <m:oMath>
        <m:r>
          <m:rPr>
            <m:sty m:val="p"/>
          </m:rPr>
          <m:t>≈</m:t>
        </m:r>
        <m:r>
          <m:t>5</m:t>
        </m:r>
      </m:oMath>
      <w:r>
        <w:t xml:space="preserve"> </w:t>
      </w:r>
      <w:r>
        <w:t xml:space="preserve">to</w:t>
      </w:r>
      <w:r>
        <w:t xml:space="preserve"> </w:t>
      </w:r>
      <m:oMath>
        <m:r>
          <m:t>8</m:t>
        </m:r>
      </m:oMath>
      <w:r>
        <w:t xml:space="preserve"> </w:t>
      </w:r>
      <w:r>
        <w:t xml:space="preserve">pre-shell-ring). The rank correlation between predicted and observed scale across the eleven sites is high, with</w:t>
      </w:r>
      <w:r>
        <w:t xml:space="preserve"> </w:t>
      </w:r>
      <m:oMath>
        <m:r>
          <m:t>ρ</m:t>
        </m:r>
      </m:oMath>
      <w:r>
        <w:t xml:space="preserve"> </w:t>
      </w:r>
      <w:r>
        <w:t xml:space="preserve">ranging from</w:t>
      </w:r>
      <w:r>
        <w:t xml:space="preserve"> </w:t>
      </w:r>
      <m:oMath>
        <m:r>
          <m:rPr>
            <m:sty m:val="p"/>
          </m:rPr>
          <m:t>+</m:t>
        </m:r>
        <m:r>
          <m:t>0.85</m:t>
        </m:r>
      </m:oMath>
      <w:r>
        <w:t xml:space="preserve"> </w:t>
      </w:r>
      <w:r>
        <w:t xml:space="preserve">to</w:t>
      </w:r>
      <w:r>
        <w:t xml:space="preserve"> </w:t>
      </w:r>
      <m:oMath>
        <m:r>
          <m:rPr>
            <m:sty m:val="p"/>
          </m:rPr>
          <m:t>+</m:t>
        </m:r>
        <m:r>
          <m:t>0.91</m:t>
        </m:r>
      </m:oMath>
      <w:r>
        <w:t xml:space="preserve"> </w:t>
      </w:r>
      <w:r>
        <w:t xml:space="preserve">(depending on whether the observed scale is treated as an ordinal class or an absolute volume).</w:t>
      </w:r>
    </w:p>
    <w:p>
      <w:pPr>
        <w:pStyle w:val="BodyText"/>
      </w:pPr>
      <w:r>
        <w:t xml:space="preserve">While this result appears to be a strong magnitude prediction, it is not. The two predictors that go into</w:t>
      </w:r>
      <w:r>
        <w:t xml:space="preserve"> </w:t>
      </w:r>
      <m:oMath>
        <m:sSub>
          <m:e>
            <m:r>
              <m:t>M</m:t>
            </m:r>
          </m:e>
          <m:sub>
            <m:r>
              <m:t>g</m:t>
            </m:r>
          </m:sub>
        </m:sSub>
      </m:oMath>
      <w:r>
        <w:t xml:space="preserve">, the framework’s</w:t>
      </w:r>
      <w:r>
        <w:t xml:space="preserve"> </w:t>
      </w:r>
      <m:oMath>
        <m:r>
          <m:t>ε</m:t>
        </m:r>
      </m:oMath>
      <w:r>
        <w:t xml:space="preserve"> </w:t>
      </w:r>
      <w:r>
        <w:t xml:space="preserve">and the imported</w:t>
      </w:r>
      <w:r>
        <w:t xml:space="preserve"> </w:t>
      </w:r>
      <m:oMath>
        <m:sSub>
          <m:e>
            <m:r>
              <m:t>n</m:t>
            </m:r>
          </m:e>
          <m:sub>
            <m:r>
              <m:t>a</m:t>
            </m:r>
            <m:r>
              <m:t>g</m:t>
            </m:r>
            <m:r>
              <m:t>g</m:t>
            </m:r>
          </m:sub>
        </m:sSub>
      </m:oMath>
      <w:r>
        <w:t xml:space="preserve">, are not independent contributors to the joint correlation; we need to ask how much</w:t>
      </w:r>
      <w:r>
        <w:t xml:space="preserve"> </w:t>
      </w:r>
      <m:oMath>
        <m:r>
          <m:t>ε</m:t>
        </m:r>
      </m:oMath>
      <w:r>
        <w:t xml:space="preserve"> </w:t>
      </w:r>
      <w:r>
        <w:t xml:space="preserve">adds</w:t>
      </w:r>
      <w:r>
        <w:t xml:space="preserve"> </w:t>
      </w:r>
      <w:r>
        <w:rPr>
          <w:i/>
          <w:iCs/>
        </w:rPr>
        <w:t xml:space="preserve">given that we already know</w:t>
      </w:r>
      <w:r>
        <w:t xml:space="preserve"> </w:t>
      </w:r>
      <m:oMath>
        <m:sSub>
          <m:e>
            <m:r>
              <m:t>n</m:t>
            </m:r>
          </m:e>
          <m:sub>
            <m:r>
              <m:t>a</m:t>
            </m:r>
            <m:r>
              <m:t>g</m:t>
            </m:r>
            <m:r>
              <m:t>g</m:t>
            </m:r>
          </m:sub>
        </m:sSub>
      </m:oMath>
      <w:r>
        <w:t xml:space="preserve">. The standard statistical tool for this is partial correlation, which measures the association between two variables after accounting for the effect of a third variable. If</w:t>
      </w:r>
      <w:r>
        <w:t xml:space="preserve"> </w:t>
      </w:r>
      <m:oMath>
        <m:sSub>
          <m:e>
            <m:r>
              <m:t>n</m:t>
            </m:r>
          </m:e>
          <m:sub>
            <m:r>
              <m:t>a</m:t>
            </m:r>
            <m:r>
              <m:t>g</m:t>
            </m:r>
            <m:r>
              <m:t>g</m:t>
            </m:r>
          </m:sub>
        </m:sSub>
      </m:oMath>
      <w:r>
        <w:t xml:space="preserve"> </w:t>
      </w:r>
      <w:r>
        <w:t xml:space="preserve">alone is doing all the predictive work, then knowing</w:t>
      </w:r>
      <w:r>
        <w:t xml:space="preserve"> </w:t>
      </w:r>
      <m:oMath>
        <m:r>
          <m:t>ε</m:t>
        </m:r>
      </m:oMath>
      <w:r>
        <w:t xml:space="preserve"> </w:t>
      </w:r>
      <w:r>
        <w:t xml:space="preserve">on top of</w:t>
      </w:r>
      <w:r>
        <w:t xml:space="preserve"> </w:t>
      </w:r>
      <m:oMath>
        <m:sSub>
          <m:e>
            <m:r>
              <m:t>n</m:t>
            </m:r>
          </m:e>
          <m:sub>
            <m:r>
              <m:t>a</m:t>
            </m:r>
            <m:r>
              <m:t>g</m:t>
            </m:r>
            <m:r>
              <m:t>g</m:t>
            </m:r>
          </m:sub>
        </m:sSub>
      </m:oMath>
      <w:r>
        <w:t xml:space="preserve"> </w:t>
      </w:r>
      <w:r>
        <w:t xml:space="preserve">should add nothing, and the partial correlation between</w:t>
      </w:r>
      <w:r>
        <w:t xml:space="preserve"> </w:t>
      </w:r>
      <m:oMath>
        <m:r>
          <m:t>ε</m:t>
        </m:r>
      </m:oMath>
      <w:r>
        <w:t xml:space="preserve"> </w:t>
      </w:r>
      <w:r>
        <w:t xml:space="preserve">and observed scale (holding</w:t>
      </w:r>
      <w:r>
        <w:t xml:space="preserve"> </w:t>
      </w:r>
      <m:oMath>
        <m:sSub>
          <m:e>
            <m:r>
              <m:t>n</m:t>
            </m:r>
          </m:e>
          <m:sub>
            <m:r>
              <m:t>a</m:t>
            </m:r>
            <m:r>
              <m:t>g</m:t>
            </m:r>
            <m:r>
              <m:t>g</m:t>
            </m:r>
          </m:sub>
        </m:sSub>
      </m:oMath>
      <w:r>
        <w:t xml:space="preserve"> </w:t>
      </w:r>
      <w:r>
        <w:t xml:space="preserve">constant) should be near zero.</w:t>
      </w:r>
    </w:p>
    <w:p>
      <w:pPr>
        <w:pStyle w:val="BodyText"/>
      </w:pPr>
      <w:r>
        <w:t xml:space="preserve">This result is what the analysis returns. The framework’s</w:t>
      </w:r>
      <w:r>
        <w:t xml:space="preserve"> </w:t>
      </w:r>
      <m:oMath>
        <m:r>
          <m:t>ε</m:t>
        </m:r>
      </m:oMath>
      <w:r>
        <w:t xml:space="preserve"> </w:t>
      </w:r>
      <w:r>
        <w:t xml:space="preserve">contributes essentially no marginal predictive power once</w:t>
      </w:r>
      <w:r>
        <w:t xml:space="preserve"> </w:t>
      </w:r>
      <m:oMath>
        <m:sSub>
          <m:e>
            <m:r>
              <m:t>n</m:t>
            </m:r>
          </m:e>
          <m:sub>
            <m:r>
              <m:t>a</m:t>
            </m:r>
            <m:r>
              <m:t>g</m:t>
            </m:r>
            <m:r>
              <m:t>g</m:t>
            </m:r>
          </m:sub>
        </m:sSub>
      </m:oMath>
      <w:r>
        <w:t xml:space="preserve"> </w:t>
      </w:r>
      <w:r>
        <w:t xml:space="preserve">it is in hand. The joint correlation is driven by</w:t>
      </w:r>
      <w:r>
        <w:t xml:space="preserve"> </w:t>
      </w:r>
      <m:oMath>
        <m:sSub>
          <m:e>
            <m:r>
              <m:t>n</m:t>
            </m:r>
          </m:e>
          <m:sub>
            <m:r>
              <m:t>a</m:t>
            </m:r>
            <m:r>
              <m:t>g</m:t>
            </m:r>
            <m:r>
              <m:t>g</m:t>
            </m:r>
          </m:sub>
        </m:sSub>
      </m:oMath>
      <w:r>
        <w:t xml:space="preserve">, is imported from the convergence-model literature rather than deriving from first principles. Full analysis is in the project repository.</w:t>
      </w:r>
    </w:p>
    <w:p>
      <w:pPr>
        <w:pStyle w:val="BodyText"/>
      </w:pPr>
      <w:r>
        <w:rPr>
          <w:b/>
          <w:bCs/>
        </w:rPr>
        <w:t xml:space="preserve">Table 3.</w:t>
      </w:r>
      <w:r>
        <w:t xml:space="preserve"> </w:t>
      </w:r>
      <w:r>
        <w:rPr>
          <w:i/>
          <w:iCs/>
        </w:rPr>
        <w:t xml:space="preserve">Partial-correlation decomposition of the §6.6 joint magnitude result.</w:t>
      </w:r>
      <w:r>
        <w:t xml:space="preserve"> </w:t>
      </w:r>
      <w:r>
        <w:rPr>
          <w:i/>
          <w:iCs/>
        </w:rPr>
        <w:t xml:space="preserve">Zero-order correlations are computed against observed monument scale (ordinal: minimal/small/mid/very-large) and observed monument volume (m³, log scale). Partial correlations control for the indicated covariate. The marginal contribution of</w:t>
      </w:r>
      <w:r>
        <w:t xml:space="preserve"> </w:t>
      </w:r>
      <m:oMath>
        <m:r>
          <m:t>ε</m:t>
        </m:r>
      </m:oMath>
      <w:r>
        <w:t xml:space="preserve"> </w:t>
      </w:r>
      <w:r>
        <w:rPr>
          <w:i/>
          <w:iCs/>
        </w:rPr>
        <w:t xml:space="preserve">given</w:t>
      </w:r>
      <w:r>
        <w:t xml:space="preserve"> </w:t>
      </w:r>
      <m:oMath>
        <m:sSub>
          <m:e>
            <m:r>
              <m:t>n</m:t>
            </m:r>
          </m:e>
          <m:sub>
            <m:r>
              <m:t>a</m:t>
            </m:r>
            <m:r>
              <m:t>g</m:t>
            </m:r>
            <m:r>
              <m:t>g</m:t>
            </m:r>
          </m:sub>
        </m:sSub>
      </m:oMath>
      <w:r>
        <w:t xml:space="preserve"> </w:t>
      </w:r>
      <w:r>
        <w:rPr>
          <w:i/>
          <w:iCs/>
        </w:rPr>
        <w:t xml:space="preserve">is at most</w:t>
      </w:r>
      <w:r>
        <w:t xml:space="preserve"> </w:t>
      </w:r>
      <m:oMath>
        <m:r>
          <m:rPr>
            <m:sty m:val="p"/>
          </m:rPr>
          <m:t>+</m:t>
        </m:r>
        <m:r>
          <m:t>0.014</m:t>
        </m:r>
      </m:oMath>
      <w:r>
        <w:t xml:space="preserve"> </w:t>
      </w:r>
      <w:r>
        <w:rPr>
          <w:i/>
          <w:iCs/>
        </w:rPr>
        <w:t xml:space="preserve">across all three</w:t>
      </w:r>
      <w:r>
        <w:t xml:space="preserve"> </w:t>
      </w:r>
      <m:oMath>
        <m:r>
          <m:t>ε</m:t>
        </m:r>
      </m:oMath>
      <w:r>
        <w:t xml:space="preserve"> </w:t>
      </w:r>
      <w:r>
        <w:rPr>
          <w:i/>
          <w:iCs/>
        </w:rPr>
        <w:t xml:space="preserve">operationalizations.</w:t>
      </w:r>
    </w:p>
    <w:tbl>
      <w:tblPr>
        <w:tblStyle w:val="Table"/>
        <w:tblW w:type="pct" w:w="4968"/>
        <w:tblLayout w:type="fixed"/>
        <w:tblLook w:firstRow="1" w:lastRow="0" w:firstColumn="0" w:lastColumn="0" w:noHBand="0" w:noVBand="0" w:val="0020"/>
      </w:tblPr>
      <w:tblGrid>
        <w:gridCol w:w="1440"/>
        <w:gridCol w:w="1182"/>
        <w:gridCol w:w="1208"/>
        <w:gridCol w:w="2005"/>
        <w:gridCol w:w="2031"/>
      </w:tblGrid>
      <w:tr>
        <w:trPr>
          <w:tblHeader w:val="on"/>
        </w:trPr>
        <w:tc>
          <w:tcPr/>
          <w:p>
            <w:pPr>
              <w:pStyle w:val="Compact"/>
              <w:jc w:val="left"/>
            </w:pPr>
            <w:r>
              <w:rPr>
                <w:b/>
                <w:bCs/>
              </w:rPr>
              <w:t xml:space="preserve">Predictor</w:t>
            </w:r>
          </w:p>
        </w:tc>
        <w:tc>
          <w:tcPr/>
          <w:p>
            <w:pPr>
              <w:pStyle w:val="Compact"/>
              <w:jc w:val="center"/>
            </w:pPr>
            <w:r>
              <w:rPr>
                <w:b/>
                <w:bCs/>
              </w:rPr>
              <w:t xml:space="preserve">Zero-order</w:t>
            </w:r>
            <w:r>
              <w:t xml:space="preserve"> </w:t>
            </w:r>
            <m:oMath>
              <m:r>
                <m:rPr>
                  <m:sty m:val="bi"/>
                </m:rPr>
                <m:t>ρ</m:t>
              </m:r>
            </m:oMath>
            <w:r>
              <w:t xml:space="preserve"> </w:t>
            </w:r>
            <w:r>
              <w:rPr>
                <w:b/>
                <w:bCs/>
              </w:rPr>
              <w:t xml:space="preserve">vs scale</w:t>
            </w:r>
          </w:p>
        </w:tc>
        <w:tc>
          <w:tcPr/>
          <w:p>
            <w:pPr>
              <w:pStyle w:val="Compact"/>
              <w:jc w:val="center"/>
            </w:pPr>
            <w:r>
              <w:rPr>
                <w:b/>
                <w:bCs/>
              </w:rPr>
              <w:t xml:space="preserve">Zero-order</w:t>
            </w:r>
            <w:r>
              <w:t xml:space="preserve"> </w:t>
            </w:r>
            <m:oMath>
              <m:r>
                <m:rPr>
                  <m:sty m:val="bi"/>
                </m:rPr>
                <m:t>ρ</m:t>
              </m:r>
            </m:oMath>
            <w:r>
              <w:t xml:space="preserve"> </w:t>
            </w:r>
            <w:r>
              <w:rPr>
                <w:b/>
                <w:bCs/>
              </w:rPr>
              <w:t xml:space="preserve">vs volume</w:t>
            </w:r>
          </w:p>
        </w:tc>
        <w:tc>
          <w:tcPr/>
          <w:p>
            <w:pPr>
              <w:pStyle w:val="Compact"/>
              <w:jc w:val="center"/>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center"/>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left"/>
            </w:pPr>
            <m:oMath>
              <m:sSub>
                <m:e>
                  <m:r>
                    <m:t>n</m:t>
                  </m:r>
                </m:e>
                <m:sub>
                  <m:r>
                    <m:t>a</m:t>
                  </m:r>
                  <m:r>
                    <m:t>g</m:t>
                  </m:r>
                  <m:r>
                    <m:t>g</m:t>
                  </m:r>
                </m:sub>
              </m:sSub>
            </m:oMath>
            <w:r>
              <w:t xml:space="preserve"> </w:t>
            </w:r>
            <w:r>
              <w:t xml:space="preserve">alone (convergence model)</w:t>
            </w:r>
          </w:p>
        </w:tc>
        <w:tc>
          <w:tcPr/>
          <w:p>
            <w:pPr>
              <w:pStyle w:val="Compact"/>
              <w:jc w:val="center"/>
            </w:pPr>
            <m:oMathPara>
              <m:oMathParaPr>
                <m:jc m:val="center"/>
              </m:oMathParaPr>
              <m:oMath>
                <m:r>
                  <m:rPr>
                    <m:sty m:val="p"/>
                  </m:rPr>
                  <m:t>+</m:t>
                </m:r>
                <m:r>
                  <m:t>0.87</m:t>
                </m:r>
              </m:oMath>
            </m:oMathPara>
          </w:p>
        </w:tc>
        <w:tc>
          <w:tcPr/>
          <w:p>
            <w:pPr>
              <w:pStyle w:val="Compact"/>
              <w:jc w:val="center"/>
            </w:pPr>
            <m:oMathPara>
              <m:oMathParaPr>
                <m:jc m:val="center"/>
              </m:oMathParaPr>
              <m:oMath>
                <m:r>
                  <m:rPr>
                    <m:sty m:val="p"/>
                  </m:rPr>
                  <m:t>+</m:t>
                </m:r>
                <m:r>
                  <m:t>0.89</m:t>
                </m:r>
              </m:oMath>
            </m:oMathPara>
          </w:p>
        </w:tc>
        <w:tc>
          <w:tcPr/>
          <w:p>
            <w:pPr>
              <w:pStyle w:val="Compact"/>
              <w:jc w:val="center"/>
            </w:pPr>
            <w:r>
              <w:t xml:space="preserve">—</w:t>
            </w:r>
          </w:p>
        </w:tc>
        <w:tc>
          <w:tcPr/>
          <w:p>
            <w:pPr>
              <w:pStyle w:val="Compact"/>
              <w:jc w:val="center"/>
            </w:pPr>
            <w:r>
              <w:t xml:space="preserve">—</w:t>
            </w:r>
          </w:p>
        </w:tc>
      </w:tr>
      <w:tr>
        <w:tc>
          <w:tcPr/>
          <w:p>
            <w:pPr>
              <w:pStyle w:val="Compact"/>
              <w:jc w:val="left"/>
            </w:pPr>
            <m:oMath>
              <m:r>
                <m:t>ε</m:t>
              </m:r>
            </m:oMath>
            <w:r>
              <w:t xml:space="preserve"> </w:t>
            </w:r>
            <w:r>
              <w:t xml:space="preserve">(Shannon-rubric, §S6)</w:t>
            </w:r>
          </w:p>
        </w:tc>
        <w:tc>
          <w:tcPr/>
          <w:p>
            <w:pPr>
              <w:pStyle w:val="Compact"/>
              <w:jc w:val="center"/>
            </w:pPr>
            <m:oMathPara>
              <m:oMathParaPr>
                <m:jc m:val="center"/>
              </m:oMathParaPr>
              <m:oMath>
                <m:r>
                  <m:rPr>
                    <m:sty m:val="p"/>
                  </m:rPr>
                  <m:t>+</m:t>
                </m:r>
                <m:r>
                  <m:t>0.39</m:t>
                </m:r>
              </m:oMath>
            </m:oMathPara>
          </w:p>
        </w:tc>
        <w:tc>
          <w:tcPr/>
          <w:p>
            <w:pPr>
              <w:pStyle w:val="Compact"/>
              <w:jc w:val="center"/>
            </w:pPr>
            <m:oMathPara>
              <m:oMathParaPr>
                <m:jc m:val="center"/>
              </m:oMathParaPr>
              <m:oMath>
                <m:r>
                  <m:rPr>
                    <m:sty m:val="p"/>
                  </m:rPr>
                  <m:t>+</m:t>
                </m:r>
                <m:r>
                  <m:t>0.44</m:t>
                </m:r>
              </m:oMath>
            </m:oMathPara>
          </w:p>
        </w:tc>
        <w:tc>
          <w:tcPr/>
          <w:p>
            <w:pPr>
              <w:pStyle w:val="Compact"/>
              <w:jc w:val="center"/>
            </w:pPr>
            <m:oMathPara>
              <m:oMathParaPr>
                <m:jc m:val="center"/>
              </m:oMathParaPr>
              <m:oMath>
                <m:r>
                  <m:rPr>
                    <m:sty m:val="p"/>
                  </m:rPr>
                  <m:t>−</m:t>
                </m:r>
                <m:r>
                  <m:t>0.009</m:t>
                </m:r>
              </m:oMath>
            </m:oMathPara>
          </w:p>
        </w:tc>
        <w:tc>
          <w:tcPr/>
          <w:p>
            <w:pPr>
              <w:pStyle w:val="Compact"/>
              <w:jc w:val="center"/>
            </w:pPr>
            <m:oMathPara>
              <m:oMathParaPr>
                <m:jc m:val="center"/>
              </m:oMathParaPr>
              <m:oMath>
                <m:r>
                  <m:rPr>
                    <m:sty m:val="p"/>
                  </m:rPr>
                  <m:t>−</m:t>
                </m:r>
                <m:r>
                  <m:t>0.005</m:t>
                </m:r>
              </m:oMath>
            </m:oMathPara>
          </w:p>
        </w:tc>
      </w:tr>
      <w:tr>
        <w:tc>
          <w:tcPr/>
          <w:p>
            <w:pPr>
              <w:pStyle w:val="Compact"/>
              <w:jc w:val="left"/>
            </w:pPr>
            <m:oMath>
              <m:r>
                <m:t>ε</m:t>
              </m:r>
            </m:oMath>
            <w:r>
              <w:t xml:space="preserve"> </w:t>
            </w:r>
            <w:r>
              <w:t xml:space="preserve">(EPA Level IV, §S12)</w:t>
            </w:r>
          </w:p>
        </w:tc>
        <w:tc>
          <w:tcPr/>
          <w:p>
            <w:pPr>
              <w:pStyle w:val="Compact"/>
              <w:jc w:val="center"/>
            </w:pPr>
            <m:oMathPara>
              <m:oMathParaPr>
                <m:jc m:val="center"/>
              </m:oMathParaPr>
              <m:oMath>
                <m:r>
                  <m:rPr>
                    <m:sty m:val="p"/>
                  </m:rPr>
                  <m:t>−</m:t>
                </m:r>
                <m:r>
                  <m:t>0.01</m:t>
                </m:r>
              </m:oMath>
            </m:oMathPara>
          </w:p>
        </w:tc>
        <w:tc>
          <w:tcPr/>
          <w:p>
            <w:pPr>
              <w:pStyle w:val="Compact"/>
              <w:jc w:val="center"/>
            </w:pPr>
            <m:oMathPara>
              <m:oMathParaPr>
                <m:jc m:val="center"/>
              </m:oMathParaPr>
              <m:oMath>
                <m:r>
                  <m:rPr>
                    <m:sty m:val="p"/>
                  </m:rPr>
                  <m:t>−</m:t>
                </m:r>
                <m:r>
                  <m:t>0.19</m:t>
                </m:r>
              </m:oMath>
            </m:oMathPara>
          </w:p>
        </w:tc>
        <w:tc>
          <w:tcPr/>
          <w:p>
            <w:pPr>
              <w:pStyle w:val="Compact"/>
              <w:jc w:val="center"/>
            </w:pPr>
            <m:oMathPara>
              <m:oMathParaPr>
                <m:jc m:val="center"/>
              </m:oMathParaPr>
              <m:oMath>
                <m:r>
                  <m:rPr>
                    <m:sty m:val="p"/>
                  </m:rPr>
                  <m:t>−</m:t>
                </m:r>
                <m:r>
                  <m:t>0.005</m:t>
                </m:r>
              </m:oMath>
            </m:oMathPara>
          </w:p>
        </w:tc>
        <w:tc>
          <w:tcPr/>
          <w:p>
            <w:pPr>
              <w:pStyle w:val="Compact"/>
              <w:jc w:val="center"/>
            </w:pPr>
            <m:oMathPara>
              <m:oMathParaPr>
                <m:jc m:val="center"/>
              </m:oMathParaPr>
              <m:oMath>
                <m:r>
                  <m:rPr>
                    <m:sty m:val="p"/>
                  </m:rPr>
                  <m:t>−</m:t>
                </m:r>
                <m:r>
                  <m:t>0.010</m:t>
                </m:r>
              </m:oMath>
            </m:oMathPara>
          </w:p>
        </w:tc>
      </w:tr>
      <w:tr>
        <w:tc>
          <w:tcPr/>
          <w:p>
            <w:pPr>
              <w:pStyle w:val="Compact"/>
              <w:jc w:val="left"/>
            </w:pPr>
            <m:oMath>
              <m:r>
                <m:t>ε</m:t>
              </m:r>
            </m:oMath>
            <w:r>
              <w:t xml:space="preserve"> </w:t>
            </w:r>
            <w:r>
              <w:t xml:space="preserve">(phenology, §S16)</w:t>
            </w:r>
          </w:p>
        </w:tc>
        <w:tc>
          <w:tcPr/>
          <w:p>
            <w:pPr>
              <w:pStyle w:val="Compact"/>
              <w:jc w:val="center"/>
            </w:pPr>
            <m:oMathPara>
              <m:oMathParaPr>
                <m:jc m:val="center"/>
              </m:oMathParaPr>
              <m:oMath>
                <m:r>
                  <m:rPr>
                    <m:sty m:val="p"/>
                  </m:rPr>
                  <m:t>−</m:t>
                </m:r>
                <m:r>
                  <m:t>0.21</m:t>
                </m:r>
              </m:oMath>
            </m:oMathPara>
          </w:p>
        </w:tc>
        <w:tc>
          <w:tcPr/>
          <w:p>
            <w:pPr>
              <w:pStyle w:val="Compact"/>
              <w:jc w:val="center"/>
            </w:pPr>
            <m:oMathPara>
              <m:oMathParaPr>
                <m:jc m:val="center"/>
              </m:oMathParaPr>
              <m:oMath>
                <m:r>
                  <m:rPr>
                    <m:sty m:val="p"/>
                  </m:rPr>
                  <m:t>−</m:t>
                </m:r>
                <m:r>
                  <m:t>0.05</m:t>
                </m:r>
              </m:oMath>
            </m:oMathPara>
          </w:p>
        </w:tc>
        <w:tc>
          <w:tcPr/>
          <w:p>
            <w:pPr>
              <w:pStyle w:val="Compact"/>
              <w:jc w:val="center"/>
            </w:pPr>
            <m:oMathPara>
              <m:oMathParaPr>
                <m:jc m:val="center"/>
              </m:oMathParaPr>
              <m:oMath>
                <m:r>
                  <m:rPr>
                    <m:sty m:val="p"/>
                  </m:rPr>
                  <m:t>+</m:t>
                </m:r>
                <m:r>
                  <m:t>0.005</m:t>
                </m:r>
              </m:oMath>
            </m:oMathPara>
          </w:p>
        </w:tc>
        <w:tc>
          <w:tcPr/>
          <w:p>
            <w:pPr>
              <w:pStyle w:val="Compact"/>
              <w:jc w:val="center"/>
            </w:pPr>
            <m:oMathPara>
              <m:oMathParaPr>
                <m:jc m:val="center"/>
              </m:oMathParaPr>
              <m:oMath>
                <m:r>
                  <m:rPr>
                    <m:sty m:val="p"/>
                  </m:rPr>
                  <m:t>+</m:t>
                </m:r>
                <m:r>
                  <m:t>0.005</m:t>
                </m:r>
              </m:oMath>
            </m:oMathPara>
          </w:p>
        </w:tc>
      </w:tr>
      <w:tr>
        <w:tc>
          <w:tcPr/>
          <w:p>
            <w:pPr>
              <w:pStyle w:val="Compact"/>
              <w:jc w:val="left"/>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center"/>
            </w:pPr>
            <m:oMathPara>
              <m:oMathParaPr>
                <m:jc m:val="center"/>
              </m:oMathParaPr>
              <m:oMath>
                <m:r>
                  <m:rPr>
                    <m:sty m:val="p"/>
                  </m:rPr>
                  <m:t>+</m:t>
                </m:r>
                <m:r>
                  <m:t>0.85</m:t>
                </m:r>
              </m:oMath>
            </m:oMathPara>
          </w:p>
        </w:tc>
        <w:tc>
          <w:tcPr/>
          <w:p>
            <w:pPr>
              <w:pStyle w:val="Compact"/>
              <w:jc w:val="center"/>
            </w:pPr>
            <m:oMathPara>
              <m:oMathParaPr>
                <m:jc m:val="center"/>
              </m:oMathParaPr>
              <m:oMath>
                <m:r>
                  <m:rPr>
                    <m:sty m:val="p"/>
                  </m:rPr>
                  <m:t>+</m:t>
                </m:r>
                <m:r>
                  <m:t>0.89</m:t>
                </m:r>
              </m:oMath>
            </m:oMathPara>
          </w:p>
        </w:tc>
        <w:tc>
          <w:tcPr/>
          <w:p>
            <w:pPr>
              <w:pStyle w:val="Compact"/>
              <w:jc w:val="center"/>
            </w:pPr>
            <w:r>
              <w:t xml:space="preserve">—</w:t>
            </w:r>
          </w:p>
        </w:tc>
        <w:tc>
          <w:tcPr/>
          <w:p>
            <w:pPr>
              <w:pStyle w:val="Compact"/>
              <w:jc w:val="center"/>
            </w:pPr>
            <w:r>
              <w:t xml:space="preserve">—</w:t>
            </w:r>
          </w:p>
        </w:tc>
      </w:tr>
    </w:tbl>
    <w:p>
      <w:pPr>
        <w:pStyle w:val="BodyText"/>
      </w:pPr>
      <w:r>
        <w:t xml:space="preserve">The framework’s</w:t>
      </w:r>
      <w:r>
        <w:t xml:space="preserve"> </w:t>
      </w:r>
      <m:oMath>
        <m:r>
          <m:t>ε</m:t>
        </m:r>
      </m:oMath>
      <w:r>
        <w:t xml:space="preserve"> </w:t>
      </w:r>
      <w:r>
        <w:t xml:space="preserve">is therefore not predicting cross-site magnitude in any substantive sense; the convergence-model literature is. The joint</w:t>
      </w:r>
      <w:r>
        <w:t xml:space="preserve"> </w:t>
      </w:r>
      <m:oMath>
        <m:r>
          <m:t>ρ</m:t>
        </m:r>
      </m:oMath>
      <w:r>
        <w:t xml:space="preserve"> </w:t>
      </w:r>
      <w:r>
        <w:t xml:space="preserve">result is a</w:t>
      </w:r>
      <w:r>
        <w:t xml:space="preserve"> </w:t>
      </w:r>
      <w:r>
        <w:rPr>
          <w:i/>
          <w:iCs/>
        </w:rPr>
        <w:t xml:space="preserve">within-model consistency demonstration</w:t>
      </w:r>
      <w:r>
        <w:t xml:space="preserve"> </w:t>
      </w:r>
      <w:r>
        <w:t xml:space="preserve">that the framework’s equilibrium</w:t>
      </w:r>
      <w:r>
        <w:t xml:space="preserve"> </w:t>
      </w:r>
      <m:oMath>
        <m:sSub>
          <m:e>
            <m:r>
              <m:t>M</m:t>
            </m:r>
          </m:e>
          <m:sub>
            <m:r>
              <m:t>g</m:t>
            </m:r>
          </m:sub>
        </m:sSub>
      </m:oMath>
      <w:r>
        <w:t xml:space="preserve"> </w:t>
      </w:r>
      <w:r>
        <w:t xml:space="preserve">tracks</w:t>
      </w:r>
      <w:r>
        <w:t xml:space="preserve"> </w:t>
      </w:r>
      <m:oMath>
        <m:sSub>
          <m:e>
            <m:r>
              <m:t>n</m:t>
            </m:r>
          </m:e>
          <m:sub>
            <m:r>
              <m:t>a</m:t>
            </m:r>
            <m:r>
              <m:t>g</m:t>
            </m:r>
            <m:r>
              <m:t>g</m:t>
            </m:r>
          </m:sub>
        </m:sSub>
      </m:oMath>
      <w:r>
        <w:t xml:space="preserve"> </w:t>
      </w:r>
      <w:r>
        <w:t xml:space="preserve">in the expected direction. It is not an independent prediction of cross-site magnitude by the framework.</w:t>
      </w:r>
    </w:p>
    <w:p>
      <w:pPr>
        <w:pStyle w:val="BodyText"/>
      </w:pPr>
      <w:r>
        <w:t xml:space="preserve">This finding makes a central concession: the framework predicts the necessity and tempo of threshold crossing, not cross-site magnitude. The</w:t>
      </w:r>
      <w:r>
        <w:t xml:space="preserve"> </w:t>
      </w:r>
      <m:oMath>
        <m:r>
          <m:t>ε</m:t>
        </m:r>
      </m:oMath>
      <w:r>
        <w:t xml:space="preserve"> </w:t>
      </w:r>
      <w: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t xml:space="preserve"> </w:t>
      </w:r>
      <m:oMath>
        <m:r>
          <m:t>ε</m:t>
        </m:r>
      </m:oMath>
      <w:r>
        <w:t xml:space="preserve">. The structural-vs-contingent decomposition that organizes this finding parallels Sassaman’s (2005) structure-event-process framework: both readings agree that the necessary structural conditions are met across multiple LMV sites and that the historically realized concentration at Poverty Point is set by contingent convergence dynamics. The two readings disagree about the</w:t>
      </w:r>
      <w:r>
        <w:t xml:space="preserve"> </w:t>
      </w:r>
      <w:r>
        <w:rPr>
          <w:i/>
          <w:iCs/>
        </w:rPr>
        <w:t xml:space="preserve">weight</w:t>
      </w:r>
      <w:r>
        <w:t xml:space="preserve"> </w:t>
      </w:r>
      <w: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t xml:space="preserve">6.7 Within-year aggregation timing (plausibility check, not independent test)</w:t>
      </w:r>
    </w:p>
    <w:p>
      <w:pPr>
        <w:pStyle w:val="FirstParagraph"/>
      </w:pPr>
      <w: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on the basis of which they inferred band dispersal during spring and possibly until late summer.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pPr>
        <w:pStyle w:val="BodyText"/>
      </w:pPr>
      <w: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t xml:space="preserve"> </w:t>
      </w:r>
      <w:r>
        <w:rPr>
          <w:i/>
          <w:iCs/>
        </w:rPr>
        <w:t xml:space="preserve">independent</w:t>
      </w:r>
      <w:r>
        <w:t xml:space="preserve"> </w:t>
      </w:r>
      <w:r>
        <w:t xml:space="preserve">peak windows it integrates: peaks driven by different mechanisms tend not to fail in the same year, which is what produces the negative covariance the framework’s</w:t>
      </w:r>
      <w:r>
        <w:t xml:space="preserve"> </w:t>
      </w:r>
      <m:oMath>
        <m:r>
          <m:t>ε</m:t>
        </m:r>
      </m:oMath>
      <w:r>
        <w:t xml:space="preserve"> </w:t>
      </w:r>
      <w:r>
        <w:t xml:space="preserve">encodes.</w:t>
      </w:r>
    </w:p>
    <w:p>
      <w:pPr>
        <w:pStyle w:val="BodyText"/>
      </w:pPr>
      <w: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and produces a hierarchy that places PP alone at the top and grades the remaining sites by how much of the regional peak-access profile they integrate. The discrimination operative for the framework’s</w:t>
      </w:r>
      <w:r>
        <w:t xml:space="preserve"> </w:t>
      </w:r>
      <m:oMath>
        <m:r>
          <m:t>ε</m:t>
        </m:r>
      </m:oMath>
      <w:r>
        <w:t xml:space="preserve"> </w:t>
      </w:r>
      <w: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the same peak window is contributed by a single drainage. Lower Jackson’s intermediate weighted-sum value (3.5), combined with its single-band, single-event construction, reinforces the §6.6 finding that high</w:t>
      </w:r>
      <w:r>
        <w:t xml:space="preserve"> </w:t>
      </w:r>
      <m:oMath>
        <m:r>
          <m:t>ε</m:t>
        </m:r>
      </m:oMath>
      <w:r>
        <w:t xml:space="preserve"> </w:t>
      </w:r>
      <w:r>
        <w:t xml:space="preserve">access is necessary but not sufficient for sustained large-scale aggregation; PP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 Full per-site coding and analysis are in §S16.</w:t>
      </w:r>
    </w:p>
    <w:p>
      <w:pPr>
        <w:pStyle w:val="BodyText"/>
      </w:pPr>
      <w: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t xml:space="preserve"> </w:t>
      </w:r>
      <w:r>
        <w:t xml:space="preserve">“match”</w:t>
      </w:r>
      <w:r>
        <w:t xml:space="preserve"> </w:t>
      </w:r>
      <w:r>
        <w:t xml:space="preserve">between the extension’s top-3 months (October, September, November) and the published fall-winter interpretation reflects the same calendar rather than an independent test. The minimal extension serves as a</w:t>
      </w:r>
      <w:r>
        <w:t xml:space="preserve"> </w:t>
      </w:r>
      <w:r>
        <w:rPr>
          <w:i/>
          <w:iCs/>
        </w:rPr>
        <w:t xml:space="preserve">plausibility check</w:t>
      </w:r>
      <w:r>
        <w:t xml:space="preserve"> </w:t>
      </w:r>
      <w:r>
        <w:t xml:space="preserve">on the framework’s logic rather than an independent prediction of the seasonal pattern.</w:t>
      </w:r>
    </w:p>
    <w:p>
      <w:pPr>
        <w:pStyle w:val="BodyText"/>
      </w:pPr>
      <w:r>
        <w:t xml:space="preserve">The seasonally resolved component (§S17.6) generates one falsifiable prediction. The framework’s broader-window output shows a substantial aggregation share in spring fish spawning (Mar-May) and summer aquatic months (Jun-Aug), in tension with the peripheral-site plant-remains-based inference of spring dispersal (Thomas and Campbell 1978).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tension with the framework’s predicted multi-peak aggregation, while a multi-peak signal across mast, fish-spawning, and summer aquatic months would be consistent with it. We identify this as a falsifiable test (§7.4) that requires new fieldwork and analysis using non-faunal methods rather than reanalysis of existing faunal collections.</w:t>
      </w:r>
    </w:p>
    <w:p>
      <w:pPr>
        <w:pStyle w:val="BodyText"/>
      </w:pPr>
      <w:r>
        <w:drawing>
          <wp:inline>
            <wp:extent cx="5943600" cy="4399354"/>
            <wp:effectExtent b="0" l="0" r="0" t="0"/>
            <wp:docPr descr="" title="" id="77" name="Picture"/>
            <a:graphic>
              <a:graphicData uri="http://schemas.openxmlformats.org/drawingml/2006/picture">
                <pic:pic>
                  <pic:nvPicPr>
                    <pic:cNvPr descr="../../figures/manuscript/figure_15_seasonal_phenology.png" id="78" name="Picture"/>
                    <pic:cNvPicPr>
                      <a:picLocks noChangeArrowheads="1" noChangeAspect="1"/>
                    </pic:cNvPicPr>
                  </pic:nvPicPr>
                  <pic:blipFill>
                    <a:blip r:embed="rId76"/>
                    <a:stretch>
                      <a:fillRect/>
                    </a:stretch>
                  </pic:blipFill>
                  <pic:spPr bwMode="auto">
                    <a:xfrm>
                      <a:off x="0" y="0"/>
                      <a:ext cx="5943600" cy="4399354"/>
                    </a:xfrm>
                    <a:prstGeom prst="rect">
                      <a:avLst/>
                    </a:prstGeom>
                    <a:noFill/>
                    <a:ln w="9525">
                      <a:noFill/>
                      <a:headEnd/>
                      <a:tailEnd/>
                    </a:ln>
                  </pic:spPr>
                </pic:pic>
              </a:graphicData>
            </a:graphic>
          </wp:inline>
        </w:drawing>
      </w:r>
    </w:p>
    <w:p>
      <w:pPr>
        <w:pStyle w:val="BodyText"/>
      </w:pPr>
      <w:r>
        <w:rPr>
          <w:b/>
          <w:bCs/>
          <w:i/>
          <w:iCs/>
        </w:rPr>
        <w:t xml:space="preserve">Figure 15. Seasonal phenology of LMV resource peaks and site-level access.</w:t>
      </w:r>
      <w:r>
        <w:t xml:space="preserve"> </w:t>
      </w:r>
      <w:r>
        <w:rPr>
          <w:i/>
          <w:iCs/>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(each of the five peak windows contributes 1.0 for full access, 0.5 for partial single-drainage access; maximum 5.0). Poverty Point alone at 5.0; J.W. Copes and Jaketown at 4.0; Lower Jackson at 3.5; Watson Brake and Cowpen Slough at 3.0; Frenchman’s Bend and Insley at 2.5; Caney, Claiborne, and Cedarland at 2.0. The weighted sum graduates partial-access codings that a binary count collapses, producing a hierarchy that combines peak breadth (how many peak types the site reaches) and access depth (full vs partial). Discrimination operative for the framework’s</w:t>
      </w:r>
      <w:r>
        <w:t xml:space="preserve"> </w:t>
      </w:r>
      <m:oMath>
        <m:r>
          <m:t>ε</m:t>
        </m:r>
      </m:oMath>
      <w:r>
        <w:t xml:space="preserve"> </w:t>
      </w:r>
      <w:r>
        <w:rPr>
          <w:i/>
          <w:iCs/>
        </w:rPr>
        <w:t xml:space="preserve">parameter combines this peak-breadth signal with the multi-drainage redundancy visible in Panel B (PP’s row is uniformly warmer because each peak window is contributed by multiple independent drainages) and with the regime-count hierarchy of §6.5 (Figure 14B).</w:t>
      </w:r>
    </w:p>
    <w:bookmarkEnd w:id="79"/>
    <w:bookmarkStart w:id="80" w:name="Xa756ed1fef5c80faf329c8dd44dba8f3e8775e5"/>
    <w:p>
      <w:pPr>
        <w:pStyle w:val="Heading3"/>
      </w:pPr>
      <w:r>
        <w:t xml:space="preserve">6.8 Construction tempo and pulsed accumulation</w:t>
      </w:r>
    </w:p>
    <w:p>
      <w:pPr>
        <w:pStyle w:val="FirstParagraph"/>
      </w:pPr>
      <w: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t xml:space="preserve"> </w:t>
      </w:r>
      <w:r>
        <w:t xml:space="preserve">“the physical remnant of a number of abandoned projects”</w:t>
      </w:r>
      <w:r>
        <w:t xml:space="preserve"> </w:t>
      </w:r>
      <w:r>
        <w:t xml:space="preserve">rather than a master plan. The framework resolves the apparent tension between rapid individual episodes and the multi-component site: each seasonal gathering produced a rapid construction episode, and the accumulated product of many such episodes over the ~75-year active window created the site visible archaeologically. The pulsed-construction pattern fits both the seasonal-aggregation cycle and the signal-half-life reading, and contemporary geoarchaeology converges on this pattern across different theoretical framings.</w:t>
      </w:r>
    </w:p>
    <w:p>
      <w:pPr>
        <w:pStyle w:val="BodyText"/>
      </w:pPr>
      <w:r>
        <w:t xml:space="preserve">The signal-half-life argument also generates a quantitative prediction that the existing PP and WB records can test. The reasoning runs as follows. If a finished earthwork loses its value as a signal of current cooperative capacity as the bands that built it disperse or are replaced, then a community at large accumulated stock has to spend a rising share of its labor just keeping that signal current. New construction adds to the stock; renewal and maintenance keep the existing stock signaling.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while the young-system regime produces fewer larger initial-construction events with long gaps between them.</w:t>
      </w:r>
    </w:p>
    <w:p>
      <w:pPr>
        <w:pStyle w:val="BodyText"/>
      </w:pPr>
      <w:r>
        <w:t xml:space="preserve">Formally, the framework treats the monument stock</w:t>
      </w:r>
      <w:r>
        <w:t xml:space="preserve"> </w:t>
      </w:r>
      <m:oMath>
        <m:sSub>
          <m:e>
            <m:r>
              <m:t>M</m:t>
            </m:r>
          </m:e>
          <m:sub>
            <m:r>
              <m:t>g</m:t>
            </m:r>
          </m:sub>
        </m:sSub>
      </m:oMath>
      <w:r>
        <w:t xml:space="preserve"> </w:t>
      </w:r>
      <w:r>
        <w:t xml:space="preserve">as follows: the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where</w:t>
      </w:r>
      <w:r>
        <w:t xml:space="preserve"> </w:t>
      </w:r>
      <m:oMath>
        <m:r>
          <m:t>δ</m:t>
        </m:r>
      </m:oMath>
      <w:r>
        <w:t xml:space="preserve"> </w:t>
      </w:r>
      <w:r>
        <w:t xml:space="preserve">is the per-year decay rate of the signal value and</w:t>
      </w:r>
      <w:r>
        <w:t xml:space="preserve"> </w:t>
      </w:r>
      <m:oMath>
        <m:sSub>
          <m:e>
            <m:r>
              <m:t>I</m:t>
            </m:r>
          </m:e>
          <m:sub>
            <m:r>
              <m:t>g</m:t>
            </m:r>
          </m:sub>
        </m:sSub>
      </m:oMath>
      <w:r>
        <w:t xml:space="preserve"> </w:t>
      </w:r>
      <w:r>
        <w:t xml:space="preserve">is each year’s investment flow. Each year’s labor splits into a part that offsets decay,</w:t>
      </w:r>
      <w:r>
        <w:t xml:space="preserve"> </w:t>
      </w:r>
      <m:oMath>
        <m:r>
          <m:t>δ</m:t>
        </m:r>
        <m:sSub>
          <m:e>
            <m:r>
              <m:t>M</m:t>
            </m:r>
          </m:e>
          <m:sub>
            <m:r>
              <m:t>g</m:t>
            </m:r>
          </m:sub>
        </m:sSub>
      </m:oMath>
      <w:r>
        <w:t xml:space="preserve">, and a part that adds net new stock,</w:t>
      </w:r>
      <w:r>
        <w:t xml:space="preserve"> </w:t>
      </w:r>
      <m:oMath>
        <m:sSub>
          <m:e>
            <m:r>
              <m:t>I</m:t>
            </m:r>
          </m:e>
          <m:sub>
            <m:r>
              <m:t>g</m:t>
            </m:r>
          </m:sub>
        </m:sSub>
        <m:r>
          <m:rPr>
            <m:sty m:val="p"/>
          </m:rPr>
          <m:t>−</m:t>
        </m:r>
        <m:r>
          <m:t>δ</m:t>
        </m:r>
        <m:sSub>
          <m:e>
            <m:r>
              <m:t>M</m:t>
            </m:r>
          </m:e>
          <m:sub>
            <m:r>
              <m:t>g</m:t>
            </m:r>
          </m:sub>
        </m:sSub>
      </m:oMath>
      <w:r>
        <w:t xml:space="preserve">. Their ratio</w:t>
      </w:r>
      <w: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t xml:space="preserve"> </w:t>
      </w:r>
      <w:r>
        <w:t xml:space="preserve">starts at zero (when the system is young) and rises without bound as the stock approaches its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(when the system is fully mature and every unit of labor is going to maintenance). Run at PP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model predicts a steady-state stock of about 130 units, reached within about 50 years (the decay timescale is</w:t>
      </w:r>
      <w:r>
        <w:t xml:space="preserve"> </w:t>
      </w:r>
      <m:oMath>
        <m:r>
          <m:t>1</m:t>
        </m:r>
        <m:r>
          <m:rPr>
            <m:sty m:val="p"/>
          </m:rPr>
          <m:t>/</m:t>
        </m:r>
        <m:r>
          <m:t>δ</m:t>
        </m:r>
        <m:r>
          <m:rPr>
            <m:sty m:val="p"/>
          </m:rPr>
          <m:t>=</m:t>
        </m:r>
        <m:r>
          <m:t>12.5</m:t>
        </m:r>
      </m:oMath>
      <w:r>
        <w:t xml:space="preserve"> </w:t>
      </w:r>
      <w: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t xml:space="preserve"> </w:t>
      </w:r>
      <w: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 The full derivation, code, and JSON output are at scripts/analysis/renovation_ratio.py and results/sensitivity/renovation_ratio.json.</w:t>
      </w:r>
    </w:p>
    <w:p>
      <w:pPr>
        <w:pStyle w:val="BodyText"/>
      </w:pPr>
      <w:r>
        <w:t xml:space="preserve">Several caveats are worth flagging. The model treats</w:t>
      </w:r>
      <w:r>
        <w:t xml:space="preserve"> </w:t>
      </w:r>
      <m:oMath>
        <m:sSub>
          <m:e>
            <m:r>
              <m:t>I</m:t>
            </m:r>
          </m:e>
          <m:sub>
            <m:r>
              <m:t>g</m:t>
            </m:r>
          </m:sub>
        </m:sSub>
      </m:oMath>
      <w:r>
        <w:t xml:space="preserve"> </w:t>
      </w:r>
      <w:r>
        <w:t xml:space="preserve">as constant year-to-year, which does not capture the within-interval labor pulses Mound A is known for; the cumulative maintenance-vs-new split is unaffected by this approximation, but the year-by-year ratio is approximate. The published event counts include both maintenance/renewal events and new-construction events, with no clean separator in the field record. And the decay rate</w:t>
      </w:r>
      <w:r>
        <w:t xml:space="preserve"> </w:t>
      </w:r>
      <m:oMath>
        <m:r>
          <m:t>δ</m:t>
        </m:r>
        <m:r>
          <m:rPr>
            <m:sty m:val="p"/>
          </m:rPr>
          <m:t>=</m:t>
        </m:r>
        <m:r>
          <m:t>0.08</m:t>
        </m:r>
      </m:oMath>
      <w:r>
        <w:t xml:space="preserve"> </w:t>
      </w:r>
      <w:r>
        <w:t xml:space="preserve">is taken from the weathering-rate range in Table S2 rather than from a site-specific decay study. The prediction is therefore structural (the direction and order of magnitude of the PP-vs-WB contrast) rather than precise (R values are not labor-unit-resolved).</w:t>
      </w:r>
    </w:p>
    <w:bookmarkEnd w:id="80"/>
    <w:bookmarkEnd w:id="81"/>
    <w:bookmarkStart w:id="87" w:name="discussion"/>
    <w:p>
      <w:pPr>
        <w:pStyle w:val="Heading2"/>
      </w:pPr>
      <w:r>
        <w:t xml:space="preserve">7. Discussion</w:t>
      </w:r>
    </w:p>
    <w:bookmarkStart w:id="82" w:name="X59f7eff7fd3aab5814fbe55a4e03a43e13667d9"/>
    <w:p>
      <w:pPr>
        <w:pStyle w:val="Heading3"/>
      </w:pPr>
      <w:r>
        <w:t xml:space="preserve">7.1 What the framework predicts and what it does not</w:t>
      </w:r>
    </w:p>
    <w:p>
      <w:pPr>
        <w:pStyle w:val="FirstParagraph"/>
      </w:pPr>
      <w:r>
        <w:t xml:space="preserve">The framework predicts threshold-crossing locations and aggregation tempo. It does not predict the magnitude of cross-site monument volume. This is not a limitation we have only just discovered; it is a structural property of the model. Magnitude depends on the attained aggregation size</w:t>
      </w:r>
      <w:r>
        <w:t xml:space="preserve"> </w:t>
      </w:r>
      <m:oMath>
        <m:sSub>
          <m:e>
            <m:r>
              <m:t>n</m:t>
            </m:r>
          </m:e>
          <m:sub>
            <m:r>
              <m:t>a</m:t>
            </m:r>
            <m:r>
              <m:t>g</m:t>
            </m:r>
            <m:r>
              <m:t>g</m:t>
            </m:r>
          </m:sub>
        </m:sSub>
      </m:oMath>
      <w:r>
        <w:t xml:space="preserve">, which is taken as exogenous (set by the contingent regional convergence dynamics documented by Grooms et al. 2023 and Kidder and Grooms 2024) rather than derived from first principles.</w:t>
      </w:r>
    </w:p>
    <w:p>
      <w:pPr>
        <w:pStyle w:val="BodyText"/>
      </w:pPr>
      <w:r>
        <w:t xml:space="preserve">The framework commits the model to five structural claims about the LMV record. The first is threshold-crossing necessity: sustained monumental construction by mobile foragers should occur only at sites where regional environmental uncertainty exceeds the model-derived threshold, with independent foraging dominating below it. The second is pulsed construction tempo. The signal value of any completed feature has a half-life on the social timescale of band turnover, so construction should proceed episodically rather than steadily, with each episode renewing the signal on the timescale relevant to current partner choice, and cumulative volume should record many individually honest signals stacked over the active interval. The third is a distance-decay shape in exotic acquisition. The model’s exotic-acquisition function generates a monotonic decay in relative frequency with source distance, whose shape depends on the characteristic length scale parameter. The fourth is a sharp phase transition. The shift from independent foraging to sustained aggregation is concentrated in a narrow range of conditions (</w:t>
      </w:r>
      <m:oMath>
        <m:r>
          <m:t>σ</m:t>
        </m:r>
      </m:oMath>
      <w:r>
        <w:t xml:space="preserve"> </w:t>
      </w:r>
      <w:r>
        <w:t xml:space="preserve">within</w:t>
      </w:r>
      <w:r>
        <w:t xml:space="preserve"> </w:t>
      </w:r>
      <m:oMath>
        <m:r>
          <m:rPr>
            <m:sty m:val="p"/>
          </m:rPr>
          <m:t>±</m:t>
        </m:r>
        <m:r>
          <m:t>0.10</m:t>
        </m:r>
      </m:oMath>
      <w:r>
        <w:t xml:space="preserve"> </w:t>
      </w:r>
      <w:r>
        <w:t xml:space="preserve">of</w:t>
      </w:r>
      <w:r>
        <w:t xml:space="preserve"> </w:t>
      </w:r>
      <m:oMath>
        <m:sSup>
          <m:e>
            <m:r>
              <m:t>σ</m:t>
            </m:r>
          </m:e>
          <m:sup>
            <m:r>
              <m:rPr>
                <m:sty m:val="p"/>
              </m:rPr>
              <m:t>*</m:t>
            </m:r>
          </m:sup>
        </m:sSup>
      </m:oMath>
      <w:r>
        <w:t xml:space="preserve"> </w:t>
      </w:r>
      <w:r>
        <w:t xml:space="preserve">in our parameterization), not a continuous correlation between environmental stress and the scale of monument investment. The fifth is an asymmetric flow signature. Exotic-goods accumulation in a signaling system with aggregation at a central site should flow toward the gathering rather than from it, and the asymmetry should be patterned: signal-bearing markers appear at sites whose bands attended the aggregation as visitor-source partners, where the signal does its social work, but are absent at peripheral sites whose bands did not attend, where the signal would have no audience.</w:t>
      </w:r>
    </w:p>
    <w:p>
      <w:pPr>
        <w:pStyle w:val="BodyText"/>
      </w:pPr>
      <w:r>
        <w:t xml:space="preserve">There are three claims the framework explicitly does not make. It does not predict cross-site monument-volume magnitude. Three independent magnitude tests across LMV sites confirm this limit: the Table 2 Shannon-derived</w:t>
      </w:r>
      <w:r>
        <w:t xml:space="preserve"> </w:t>
      </w:r>
      <m:oMath>
        <m:r>
          <m:t>ε</m:t>
        </m:r>
      </m:oMath>
      <w:r>
        <w:t xml:space="preserve"> </w:t>
      </w:r>
      <w:r>
        <w:t xml:space="preserve">correlates only weakly with ordinal observed monument scale (Spearman</w:t>
      </w:r>
      <w:r>
        <w:t xml:space="preserve"> </w:t>
      </w:r>
      <m:oMath>
        <m:r>
          <m:t>ρ</m:t>
        </m:r>
        <m:r>
          <m:rPr>
            <m:sty m:val="p"/>
          </m:rPr>
          <m:t>=</m:t>
        </m:r>
        <m:r>
          <m:rPr>
            <m:sty m:val="p"/>
          </m:rPr>
          <m:t>+</m:t>
        </m:r>
        <m:r>
          <m:t>0.39</m:t>
        </m:r>
      </m:oMath>
      <w:r>
        <w:t xml:space="preserve">,</w:t>
      </w:r>
      <w:r>
        <w:t xml:space="preserve"> </w:t>
      </w:r>
      <m:oMath>
        <m:r>
          <m:t>p</m:t>
        </m:r>
        <m:r>
          <m:rPr>
            <m:sty m:val="p"/>
          </m:rPr>
          <m:t>=</m:t>
        </m:r>
        <m:r>
          <m:t>0.24</m:t>
        </m:r>
      </m:oMath>
      <w:r>
        <w:t xml:space="preserve">); the §S12 EPA Level IV ecoregion-derived</w:t>
      </w:r>
      <w:r>
        <w:t xml:space="preserve"> </w:t>
      </w:r>
      <m:oMath>
        <m:r>
          <m:t>ε</m:t>
        </m:r>
      </m:oMath>
      <w:r>
        <w:t xml:space="preserve"> </w:t>
      </w:r>
      <w:r>
        <w:t xml:space="preserve">correlates not at all (</w:t>
      </w:r>
      <m:oMath>
        <m:r>
          <m:t>ρ</m:t>
        </m:r>
        <m:r>
          <m:rPr>
            <m:sty m:val="p"/>
          </m:rPr>
          <m:t>=</m:t>
        </m:r>
        <m:r>
          <m:rPr>
            <m:sty m:val="p"/>
          </m:rPr>
          <m:t>−</m:t>
        </m:r>
        <m:r>
          <m:t>0.01</m:t>
        </m:r>
      </m:oMath>
      <w:r>
        <w:t xml:space="preserve">,</w:t>
      </w:r>
      <w:r>
        <w:t xml:space="preserve"> </w:t>
      </w:r>
      <m:oMath>
        <m:r>
          <m:t>p</m:t>
        </m:r>
        <m:r>
          <m:rPr>
            <m:sty m:val="p"/>
          </m:rPr>
          <m:t>=</m:t>
        </m:r>
        <m:r>
          <m:t>0.98</m:t>
        </m:r>
      </m:oMath>
      <w:r>
        <w:t xml:space="preserve">); and the §S16 phenology-derived</w:t>
      </w:r>
      <w:r>
        <w:t xml:space="preserve"> </w:t>
      </w:r>
      <m:oMath>
        <m:r>
          <m:t>ε</m:t>
        </m:r>
      </m:oMath>
      <w:r>
        <w:t xml:space="preserve"> </w:t>
      </w:r>
      <w:r>
        <w:t xml:space="preserve">returns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All three are statistically null.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result of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w:t>
      </w:r>
      <w:r>
        <w:t xml:space="preserve">against observed scale and volume, but the partial-correlation decomposition shows that this is essentially the</w:t>
      </w:r>
      <w:r>
        <w:t xml:space="preserve"> </w:t>
      </w:r>
      <m:oMath>
        <m:sSub>
          <m:e>
            <m:r>
              <m:t>n</m:t>
            </m:r>
          </m:e>
          <m:sub>
            <m:r>
              <m:t>a</m:t>
            </m:r>
            <m:r>
              <m:t>g</m:t>
            </m:r>
            <m:r>
              <m:t>g</m:t>
            </m:r>
          </m:sub>
        </m:sSub>
      </m:oMath>
      <w:r>
        <w:t xml:space="preserve"> </w:t>
      </w:r>
      <w:r>
        <w:t xml:space="preserve">ranking:</w:t>
      </w:r>
      <w:r>
        <w:t xml:space="preserve"> </w:t>
      </w:r>
      <m:oMath>
        <m:r>
          <m:t>ε</m:t>
        </m:r>
      </m:oMath>
      <w:r>
        <w:t xml:space="preserve"> </w:t>
      </w:r>
      <w:r>
        <w:t xml:space="preserve">contributes at most</w:t>
      </w:r>
      <w:r>
        <w:t xml:space="preserve"> </w:t>
      </w:r>
      <m:oMath>
        <m:r>
          <m:rPr>
            <m:sty m:val="p"/>
          </m:rPr>
          <m:t>+</m:t>
        </m:r>
        <m:r>
          <m:t>0.014</m:t>
        </m:r>
      </m:oMath>
      <w:r>
        <w:t xml:space="preserve"> </w:t>
      </w:r>
      <w:r>
        <w:t xml:space="preserve">to the joint correlation. The framework’s</w:t>
      </w:r>
      <w:r>
        <w:t xml:space="preserve"> </w:t>
      </w:r>
      <m:oMath>
        <m:r>
          <m:t>ε</m:t>
        </m:r>
      </m:oMath>
      <w:r>
        <w:t xml:space="preserve"> </w:t>
      </w:r>
      <w: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but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but the framework does not predict which above-threshold site will become the regional center, because the attained</w:t>
      </w:r>
      <w:r>
        <w:t xml:space="preserve"> </w:t>
      </w:r>
      <m:oMath>
        <m:sSub>
          <m:e>
            <m:r>
              <m:t>n</m:t>
            </m:r>
          </m:e>
          <m:sub>
            <m:r>
              <m:t>a</m:t>
            </m:r>
            <m:r>
              <m:t>g</m:t>
            </m:r>
            <m:r>
              <m:t>g</m:t>
            </m:r>
          </m:sub>
        </m:sSub>
      </m:oMath>
      <w:r>
        <w:t xml:space="preserve"> </w:t>
      </w:r>
      <w:r>
        <w:t xml:space="preserve">depends on convergence dynamics that the framework imports rather than derives.</w:t>
      </w:r>
    </w:p>
    <w:p>
      <w:pPr>
        <w:pStyle w:val="BodyText"/>
      </w:pPr>
      <w:r>
        <w:t xml:space="preserve">The Watson Brake comparison shows the same property in reverse: the equilibrium calculation overshoots the LiDAR-derived WB volume of 27,065 m³ (§5.1) by approximately 9× (§6.3), and that overshoot is closed cleanly by per-event labor scaling at</w:t>
      </w:r>
      <w:r>
        <w:t xml:space="preserve"> </w:t>
      </w:r>
      <m:oMath>
        <m:r>
          <m:t>α</m:t>
        </m:r>
        <m:r>
          <m:rPr>
            <m:sty m:val="p"/>
          </m:rPr>
          <m:t>=</m:t>
        </m:r>
        <m:r>
          <m:t>2</m:t>
        </m:r>
      </m:oMath>
      <w:r>
        <w:t xml:space="preserve"> </w:t>
      </w:r>
      <w:r>
        <w:t xml:space="preserve">(predicted ~25,000 m³ vs observed 27,065 m³, ratio 0.93×), not by adjusting</w:t>
      </w:r>
      <w:r>
        <w:t xml:space="preserve"> </w:t>
      </w:r>
      <m:oMath>
        <m:r>
          <m:t>ε</m:t>
        </m:r>
      </m:oMath>
      <w: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t xml:space="preserve">Five sources of magnitude variation the model does not track (enumerated in §S11) are spatial network topology and water-route accessibility, gathering-site carrying capacity, path dependence and first-mover advantage, temporal heterogeneity in regional</w:t>
      </w:r>
      <w:r>
        <w:t xml:space="preserve"> </w:t>
      </w:r>
      <m:oMath>
        <m:r>
          <m:t>σ</m:t>
        </m:r>
      </m:oMath>
      <w:r>
        <w:t xml:space="preserve">, and the reduction of multi-zone structure to a single Shannon number. Closing the magnitude prediction would require a regional spatially explicit ABM that endogenizes</w:t>
      </w:r>
      <w:r>
        <w:t xml:space="preserve"> </w:t>
      </w:r>
      <m:oMath>
        <m:sSub>
          <m:e>
            <m:r>
              <m:t>n</m:t>
            </m:r>
          </m:e>
          <m:sub>
            <m:r>
              <m:t>a</m:t>
            </m:r>
            <m:r>
              <m:t>g</m:t>
            </m:r>
            <m:r>
              <m:t>g</m:t>
            </m:r>
          </m:sub>
        </m:sSub>
      </m:oMath>
      <w:r>
        <w:t xml:space="preserve"> </w:t>
      </w:r>
      <w:r>
        <w:t xml:space="preserve">at each site through hydrographic routing and across-site selection.</w:t>
      </w:r>
    </w:p>
    <w:bookmarkEnd w:id="82"/>
    <w:bookmarkStart w:id="83" w:name="cultural-historical-alternatives"/>
    <w:p>
      <w:pPr>
        <w:pStyle w:val="Heading3"/>
      </w:pPr>
      <w:r>
        <w:t xml:space="preserve">7.2 Cultural-historical alternatives</w:t>
      </w:r>
    </w:p>
    <w:p>
      <w:pPr>
        <w:pStyle w:val="FirstParagraph"/>
      </w:pPr>
      <w:r>
        <w:t xml:space="preserve">The framework is not in competition with the recent culturally rich accounts of Poverty Point. It operates in a different register, and the most useful question is how the registers relate. Our account is</w:t>
      </w:r>
      <w:r>
        <w:t xml:space="preserve"> </w:t>
      </w:r>
      <w:r>
        <w:rPr>
          <w:i/>
          <w:iCs/>
        </w:rPr>
        <w:t xml:space="preserve">structural</w:t>
      </w:r>
      <w: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t xml:space="preserve"> </w:t>
      </w:r>
      <w:r>
        <w:t xml:space="preserve">band. The cultural-historical accounts are</w:t>
      </w:r>
      <w:r>
        <w:t xml:space="preserve"> </w:t>
      </w:r>
      <w:r>
        <w:rPr>
          <w:i/>
          <w:iCs/>
        </w:rPr>
        <w:t xml:space="preserve">organizational</w:t>
      </w:r>
      <w:r>
        <w:t xml:space="preserve">: they specify the institutional forms, symbolic content, and motivational logics through which the investment is actually carried out. Both registers are needed.</w:t>
      </w:r>
    </w:p>
    <w:p>
      <w:pPr>
        <w:pStyle w:val="BodyText"/>
      </w:pPr>
      <w:r>
        <w:rPr>
          <w:i/>
          <w:iCs/>
        </w:rPr>
        <w:t xml:space="preserve">Kidder and Grooms’s (2025) revitalization-movement framework</w:t>
      </w:r>
      <w:r>
        <w:t xml:space="preserve"> </w:t>
      </w:r>
      <w:r>
        <w:t xml:space="preserve">is a</w:t>
      </w:r>
      <w:r>
        <w:t xml:space="preserve"> </w:t>
      </w:r>
      <w:r>
        <w:rPr>
          <w:i/>
          <w:iCs/>
        </w:rPr>
        <w:t xml:space="preserve">reason-giving</w:t>
      </w:r>
      <w:r>
        <w:t xml:space="preserve"> </w:t>
      </w:r>
      <w: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arbitrary cultural convention. The two operate simultaneously: signaling theory explains why collective investment is adaptive, revitalization dynamics describe the cultural forms it takes.</w:t>
      </w:r>
    </w:p>
    <w:p>
      <w:pPr>
        <w:pStyle w:val="BodyText"/>
      </w:pPr>
      <w:r>
        <w:rPr>
          <w:i/>
          <w:iCs/>
        </w:rPr>
        <w:t xml:space="preserve">Grooms’s (2022) relational-performative critique</w:t>
      </w:r>
      <w:r>
        <w:t xml:space="preserve"> </w:t>
      </w:r>
      <w: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t xml:space="preserve"> </w:t>
      </w:r>
      <w:r>
        <w:t xml:space="preserve">“communal performance meant to restore balance to relations [participants] perceived to be in flux”</w:t>
      </w:r>
      <w:r>
        <w:t xml:space="preserve"> </w:t>
      </w:r>
      <w:r>
        <w:t xml:space="preserve">(Grooms 2022:108), and that signaling-intergroup-cooperation accounts reduce mound building to</w:t>
      </w:r>
      <w:r>
        <w:t xml:space="preserve"> </w:t>
      </w:r>
      <w:r>
        <w:t xml:space="preserve">“transactional epiphenomena, arguably representing universal human motives”</w:t>
      </w:r>
      <w:r>
        <w:t xml:space="preserve"> </w:t>
      </w:r>
      <w: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costume on top of an underlying material calculation. It has less force against the framework developed here for two reasons.</w:t>
      </w:r>
    </w:p>
    <w:p>
      <w:pPr>
        <w:pStyle w:val="BodyText"/>
      </w:pPr>
      <w:r>
        <w:t xml:space="preserve">First, the framework is explicit that its predictions are structural, not interpretive. The model is silent on the symbolic content, motivational logic, and ritual form of the cultural apparatus by design (§1, §7.1). When we say the framework predicts that</w:t>
      </w:r>
      <w:r>
        <w:t xml:space="preserve"> </w:t>
      </w:r>
      <w:r>
        <w:rPr>
          <w:i/>
          <w:iCs/>
        </w:rPr>
        <w:t xml:space="preserve">some</w:t>
      </w:r>
      <w:r>
        <w:t xml:space="preserve"> </w:t>
      </w:r>
      <w: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on the same record: Grooms asks what mound 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i/>
          <w:iCs/>
        </w:rPr>
        <w:t xml:space="preserve">Sanger’s (2023, 2024) institutional-flexibility framework</w:t>
      </w:r>
      <w:r>
        <w:t xml:space="preserve"> </w:t>
      </w:r>
      <w:r>
        <w:t xml:space="preserve">addresses how participating groups prevent cooperation infrastructure from generating permanent inequality. The seasonal aggregate-disperse rhythm Sanger describes, with Mandan-Hidatsa parallels, matches the cycle predicted by the present framework. The institutional forms Sanger documents are the organizational solutions through which a costly-signaling system at the LMV scale was realized; the framework predicts</w:t>
      </w:r>
      <w:r>
        <w:t xml:space="preserve"> </w:t>
      </w:r>
      <w:r>
        <w:rPr>
          <w:i/>
          <w:iCs/>
        </w:rPr>
        <w:t xml:space="preserve">some</w:t>
      </w:r>
      <w:r>
        <w:t xml:space="preserve"> </w:t>
      </w:r>
      <w:r>
        <w:t xml:space="preserve">such solution must develop, but does not specify which.</w:t>
      </w:r>
      <w:r>
        <w:t xml:space="preserve"> </w:t>
      </w:r>
      <w:r>
        <w:rPr>
          <w:i/>
          <w:iCs/>
        </w:rPr>
        <w:t xml:space="preserve">Carballo’s (2013) collective-action framework</w:t>
      </w:r>
      <w:r>
        <w:t xml:space="preserve"> </w:t>
      </w:r>
      <w:r>
        <w:t xml:space="preserve">provides institutional mechanisms (norms, monitoring, and sanctioning) that maintain cooperation once established. Signaling theory addresses how cooperation is</w:t>
      </w:r>
      <w:r>
        <w:t xml:space="preserve"> </w:t>
      </w:r>
      <w:r>
        <w:rPr>
          <w:i/>
          <w:iCs/>
        </w:rPr>
        <w:t xml:space="preserve">initially</w:t>
      </w:r>
      <w:r>
        <w:t xml:space="preserve"> </w:t>
      </w:r>
      <w:r>
        <w:t xml:space="preserve">established between unfamiliar groups, the acute problem at an aggregation drawing bands from across the midcontinent.</w:t>
      </w:r>
      <w:r>
        <w:t xml:space="preserve"> </w:t>
      </w:r>
      <w:r>
        <w:rPr>
          <w:i/>
          <w:iCs/>
        </w:rPr>
        <w:t xml:space="preserve">Cultural-transmission and credibility-enhancing-display accounts</w:t>
      </w:r>
      <w:r>
        <w:t xml:space="preserve"> </w:t>
      </w:r>
      <w: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i/>
          <w:iCs/>
        </w:rPr>
        <w:t xml:space="preserve">Peacock and Rafferty’s (2013) bet-hedging framework</w:t>
      </w:r>
      <w:r>
        <w:t xml:space="preserve"> </w:t>
      </w:r>
      <w:r>
        <w:t xml:space="preserve">emphasizes investment during stable intervals as buffering against future downturns; the framework here accommodates this but predicts a step function rather than continuous scaling, and Watson Brake’s punctuated construction fits the step function more naturally. The threshold framing also addresses standard critiques that bet-hedging and costly-signaling explanations of monumental investment risk being unfalsifiable post-hoc rationalizations (Codding and Jones 2007; Quinn 2019): the framework here generates specific signed predictions about location, tempo, distance-decay, and collapse sequence (§7.4) that are evaluated against the LMV record, and the model code is publicly available so the predictions can be tested at independent sites.</w:t>
      </w:r>
    </w:p>
    <w:p>
      <w:pPr>
        <w:pStyle w:val="BodyText"/>
      </w:pPr>
      <w: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t xml:space="preserve"> </w:t>
      </w:r>
      <w:r>
        <w:rPr>
          <w:i/>
          <w:iCs/>
        </w:rPr>
        <w:t xml:space="preserve">predicted</w:t>
      </w:r>
      <w:r>
        <w:t xml:space="preserve"> </w:t>
      </w:r>
      <w:r>
        <w:t xml:space="preserve">by an aggregation system at the LMV scale; the classical accounts go wrong by promoting one phenomenon to the explanatory role and treating the others as ancillary.</w:t>
      </w:r>
    </w:p>
    <w:p>
      <w:pPr>
        <w:pStyle w:val="BodyText"/>
      </w:pPr>
      <w:r>
        <w:rPr>
          <w:i/>
          <w:iCs/>
        </w:rPr>
        <w:t xml:space="preserve">Sassaman’s (2005) structure-event-process framing</w:t>
      </w:r>
      <w:r>
        <w:t xml:space="preserve">. The framework and Sassaman agree on the</w:t>
      </w:r>
      <w:r>
        <w:t xml:space="preserve"> </w:t>
      </w:r>
      <w:r>
        <w:rPr>
          <w:i/>
          <w:iCs/>
        </w:rPr>
        <w:t xml:space="preserve">decomposition</w:t>
      </w:r>
      <w:r>
        <w:t xml:space="preserve"> </w:t>
      </w:r>
      <w:r>
        <w:t xml:space="preserve">(i.e., necessary structural conditions and the contingent realized sequence; §6.6, §7.1) but disagree on the</w:t>
      </w:r>
      <w:r>
        <w:t xml:space="preserve"> </w:t>
      </w:r>
      <w:r>
        <w:rPr>
          <w:i/>
          <w:iCs/>
        </w:rPr>
        <w:t xml:space="preserve">weight</w:t>
      </w:r>
      <w: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t xml:space="preserve"> </w:t>
      </w:r>
      <w: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t xml:space="preserve">Where the readings make different predictions: the Late Archaic-Early Woodland transition. The structural reading predicts that environmental relaxation below threshold (Kidder 2006’s ~3300 cal BP flood-frequency increase pushing the LMV out of the high-</w:t>
      </w:r>
      <m:oMath>
        <m:r>
          <m:t>σ</m:t>
        </m:r>
      </m:oMath>
      <w:r>
        <w:t xml:space="preserve"> </w:t>
      </w:r>
      <w:r>
        <w:t xml:space="preserve">regime) accounts for the abandonment of the system; the structure-event-process reading predicts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bookmarkEnd w:id="83"/>
    <w:bookmarkStart w:id="84" w:name="system-collapse"/>
    <w:p>
      <w:pPr>
        <w:pStyle w:val="Heading3"/>
      </w:pPr>
      <w:r>
        <w:t xml:space="preserve">7.3 System collapse</w:t>
      </w:r>
    </w:p>
    <w:p>
      <w:pPr>
        <w:pStyle w:val="FirstParagraph"/>
      </w:pPr>
      <w:r>
        <w:t xml:space="preserve">The framework identifies two pathways through which threshold-crossing collapse is predicted. First, geomorphic change can degrade the ecotone advantage: channel migration, sedimentation, and flooding alter the mosaic of zones, reducing</w:t>
      </w:r>
      <w:r>
        <w:t xml:space="preserve"> </w:t>
      </w:r>
      <m:oMath>
        <m:r>
          <m:t>ε</m:t>
        </m:r>
      </m:oMath>
      <w:r>
        <w:t xml:space="preserve"> </w:t>
      </w:r>
      <w:r>
        <w:t xml:space="preserve">and raising</w:t>
      </w:r>
      <w:r>
        <w:t xml:space="preserve"> </w:t>
      </w:r>
      <m:oMath>
        <m:sSup>
          <m:e>
            <m:r>
              <m:t>σ</m:t>
            </m:r>
          </m:e>
          <m:sup>
            <m:r>
              <m:rPr>
                <m:sty m:val="p"/>
              </m:rPr>
              <m:t>*</m:t>
            </m:r>
          </m:sup>
        </m:sSup>
      </m:oMath>
      <w:r>
        <w:t xml:space="preserve"> </w:t>
      </w:r>
      <w:r>
        <w:t xml:space="preserve">above the regional</w:t>
      </w:r>
      <w:r>
        <w:t xml:space="preserve"> </w:t>
      </w:r>
      <m:oMath>
        <m:r>
          <m:t>σ</m:t>
        </m:r>
      </m:oMath>
      <w:r>
        <w:t xml:space="preserve">. A drop from</w:t>
      </w:r>
      <w:r>
        <w:t xml:space="preserve"> </w:t>
      </w:r>
      <m:oMath>
        <m:r>
          <m:t>ε</m:t>
        </m:r>
        <m:r>
          <m:rPr>
            <m:sty m:val="p"/>
          </m:rPr>
          <m:t>=</m:t>
        </m:r>
        <m:r>
          <m:t>0.35</m:t>
        </m:r>
      </m:oMath>
      <w:r>
        <w:t xml:space="preserve"> </w:t>
      </w:r>
      <w:r>
        <w:t xml:space="preserve">to</w:t>
      </w:r>
      <w:r>
        <w:t xml:space="preserve"> </w:t>
      </w:r>
      <m:oMath>
        <m:r>
          <m:t>ε</m:t>
        </m:r>
        <m:r>
          <m:rPr>
            <m:sty m:val="p"/>
          </m:rPr>
          <m:t>=</m:t>
        </m:r>
        <m:r>
          <m:t>0.15</m:t>
        </m:r>
      </m:oMath>
      <w:r>
        <w:t xml:space="preserve"> </w:t>
      </w:r>
      <w:r>
        <w:t xml:space="preserve">would raise</w:t>
      </w:r>
      <w:r>
        <w:t xml:space="preserve"> </w:t>
      </w:r>
      <m:oMath>
        <m:sSup>
          <m:e>
            <m:r>
              <m:t>σ</m:t>
            </m:r>
          </m:e>
          <m:sup>
            <m:r>
              <m:rPr>
                <m:sty m:val="p"/>
              </m:rPr>
              <m:t>*</m:t>
            </m:r>
          </m:sup>
        </m:sSup>
      </m:oMath>
      <w:r>
        <w:t xml:space="preserve"> </w:t>
      </w:r>
      <w:r>
        <w:t xml:space="preserve">from ~0.40 to ~0.50, potentially pushing conditions below the viability boundary. Second, disruption of long-distance exchange routes severs the material supply lines that sustain individual-level signaling, reducing the cooperation networks that the signaling apparatus underwrites.</w:t>
      </w:r>
    </w:p>
    <w:p>
      <w:pPr>
        <w:pStyle w:val="BodyText"/>
      </w:pPr>
      <w:r>
        <w:t xml:space="preserve">Both pathways are documented in the Late Archaic LMV.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The resulting regional abandonment at Jaketown lasted ~530 years. Across the LMV more broadly,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framework’s prediction that, once conditions cross below</w:t>
      </w:r>
      <w:r>
        <w:t xml:space="preserve"> </w:t>
      </w:r>
      <m:oMath>
        <m:sSup>
          <m:e>
            <m:r>
              <m:t>σ</m:t>
            </m:r>
          </m:e>
          <m:sup>
            <m:r>
              <m:rPr>
                <m:sty m:val="p"/>
              </m:rPr>
              <m:t>*</m:t>
            </m:r>
          </m:sup>
        </m:sSup>
      </m:oMath>
      <w:r>
        <w:t xml:space="preserve">, the positive feedback that sustained aggregation reverses rapidly.</w:t>
      </w:r>
    </w:p>
    <w:p>
      <w:pPr>
        <w:pStyle w:val="BodyText"/>
      </w:pPr>
      <w:r>
        <w:t xml:space="preserve">Two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threshold-driven collapse and direct displacement-driven collapse yield temporally distinct predictions that the LMV record could, in principle, distinguish. A threshold-driven collapse predicts that the</w:t>
      </w:r>
      <w:r>
        <w:t xml:space="preserve"> </w:t>
      </w:r>
      <w:r>
        <w:rPr>
          <w:i/>
          <w:iCs/>
        </w:rPr>
        <w:t xml:space="preserve">signaling indicators</w:t>
      </w:r>
      <w:r>
        <w:t xml:space="preserve"> </w:t>
      </w:r>
      <w:r>
        <w:t xml:space="preserve">(long-distance exotic acquisition, lapidary production) should weaken before or simultaneously with monument abandonment, because the supporting cooperation network must thin before the signals it sustains become uneconomic. A direct displacement-driven collapse predicts that monument abandonment should</w:t>
      </w:r>
      <w:r>
        <w:t xml:space="preserve"> </w:t>
      </w:r>
      <w:r>
        <w:rPr>
          <w:i/>
          <w:iCs/>
        </w:rPr>
        <w:t xml:space="preserve">precede</w:t>
      </w:r>
      <w:r>
        <w:t xml:space="preserve"> </w:t>
      </w:r>
      <w:r>
        <w:t xml:space="preserve">exotic-network attrition, because the immediate driver is the loss of the gathering site rather than the loss of the network. The current LMV chronology lacks the temporal resolution to discriminate, but high-resolution Bayesian modeling of terminal-occupation deposits, in parallel with Kidder and Grooms (2024) for the active interval, would provide a sharper test of the threshold mechanism in particular.</w:t>
      </w:r>
    </w:p>
    <w:p>
      <w:pPr>
        <w:pStyle w:val="BodyText"/>
      </w:pPr>
      <w:r>
        <w:t xml:space="preserve">The collapse provides insight into the underlying mechanism. If the LMV system had been organized through inherited institutions or chiefly authority, we would expect partial reorganization rather than near-total cessation. The framework predicts that sub-threshold conditions simultaneously remove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t xml:space="preserve">7.4 Falsifiable predictions and priority empirical work</w:t>
      </w:r>
    </w:p>
    <w:p>
      <w:pPr>
        <w:pStyle w:val="FirstParagraph"/>
      </w:pPr>
      <w:r>
        <w:t xml:space="preserve">We separate predictions into those that carry independent inferential weight against the framework and those that carry only consistency weight conditional on inputs we have not derived.</w:t>
      </w:r>
    </w:p>
    <w:p>
      <w:pPr>
        <w:pStyle w:val="BodyText"/>
      </w:pPr>
      <w:r>
        <w:rPr>
          <w:b/>
          <w:bCs/>
        </w:rPr>
        <w:t xml:space="preserve">Independent results that would falsify the framework if reversed:</w:t>
      </w:r>
    </w:p>
    <w:p>
      <w:pPr>
        <w:numPr>
          <w:ilvl w:val="0"/>
          <w:numId w:val="1002"/>
        </w:numPr>
      </w:pPr>
      <w:r>
        <w:rPr>
          <w:i/>
          <w:iCs/>
        </w:rPr>
        <w:t xml:space="preserve">Binary interior-vs-coastal screening.</w:t>
      </w:r>
      <w:r>
        <w:t xml:space="preserve"> </w:t>
      </w:r>
      <w:r>
        <w:t xml:space="preserve">If a coastal Pearl-River-type site produced a high-</w:t>
      </w:r>
      <m:oMath>
        <m:r>
          <m:t>ε</m:t>
        </m:r>
      </m:oMath>
      <w:r>
        <w:t xml:space="preserve"> </w:t>
      </w:r>
      <w:r>
        <w:t xml:space="preserve">score and a high observed monument scale, the screening-claim half of the framework would be falsified. The observed pattern (Table 2) is consistent.</w:t>
      </w:r>
    </w:p>
    <w:p>
      <w:pPr>
        <w:numPr>
          <w:ilvl w:val="0"/>
          <w:numId w:val="1002"/>
        </w:numPr>
      </w:pPr>
      <w:r>
        <w:rPr>
          <w:i/>
          <w:iCs/>
        </w:rPr>
        <w:t xml:space="preserve">Paleoclimate-threshold proximity.</w:t>
      </w:r>
      <w:r>
        <w:t xml:space="preserve"> </w:t>
      </w:r>
      <w:r>
        <w:t xml:space="preserve">If a more rigorous paleo-discharge-resolved</w:t>
      </w:r>
      <w:r>
        <w:t xml:space="preserve"> </w:t>
      </w:r>
      <m:oMath>
        <m:r>
          <m:t>ε</m:t>
        </m:r>
      </m:oMath>
      <w:r>
        <w:t xml:space="preserve"> </w:t>
      </w:r>
      <w:r>
        <w:t xml:space="preserve">produced a posterior probability of above-threshold operation below 0.20, the structural-conditions claim would be substantially weakened. The current posterior is</w:t>
      </w:r>
      <w:r>
        <w:t xml:space="preserve"> </w:t>
      </w:r>
      <m:oMath>
        <m:r>
          <m:t>P</m:t>
        </m:r>
        <m:r>
          <m:rPr>
            <m:sty m:val="p"/>
          </m:rPr>
          <m:t>=</m:t>
        </m:r>
        <m:r>
          <m:t>0.36</m:t>
        </m:r>
      </m:oMath>
      <w:r>
        <w:t xml:space="preserve">-</w:t>
      </w:r>
      <m:oMath>
        <m:r>
          <m:t>0.56</m:t>
        </m:r>
      </m:oMath>
      <w:r>
        <w:t xml:space="preserve"> </w:t>
      </w:r>
      <w:r>
        <w:t xml:space="preserve">across plausible priors; a tighter test is identified below.</w:t>
      </w:r>
    </w:p>
    <w:p>
      <w:pPr>
        <w:numPr>
          <w:ilvl w:val="0"/>
          <w:numId w:val="1002"/>
        </w:numPr>
      </w:pPr>
      <w:r>
        <w:rPr>
          <w:i/>
          <w:iCs/>
        </w:rPr>
        <w:t xml:space="preserve">Distance-decay rank correlation.</w:t>
      </w:r>
      <w:r>
        <w:t xml:space="preserve"> </w:t>
      </w:r>
      <w:r>
        <w:t xml:space="preserve">If a recovery-corrected reanalysis of the Webb (1982) inventories produced</w:t>
      </w:r>
      <w:r>
        <w:t xml:space="preserve"> </w:t>
      </w:r>
      <m:oMath>
        <m:r>
          <m:t>ρ</m:t>
        </m:r>
        <m:r>
          <m:rPr>
            <m:sty m:val="p"/>
          </m:rPr>
          <m:t>&lt;</m:t>
        </m:r>
        <m:r>
          <m:t>0.5</m:t>
        </m:r>
      </m:oMath>
      <w:r>
        <w:t xml:space="preserve"> </w:t>
      </w:r>
      <w:r>
        <w:t xml:space="preserve">across the four exotic materials, the long-distance-acquisition claim would be undermined. The current value is</w:t>
      </w:r>
      <w:r>
        <w:t xml:space="preserve"> </w:t>
      </w:r>
      <m:oMath>
        <m:r>
          <m:t>ρ</m:t>
        </m:r>
        <m:r>
          <m:rPr>
            <m:sty m:val="p"/>
          </m:rPr>
          <m:t>=</m:t>
        </m:r>
        <m:r>
          <m:t>0.95</m:t>
        </m:r>
      </m:oMath>
      <w:r>
        <w:t xml:space="preserve">.</w:t>
      </w:r>
    </w:p>
    <w:p>
      <w:pPr>
        <w:numPr>
          <w:ilvl w:val="0"/>
          <w:numId w:val="1002"/>
        </w:numPr>
      </w:pPr>
      <w:r>
        <w:rPr>
          <w:i/>
          <w:iCs/>
        </w:rPr>
        <w:t xml:space="preserve">Threshold-vs-displacement collapse.</w:t>
      </w:r>
      <w:r>
        <w:t xml:space="preserve"> </w:t>
      </w:r>
      <w:r>
        <w:t xml:space="preserve">If high-resolution Bayesian dating of terminal-occupation deposits showed exotic-network attrition</w:t>
      </w:r>
      <w:r>
        <w:t xml:space="preserve"> </w:t>
      </w:r>
      <w:r>
        <w:rPr>
          <w:i/>
          <w:iCs/>
        </w:rPr>
        <w:t xml:space="preserve">after</w:t>
      </w:r>
      <w:r>
        <w:t xml:space="preserve"> </w:t>
      </w:r>
      <w:r>
        <w:t xml:space="preserve">monument abandonment, the threshold mechanism would be falsified. The data needed to perform this test does not currently exist at the resolution required. This might be difficult to evaluate, however, simply because curated materials from PP could be a possible source.</w:t>
      </w:r>
    </w:p>
    <w:p>
      <w:pPr>
        <w:numPr>
          <w:ilvl w:val="0"/>
          <w:numId w:val="1002"/>
        </w:numPr>
      </w:pPr>
      <w:r>
        <w:rPr>
          <w:i/>
          <w:iCs/>
        </w:rPr>
        <w:t xml:space="preserve">Out-of-sample placement.</w:t>
      </w:r>
      <w:r>
        <w:t xml:space="preserve"> </w:t>
      </w:r>
      <w:r>
        <w:t xml:space="preserve">An out-of-sample test of additional earthwork locations, where</w:t>
      </w:r>
      <w:r>
        <w:t xml:space="preserve"> </w:t>
      </w:r>
      <m:oMath>
        <m:r>
          <m:t>ε</m:t>
        </m:r>
      </m:oMath>
      <w:r>
        <w:t xml:space="preserve"> </w:t>
      </w:r>
      <w:r>
        <w:t xml:space="preserve">and</w:t>
      </w:r>
      <w:r>
        <w:t xml:space="preserve"> </w:t>
      </w:r>
      <m:oMath>
        <m:sSub>
          <m:e>
            <m:r>
              <m:t>n</m:t>
            </m:r>
          </m:e>
          <m:sub>
            <m:r>
              <m:t>a</m:t>
            </m:r>
            <m:r>
              <m:t>g</m:t>
            </m:r>
            <m:r>
              <m:t>g</m:t>
            </m:r>
          </m:sub>
        </m:sSub>
      </m:oMath>
      <w:r>
        <w:t xml:space="preserve"> </w:t>
      </w:r>
      <w:r>
        <w:t xml:space="preserve">are derived independently, and the joint prediction fails to bracket the observed monument scale, would carry strong independent weight against the framework. This test is not currently performed.</w:t>
      </w:r>
    </w:p>
    <w:p>
      <w:pPr>
        <w:numPr>
          <w:ilvl w:val="0"/>
          <w:numId w:val="1002"/>
        </w:numPr>
      </w:pPr>
      <w:r>
        <w:rPr>
          <w:i/>
          <w:iCs/>
        </w:rPr>
        <w:t xml:space="preserve">Concentration-ratio asymmetry.</w:t>
      </w:r>
      <w:r>
        <w:t xml:space="preserve"> </w:t>
      </w:r>
      <w:r>
        <w:t xml:space="preserve">The model predicts a high concentration ratio at the gathering hub, with low-magnitude personal-effects leakage to visitor-band home territories, rather than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effectively one-directional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in which the asymmetry is examined specifically at sites whose participation as visitor bands is independently established (e.g., through the convergence-model chronological framework of Grooms et al. 2023), would tighten the test from coarse concentration-ratio asymmetry to fine-grained per-site asymmetry patterning.</w:t>
      </w:r>
    </w:p>
    <w:p>
      <w:pPr>
        <w:numPr>
          <w:ilvl w:val="0"/>
          <w:numId w:val="1002"/>
        </w:numPr>
      </w:pPr>
      <w:r>
        <w:rPr>
          <w:i/>
          <w:iCs/>
        </w:rPr>
        <w:t xml:space="preserve">Phenology test.</w:t>
      </w:r>
      <w:r>
        <w:t xml:space="preserve"> </w:t>
      </w:r>
      <w:r>
        <w:t xml:space="preserve">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fish-spawn and summer aquatic months in addition to fall-winter mast) cannot be tested against existing PP faunal material because the relevant bone has not survived. The falsifiable test requires non-faunal seasonality proxies recoverable from the monumental core: macrobotanical assemblages from new excavations, phytolith and pollen records from contexts that preserve those signatures, stable-isotope sequencing of preserved tooth or shell where present, ZooMS analyses of proteins for small unidentifiable faunal fragments, and microbotanical residues. An exclusively fall-winter signal across multiple such proxies would be at odds with the framework’s predicted multi-peak aggregation; a multi-peak signal across mast, fish-spawning, and summer aquatic months would be consistent with it.</w:t>
      </w:r>
    </w:p>
    <w:p>
      <w:pPr>
        <w:numPr>
          <w:ilvl w:val="0"/>
          <w:numId w:val="1002"/>
        </w:numPr>
      </w:pPr>
      <w:r>
        <w:rPr>
          <w:i/>
          <w:iCs/>
        </w:rPr>
        <w:t xml:space="preserve">Construction event density at PP versus WB.</w:t>
      </w:r>
      <w:r>
        <w:t xml:space="preserve"> </w:t>
      </w:r>
      <w: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because each burst restarts close to zero after the previous one has decayed.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between bursts.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t xml:space="preserve">, in the direction the framework predicts. A labor-resolved chronology of either site (for example, high-resolution Bayesian dating of stratigraphic events tied to per-event excavation volumes) that reversed this contrast or reduced it below an order of magnitude would substantially weaken the signal-half-life mechanism. A sharper version of the test would extend the event-density comparison to additional LMV sites and use a site-specific estimate of the decay rate</w:t>
      </w:r>
      <w:r>
        <w:t xml:space="preserve"> </w:t>
      </w:r>
      <m:oMath>
        <m:r>
          <m:t>δ</m:t>
        </m:r>
      </m:oMath>
      <w:r>
        <w:t xml:space="preserve"> </w:t>
      </w:r>
      <w:r>
        <w:t xml:space="preserve">from earthwork-weathering studies.</w:t>
      </w:r>
    </w:p>
    <w:p>
      <w:pPr>
        <w:pStyle w:val="FirstParagraph"/>
      </w:pPr>
      <w:r>
        <w:rPr>
          <w:b/>
          <w:bCs/>
        </w:rPr>
        <w:t xml:space="preserve">Results that carry only consistency weight conditional on inputs:</w:t>
      </w:r>
    </w:p>
    <w:p>
      <w:pPr>
        <w:numPr>
          <w:ilvl w:val="0"/>
          <w:numId w:val="1003"/>
        </w:numPr>
      </w:pPr>
      <w:r>
        <w:t xml:space="preserve">The cross-site magnitude correlation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is dominated by exogenous</w:t>
      </w:r>
      <w:r>
        <w:t xml:space="preserve"> </w:t>
      </w:r>
      <m:oMath>
        <m:sSub>
          <m:e>
            <m:r>
              <m:t>n</m:t>
            </m:r>
          </m:e>
          <m:sub>
            <m:r>
              <m:t>a</m:t>
            </m:r>
            <m:r>
              <m:t>g</m:t>
            </m:r>
            <m:r>
              <m:t>g</m:t>
            </m:r>
          </m:sub>
        </m:sSub>
      </m:oMath>
      <w:r>
        <w:t xml:space="preserve"> </w:t>
      </w:r>
      <w:r>
        <w:t xml:space="preserve">factors from convergence-model literature; the framework’s</w:t>
      </w:r>
      <w:r>
        <w:t xml:space="preserve"> </w:t>
      </w:r>
      <m:oMath>
        <m:r>
          <m:t>ε</m:t>
        </m:r>
      </m:oMath>
      <w:r>
        <w:t xml:space="preserve"> </w:t>
      </w:r>
      <w:r>
        <w:t xml:space="preserve">contributes</w:t>
      </w:r>
      <w:r>
        <w:t xml:space="preserve"> </w:t>
      </w:r>
      <m:oMath>
        <m:r>
          <m:rPr>
            <m:sty m:val="p"/>
          </m:rPr>
          <m:t>≤</m:t>
        </m:r>
        <m:r>
          <m:rPr>
            <m:sty m:val="p"/>
          </m:rPr>
          <m:t>+</m:t>
        </m:r>
        <m:r>
          <m:t>0.014</m:t>
        </m:r>
      </m:oMath>
      <w:r>
        <w:t xml:space="preserve"> </w:t>
      </w:r>
      <w:r>
        <w:t xml:space="preserve">marginal correlation. A reviewer skeptical of the</w:t>
      </w:r>
      <w:r>
        <w:t xml:space="preserve"> </w:t>
      </w:r>
      <m:oMath>
        <m:sSub>
          <m:e>
            <m:r>
              <m:t>n</m:t>
            </m:r>
          </m:e>
          <m:sub>
            <m:r>
              <m:t>a</m:t>
            </m:r>
            <m:r>
              <m:t>g</m:t>
            </m:r>
            <m:r>
              <m:t>g</m:t>
            </m:r>
          </m:sub>
        </m:sSub>
      </m:oMath>
      <w:r>
        <w:t xml:space="preserve"> </w:t>
      </w:r>
      <w:r>
        <w:t xml:space="preserve">values would correctly object that the magnitude prediction is conditional on input data that the framework does not derive.</w:t>
      </w:r>
    </w:p>
    <w:p>
      <w:pPr>
        <w:numPr>
          <w:ilvl w:val="0"/>
          <w:numId w:val="1003"/>
        </w:numPr>
      </w:pPr>
      <w:r>
        <w:t xml:space="preserve">The Watson Brake closure (§6.3), under the refined LiDAR-derived per-mound volume of 27,065 m³ (§5.1), now rests primarily on the per-event labor-scaling extension at</w:t>
      </w:r>
      <w:r>
        <w:t xml:space="preserve"> </w:t>
      </w:r>
      <m:oMath>
        <m:r>
          <m:t>α</m:t>
        </m:r>
        <m:r>
          <m:rPr>
            <m:sty m:val="p"/>
          </m:rPr>
          <m:t>=</m:t>
        </m:r>
        <m:r>
          <m:t>2</m:t>
        </m:r>
      </m:oMath>
      <w:r>
        <w:t xml:space="preserve">, which gives a predicted WB volume of ~25,000 m³ that matches the LiDAR observation within ~7% (ratio 0.93×) without further parameter tuning. The regime-switching</w:t>
      </w:r>
      <w:r>
        <w:t xml:space="preserve"> </w:t>
      </w:r>
      <m:oMath>
        <m:r>
          <m:t>K</m:t>
        </m:r>
      </m:oMath>
      <w:r>
        <w:t xml:space="preserve"> </w:t>
      </w:r>
      <w:r>
        <w:t xml:space="preserve">parameter is no longer required to close the gap; regime switching now plays the substantive role of accounting for episodic construction tempo rather than total volume. The remaining post-hoc element is</w:t>
      </w:r>
      <w:r>
        <w:t xml:space="preserve"> </w:t>
      </w:r>
      <m:oMath>
        <m:r>
          <m:t>α</m:t>
        </m:r>
        <m:r>
          <m:rPr>
            <m:sty m:val="p"/>
          </m:rPr>
          <m:t>=</m:t>
        </m:r>
        <m:r>
          <m:t>2.0</m:t>
        </m:r>
      </m:oMath>
      <w:r>
        <w:t xml:space="preserve"> </w:t>
      </w:r>
      <w:r>
        <w:t xml:space="preserve">itself, which exceeds the additive-labor baseline (</w:t>
      </w:r>
      <m:oMath>
        <m:r>
          <m:t>α</m:t>
        </m:r>
        <m:r>
          <m:rPr>
            <m:sty m:val="p"/>
          </m:rPr>
          <m:t>=</m:t>
        </m:r>
        <m:r>
          <m:t>1</m:t>
        </m:r>
      </m:oMath>
      <w:r>
        <w:t xml:space="preserve">) of Erasmus (1965) and is calibrated to minimize log-overprediction across the eleven-site sample rather than derived from independent ethnographic data. Restricting to</w:t>
      </w:r>
      <w:r>
        <w:t xml:space="preserve"> </w:t>
      </w:r>
      <m:oMath>
        <m:r>
          <m:t>α</m:t>
        </m:r>
        <m:r>
          <m:rPr>
            <m:sty m:val="p"/>
          </m:rPr>
          <m:t>=</m:t>
        </m:r>
        <m:r>
          <m:t>1</m:t>
        </m:r>
      </m:oMath>
      <w:r>
        <w:t xml:space="preserve"> </w:t>
      </w:r>
      <w:r>
        <w:t xml:space="preserve">produces a WB prediction of ~3,500 m³, well below the LiDAR-derived 27,065 m³; the closure is therefore conditional on superadditive labor scaling at the WB-vs-PP crew-size contrast.</w:t>
      </w:r>
    </w:p>
    <w:p>
      <w:pPr>
        <w:pStyle w:val="FirstParagraph"/>
      </w:pPr>
      <w:r>
        <w:t xml:space="preserve">We can partially derive</w:t>
      </w:r>
      <w:r>
        <w:t xml:space="preserve"> </w:t>
      </w:r>
      <m:oMath>
        <m:r>
          <m:t>α</m:t>
        </m:r>
      </m:oMath>
      <w:r>
        <w:t xml:space="preserve"> </w:t>
      </w:r>
      <w: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t xml:space="preserve"> </w:t>
      </w:r>
      <m:oMath>
        <m:r>
          <m:t>α</m:t>
        </m:r>
        <m:r>
          <m:rPr>
            <m:sty m:val="p"/>
          </m:rPr>
          <m:t>≈</m:t>
        </m:r>
        <m:r>
          <m:t>1</m:t>
        </m:r>
      </m:oMath>
      <w:r>
        <w:t xml:space="preserve"> </w:t>
      </w:r>
      <w:r>
        <w:t xml:space="preserve">(linear scaling in crew size). The</w:t>
      </w:r>
      <w:r>
        <w:t xml:space="preserve"> </w:t>
      </w:r>
      <m:oMath>
        <m:r>
          <m:t>α</m:t>
        </m:r>
        <m:r>
          <m:rPr>
            <m:sty m:val="p"/>
          </m:rPr>
          <m:t>=</m:t>
        </m:r>
        <m:r>
          <m:t>2</m:t>
        </m:r>
      </m:oMath>
      <w:r>
        <w:t xml:space="preserve"> </w:t>
      </w:r>
      <w:r>
        <w:t xml:space="preserve">used in §6.3 instead requires superadditive scaling, meaning larger crews achieve more m³ per person than smaller crews through specialization or coordination economies. The Late Archaic literature does not establish whether such economies operated at the crew sizes relevant for Watson Brake versus Poverty Point, so the §6.3 closure should be read as consistent only under a fitted</w:t>
      </w:r>
      <w:r>
        <w:t xml:space="preserve"> </w:t>
      </w:r>
      <m:oMath>
        <m:r>
          <m:t>α</m:t>
        </m:r>
        <m:r>
          <m:rPr>
            <m:sty m:val="p"/>
          </m:rPr>
          <m:t>=</m:t>
        </m:r>
        <m:r>
          <m:t>2</m:t>
        </m:r>
      </m:oMath>
      <w:r>
        <w:t xml:space="preserve"> </w:t>
      </w:r>
      <w: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t xml:space="preserve"> </w:t>
      </w:r>
      <m:oMath>
        <m:r>
          <m:t>α</m:t>
        </m:r>
        <m:r>
          <m:rPr>
            <m:sty m:val="p"/>
          </m:rPr>
          <m:t>=</m:t>
        </m:r>
        <m:r>
          <m:t>1</m:t>
        </m:r>
      </m:oMath>
      <w:r>
        <w:t xml:space="preserve">, which would leave the framework underpredicting the 27,065 m³ by approximately 7.7-fold rather than the post-hoc-fitted 0.93-fold (near-exact match) achieved at</w:t>
      </w:r>
      <w:r>
        <w:t xml:space="preserve"> </w:t>
      </w:r>
      <m:oMath>
        <m:r>
          <m:t>α</m:t>
        </m:r>
        <m:r>
          <m:rPr>
            <m:sty m:val="p"/>
          </m:rPr>
          <m:t>=</m:t>
        </m:r>
        <m:r>
          <m:t>2</m:t>
        </m:r>
      </m:oMath>
      <w:r>
        <w:t xml:space="preserve">.</w:t>
      </w:r>
    </w:p>
    <w:p>
      <w:pPr>
        <w:pStyle w:val="Compact"/>
        <w:numPr>
          <w:ilvl w:val="0"/>
          <w:numId w:val="1004"/>
        </w:numPr>
      </w:pPr>
      <w: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t xml:space="preserve">We highlight these limits to provide readers with a clear accounting of the framework’s empirical commitments. The framework predicts the necessity of threshold crossing (the tests a, b, c, and d above test this). It does not predict cross-site monument-volume magnitude independently of</w:t>
      </w:r>
      <w:r>
        <w:t xml:space="preserve"> </w:t>
      </w:r>
      <m:oMath>
        <m:sSub>
          <m:e>
            <m:r>
              <m:t>n</m:t>
            </m:r>
          </m:e>
          <m:sub>
            <m:r>
              <m:t>a</m:t>
            </m:r>
            <m:r>
              <m:t>g</m:t>
            </m:r>
            <m:r>
              <m:t>g</m:t>
            </m:r>
          </m:sub>
        </m:sSub>
      </m:oMath>
      <w:r>
        <w:t xml:space="preserve">.</w:t>
      </w:r>
    </w:p>
    <w:p>
      <w:pPr>
        <w:pStyle w:val="BodyText"/>
      </w:pPr>
      <w: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t xml:space="preserve">Existing data support the calibration, distance-decay, paleoclimate, chronology, and Watson Brake consistency demonstrations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independently-derived cooking-needs baseline that the LMV literature has not yet developed.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t xml:space="preserve"> </w:t>
      </w:r>
      <m:oMath>
        <m:sSub>
          <m:e>
            <m:r>
              <m:t>n</m:t>
            </m:r>
          </m:e>
          <m:sub>
            <m:r>
              <m:t>a</m:t>
            </m:r>
            <m:r>
              <m:t>g</m:t>
            </m:r>
            <m:r>
              <m:t>g</m:t>
            </m:r>
          </m:sub>
        </m:sSub>
      </m:oMath>
      <w:r>
        <w:t xml:space="preserve"> </w:t>
      </w:r>
      <w:r>
        <w:t xml:space="preserve">rather than treat it as exogenous. We have implemented a minimal version (band-allocation among 11 candidate LMV sites with canoe-day travel costs) for verification purposes; the full version remains future work. A within-month time-step model with species-resolved subsistence dynamics and a non-LMV-derived phenology calendar would test the framework’s seasonality prediction non-circularly. A paleo-discharge-resolved operationalization of</w:t>
      </w:r>
      <w:r>
        <w:t xml:space="preserve"> </w:t>
      </w:r>
      <m:oMath>
        <m:r>
          <m:t>ε</m:t>
        </m:r>
      </m:oMath>
      <w:r>
        <w:t xml:space="preserve"> </w:t>
      </w:r>
      <w:r>
        <w:t xml:space="preserve">using sediment-yield reconstructions or paleo-flood-frequency proxies per drainage at the focal-site scale would replace the modern hydrograph-as-proxy treatment used in our preliminary regional analysis.</w:t>
      </w:r>
    </w:p>
    <w:p>
      <w:pPr>
        <w:pStyle w:val="BodyText"/>
      </w:pPr>
      <w: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t xml:space="preserve">7.5 Implications for hunter-gatherer archaeology more broadly</w:t>
      </w:r>
    </w:p>
    <w:p>
      <w:pPr>
        <w:pStyle w:val="FirstParagraph"/>
      </w:pPr>
      <w: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the absence of capacity for cooperation or symbolic life.</w:t>
      </w:r>
    </w:p>
    <w:p>
      <w:pPr>
        <w:pStyle w:val="BodyText"/>
      </w:pPr>
      <w:r>
        <w:t xml:space="preserve">The framework’s predictions for adjacent eastern Archaic monumental traditions are worth naming concretely to identify where it should and should not place sites above the threshold. None of these is a tested prediction. Instead, all are conditional placements that we report so the framework’s operational specificity is visible to the reader, with the explicit caveat that we have not applied the static rubric or the convergence-model</w:t>
      </w:r>
      <w:r>
        <w:t xml:space="preserve"> </w:t>
      </w:r>
      <m:oMath>
        <m:sSub>
          <m:e>
            <m:r>
              <m:t>n</m:t>
            </m:r>
          </m:e>
          <m:sub>
            <m:r>
              <m:t>a</m:t>
            </m:r>
            <m:r>
              <m:t>g</m:t>
            </m:r>
            <m:r>
              <m:t>g</m:t>
            </m:r>
          </m:sub>
        </m:sSub>
      </m:oMath>
      <w:r>
        <w:t xml:space="preserve"> </w:t>
      </w:r>
      <w:r>
        <w:t xml:space="preserve">to any of them, and that the comparisons remain to be done.</w:t>
      </w:r>
      <w:r>
        <w:t xml:space="preserve"> </w:t>
      </w:r>
      <w:r>
        <w:rPr>
          <w:i/>
          <w:iCs/>
        </w:rPr>
        <w:t xml:space="preserve">Stallings Island and the Savannah River shell-ring tradition</w:t>
      </w:r>
      <w:r>
        <w:t xml:space="preserve"> </w:t>
      </w:r>
      <w:r>
        <w:t xml:space="preserve">(4500-3500 cal BP; Sassaman 2006): the framework would place these in a moderately high-</w:t>
      </w:r>
      <m:oMath>
        <m:r>
          <m:t>ε</m:t>
        </m:r>
      </m:oMath>
      <w:r>
        <w:t xml:space="preserve"> </w:t>
      </w:r>
      <w:r>
        <w:t xml:space="preserve">band (estuarine multi-zone access but no inland-drainage confluence comparable to PP), and would predict above-threshold operation at a smaller magnitude than PP.</w:t>
      </w:r>
      <w:r>
        <w:t xml:space="preserve"> </w:t>
      </w:r>
      <w:r>
        <w:rPr>
          <w:i/>
          <w:iCs/>
        </w:rPr>
        <w:t xml:space="preserve">Green River shell mound complex</w:t>
      </w:r>
      <w:r>
        <w:t xml:space="preserve"> </w:t>
      </w:r>
      <w:r>
        <w:t xml:space="preserve">in Kentucky (5800-4000 cal BP; Marquardt and Watson 2005): integration of river, terrace, oak-hickory upland, and bottomland zones places it in a high-</w:t>
      </w:r>
      <m:oMath>
        <m:r>
          <m:t>ε</m:t>
        </m:r>
      </m:oMath>
      <w:r>
        <w:t xml:space="preserve"> </w:t>
      </w:r>
      <w:r>
        <w:t xml:space="preserve">band similar to interior LMV sites, with above-threshold operation predicted.</w:t>
      </w:r>
      <w:r>
        <w:t xml:space="preserve"> </w:t>
      </w:r>
      <w:r>
        <w:rPr>
          <w:i/>
          <w:iCs/>
        </w:rPr>
        <w:t xml:space="preserve">Mulberry Creek and adjacent Tennessee Valley shell mounds</w:t>
      </w:r>
      <w:r>
        <w:t xml:space="preserve"> </w:t>
      </w:r>
      <w:r>
        <w:t xml:space="preserve">(4500-3500 cal BP; Webb 1939; Sassaman 2010): Tennessee River aquatic, upland, and mast zone integration predicts above-threshold operation at intermediate scale.</w:t>
      </w:r>
      <w:r>
        <w:t xml:space="preserve"> </w:t>
      </w:r>
      <w:r>
        <w:rPr>
          <w:i/>
          <w:iCs/>
        </w:rPr>
        <w:t xml:space="preserve">Poverty Point-period sites in southwest Alabama and east Mississippi</w:t>
      </w:r>
      <w:r>
        <w:t xml:space="preserve"> </w:t>
      </w:r>
      <w:r>
        <w:t xml:space="preserve">(Yazoo Basin and Tombigbee corridor): near-LMV cases that the framework would predict to fall in the same high-</w:t>
      </w:r>
      <m:oMath>
        <m:r>
          <m:t>ε</m:t>
        </m:r>
      </m:oMath>
      <w:r>
        <w:t xml:space="preserve"> </w:t>
      </w:r>
      <w:r>
        <w:t xml:space="preserve">band as the Table 2 interior sites, with magnitude differences set by attained</w:t>
      </w:r>
      <w:r>
        <w:t xml:space="preserve"> </w:t>
      </w:r>
      <m:oMath>
        <m:sSub>
          <m:e>
            <m:r>
              <m:t>n</m:t>
            </m:r>
          </m:e>
          <m:sub>
            <m:r>
              <m:t>a</m:t>
            </m:r>
            <m:r>
              <m:t>g</m:t>
            </m:r>
            <m:r>
              <m:t>g</m:t>
            </m:r>
          </m:sub>
        </m:sSub>
      </m:oMath>
      <w:r>
        <w:t xml:space="preserve">. The framework would</w:t>
      </w:r>
      <w:r>
        <w:t xml:space="preserve"> </w:t>
      </w:r>
      <w:r>
        <w:rPr>
          <w:i/>
          <w:iCs/>
        </w:rPr>
        <w:t xml:space="preserve">not</w:t>
      </w:r>
      <w:r>
        <w:t xml:space="preserve"> </w:t>
      </w:r>
      <w:r>
        <w:t xml:space="preserve">place most Western Eastern Woodlands hunter-gatherer settings of comparable date above threshold, where prairie dominance reduces zone count and ecotone integration. Whether each of these placements matches the documented record (shell-ring scale at Stallings, mound-and-midden investment at Green River, shell-mound investment at Mulberry Creek, absence of monumental architecture in the western prairie) requires applying the rubric and the convergence-model</w:t>
      </w:r>
      <w:r>
        <w:t xml:space="preserve"> </w:t>
      </w:r>
      <m:oMath>
        <m:sSub>
          <m:e>
            <m:r>
              <m:t>n</m:t>
            </m:r>
          </m:e>
          <m:sub>
            <m:r>
              <m:t>a</m:t>
            </m:r>
            <m:r>
              <m:t>g</m:t>
            </m:r>
            <m:r>
              <m:t>g</m:t>
            </m:r>
          </m:sub>
        </m:sSub>
      </m:oMath>
      <w:r>
        <w:t xml:space="preserve"> </w:t>
      </w:r>
      <w:r>
        <w:t xml:space="preserve">at each site, which we have not done here. We call these falsifiable predictions rather than confirmations.</w:t>
      </w:r>
    </w:p>
    <w:p>
      <w:pPr>
        <w:pStyle w:val="BodyText"/>
      </w:pPr>
      <w:r>
        <w:t xml:space="preserve">None of these is a tested prediction;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t xml:space="preserve">8. Conclusions</w:t>
      </w:r>
    </w:p>
    <w:p>
      <w:pPr>
        <w:pStyle w:val="FirstParagraph"/>
      </w:pPr>
      <w: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t xml:space="preserve">We evaluate the framework against the LMV record through eight separate tests, with the full accounting in §7.4. The summary:</w:t>
      </w:r>
    </w:p>
    <w:p>
      <w:pPr>
        <w:pStyle w:val="BodyText"/>
      </w:pPr>
      <w:r>
        <w:t xml:space="preserve">Three evaluations carry independent weight, each with a specific bound. The interior-vs-coastal screening (§6.4) distinguishes the high-</w:t>
      </w:r>
      <m:oMath>
        <m:r>
          <m:t>ε</m:t>
        </m:r>
      </m:oMath>
      <w:r>
        <w:t xml:space="preserve"> </w:t>
      </w:r>
      <w:r>
        <w:t xml:space="preserve">interior monument-building sites from the low-</w:t>
      </w:r>
      <m:oMath>
        <m:r>
          <m:t>ε</m:t>
        </m:r>
      </m:oMath>
      <w:r>
        <w:t xml:space="preserve"> </w:t>
      </w:r>
      <w:r>
        <w:t xml:space="preserve">Pearl River coastal pair (Claiborne and Cedarland). The sample is drawn from the known LMV monument-builder inventory (plus the coastal shell/earth-midden pair as the natural negative case), so the test is a necessity-condition check on ecotone access at sites that did become monumental, not a sufficiency-condition check across the LMV as a whole. The screening discrimination of interior monument-builders versus the coastal pair holds robustly under Monte Carlo perturbation of the rubric weights (§S13). The paleoclimate threshold-proximity test (§6.2), conditioned on the calibrated parameter set that defines</w:t>
      </w:r>
      <w:r>
        <w:t xml:space="preserve"> </w:t>
      </w:r>
      <m:oMath>
        <m:sSup>
          <m:e>
            <m:r>
              <m:t>σ</m:t>
            </m:r>
          </m:e>
          <m:sup>
            <m:r>
              <m:rPr>
                <m:sty m:val="p"/>
              </m:rPr>
              <m:t>*</m:t>
            </m:r>
          </m:sup>
        </m:sSup>
      </m:oMath>
      <w:r>
        <w:t xml:space="preserve">, lands at posterior probability</w:t>
      </w:r>
      <w:r>
        <w:t xml:space="preserve"> </w:t>
      </w:r>
      <m:oMath>
        <m:r>
          <m:t>P</m:t>
        </m:r>
        <m:r>
          <m:rPr>
            <m:sty m:val="p"/>
          </m:rPr>
          <m:t>=</m:t>
        </m:r>
        <m:r>
          <m:t>0.36</m:t>
        </m:r>
      </m:oMath>
      <w:r>
        <w:t xml:space="preserve">-</w:t>
      </w:r>
      <m:oMath>
        <m:r>
          <m:t>0.56</m:t>
        </m:r>
      </m:oMath>
      <w:r>
        <w:t xml:space="preserve"> </w:t>
      </w:r>
      <w:r>
        <w:t xml:space="preserve">across plausible</w:t>
      </w:r>
      <w:r>
        <w:t xml:space="preserve"> </w:t>
      </w:r>
      <m:oMath>
        <m:r>
          <m:t>ε</m:t>
        </m:r>
      </m:oMath>
      <w:r>
        <w:t xml:space="preserve"> </w:t>
      </w:r>
      <w:r>
        <w:t xml:space="preserve">priors. The width of this range reflects uncertainty in both the paleoclimate inputs and the model parameters rather than a failed prediction; Poverty Point sits near the threshold under defensible parameter choices, but the test does not by itself confirm or refute above-threshold operation. The distance-decay rank correlation (§6.1) yields</w:t>
      </w:r>
      <w:r>
        <w:t xml:space="preserve"> </w:t>
      </w:r>
      <m:oMath>
        <m:r>
          <m:t>ρ</m:t>
        </m:r>
        <m:r>
          <m:rPr>
            <m:sty m:val="p"/>
          </m:rPr>
          <m:t>=</m:t>
        </m:r>
        <m:r>
          <m:t>0.95</m:t>
        </m:r>
      </m:oMath>
      <w:r>
        <w:t xml:space="preserve"> </w:t>
      </w:r>
      <w:r>
        <w:t xml:space="preserve">across four materials, but it is acknowledged that it does not distinguish the signaling-mediated acquisition mechanism from a generic transport-cost or down-the-line exchange model that would produce the same ordering.</w:t>
      </w:r>
    </w:p>
    <w:p>
      <w:pPr>
        <w:pStyle w:val="BodyText"/>
      </w:pPr>
      <w:r>
        <w:t xml:space="preserve">The remaining five evaluations are consistency demonstrations. The volume calibration (§6.1) is, by definition, fit to the PP target. The exotic-goods totals (§6.1) require unit conversions and recovery-loss corrections to match the archaeological record. The Watson Brake closure (§6.3) requires per-event labor-scaling and regime-switching parameters chosen to bracket the WB observation; we describe the result as consistent with observed scale rather than as a passed test. The cross-site magnitude correlation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the partial-correlation decomposition shows this is dominated by exogenous</w:t>
      </w:r>
      <w:r>
        <w:t xml:space="preserve"> </w:t>
      </w:r>
      <m:oMath>
        <m:sSub>
          <m:e>
            <m:r>
              <m:t>n</m:t>
            </m:r>
          </m:e>
          <m:sub>
            <m:r>
              <m:t>a</m:t>
            </m:r>
            <m:r>
              <m:t>g</m:t>
            </m:r>
            <m:r>
              <m:t>g</m:t>
            </m:r>
          </m:sub>
        </m:sSub>
      </m:oMath>
      <w:r>
        <w:t xml:space="preserve"> </w:t>
      </w:r>
      <w:r>
        <w:t xml:space="preserve">from the convergence-model literature, with</w:t>
      </w:r>
      <w:r>
        <w:t xml:space="preserve"> </w:t>
      </w:r>
      <m:oMath>
        <m:r>
          <m:t>ε</m:t>
        </m:r>
      </m:oMath>
      <w:r>
        <w:t xml:space="preserve"> </w:t>
      </w:r>
      <w:r>
        <w:t xml:space="preserve">contributing</w:t>
      </w:r>
      <w:r>
        <w:t xml:space="preserve"> </w:t>
      </w:r>
      <m:oMath>
        <m:r>
          <m:rPr>
            <m:sty m:val="p"/>
          </m:rPr>
          <m:t>≤</m:t>
        </m:r>
        <m:r>
          <m:rPr>
            <m:sty m:val="p"/>
          </m:rPr>
          <m:t>+</m:t>
        </m:r>
        <m:r>
          <m:t>0.014</m:t>
        </m:r>
      </m:oMath>
      <w:r>
        <w:t xml:space="preserve"> </w:t>
      </w:r>
      <w:r>
        <w:t xml:space="preserve">marginal correlation. The within-year aggregation-timing test (§6.7) is partly tautological because the phenology calendar comes from the same Webb (1982) and Jackson (1986) sources that inform the published seasonal interpretation. The construction-tempo evaluation (§6.8) is consistent with the framework but with the explicit caveat that contemporary geoarchaeology converges on the same pattern under different theoretical framings.</w:t>
      </w:r>
    </w:p>
    <w:p>
      <w:pPr>
        <w:pStyle w:val="BodyText"/>
      </w:pPr>
      <w:r>
        <w:t xml:space="preserve">The framework’s discriminating empirical claim is the asymmetric concentration-ratio signature of §6.1: the signaling reading predicts disproportionate material accumulation at the gathering hub, with only low-magnitude personal-effects leakage to visitor-band home territories. The existing LMV record supports this. Smith (1991) reports 95.7% of all steatite and 97% of all galena in the regional system at the type-site, with hinterland sites carrying small but nonzero quantities (Gibson and Griffing 1994; Mitch 2023), and Kidder and Grooms (2025:7) characterize the active-period flow as effectively one-directional. Generic down-the-line exchange predicts smooth distance-decay from each geological source with no single node dominating, which the Smith 1991 figures rule out. Risk-pooling read as social storage in the Halstead and O’Shea (1989) tradition predicts bidirectional flow at the hub, with exotics moving out (or converted to subsistence media) during shortfall years; the observed pattern is monotonic inflow during the active period rather than bidirectional storage-and-redistribution. Subsistence-level risk-pooling among hunter-gatherers operates primarily in archaeologically invisible media (food, dried provisions, labor, hospitality), so the exotic-flow signature is a secondary indicator of regional flow asymmetry rather than a direct test of risk-pooling itself. The signaling reading is therefore distinguished from these alternatives on the spatial-flow dimension. On the threshold-location dimension, the signal-conditional vs random-partner ablation (§4.3) returned no detectable shift (</w:t>
      </w:r>
      <m:oMath>
        <m:r>
          <m:rPr>
            <m:sty m:val="p"/>
          </m:rPr>
          <m:t>−</m:t>
        </m:r>
        <m:r>
          <m:t>2.4</m:t>
        </m:r>
        <m:r>
          <m:rPr>
            <m:sty m:val="p"/>
          </m:rPr>
          <m:t>%</m:t>
        </m:r>
      </m:oMath>
      <w:r>
        <w:t xml:space="preserve"> </w:t>
      </w:r>
      <w:r>
        <w:t xml:space="preserve">in realized</w:t>
      </w:r>
      <w:r>
        <w:t xml:space="preserve"> </w:t>
      </w:r>
      <m:oMath>
        <m:sSub>
          <m:e>
            <m:r>
              <m:t>σ</m:t>
            </m:r>
          </m:e>
          <m:sub>
            <m:r>
              <m:t>e</m:t>
            </m:r>
            <m:r>
              <m:t>f</m:t>
            </m:r>
            <m:r>
              <m:t>f</m:t>
            </m:r>
          </m:sub>
        </m:sSub>
      </m:oMath>
      <w:r>
        <w:t xml:space="preserve">, within replicate noise), so threshold location does not adjudicate between accounts that share the network-mediated buffering mechanism. The framework’s distinctive empirical content therefore lies in the spatial-flow signature rather than in the threshold location. The §7.4(f) sharpening study, controlled provenience analysis at sites whose visitor-band participation is independently established, would tighten the test from coarse asymmetry to fine-grained asymmetry patterning, but the discriminating result is already in the existing record.</w:t>
      </w:r>
    </w:p>
    <w:p>
      <w:pPr>
        <w:pStyle w:val="BodyText"/>
      </w:pPr>
      <w: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t xml:space="preserve">The framework’s eight independently weighted, falsifiable predictions (§7.4) and the heavier model extensions and data-collection priorities that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t xml:space="preserve">Acknowledgments</w:t>
      </w:r>
    </w:p>
    <w:p>
      <w:pPr>
        <w:pStyle w:val="FirstParagraph"/>
      </w:pPr>
      <w: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t xml:space="preserve">Data Availability</w:t>
      </w:r>
    </w:p>
    <w:p>
      <w:pPr>
        <w:pStyle w:val="FirstParagraph"/>
      </w:pPr>
      <w: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code release will be archived at Zenodo with a DOI prior to publication.</w:t>
      </w:r>
    </w:p>
    <w:bookmarkEnd w:id="90"/>
    <w:bookmarkStart w:id="91" w:name="references-cited"/>
    <w:p>
      <w:pPr>
        <w:pStyle w:val="Heading2"/>
      </w:pPr>
      <w:r>
        <w:t xml:space="preserve">References Cited</w:t>
      </w:r>
    </w:p>
    <w:p>
      <w:pPr>
        <w:pStyle w:val="FirstParagraph"/>
      </w:pPr>
      <w:r>
        <w:t xml:space="preserve">Baumgartel, Olivia C. 2024.</w:t>
      </w:r>
      <w:r>
        <w:t xml:space="preserve"> </w:t>
      </w:r>
      <w:r>
        <w:rPr>
          <w:i/>
          <w:iCs/>
        </w:rPr>
        <w:t xml:space="preserve">Creating a Chronology of Claiborne (22HA501): Revisiting and Revising Radiocarbon Assays of a Poverty Point Site</w:t>
      </w:r>
      <w:r>
        <w:t xml:space="preserve">. M.A. thesis, Department of Anthropology and Middle Eastern Cultures, Mississippi State University, Mississippi State, Mississippi.</w:t>
      </w:r>
    </w:p>
    <w:p>
      <w:pPr>
        <w:pStyle w:val="BodyText"/>
      </w:pPr>
      <w:r>
        <w:t xml:space="preserve">Bliege Bird, Rebecca, and Eric A. Smith. 2005. Signaling Theory, Strategic Interaction, and Symbolic Capital.</w:t>
      </w:r>
      <w:r>
        <w:t xml:space="preserve"> </w:t>
      </w:r>
      <w:r>
        <w:rPr>
          <w:i/>
          <w:iCs/>
        </w:rPr>
        <w:t xml:space="preserve">Current Anthropology</w:t>
      </w:r>
      <w:r>
        <w:t xml:space="preserve"> </w:t>
      </w:r>
      <w:r>
        <w:t xml:space="preserve">46:221-248.</w:t>
      </w:r>
    </w:p>
    <w:p>
      <w:pPr>
        <w:pStyle w:val="BodyText"/>
      </w:pPr>
      <w:r>
        <w:t xml:space="preserve">Blurton Jones, Nicholas G., Kristen Hawkes, and James F. O’Connell. 1997. Why Do Hadza Children Forage? In</w:t>
      </w:r>
      <w:r>
        <w:t xml:space="preserve"> </w:t>
      </w:r>
      <w:r>
        <w:rPr>
          <w:i/>
          <w:iCs/>
        </w:rPr>
        <w:t xml:space="preserve">Uniting Psychology and Biology: Integrative Perspectives on Human Development</w:t>
      </w:r>
      <w:r>
        <w:t xml:space="preserve">, edited by Nancy L. Segal, Glenn E. Weisfeld, and Carol C. Weisfeld, pp. 279-313. American Psychological Association, Washington, D.C.</w:t>
      </w:r>
    </w:p>
    <w:p>
      <w:pPr>
        <w:pStyle w:val="BodyText"/>
      </w:pPr>
      <w:r>
        <w:t xml:space="preserve">Brent, Richard P. 1973.</w:t>
      </w:r>
      <w:r>
        <w:t xml:space="preserve"> </w:t>
      </w:r>
      <w:r>
        <w:rPr>
          <w:i/>
          <w:iCs/>
        </w:rPr>
        <w:t xml:space="preserve">Algorithms for Minimization without Derivatives</w:t>
      </w:r>
      <w:r>
        <w:t xml:space="preserve">. Prentice-Hall, Englewood Cliffs, New Jersey.</w:t>
      </w:r>
    </w:p>
    <w:p>
      <w:pPr>
        <w:pStyle w:val="BodyText"/>
      </w:pPr>
      <w:r>
        <w:t xml:space="preserve">Brusse, Carl, Toby Handfield, and Kevin J. S. Zollman. 2022. Explaining Costly Religious Practices: Credibility Enhancing Displays and Signaling Theories.</w:t>
      </w:r>
      <w:r>
        <w:t xml:space="preserve"> </w:t>
      </w:r>
      <w:r>
        <w:rPr>
          <w:i/>
          <w:iCs/>
        </w:rPr>
        <w:t xml:space="preserve">Synthese</w:t>
      </w:r>
      <w:r>
        <w:t xml:space="preserve"> </w:t>
      </w:r>
      <w:r>
        <w:t xml:space="preserve">200(3):249. https://doi.org/10.1007/s11229-022-03742-7</w:t>
      </w:r>
    </w:p>
    <w:p>
      <w:pPr>
        <w:pStyle w:val="BodyText"/>
      </w:pPr>
      <w:r>
        <w:t xml:space="preserve">Cajete, Gregory. 2000.</w:t>
      </w:r>
      <w:r>
        <w:t xml:space="preserve"> </w:t>
      </w:r>
      <w:r>
        <w:rPr>
          <w:i/>
          <w:iCs/>
        </w:rPr>
        <w:t xml:space="preserve">Native Science: Natural Laws of Interdependence</w:t>
      </w:r>
      <w:r>
        <w:t xml:space="preserve">. Clear Light Publishers, Santa Fe.</w:t>
      </w:r>
    </w:p>
    <w:p>
      <w:pPr>
        <w:pStyle w:val="BodyText"/>
      </w:pPr>
      <w:r>
        <w:t xml:space="preserve">Carballo, David M. (editor). 2013.</w:t>
      </w:r>
      <w:r>
        <w:t xml:space="preserve"> </w:t>
      </w:r>
      <w:r>
        <w:rPr>
          <w:i/>
          <w:iCs/>
        </w:rPr>
        <w:t xml:space="preserve">Cooperation and Collective Action: Archaeological Perspectives</w:t>
      </w:r>
      <w:r>
        <w:t xml:space="preserve">. University Press of Colorado, Boulder.</w:t>
      </w:r>
    </w:p>
    <w:p>
      <w:pPr>
        <w:pStyle w:val="BodyText"/>
      </w:pPr>
      <w:r>
        <w:t xml:space="preserve">Clay, R. Berle. 2023. Two Types of Ritual Space at the Poverty Point Site 16WC5.</w:t>
      </w:r>
      <w:r>
        <w:t xml:space="preserve"> </w:t>
      </w:r>
      <w:r>
        <w:rPr>
          <w:i/>
          <w:iCs/>
        </w:rPr>
        <w:t xml:space="preserve">American Antiquity</w:t>
      </w:r>
      <w:r>
        <w:t xml:space="preserve"> </w:t>
      </w:r>
      <w:r>
        <w:t xml:space="preserve">88:187-206.</w:t>
      </w:r>
    </w:p>
    <w:p>
      <w:pPr>
        <w:pStyle w:val="BodyText"/>
      </w:pPr>
      <w:r>
        <w:t xml:space="preserve">Codding, Brian F., and Terry L. Jones. 2007. Man the Showoff? Or the Ascendance of a Just-So Story: A Comment on Recent Applications of Costly Signaling Theory in American Archaeology.</w:t>
      </w:r>
      <w:r>
        <w:t xml:space="preserve"> </w:t>
      </w:r>
      <w:r>
        <w:rPr>
          <w:i/>
          <w:iCs/>
        </w:rPr>
        <w:t xml:space="preserve">American Antiquity</w:t>
      </w:r>
      <w:r>
        <w:t xml:space="preserve"> </w:t>
      </w:r>
      <w:r>
        <w:t xml:space="preserve">72:349-357.</w:t>
      </w:r>
    </w:p>
    <w:p>
      <w:pPr>
        <w:pStyle w:val="BodyText"/>
      </w:pPr>
      <w:r>
        <w:t xml:space="preserve">Cordova, V. F. 2007.</w:t>
      </w:r>
      <w:r>
        <w:t xml:space="preserve"> </w:t>
      </w:r>
      <w:r>
        <w:rPr>
          <w:i/>
          <w:iCs/>
        </w:rPr>
        <w:t xml:space="preserve">How It Is: The Native American Philosophy of V. F. Cordova</w:t>
      </w:r>
      <w:r>
        <w:t xml:space="preserve">, edited by Kathleen Dean Moore, Kurt Peters, Ted Jojola, and Amber Lacy. University of Arizona Press, Tucson.</w:t>
      </w:r>
    </w:p>
    <w:p>
      <w:pPr>
        <w:pStyle w:val="BodyText"/>
      </w:pPr>
      <w:r>
        <w:t xml:space="preserve">Deloria, Vine, Jr. 2003.</w:t>
      </w:r>
      <w:r>
        <w:t xml:space="preserve"> </w:t>
      </w:r>
      <w:r>
        <w:rPr>
          <w:i/>
          <w:iCs/>
        </w:rPr>
        <w:t xml:space="preserve">God Is Red: A Native View of Religion</w:t>
      </w:r>
      <w:r>
        <w:t xml:space="preserve">, 30th anniversary edition. Fulcrum Publishing, Golden, Colorado.</w:t>
      </w:r>
    </w:p>
    <w:p>
      <w:pPr>
        <w:pStyle w:val="BodyText"/>
      </w:pPr>
      <w:r>
        <w:t xml:space="preserve">DiNapoli, Robert J., Carl P. Lipo, Tanya Brosnan, Terry L. Hunt, Sean Hixon, Alex E. Morrison, and Matthew Becker. 2019. Rapa Nui (Easter Island) Monument (Ahu) Locations Explained by Freshwater Sources.</w:t>
      </w:r>
      <w:r>
        <w:t xml:space="preserve"> </w:t>
      </w:r>
      <w:r>
        <w:rPr>
          <w:i/>
          <w:iCs/>
        </w:rPr>
        <w:t xml:space="preserve">PLoS ONE</w:t>
      </w:r>
      <w:r>
        <w:t xml:space="preserve"> </w:t>
      </w:r>
      <w:r>
        <w:t xml:space="preserve">14:e0210409.</w:t>
      </w:r>
    </w:p>
    <w:p>
      <w:pPr>
        <w:pStyle w:val="BodyText"/>
      </w:pPr>
      <w:r>
        <w:t xml:space="preserve">Enquist, M., and O. Leimar. 1983. Evolution of Fighting Behavior: Decision Rules and Assessment of Relative Strength.</w:t>
      </w:r>
      <w:r>
        <w:t xml:space="preserve"> </w:t>
      </w:r>
      <w:r>
        <w:rPr>
          <w:i/>
          <w:iCs/>
        </w:rPr>
        <w:t xml:space="preserve">Journal of Theoretical Biology</w:t>
      </w:r>
      <w:r>
        <w:t xml:space="preserve"> </w:t>
      </w:r>
      <w:r>
        <w:t xml:space="preserve">102:387-410.</w:t>
      </w:r>
    </w:p>
    <w:p>
      <w:pPr>
        <w:pStyle w:val="BodyText"/>
      </w:pPr>
      <w:r>
        <w:t xml:space="preserve">Erasmus, Charles J. 1965. Monument Building: Some Field Experiments.</w:t>
      </w:r>
      <w:r>
        <w:t xml:space="preserve"> </w:t>
      </w:r>
      <w:r>
        <w:rPr>
          <w:i/>
          <w:iCs/>
        </w:rPr>
        <w:t xml:space="preserve">Southwestern Journal of Anthropology</w:t>
      </w:r>
      <w:r>
        <w:t xml:space="preserve"> </w:t>
      </w:r>
      <w:r>
        <w:t xml:space="preserve">21:277-301.</w:t>
      </w:r>
    </w:p>
    <w:p>
      <w:pPr>
        <w:pStyle w:val="BodyText"/>
      </w:pPr>
      <w:r>
        <w:t xml:space="preserve">Ford, James A. 1955. The Puzzle of Poverty Point.</w:t>
      </w:r>
      <w:r>
        <w:t xml:space="preserve"> </w:t>
      </w:r>
      <w:r>
        <w:rPr>
          <w:i/>
          <w:iCs/>
        </w:rPr>
        <w:t xml:space="preserve">Natural History</w:t>
      </w:r>
      <w:r>
        <w:t xml:space="preserve"> </w:t>
      </w:r>
      <w:r>
        <w:t xml:space="preserve">64:466-472.</w:t>
      </w:r>
    </w:p>
    <w:p>
      <w:pPr>
        <w:pStyle w:val="BodyText"/>
      </w:pPr>
      <w:r>
        <w:t xml:space="preserve">Ford, James A., and Clarence H. Webb. 1956.</w:t>
      </w:r>
      <w:r>
        <w:t xml:space="preserve"> </w:t>
      </w:r>
      <w:r>
        <w:rPr>
          <w:i/>
          <w:iCs/>
        </w:rPr>
        <w:t xml:space="preserve">Poverty Point: A Late Archaic Site in Louisiana</w:t>
      </w:r>
      <w:r>
        <w:t xml:space="preserve">. Anthropological Papers Vol. 46(1). American Museum of Natural History, New York.</w:t>
      </w:r>
    </w:p>
    <w:p>
      <w:pPr>
        <w:pStyle w:val="BodyText"/>
      </w:pPr>
      <w:r>
        <w:t xml:space="preserve">Gagliano, Sherwood M., and Clarence H. Webb. 1975. Archaic-Poverty Point Transition at the Pearl River Mouth. In</w:t>
      </w:r>
      <w:r>
        <w:t xml:space="preserve"> </w:t>
      </w:r>
      <w:r>
        <w:rPr>
          <w:i/>
          <w:iCs/>
        </w:rPr>
        <w:t xml:space="preserve">The Poverty Point Culture</w:t>
      </w:r>
      <w:r>
        <w:t xml:space="preserve">, edited by Bettye J. Broyles and Clarence H. Webb, pp. 47-72. Bulletin No. 12, Southeastern Archaeological Conference, Morgantown, West Virginia.</w:t>
      </w:r>
    </w:p>
    <w:p>
      <w:pPr>
        <w:pStyle w:val="BodyText"/>
      </w:pPr>
      <w:r>
        <w:t xml:space="preserve">Gibson, Jon L. 1973.</w:t>
      </w:r>
      <w:r>
        <w:t xml:space="preserve"> </w:t>
      </w:r>
      <w:r>
        <w:rPr>
          <w:i/>
          <w:iCs/>
        </w:rPr>
        <w:t xml:space="preserve">Social Systems at Poverty Point: An Analysis of Intersite and Intrasite Variability</w:t>
      </w:r>
      <w:r>
        <w:t xml:space="preserve">. Ph.D. dissertation, Southern Methodist University, Dallas.</w:t>
      </w:r>
    </w:p>
    <w:p>
      <w:pPr>
        <w:pStyle w:val="BodyText"/>
      </w:pPr>
      <w:r>
        <w:t xml:space="preserve">Gibson, Jon L. 1984. Empirical Characterization of Exchange Systems in Lower Mississippi Valley Prehistory. In</w:t>
      </w:r>
      <w:r>
        <w:t xml:space="preserve"> </w:t>
      </w:r>
      <w:r>
        <w:rPr>
          <w:i/>
          <w:iCs/>
        </w:rPr>
        <w:t xml:space="preserve">Prehistoric Exchange Systems in North America</w:t>
      </w:r>
      <w:r>
        <w:t xml:space="preserve">, edited by Timothy G. Baugh and Jonathon E. Ericson, pp. 127-175. Plenum, New York.</w:t>
      </w:r>
    </w:p>
    <w:p>
      <w:pPr>
        <w:pStyle w:val="BodyText"/>
      </w:pPr>
      <w:r>
        <w:t xml:space="preserve">Gibson, Jon L. 1994. Before Their Time? Early Mounds in the Lower Mississippi Valley.</w:t>
      </w:r>
      <w:r>
        <w:t xml:space="preserve"> </w:t>
      </w:r>
      <w:r>
        <w:rPr>
          <w:i/>
          <w:iCs/>
        </w:rPr>
        <w:t xml:space="preserve">Southeastern Archaeology</w:t>
      </w:r>
      <w:r>
        <w:t xml:space="preserve"> </w:t>
      </w:r>
      <w:r>
        <w:t xml:space="preserve">13(2):162-186.</w:t>
      </w:r>
    </w:p>
    <w:p>
      <w:pPr>
        <w:pStyle w:val="BodyText"/>
      </w:pPr>
      <w:r>
        <w:t xml:space="preserve">Gibson, Jon L. 1998. Elements and Organization of Poverty Point Political Economy: High-Water Fish, Exotic Rocks, and Sacred Earth.</w:t>
      </w:r>
      <w:r>
        <w:t xml:space="preserve"> </w:t>
      </w:r>
      <w:r>
        <w:rPr>
          <w:i/>
          <w:iCs/>
        </w:rPr>
        <w:t xml:space="preserve">Research in Economic Anthropology</w:t>
      </w:r>
      <w:r>
        <w:t xml:space="preserve"> </w:t>
      </w:r>
      <w:r>
        <w:t xml:space="preserve">19:291-340.</w:t>
      </w:r>
    </w:p>
    <w:p>
      <w:pPr>
        <w:pStyle w:val="BodyText"/>
      </w:pPr>
      <w:r>
        <w:t xml:space="preserve">Gibson, Jon L. 1999. Swamp Exchange and the Walled Mart: Poverty Point’s Rock Business. In</w:t>
      </w:r>
      <w:r>
        <w:t xml:space="preserve"> </w:t>
      </w:r>
      <w:r>
        <w:rPr>
          <w:i/>
          <w:iCs/>
        </w:rPr>
        <w:t xml:space="preserve">Raw Materials and Exchange in the Mid-South</w:t>
      </w:r>
      <w:r>
        <w:t xml:space="preserve">, edited by Evan Peacock and Samuel O. Brookes, pp. 57-64. Archaeological Report 29. Mississippi Department of Archives and History, Jackson.</w:t>
      </w:r>
    </w:p>
    <w:p>
      <w:pPr>
        <w:pStyle w:val="BodyText"/>
      </w:pPr>
      <w:r>
        <w:t xml:space="preserve">Gibson, Jon L. 2000.</w:t>
      </w:r>
      <w:r>
        <w:t xml:space="preserve"> </w:t>
      </w:r>
      <w:r>
        <w:rPr>
          <w:i/>
          <w:iCs/>
        </w:rPr>
        <w:t xml:space="preserve">The Ancient Mounds of Poverty Point: Place of Rings</w:t>
      </w:r>
      <w:r>
        <w:t xml:space="preserve">. University Press of Florida, Gainesville.</w:t>
      </w:r>
    </w:p>
    <w:p>
      <w:pPr>
        <w:pStyle w:val="BodyText"/>
      </w:pPr>
      <w:r>
        <w:t xml:space="preserve">Gibson, Jon L., and David L. Griffing. 1994. Only a Stone’s Throw Away: Exchange in the Poverty Point Hinterland.</w:t>
      </w:r>
      <w:r>
        <w:t xml:space="preserve"> </w:t>
      </w:r>
      <w:r>
        <w:rPr>
          <w:i/>
          <w:iCs/>
        </w:rPr>
        <w:t xml:space="preserve">Louisiana Archaeology</w:t>
      </w:r>
      <w:r>
        <w:t xml:space="preserve"> </w:t>
      </w:r>
      <w:r>
        <w:t xml:space="preserve">17(1990):207-250.</w:t>
      </w:r>
    </w:p>
    <w:p>
      <w:pPr>
        <w:pStyle w:val="BodyText"/>
      </w:pPr>
      <w:r>
        <w:t xml:space="preserve">Graeber, David, and David Wengrow. 2021.</w:t>
      </w:r>
      <w:r>
        <w:t xml:space="preserve"> </w:t>
      </w:r>
      <w:r>
        <w:rPr>
          <w:i/>
          <w:iCs/>
        </w:rPr>
        <w:t xml:space="preserve">The Dawn of Everything: A New History of Humanity</w:t>
      </w:r>
      <w:r>
        <w:t xml:space="preserve">. Farrar, Straus and Giroux, New York.</w:t>
      </w:r>
    </w:p>
    <w:p>
      <w:pPr>
        <w:pStyle w:val="BodyText"/>
      </w:pPr>
      <w:r>
        <w:t xml:space="preserve">Griffing, David L. 1990. Surface Surveys of the Insley Site, Franklin Parish, Louisiana.</w:t>
      </w:r>
      <w:r>
        <w:t xml:space="preserve"> </w:t>
      </w:r>
      <w:r>
        <w:rPr>
          <w:i/>
          <w:iCs/>
        </w:rPr>
        <w:t xml:space="preserve">Louisiana Archaeology</w:t>
      </w:r>
      <w:r>
        <w:t xml:space="preserve"> </w:t>
      </w:r>
      <w:r>
        <w:t xml:space="preserve">12(1985):219-240</w:t>
      </w:r>
    </w:p>
    <w:p>
      <w:pPr>
        <w:pStyle w:val="BodyText"/>
      </w:pPr>
      <w:r>
        <w:t xml:space="preserve">Grimm, Volker, Uta Berger, Donald L. DeAngelis, J. Gary Polhill, Jarl Giske, and Steven F. Railsback. 2010. The ODD Protocol: A Review and First Update.</w:t>
      </w:r>
      <w:r>
        <w:t xml:space="preserve"> </w:t>
      </w:r>
      <w:r>
        <w:rPr>
          <w:i/>
          <w:iCs/>
        </w:rPr>
        <w:t xml:space="preserve">Ecological Modelling</w:t>
      </w:r>
      <w:r>
        <w:t xml:space="preserve"> </w:t>
      </w:r>
      <w:r>
        <w:t xml:space="preserve">221:2760-2768.</w:t>
      </w:r>
    </w:p>
    <w:p>
      <w:pPr>
        <w:pStyle w:val="BodyText"/>
      </w:pPr>
      <w:r>
        <w:t xml:space="preserve">Grooms, Seth B. 2022.</w:t>
      </w:r>
      <w:r>
        <w:t xml:space="preserve"> </w:t>
      </w:r>
      <w:r>
        <w:rPr>
          <w:i/>
          <w:iCs/>
        </w:rPr>
        <w:t xml:space="preserve">Reassessing the History of the Poverty Point Phenomenon: A Case Study from the Jaketown Site, Mississippi, USA</w:t>
      </w:r>
      <w:r>
        <w:t xml:space="preserve">. PhD dissertation, Department of Anthropology, Washington University in St. Louis, St. Louis.</w:t>
      </w:r>
    </w:p>
    <w:p>
      <w:pPr>
        <w:pStyle w:val="BodyText"/>
      </w:pPr>
      <w:r>
        <w:t xml:space="preserve">Grooms, Seth B., Grace M. V. Ward, and Tristram R. Kidder. 2023. Convergence at Poverty Point: A Revised Chronology of the Late Archaic Lower Mississippi Valley.</w:t>
      </w:r>
      <w:r>
        <w:t xml:space="preserve"> </w:t>
      </w:r>
      <w:r>
        <w:rPr>
          <w:i/>
          <w:iCs/>
        </w:rPr>
        <w:t xml:space="preserve">Antiquity</w:t>
      </w:r>
      <w:r>
        <w:t xml:space="preserve"> </w:t>
      </w:r>
      <w:r>
        <w:t xml:space="preserve">97:1453-1469.</w:t>
      </w:r>
    </w:p>
    <w:p>
      <w:pPr>
        <w:pStyle w:val="BodyText"/>
      </w:pPr>
      <w:r>
        <w:t xml:space="preserve">Halstead, Paul, and John O’Shea (editors). 1989.</w:t>
      </w:r>
      <w:r>
        <w:t xml:space="preserve"> </w:t>
      </w:r>
      <w:r>
        <w:rPr>
          <w:i/>
          <w:iCs/>
        </w:rPr>
        <w:t xml:space="preserve">Bad Year Economics: Cultural Responses to Risk and Uncertainty</w:t>
      </w:r>
      <w:r>
        <w:t xml:space="preserve">. Cambridge University Press, Cambridge.</w:t>
      </w:r>
    </w:p>
    <w:p>
      <w:pPr>
        <w:pStyle w:val="BodyText"/>
      </w:pPr>
      <w:r>
        <w:t xml:space="preserve">Hargrave, Michael L., R. Berle Clay, Rinita A. Dalan, and Diana M. Greenlee. 2021. The Complex Construction History of Poverty Point’s Timber Circles and Concentric Ridges.</w:t>
      </w:r>
      <w:r>
        <w:t xml:space="preserve"> </w:t>
      </w:r>
      <w:r>
        <w:rPr>
          <w:i/>
          <w:iCs/>
        </w:rPr>
        <w:t xml:space="preserve">Southeastern Archaeology</w:t>
      </w:r>
      <w:r>
        <w:t xml:space="preserve"> </w:t>
      </w:r>
      <w:r>
        <w:t xml:space="preserve">40:192-211.</w:t>
      </w:r>
    </w:p>
    <w:p>
      <w:pPr>
        <w:pStyle w:val="BodyText"/>
      </w:pPr>
      <w:r>
        <w:t xml:space="preserve">Hawkes, Kristen. 2000. Hunting and the Evolution of Egalitarian Societies: Lessons from the Hadza. In</w:t>
      </w:r>
      <w:r>
        <w:t xml:space="preserve"> </w:t>
      </w:r>
      <w:r>
        <w:rPr>
          <w:i/>
          <w:iCs/>
        </w:rPr>
        <w:t xml:space="preserve">Hierarchies in Action: Cui Bono?</w:t>
      </w:r>
      <w:r>
        <w:t xml:space="preserve">, edited by Michael W. Diehl, pp. 59-83. Center for Archaeological Investigations Occasional Paper No. 27. Southern Illinois University, Carbondale.</w:t>
      </w:r>
    </w:p>
    <w:p>
      <w:pPr>
        <w:pStyle w:val="BodyText"/>
      </w:pPr>
      <w:r>
        <w:t xml:space="preserve">Hawkes, Kristen, and Rebecca Bliege Bird. 2002. Showing Off, Handicap Signaling, and the Evolution of Men’s Work.</w:t>
      </w:r>
      <w:r>
        <w:t xml:space="preserve"> </w:t>
      </w:r>
      <w:r>
        <w:rPr>
          <w:i/>
          <w:iCs/>
        </w:rPr>
        <w:t xml:space="preserve">Evolutionary Anthropology</w:t>
      </w:r>
      <w:r>
        <w:t xml:space="preserve"> </w:t>
      </w:r>
      <w:r>
        <w:t xml:space="preserve">11:58-67.</w:t>
      </w:r>
    </w:p>
    <w:p>
      <w:pPr>
        <w:pStyle w:val="BodyText"/>
      </w:pPr>
      <w:r>
        <w:t xml:space="preserve">Hays, Christopher T. 2019. Feasting at Poverty Point with Poverty Point Objects.</w:t>
      </w:r>
      <w:r>
        <w:t xml:space="preserve"> </w:t>
      </w:r>
      <w:r>
        <w:rPr>
          <w:i/>
          <w:iCs/>
        </w:rPr>
        <w:t xml:space="preserve">Southeastern Archaeology</w:t>
      </w:r>
      <w:r>
        <w:t xml:space="preserve"> </w:t>
      </w:r>
      <w:r>
        <w:t xml:space="preserve">38:193-207.</w:t>
      </w:r>
    </w:p>
    <w:p>
      <w:pPr>
        <w:pStyle w:val="BodyText"/>
      </w:pPr>
      <w:r>
        <w:t xml:space="preserve">Henrich, Joseph. 2009. The Evolution of Costly Displays, Cooperation and Religion: Credibility Enhancing Displays and Their Implications for Cultural Evolution.</w:t>
      </w:r>
      <w:r>
        <w:t xml:space="preserve"> </w:t>
      </w:r>
      <w:r>
        <w:rPr>
          <w:i/>
          <w:iCs/>
        </w:rPr>
        <w:t xml:space="preserve">Evolution and Human Behavior</w:t>
      </w:r>
      <w:r>
        <w:t xml:space="preserve"> </w:t>
      </w:r>
      <w:r>
        <w:t xml:space="preserve">30(4):244-260. https://doi.org/10.1016/j.evolhumbehav.2009.03.005</w:t>
      </w:r>
    </w:p>
    <w:p>
      <w:pPr>
        <w:pStyle w:val="BodyText"/>
      </w:pPr>
      <w:r>
        <w:t xml:space="preserve">Hill, Mark A., Diana M. Greenlee, and Hector Neff. 2016. Assessing the Provenance of Poverty Point Copper through LA-ICP-MS Compositional Analysis.</w:t>
      </w:r>
      <w:r>
        <w:t xml:space="preserve"> </w:t>
      </w:r>
      <w:r>
        <w:rPr>
          <w:i/>
          <w:iCs/>
        </w:rPr>
        <w:t xml:space="preserve">Journal of Archaeological Science: Reports</w:t>
      </w:r>
      <w:r>
        <w:t xml:space="preserve"> </w:t>
      </w:r>
      <w:r>
        <w:t xml:space="preserve">6:351-360.</w:t>
      </w:r>
    </w:p>
    <w:p>
      <w:pPr>
        <w:pStyle w:val="BodyText"/>
      </w:pPr>
      <w:r>
        <w:t xml:space="preserve">Jackson, H. Edwin. 1981. Recent Research on Poverty Point Period Subsistence and Settlement Systems: Test Excavations at the J.W. Copes Site in Northeast Louisiana.</w:t>
      </w:r>
      <w:r>
        <w:t xml:space="preserve"> </w:t>
      </w:r>
      <w:r>
        <w:rPr>
          <w:i/>
          <w:iCs/>
        </w:rPr>
        <w:t xml:space="preserve">Louisiana Archaeology</w:t>
      </w:r>
      <w:r>
        <w:t xml:space="preserve"> </w:t>
      </w:r>
      <w:r>
        <w:t xml:space="preserve">8:73-86.</w:t>
      </w:r>
    </w:p>
    <w:p>
      <w:pPr>
        <w:pStyle w:val="BodyText"/>
      </w:pPr>
      <w:r>
        <w:t xml:space="preserve">Jackson, H. Edwin. 1986.</w:t>
      </w:r>
      <w:r>
        <w:t xml:space="preserve"> </w:t>
      </w:r>
      <w:r>
        <w:rPr>
          <w:i/>
          <w:iCs/>
        </w:rPr>
        <w:t xml:space="preserve">Sedentism and Hunter-Gatherer Adaptations in the Lower Mississippi Valley: Subsistence Strategies During the Poverty Point Period</w:t>
      </w:r>
      <w:r>
        <w:t xml:space="preserve">. PhD dissertation, University of Michigan. University Microfilms, Ann Arbor.</w:t>
      </w:r>
    </w:p>
    <w:p>
      <w:pPr>
        <w:pStyle w:val="BodyText"/>
      </w:pPr>
      <w:r>
        <w:t xml:space="preserve">Jackson, H. Edwin. 1989. Poverty Point Adaptive Systems in the Lower Mississippi Valley: Subsistence Remains from the J.W. Copes Site.</w:t>
      </w:r>
      <w:r>
        <w:t xml:space="preserve"> </w:t>
      </w:r>
      <w:r>
        <w:rPr>
          <w:i/>
          <w:iCs/>
        </w:rPr>
        <w:t xml:space="preserve">North American Archaeologist</w:t>
      </w:r>
      <w:r>
        <w:t xml:space="preserve"> </w:t>
      </w:r>
      <w:r>
        <w:t xml:space="preserve">10:173-204.</w:t>
      </w:r>
    </w:p>
    <w:p>
      <w:pPr>
        <w:pStyle w:val="BodyText"/>
      </w:pPr>
      <w:r>
        <w:t xml:space="preserve">Jackson, H. Edwin. 1991. The Trade Fair in Hunter-Gatherer Interaction: The Role of Intersocietal Trade in the Evolution of Poverty Point Culture. In</w:t>
      </w:r>
      <w:r>
        <w:t xml:space="preserve"> </w:t>
      </w:r>
      <w:r>
        <w:rPr>
          <w:i/>
          <w:iCs/>
        </w:rPr>
        <w:t xml:space="preserve">Between Bands and States</w:t>
      </w:r>
      <w:r>
        <w:t xml:space="preserve">, edited by Susan A. Gregg, pp. 265-286. Center for Archaeological Investigations Occasional Paper No. 9. Southern Illinois University, Carbondale.</w:t>
      </w:r>
    </w:p>
    <w:p>
      <w:pPr>
        <w:pStyle w:val="BodyText"/>
      </w:pPr>
      <w:r>
        <w:t xml:space="preserve">Johnson, Gregory A. 1982. Organizational Structure and Scalar Stress. In</w:t>
      </w:r>
      <w:r>
        <w:t xml:space="preserve"> </w:t>
      </w:r>
      <w:r>
        <w:rPr>
          <w:i/>
          <w:iCs/>
        </w:rPr>
        <w:t xml:space="preserve">Theory and Explanation in Archaeology</w:t>
      </w:r>
      <w:r>
        <w:t xml:space="preserve">, edited by Colin Renfrew, Michael J. Rowlands, and Barbara A. Segraves, pp. 389-421. Academic Press, New York.</w:t>
      </w:r>
    </w:p>
    <w:p>
      <w:pPr>
        <w:pStyle w:val="BodyText"/>
      </w:pPr>
      <w:r>
        <w:t xml:space="preserve">Jones, Dennis, and Samuel O. Brookes. 2019. Gone But Surely Not Forgotten: Implications of the Monte Sano Site (16EBR17).</w:t>
      </w:r>
      <w:r>
        <w:t xml:space="preserve"> </w:t>
      </w:r>
      <w:r>
        <w:rPr>
          <w:i/>
          <w:iCs/>
        </w:rPr>
        <w:t xml:space="preserve">Louisiana Archaeology</w:t>
      </w:r>
      <w:r>
        <w:t xml:space="preserve"> </w:t>
      </w:r>
      <w:r>
        <w:t xml:space="preserve">44(2017):105-120.</w:t>
      </w:r>
    </w:p>
    <w:p>
      <w:pPr>
        <w:pStyle w:val="BodyText"/>
      </w:pPr>
      <w:r>
        <w:t xml:space="preserve">Kaufman, Darrell, Nicholas McKay, Cody Routson, Michael Erb, Christoph Datwyler, Philipp S. Sommer, Oliver Heiri, and Basil Davis. 2020. A Global Database of Holocene Paleotemperature Records.</w:t>
      </w:r>
      <w:r>
        <w:t xml:space="preserve"> </w:t>
      </w:r>
      <w:r>
        <w:rPr>
          <w:i/>
          <w:iCs/>
        </w:rPr>
        <w:t xml:space="preserve">Scientific Data</w:t>
      </w:r>
      <w:r>
        <w:t xml:space="preserve"> </w:t>
      </w:r>
      <w:r>
        <w:t xml:space="preserve">7:115.</w:t>
      </w:r>
    </w:p>
    <w:p>
      <w:pPr>
        <w:pStyle w:val="BodyText"/>
      </w:pPr>
      <w:r>
        <w:t xml:space="preserve">Kelly, Robert L. 2013.</w:t>
      </w:r>
      <w:r>
        <w:t xml:space="preserve"> </w:t>
      </w:r>
      <w:r>
        <w:rPr>
          <w:i/>
          <w:iCs/>
        </w:rPr>
        <w:t xml:space="preserve">The Lifeways of Hunter-Gatherers: The Foraging Spectrum</w:t>
      </w:r>
      <w:r>
        <w:t xml:space="preserve">. Cambridge University Press, Cambridge.</w:t>
      </w:r>
    </w:p>
    <w:p>
      <w:pPr>
        <w:pStyle w:val="BodyText"/>
      </w:pPr>
      <w:r>
        <w:t xml:space="preserve">Kidder, Tristram R. 2002. Mapping Poverty Point.</w:t>
      </w:r>
      <w:r>
        <w:t xml:space="preserve"> </w:t>
      </w:r>
      <w:r>
        <w:rPr>
          <w:i/>
          <w:iCs/>
        </w:rPr>
        <w:t xml:space="preserve">American Antiquity</w:t>
      </w:r>
      <w:r>
        <w:t xml:space="preserve"> </w:t>
      </w:r>
      <w:r>
        <w:t xml:space="preserve">67:89-101.</w:t>
      </w:r>
    </w:p>
    <w:p>
      <w:pPr>
        <w:pStyle w:val="BodyText"/>
      </w:pPr>
      <w:r>
        <w:t xml:space="preserve">Kidder, Tristram R. 2006. Climate Change and the Archaic to Woodland Transition (3000-2500 cal B.P.) in the Mississippi River Basin.</w:t>
      </w:r>
      <w:r>
        <w:t xml:space="preserve"> </w:t>
      </w:r>
      <w:r>
        <w:rPr>
          <w:i/>
          <w:iCs/>
        </w:rPr>
        <w:t xml:space="preserve">American Antiquity</w:t>
      </w:r>
      <w:r>
        <w:t xml:space="preserve"> </w:t>
      </w:r>
      <w:r>
        <w:t xml:space="preserve">71:195-231.</w:t>
      </w:r>
    </w:p>
    <w:p>
      <w:pPr>
        <w:pStyle w:val="BodyText"/>
      </w:pPr>
      <w:r>
        <w:t xml:space="preserve">Kidder, Tristram R., Olivia C. Baumgartel, and James E. Bruseth. 2025. High-resolution Dating of Legacy Collections from the Cedarland and Claiborne Sites, Southwest Mississippi.</w:t>
      </w:r>
      <w:r>
        <w:t xml:space="preserve"> </w:t>
      </w:r>
      <w:r>
        <w:rPr>
          <w:i/>
          <w:iCs/>
        </w:rPr>
        <w:t xml:space="preserve">Southeastern Archaeology</w:t>
      </w:r>
      <w:r>
        <w:t xml:space="preserve"> </w:t>
      </w:r>
      <w:r>
        <w:t xml:space="preserve">44:1-20.</w:t>
      </w:r>
    </w:p>
    <w:p>
      <w:pPr>
        <w:pStyle w:val="BodyText"/>
      </w:pPr>
      <w:r>
        <w:t xml:space="preserve">Kidder, Tristram R., and Kelly M. Ervin. 2018. Hunter-Gatherer Surplus Accumulation and Monumental Construction at Poverty Point, Mississippi Valley. In</w:t>
      </w:r>
      <w:r>
        <w:t xml:space="preserve"> </w:t>
      </w:r>
      <w:r>
        <w:rPr>
          <w:i/>
          <w:iCs/>
        </w:rPr>
        <w:t xml:space="preserve">Surplus without the State: Political Forms in Prehistory</w:t>
      </w:r>
      <w:r>
        <w:t xml:space="preserve">, edited by Harald Meller, Detlef Gronenborn, and Roberto Risch, pp. 517-531. Landesamt für Denkmalpflege und Archäologie Sachsen-Anhalt, Halle (Saale).</w:t>
      </w:r>
    </w:p>
    <w:p>
      <w:pPr>
        <w:pStyle w:val="BodyText"/>
      </w:pPr>
      <w:r>
        <w:t xml:space="preserve">Kidder, Tristram R., and Seth B. Grooms. 2024. Chronological Hygiene and Bayesian Modeling of Poverty Point Sites in the Lower Mississippi Valley, Circa 4200 to 3200 cal BP.</w:t>
      </w:r>
      <w:r>
        <w:t xml:space="preserve"> </w:t>
      </w:r>
      <w:r>
        <w:rPr>
          <w:i/>
          <w:iCs/>
        </w:rPr>
        <w:t xml:space="preserve">American Antiquity</w:t>
      </w:r>
      <w:r>
        <w:t xml:space="preserve"> </w:t>
      </w:r>
      <w:r>
        <w:t xml:space="preserve">89:98-118.</w:t>
      </w:r>
    </w:p>
    <w:p>
      <w:pPr>
        <w:pStyle w:val="BodyText"/>
      </w:pPr>
      <w:r>
        <w:t xml:space="preserve">Kidder, Tristram R., and Seth B. Grooms. 2025. Performance, Ritual, and Revitalization at Poverty Point.</w:t>
      </w:r>
      <w:r>
        <w:t xml:space="preserve"> </w:t>
      </w:r>
      <w:r>
        <w:rPr>
          <w:i/>
          <w:iCs/>
        </w:rPr>
        <w:t xml:space="preserve">Southeastern Archaeology</w:t>
      </w:r>
      <w:r>
        <w:t xml:space="preserve">, 44:171-186.</w:t>
      </w:r>
    </w:p>
    <w:p>
      <w:pPr>
        <w:pStyle w:val="BodyText"/>
      </w:pPr>
      <w:r>
        <w:t xml:space="preserve">Kidder, Tristram R., Edward R. Henry, and Lee J. Arco. 2018. Rapid Climate Change-Induced Collapse of Hunter-Gatherer Societies in the Lower Mississippi River Valley between ca. 3300 and 2780 cal yr BP.</w:t>
      </w:r>
      <w:r>
        <w:t xml:space="preserve"> </w:t>
      </w:r>
      <w:r>
        <w:rPr>
          <w:i/>
          <w:iCs/>
        </w:rPr>
        <w:t xml:space="preserve">Science China Earth Sciences</w:t>
      </w:r>
      <w:r>
        <w:t xml:space="preserve"> </w:t>
      </w:r>
      <w:r>
        <w:t xml:space="preserve">61:178-189.</w:t>
      </w:r>
    </w:p>
    <w:p>
      <w:pPr>
        <w:pStyle w:val="BodyText"/>
      </w:pPr>
      <w:r>
        <w:t xml:space="preserve">Kidder, Tristram R., Kun Su, Edward R. Henry, Seth B. Grooms, and Kelly M. Ervin. 2021. Multi-Method Geoarchaeological Analyses Demonstrate Exceptionally Rapid Construction of Ridge West 3 at Poverty Point.</w:t>
      </w:r>
      <w:r>
        <w:t xml:space="preserve"> </w:t>
      </w:r>
      <w:r>
        <w:rPr>
          <w:i/>
          <w:iCs/>
        </w:rPr>
        <w:t xml:space="preserve">Southeastern Archaeology</w:t>
      </w:r>
      <w:r>
        <w:t xml:space="preserve"> </w:t>
      </w:r>
      <w:r>
        <w:t xml:space="preserve">40:212-227.</w:t>
      </w:r>
    </w:p>
    <w:p>
      <w:pPr>
        <w:pStyle w:val="BodyText"/>
      </w:pPr>
      <w:r>
        <w:t xml:space="preserve">Kidder, Tristram R., Lee J. Arco, Anthony L. Ortmann, Timothy Schilling, Caroline Boeke, Rachel Beilitz, and Katherine A. Adelsberger. 2009.</w:t>
      </w:r>
      <w:r>
        <w:t xml:space="preserve"> </w:t>
      </w:r>
      <w:r>
        <w:rPr>
          <w:i/>
          <w:iCs/>
        </w:rPr>
        <w:t xml:space="preserve">Poverty Point Mound A: Final Report of the 2005 and 2006 Field Seasons</w:t>
      </w:r>
      <w:r>
        <w:t xml:space="preserve">. Report submitted to the Louisiana Archaeological Survey and Antiquities Commission, Baton Rouge.</w:t>
      </w:r>
    </w:p>
    <w:p>
      <w:pPr>
        <w:pStyle w:val="BodyText"/>
      </w:pPr>
      <w: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t xml:space="preserve"> </w:t>
      </w:r>
      <w:r>
        <w:rPr>
          <w:i/>
          <w:iCs/>
        </w:rPr>
        <w:t xml:space="preserve">Journal of Archaeological Science: Reports</w:t>
      </w:r>
      <w:r>
        <w:t xml:space="preserve"> </w:t>
      </w:r>
      <w:r>
        <w:t xml:space="preserve">https://doi.org/10.1016/j.jasrep.2023.104366</w:t>
      </w:r>
    </w:p>
    <w:p>
      <w:pPr>
        <w:pStyle w:val="BodyText"/>
      </w:pPr>
      <w:r>
        <w:t xml:space="preserve">Lanman, Jonathan A., and Michael D. Buhrmester. 2017. Religious Actions Speak Louder than Words: Exposure to Credibility-Enhancing Displays Predicts Theism.</w:t>
      </w:r>
      <w:r>
        <w:t xml:space="preserve"> </w:t>
      </w:r>
      <w:r>
        <w:rPr>
          <w:i/>
          <w:iCs/>
        </w:rPr>
        <w:t xml:space="preserve">Religion, Brain &amp; Behavior</w:t>
      </w:r>
      <w:r>
        <w:t xml:space="preserve"> </w:t>
      </w:r>
      <w:r>
        <w:t xml:space="preserve">7(1):3-16. https://doi.org/10.1080/2153599X.2015.1117011</w:t>
      </w:r>
    </w:p>
    <w:p>
      <w:pPr>
        <w:pStyle w:val="BodyText"/>
      </w:pPr>
      <w:r>
        <w:t xml:space="preserve">Lehmann, Geoffrey R. 1982.</w:t>
      </w:r>
      <w:r>
        <w:t xml:space="preserve"> </w:t>
      </w:r>
      <w:r>
        <w:rPr>
          <w:i/>
          <w:iCs/>
        </w:rPr>
        <w:t xml:space="preserve">The Jaketown Site: Surface Collections from a Poverty Point Regional Center in the Yazoo Basin</w:t>
      </w:r>
      <w:r>
        <w:t xml:space="preserve">. Archaeological Report No. 9, Mississippi Department of Archives and History, Jackson.</w:t>
      </w:r>
    </w:p>
    <w:p>
      <w:pPr>
        <w:pStyle w:val="BodyText"/>
      </w:pPr>
      <w:r>
        <w:t xml:space="preserve">Lewontin, Richard C. 1974.</w:t>
      </w:r>
      <w:r>
        <w:t xml:space="preserve"> </w:t>
      </w:r>
      <w:r>
        <w:rPr>
          <w:i/>
          <w:iCs/>
        </w:rPr>
        <w:t xml:space="preserve">The Genetic Basis of Evolutionary Change</w:t>
      </w:r>
      <w:r>
        <w:t xml:space="preserve">. Columbia University Press, New York.</w:t>
      </w:r>
    </w:p>
    <w:p>
      <w:pPr>
        <w:pStyle w:val="BodyText"/>
      </w:pPr>
      <w:r>
        <w:t xml:space="preserve">Liu, Kam-biu, and Miriam L. Fearn. 1993. Lake-Sediment Record of Late Holocene Hurricane Activities from Coastal Alabama.</w:t>
      </w:r>
      <w:r>
        <w:t xml:space="preserve"> </w:t>
      </w:r>
      <w:r>
        <w:rPr>
          <w:i/>
          <w:iCs/>
        </w:rPr>
        <w:t xml:space="preserve">Geology</w:t>
      </w:r>
      <w:r>
        <w:t xml:space="preserve"> </w:t>
      </w:r>
      <w:r>
        <w:t xml:space="preserve">21:793-796.</w:t>
      </w:r>
    </w:p>
    <w:p>
      <w:pPr>
        <w:pStyle w:val="BodyText"/>
      </w:pPr>
      <w:r>
        <w:t xml:space="preserve">Liu, Kam-biu, and Miriam L. Fearn. 2000. Reconstruction of Prehistoric Landfall Frequencies of Catastrophic Hurricanes in Northwestern Florida from Lake Sediment Records.</w:t>
      </w:r>
      <w:r>
        <w:t xml:space="preserve"> </w:t>
      </w:r>
      <w:r>
        <w:rPr>
          <w:i/>
          <w:iCs/>
        </w:rPr>
        <w:t xml:space="preserve">Quaternary Research</w:t>
      </w:r>
      <w:r>
        <w:t xml:space="preserve"> </w:t>
      </w:r>
      <w:r>
        <w:t xml:space="preserve">54:238-245.</w:t>
      </w:r>
    </w:p>
    <w:p>
      <w:pPr>
        <w:pStyle w:val="BodyText"/>
      </w:pPr>
      <w:r>
        <w:t xml:space="preserve">Mariano, Melissa M. 2011.</w:t>
      </w:r>
      <w:r>
        <w:t xml:space="preserve"> </w:t>
      </w:r>
      <w:r>
        <w:rPr>
          <w:i/>
          <w:iCs/>
        </w:rPr>
        <w:t xml:space="preserve">Final Report on the Copper Objects Preservation Project</w:t>
      </w:r>
      <w:r>
        <w:t xml:space="preserve">. Report submitted to the Poverty Point Station Archaeology Program, Pioneer, LA.</w:t>
      </w:r>
    </w:p>
    <w:p>
      <w:pPr>
        <w:pStyle w:val="BodyText"/>
      </w:pPr>
      <w:r>
        <w:t xml:space="preserve">Marquardt, William H., and Patty Jo Watson (editors). 2005.</w:t>
      </w:r>
      <w:r>
        <w:t xml:space="preserve"> </w:t>
      </w:r>
      <w:r>
        <w:rPr>
          <w:i/>
          <w:iCs/>
        </w:rPr>
        <w:t xml:space="preserve">Archaeology of the Middle Green River Region, Kentucky</w:t>
      </w:r>
      <w:r>
        <w:t xml:space="preserve">. Monograph 5, Institute of Archaeology and Paleoenvironmental Studies, University of Florida, Gainesville.</w:t>
      </w:r>
    </w:p>
    <w:p>
      <w:pPr>
        <w:pStyle w:val="BodyText"/>
      </w:pPr>
      <w:r>
        <w:t xml:space="preserve">Mitch, William A. 2023. An Evaluation of the Distribution of Imported Lithics within the Yazoo-Mississippi Delta during the Poverty Point Period.</w:t>
      </w:r>
      <w:r>
        <w:t xml:space="preserve"> </w:t>
      </w:r>
      <w:r>
        <w:rPr>
          <w:i/>
          <w:iCs/>
        </w:rPr>
        <w:t xml:space="preserve">Southeastern Archaeology</w:t>
      </w:r>
      <w:r>
        <w:t xml:space="preserve"> </w:t>
      </w:r>
      <w:r>
        <w:t xml:space="preserve">42:136-154.</w:t>
      </w:r>
    </w:p>
    <w:p>
      <w:pPr>
        <w:pStyle w:val="BodyText"/>
      </w:pPr>
      <w:r>
        <w:t xml:space="preserve">Norton-Smith, Thomas M. 2010.</w:t>
      </w:r>
      <w:r>
        <w:t xml:space="preserve"> </w:t>
      </w:r>
      <w:r>
        <w:rPr>
          <w:i/>
          <w:iCs/>
        </w:rPr>
        <w:t xml:space="preserve">The Dance of Person and Place: One Interpretation of American Indian Philosophy</w:t>
      </w:r>
      <w:r>
        <w:t xml:space="preserve">. State University of New York Press, Albany.</w:t>
      </w:r>
    </w:p>
    <w:p>
      <w:pPr>
        <w:pStyle w:val="BodyText"/>
      </w:pPr>
      <w:r>
        <w:t xml:space="preserve">Omernik, James M., and Glenn E. Griffith. 2014. Ecoregions of the Conterminous United States: Evolution of a Hierarchical Spatial Framework.</w:t>
      </w:r>
      <w:r>
        <w:t xml:space="preserve"> </w:t>
      </w:r>
      <w:r>
        <w:rPr>
          <w:i/>
          <w:iCs/>
        </w:rPr>
        <w:t xml:space="preserve">Environmental Management</w:t>
      </w:r>
      <w:r>
        <w:t xml:space="preserve"> </w:t>
      </w:r>
      <w:r>
        <w:t xml:space="preserve">54:1249-1266.</w:t>
      </w:r>
    </w:p>
    <w:p>
      <w:pPr>
        <w:pStyle w:val="BodyText"/>
      </w:pPr>
      <w:r>
        <w:t xml:space="preserve">Ortmann, Anthony L. 2010. Placing the Poverty Point Mounds in Their Temporal Context.</w:t>
      </w:r>
      <w:r>
        <w:t xml:space="preserve"> </w:t>
      </w:r>
      <w:r>
        <w:rPr>
          <w:i/>
          <w:iCs/>
        </w:rPr>
        <w:t xml:space="preserve">American Antiquity</w:t>
      </w:r>
      <w:r>
        <w:t xml:space="preserve"> </w:t>
      </w:r>
      <w:r>
        <w:t xml:space="preserve">75:657-678.</w:t>
      </w:r>
    </w:p>
    <w:p>
      <w:pPr>
        <w:pStyle w:val="BodyText"/>
      </w:pPr>
      <w:r>
        <w:t xml:space="preserve">Ortmann, Anthony L., and Tristram R. Kidder. 2013. Building Mound A at Poverty Point, Louisiana: Monumental Public Architecture, Ritual Practice, and Implications for Hunter-Gatherer Complexity.</w:t>
      </w:r>
      <w:r>
        <w:t xml:space="preserve"> </w:t>
      </w:r>
      <w:r>
        <w:rPr>
          <w:i/>
          <w:iCs/>
        </w:rPr>
        <w:t xml:space="preserve">Geoarchaeology</w:t>
      </w:r>
      <w:r>
        <w:t xml:space="preserve"> </w:t>
      </w:r>
      <w:r>
        <w:t xml:space="preserve">28:66-86.</w:t>
      </w:r>
    </w:p>
    <w:p>
      <w:pPr>
        <w:pStyle w:val="BodyText"/>
      </w:pPr>
      <w:r>
        <w:t xml:space="preserve">Peacock, Evan, and Janet Rafferty. 2013. The Bet-Hedging Model as an Explanatory Framework for the Evolution of Mound Building in the Southeastern United States. In</w:t>
      </w:r>
      <w:r>
        <w:t xml:space="preserve"> </w:t>
      </w:r>
      <w:r>
        <w:rPr>
          <w:i/>
          <w:iCs/>
        </w:rPr>
        <w:t xml:space="preserve">Beyond Barrows</w:t>
      </w:r>
      <w:r>
        <w:t xml:space="preserve">, edited by David Fontijn, Arjan J. Louwen, Sasja van der Vaart, and Karsten Wentink, pp. 253-279. Sidestone Press, Leiden.</w:t>
      </w:r>
    </w:p>
    <w:p>
      <w:pPr>
        <w:pStyle w:val="BodyText"/>
      </w:pPr>
      <w:r>
        <w:t xml:space="preserve">Penn, Dustin J., and Szabolcs Szamadó. 2020. The Handicap Principle: How an Erroneous Hypothesis Became a Scientific Principle.</w:t>
      </w:r>
      <w:r>
        <w:t xml:space="preserve"> </w:t>
      </w:r>
      <w:r>
        <w:rPr>
          <w:i/>
          <w:iCs/>
        </w:rPr>
        <w:t xml:space="preserve">Biological Reviews</w:t>
      </w:r>
      <w:r>
        <w:t xml:space="preserve"> </w:t>
      </w:r>
      <w:r>
        <w:t xml:space="preserve">95:267-290.</w:t>
      </w:r>
    </w:p>
    <w:p>
      <w:pPr>
        <w:pStyle w:val="BodyText"/>
      </w:pPr>
      <w:r>
        <w:t xml:space="preserve">Perreault, Charles. 2019.</w:t>
      </w:r>
      <w:r>
        <w:t xml:space="preserve"> </w:t>
      </w:r>
      <w:r>
        <w:rPr>
          <w:i/>
          <w:iCs/>
        </w:rPr>
        <w:t xml:space="preserve">The Quality of the Archaeological Record</w:t>
      </w:r>
      <w:r>
        <w:t xml:space="preserve">. University of Chicago Press, Chicago.</w:t>
      </w:r>
    </w:p>
    <w:p>
      <w:pPr>
        <w:pStyle w:val="BodyText"/>
      </w:pPr>
      <w:r>
        <w:t xml:space="preserve">Pierce, Christopher. 1998. Theory, Measurement, and Explanation: Variable Shapes in Poverty Point Objects. In</w:t>
      </w:r>
      <w:r>
        <w:t xml:space="preserve"> </w:t>
      </w:r>
      <w:r>
        <w:rPr>
          <w:i/>
          <w:iCs/>
        </w:rPr>
        <w:t xml:space="preserve">Unit Issues in Archaeology: Measuring Time, Space, and Material</w:t>
      </w:r>
      <w:r>
        <w:t xml:space="preserve">, edited by Ann F. Ramenofsky and Anastasia Steffen, pp. 163-189. University of Utah Press, Salt Lake City.</w:t>
      </w:r>
    </w:p>
    <w:p>
      <w:pPr>
        <w:pStyle w:val="BodyText"/>
      </w:pPr>
      <w:r>
        <w:t xml:space="preserve">Price, George R. 1970. Selection and Covariance.</w:t>
      </w:r>
      <w:r>
        <w:t xml:space="preserve"> </w:t>
      </w:r>
      <w:r>
        <w:rPr>
          <w:i/>
          <w:iCs/>
        </w:rPr>
        <w:t xml:space="preserve">Nature</w:t>
      </w:r>
      <w:r>
        <w:t xml:space="preserve"> </w:t>
      </w:r>
      <w:r>
        <w:t xml:space="preserve">227:520-521.</w:t>
      </w:r>
    </w:p>
    <w:p>
      <w:pPr>
        <w:pStyle w:val="BodyText"/>
      </w:pPr>
      <w:r>
        <w:t xml:space="preserve">Quinn, Colin P. 2019. Costly Signaling Theory in Archaeology. In</w:t>
      </w:r>
      <w:r>
        <w:t xml:space="preserve"> </w:t>
      </w:r>
      <w:r>
        <w:rPr>
          <w:i/>
          <w:iCs/>
        </w:rPr>
        <w:t xml:space="preserve">Handbook of Evolutionary Research in Archaeology</w:t>
      </w:r>
      <w:r>
        <w:t xml:space="preserve">, edited by Anna Marie Prentiss, pp. 275-294. Springer, Cham.</w:t>
      </w:r>
    </w:p>
    <w:p>
      <w:pPr>
        <w:pStyle w:val="BodyText"/>
      </w:pPr>
      <w:r>
        <w:t xml:space="preserve">Ramenofsky, Ann F. 1986. The Persistence of Late Archaic Subsistence-Settlement in Louisiana. In</w:t>
      </w:r>
      <w:r>
        <w:t xml:space="preserve"> </w:t>
      </w:r>
      <w:r>
        <w:rPr>
          <w:i/>
          <w:iCs/>
        </w:rPr>
        <w:t xml:space="preserve">Foraging, Collecting, and Harvesting: Archaic Period Subsistence and Settlement in the Eastern Woodlands</w:t>
      </w:r>
      <w:r>
        <w:t xml:space="preserve">, edited by Sarah W. Neusius, pp. 289-312. Occasional Paper No. 6, Center for Archaeological Investigations, Southern Illinois University at Carbondale, Carbondale.</w:t>
      </w:r>
    </w:p>
    <w:p>
      <w:pPr>
        <w:pStyle w:val="BodyText"/>
      </w:pPr>
      <w:r>
        <w:t xml:space="preserve">Ramenofsky, A. F. 1991. Investigating Settlement Strategies at Cowpen Slough, a Late Archaic-Poverty Point Site in Louisiana. In</w:t>
      </w:r>
      <w:r>
        <w:t xml:space="preserve"> </w:t>
      </w:r>
      <w:r>
        <w:rPr>
          <w:i/>
          <w:iCs/>
        </w:rPr>
        <w:t xml:space="preserve">The Poverty Point Culture: Local Manifestations, Subsistence Practices, and Trade Networks</w:t>
      </w:r>
      <w:r>
        <w:t xml:space="preserve">, edited by Kathleen M. Byrd, pp. 159-172. Geoscience and Man 29. Louisiana State University, Baton Rouge.</w:t>
      </w:r>
    </w:p>
    <w:p>
      <w:pPr>
        <w:pStyle w:val="BodyText"/>
      </w:pPr>
      <w:r>
        <w:t xml:space="preserve">Salonen, J. Sakari, Frederik Schenk, John W. Williams, Bryan Shuman, Anna L. Lindroth Dauner, Sebastian Wagner, Johann Jungclaus, Qiong Zhang, and Miska Luoto. 2025. Patterns and Drivers of Holocene Moisture Variability in Mid-Latitude Eastern North America.</w:t>
      </w:r>
      <w:r>
        <w:t xml:space="preserve"> </w:t>
      </w:r>
      <w:r>
        <w:rPr>
          <w:i/>
          <w:iCs/>
        </w:rPr>
        <w:t xml:space="preserve">Nature Communications</w:t>
      </w:r>
      <w:r>
        <w:t xml:space="preserve"> </w:t>
      </w:r>
      <w:r>
        <w:t xml:space="preserve">16:3582.</w:t>
      </w:r>
    </w:p>
    <w:p>
      <w:pPr>
        <w:pStyle w:val="BodyText"/>
      </w:pPr>
      <w:r>
        <w:t xml:space="preserve">Sanger, Matthew C. 2023. Anarchy, Institutional Flexibility, and Containment of Authority at Poverty Point (USA).</w:t>
      </w:r>
      <w:r>
        <w:t xml:space="preserve"> </w:t>
      </w:r>
      <w:r>
        <w:rPr>
          <w:i/>
          <w:iCs/>
        </w:rPr>
        <w:t xml:space="preserve">World Archaeology</w:t>
      </w:r>
      <w:r>
        <w:t xml:space="preserve"> </w:t>
      </w:r>
      <w:r>
        <w:t xml:space="preserve">54:555-571.</w:t>
      </w:r>
    </w:p>
    <w:p>
      <w:pPr>
        <w:pStyle w:val="BodyText"/>
      </w:pPr>
      <w:r>
        <w:t xml:space="preserve">Sanger, Matthew C. 2024. The Archaeology of Awe: Monumental Architecture, Communal Ritual, and Community Formation at Poverty Point, USA.</w:t>
      </w:r>
      <w:r>
        <w:t xml:space="preserve"> </w:t>
      </w:r>
      <w:r>
        <w:rPr>
          <w:i/>
          <w:iCs/>
        </w:rPr>
        <w:t xml:space="preserve">Journal of Archaeological Method and Theory</w:t>
      </w:r>
      <w:r>
        <w:t xml:space="preserve"> </w:t>
      </w:r>
      <w:r>
        <w:t xml:space="preserve">31:1462-1484.</w:t>
      </w:r>
    </w:p>
    <w:p>
      <w:pPr>
        <w:pStyle w:val="BodyText"/>
      </w:pPr>
      <w:r>
        <w:t xml:space="preserve">Sassaman, Kenneth E. 2005. Poverty Point as Structure, Event, Process.</w:t>
      </w:r>
      <w:r>
        <w:t xml:space="preserve"> </w:t>
      </w:r>
      <w:r>
        <w:rPr>
          <w:i/>
          <w:iCs/>
        </w:rPr>
        <w:t xml:space="preserve">Journal of Archaeological Method and Theory</w:t>
      </w:r>
      <w:r>
        <w:t xml:space="preserve"> </w:t>
      </w:r>
      <w:r>
        <w:t xml:space="preserve">12:335-364.</w:t>
      </w:r>
    </w:p>
    <w:p>
      <w:pPr>
        <w:pStyle w:val="BodyText"/>
      </w:pPr>
      <w:r>
        <w:t xml:space="preserve">Sassaman, Kenneth E. 2006.</w:t>
      </w:r>
      <w:r>
        <w:t xml:space="preserve"> </w:t>
      </w:r>
      <w:r>
        <w:rPr>
          <w:i/>
          <w:iCs/>
        </w:rPr>
        <w:t xml:space="preserve">People of the Shoals: Stallings Culture of the Savannah River Valley</w:t>
      </w:r>
      <w:r>
        <w:t xml:space="preserve">. University Press of Florida, Gainesville.</w:t>
      </w:r>
    </w:p>
    <w:p>
      <w:pPr>
        <w:pStyle w:val="BodyText"/>
      </w:pPr>
      <w:r>
        <w:t xml:space="preserve">Sassaman, Kenneth E. 2010.</w:t>
      </w:r>
      <w:r>
        <w:t xml:space="preserve"> </w:t>
      </w:r>
      <w:r>
        <w:rPr>
          <w:i/>
          <w:iCs/>
        </w:rPr>
        <w:t xml:space="preserve">The Eastern Archaic, Historicized</w:t>
      </w:r>
      <w:r>
        <w:t xml:space="preserve">. AltaMira Press, Lanham.</w:t>
      </w:r>
    </w:p>
    <w:p>
      <w:pPr>
        <w:pStyle w:val="BodyText"/>
      </w:pPr>
      <w:r>
        <w:t xml:space="preserve">Sassaman, Kenneth E., and Samuel O. Brookes. 2017. Situating the Claiborne Soapstone Vessel Cache in the History of Poverty Point.</w:t>
      </w:r>
      <w:r>
        <w:t xml:space="preserve"> </w:t>
      </w:r>
      <w:r>
        <w:rPr>
          <w:i/>
          <w:iCs/>
        </w:rPr>
        <w:t xml:space="preserve">American Antiquity</w:t>
      </w:r>
      <w:r>
        <w:t xml:space="preserve"> </w:t>
      </w:r>
      <w:r>
        <w:t xml:space="preserve">82(4):781-797.</w:t>
      </w:r>
    </w:p>
    <w:p>
      <w:pPr>
        <w:pStyle w:val="BodyText"/>
      </w:pPr>
      <w:r>
        <w:t xml:space="preserve">Saucier, Roger T. 1981. Current Thinking on Riverine Processes and Geologic History as Related to Human Settlement in the Southeast.</w:t>
      </w:r>
      <w:r>
        <w:t xml:space="preserve"> </w:t>
      </w:r>
      <w:r>
        <w:rPr>
          <w:i/>
          <w:iCs/>
        </w:rPr>
        <w:t xml:space="preserve">Geoscience and Man</w:t>
      </w:r>
      <w:r>
        <w:t xml:space="preserve"> </w:t>
      </w:r>
      <w:r>
        <w:t xml:space="preserve">22:7-18.</w:t>
      </w:r>
    </w:p>
    <w:p>
      <w:pPr>
        <w:pStyle w:val="BodyText"/>
      </w:pPr>
      <w:r>
        <w:t xml:space="preserve">Saucier, Roger T. 1994.</w:t>
      </w:r>
      <w:r>
        <w:t xml:space="preserve"> </w:t>
      </w:r>
      <w:r>
        <w:rPr>
          <w:i/>
          <w:iCs/>
        </w:rPr>
        <w:t xml:space="preserve">Geomorphology and Quaternary Geologic History of the Lower Mississippi Valley</w:t>
      </w:r>
      <w:r>
        <w:t xml:space="preserve">, 2 vols. U.S. Army Engineer Waterways Experiment Station, Vicksburg, Mississippi.</w:t>
      </w:r>
    </w:p>
    <w:p>
      <w:pPr>
        <w:pStyle w:val="BodyText"/>
      </w:pPr>
      <w:r>
        <w:t xml:space="preserve">Saunders, Joe W., Thurman Allen, and Roger T. Saucier. 1994. Four Archaic? Mound Complexes in Northeast Louisiana.</w:t>
      </w:r>
      <w:r>
        <w:t xml:space="preserve"> </w:t>
      </w:r>
      <w:r>
        <w:rPr>
          <w:i/>
          <w:iCs/>
        </w:rPr>
        <w:t xml:space="preserve">Southeastern Archaeology</w:t>
      </w:r>
      <w:r>
        <w:t xml:space="preserve"> </w:t>
      </w:r>
      <w:r>
        <w:t xml:space="preserve">13:134-153.</w:t>
      </w:r>
    </w:p>
    <w:p>
      <w:pPr>
        <w:pStyle w:val="BodyText"/>
      </w:pPr>
      <w:r>
        <w:t xml:space="preserve">Saunders, Joe W., Reca Bamburg Jones, and Thurman Allen. 2005a.</w:t>
      </w:r>
      <w:r>
        <w:t xml:space="preserve"> </w:t>
      </w:r>
      <w:r>
        <w:rPr>
          <w:i/>
          <w:iCs/>
        </w:rPr>
        <w:t xml:space="preserve">2005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Reca Bamburg Jones, and Thurman Allen. 2009.</w:t>
      </w:r>
      <w:r>
        <w:t xml:space="preserve"> </w:t>
      </w:r>
      <w:r>
        <w:rPr>
          <w:i/>
          <w:iCs/>
        </w:rPr>
        <w:t xml:space="preserve">2009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t xml:space="preserve"> </w:t>
      </w:r>
      <w:r>
        <w:rPr>
          <w:i/>
          <w:iCs/>
        </w:rPr>
        <w:t xml:space="preserve">American Antiquity</w:t>
      </w:r>
      <w:r>
        <w:t xml:space="preserve"> </w:t>
      </w:r>
      <w:r>
        <w:t xml:space="preserve">70:631-668.</w:t>
      </w:r>
    </w:p>
    <w:p>
      <w:pPr>
        <w:pStyle w:val="BodyText"/>
      </w:pPr>
      <w:r>
        <w:t xml:space="preserve">Saunders, Joe W., Thurman Allen, Dennis Labatt, Reca Jones, and David Griffing. 2001. An Assessment of the Antiquity of the Lower Jackson Mound.</w:t>
      </w:r>
      <w:r>
        <w:t xml:space="preserve"> </w:t>
      </w:r>
      <w:r>
        <w:rPr>
          <w:i/>
          <w:iCs/>
        </w:rPr>
        <w:t xml:space="preserve">Southeastern Archaeology</w:t>
      </w:r>
      <w:r>
        <w:t xml:space="preserve"> </w:t>
      </w:r>
      <w:r>
        <w:t xml:space="preserve">20:67-77.</w:t>
      </w:r>
    </w:p>
    <w:p>
      <w:pPr>
        <w:pStyle w:val="BodyText"/>
      </w:pPr>
      <w:r>
        <w:t xml:space="preserve">Sherwood, Sarah C., and Tristram R. Kidder. 2011. The DaVincis of Dirt: Geoarchaeological Perspectives on Native American Mound Building in the Mississippi River Basin.</w:t>
      </w:r>
      <w:r>
        <w:t xml:space="preserve"> </w:t>
      </w:r>
      <w:r>
        <w:rPr>
          <w:i/>
          <w:iCs/>
        </w:rPr>
        <w:t xml:space="preserve">Journal of Anthropological Archaeology</w:t>
      </w:r>
      <w:r>
        <w:t xml:space="preserve"> </w:t>
      </w:r>
      <w:r>
        <w:t xml:space="preserve">30:69-87.</w:t>
      </w:r>
    </w:p>
    <w:p>
      <w:pPr>
        <w:pStyle w:val="BodyText"/>
      </w:pPr>
      <w:r>
        <w:t xml:space="preserve">Singh, Manvir, and Joseph Henrich. 2020. Why Do Religious Leaders Observe Costly Prohibitions? Examining Taboos on Mentawai Shamans.</w:t>
      </w:r>
      <w:r>
        <w:t xml:space="preserve"> </w:t>
      </w:r>
      <w:r>
        <w:rPr>
          <w:i/>
          <w:iCs/>
        </w:rPr>
        <w:t xml:space="preserve">Evolutionary Human Sciences</w:t>
      </w:r>
      <w:r>
        <w:t xml:space="preserve"> </w:t>
      </w:r>
      <w:r>
        <w:t xml:space="preserve">2:e32. https://doi.org/10.1017/ehs.2020.32</w:t>
      </w:r>
    </w:p>
    <w:p>
      <w:pPr>
        <w:pStyle w:val="BodyText"/>
      </w:pPr>
      <w:r>
        <w:t xml:space="preserve">Shuman, Bryan N., and Jeremiah Marsicek. 2016. The Structure of Holocene Climate Change in Mid-Latitude North America.</w:t>
      </w:r>
      <w:r>
        <w:t xml:space="preserve"> </w:t>
      </w:r>
      <w:r>
        <w:rPr>
          <w:i/>
          <w:iCs/>
        </w:rPr>
        <w:t xml:space="preserve">Quaternary Science Reviews</w:t>
      </w:r>
      <w:r>
        <w:t xml:space="preserve"> </w:t>
      </w:r>
      <w:r>
        <w:t xml:space="preserve">141:38-51.</w:t>
      </w:r>
    </w:p>
    <w:p>
      <w:pPr>
        <w:pStyle w:val="BodyText"/>
      </w:pPr>
      <w:r>
        <w:t xml:space="preserve">Smith, Bruce W. 1991. The Late Archaic-Poverty Point Trade Network. In</w:t>
      </w:r>
      <w:r>
        <w:t xml:space="preserve"> </w:t>
      </w:r>
      <w:r>
        <w:rPr>
          <w:i/>
          <w:iCs/>
        </w:rPr>
        <w:t xml:space="preserve">The Poverty Point Culture: Local Manifestations, Subsistence Practices, and Trade Networks</w:t>
      </w:r>
      <w:r>
        <w:t xml:space="preserve">, edited by Kathleen M. Byrd, pp. 173-180. Geoscience and Man 29. Louisiana State University, Baton Rouge.</w:t>
      </w:r>
    </w:p>
    <w:p>
      <w:pPr>
        <w:pStyle w:val="BodyText"/>
      </w:pPr>
      <w:r>
        <w:t xml:space="preserve">Spivey, S. Margaret, Tristram R. Kidder, Anthony L. Ortmann, and Lee J. Arco. 2015. Pilgrimage to Poverty Point? In</w:t>
      </w:r>
      <w:r>
        <w:t xml:space="preserve"> </w:t>
      </w:r>
      <w:r>
        <w:rPr>
          <w:i/>
          <w:iCs/>
        </w:rPr>
        <w:t xml:space="preserve">The Enigma of the Event: Moments of Consequence in the Ancient Southeast</w:t>
      </w:r>
      <w:r>
        <w:t xml:space="preserve">, edited by Zackary Gilmore and Jason O’Donoughue, pp. 230-267. University of Alabama Press, Tuscaloosa.</w:t>
      </w:r>
    </w:p>
    <w:p>
      <w:pPr>
        <w:pStyle w:val="BodyText"/>
      </w:pPr>
      <w:r>
        <w:t xml:space="preserve">Thomas, Prentice M., and L. Janice Campbell. 1978.</w:t>
      </w:r>
      <w:r>
        <w:t xml:space="preserve"> </w:t>
      </w:r>
      <w:r>
        <w:rPr>
          <w:i/>
          <w:iCs/>
        </w:rPr>
        <w:t xml:space="preserve">Faunal Analysis of the Poverty Point Sample</w:t>
      </w:r>
      <w:r>
        <w:t xml:space="preserve">. Report submitted to the Louisiana Office of Cultural Development, Division of Archaeology, Baton Rouge.</w:t>
      </w:r>
    </w:p>
    <w:p>
      <w:pPr>
        <w:pStyle w:val="BodyText"/>
      </w:pPr>
      <w:r>
        <w:t xml:space="preserve">Walthall, John A., Clarence H. Webb, Stephen H. Stow, and Sharon I. Goad. 1982. Galena Analysis and Poverty Point Trade.</w:t>
      </w:r>
      <w:r>
        <w:t xml:space="preserve"> </w:t>
      </w:r>
      <w:r>
        <w:rPr>
          <w:i/>
          <w:iCs/>
        </w:rPr>
        <w:t xml:space="preserve">Mid-Continental Journal of Archaeology</w:t>
      </w:r>
      <w:r>
        <w:t xml:space="preserve"> </w:t>
      </w:r>
      <w:r>
        <w:t xml:space="preserve">7:133-148.</w:t>
      </w:r>
    </w:p>
    <w:p>
      <w:pPr>
        <w:pStyle w:val="BodyText"/>
      </w:pPr>
      <w:r>
        <w:t xml:space="preserve">Ward, Grace M. V., Seth B. Grooms, Andrew G. Schroll, and Tristram R. Kidder. 2022. The View from Jaketown: Considering Variation in the Poverty Point Culture of the Lower Mississippi Valley.</w:t>
      </w:r>
      <w:r>
        <w:t xml:space="preserve"> </w:t>
      </w:r>
      <w:r>
        <w:rPr>
          <w:i/>
          <w:iCs/>
        </w:rPr>
        <w:t xml:space="preserve">American Antiquity</w:t>
      </w:r>
      <w:r>
        <w:t xml:space="preserve"> </w:t>
      </w:r>
      <w:r>
        <w:t xml:space="preserve">87:758-775.</w:t>
      </w:r>
    </w:p>
    <w:p>
      <w:pPr>
        <w:pStyle w:val="BodyText"/>
      </w:pPr>
      <w:r>
        <w:t xml:space="preserve">Ward, Heather D. 1998. The Paleoethnobotanical Record of the Poverty Point Culture: Implications of Past and Current Research.</w:t>
      </w:r>
      <w:r>
        <w:t xml:space="preserve"> </w:t>
      </w:r>
      <w:r>
        <w:rPr>
          <w:i/>
          <w:iCs/>
        </w:rPr>
        <w:t xml:space="preserve">Southeastern Archaeology</w:t>
      </w:r>
      <w:r>
        <w:t xml:space="preserve"> </w:t>
      </w:r>
      <w:r>
        <w:t xml:space="preserve">17:166-174.</w:t>
      </w:r>
    </w:p>
    <w:p>
      <w:pPr>
        <w:pStyle w:val="BodyText"/>
      </w:pPr>
      <w:r>
        <w:t xml:space="preserve">Webb, Clarence H. 1968. The Extent and Content of Poverty Point Culture.</w:t>
      </w:r>
      <w:r>
        <w:t xml:space="preserve"> </w:t>
      </w:r>
      <w:r>
        <w:rPr>
          <w:i/>
          <w:iCs/>
        </w:rPr>
        <w:t xml:space="preserve">American Antiquity</w:t>
      </w:r>
      <w:r>
        <w:t xml:space="preserve"> </w:t>
      </w:r>
      <w:r>
        <w:t xml:space="preserve">33:297-321.</w:t>
      </w:r>
    </w:p>
    <w:p>
      <w:pPr>
        <w:pStyle w:val="BodyText"/>
      </w:pPr>
      <w:r>
        <w:t xml:space="preserve">Webb, Clarence H. 1982.</w:t>
      </w:r>
      <w:r>
        <w:t xml:space="preserve"> </w:t>
      </w:r>
      <w:r>
        <w:rPr>
          <w:i/>
          <w:iCs/>
        </w:rPr>
        <w:t xml:space="preserve">The Poverty Point Culture</w:t>
      </w:r>
      <w:r>
        <w:t xml:space="preserve">. 2nd ed., revised. Geoscience and Man 17. Louisiana State University, Baton Rouge.</w:t>
      </w:r>
    </w:p>
    <w:p>
      <w:pPr>
        <w:pStyle w:val="BodyText"/>
      </w:pPr>
      <w:r>
        <w:t xml:space="preserve">Webb, William S. 1939.</w:t>
      </w:r>
      <w:r>
        <w:t xml:space="preserve"> </w:t>
      </w:r>
      <w:r>
        <w:rPr>
          <w:i/>
          <w:iCs/>
        </w:rPr>
        <w:t xml:space="preserve">An Archaeological Survey of Wheeler Basin on the Tennessee River in Northern Alabama</w:t>
      </w:r>
      <w:r>
        <w:t xml:space="preserve">. Bureau of American Ethnology Bulletin 122. Smithsonian Institution, Washington, D.C.</w:t>
      </w:r>
    </w:p>
    <w:p>
      <w:pPr>
        <w:pStyle w:val="BodyText"/>
      </w:pPr>
      <w:r>
        <w:t xml:space="preserve">Wiessner, Polly. 2002. Hunting, Healing, and Hxaro Exchange: A Long-Term Perspective on !Kung (Ju/’hoansi) Large-Game Hunting.</w:t>
      </w:r>
      <w:r>
        <w:t xml:space="preserve"> </w:t>
      </w:r>
      <w:r>
        <w:rPr>
          <w:i/>
          <w:iCs/>
        </w:rPr>
        <w:t xml:space="preserve">Evolution and Human Behavior</w:t>
      </w:r>
      <w:r>
        <w:t xml:space="preserve"> </w:t>
      </w:r>
      <w:r>
        <w:t xml:space="preserve">23:407-436.</w:t>
      </w:r>
    </w:p>
    <w:p>
      <w:pPr>
        <w:pStyle w:val="BodyText"/>
      </w:pPr>
      <w:r>
        <w:t xml:space="preserve">Winterhalder, Bruce. 1986. Diet Choice, Risk, and Food Sharing in a Stochastic Environment.</w:t>
      </w:r>
      <w:r>
        <w:t xml:space="preserve"> </w:t>
      </w:r>
      <w:r>
        <w:rPr>
          <w:i/>
          <w:iCs/>
        </w:rPr>
        <w:t xml:space="preserve">Journal of Anthropological Archaeology</w:t>
      </w:r>
      <w:r>
        <w:t xml:space="preserve"> </w:t>
      </w:r>
      <w:r>
        <w:t xml:space="preserve">5:369-392.</w:t>
      </w:r>
    </w:p>
    <w:p>
      <w:pPr>
        <w:pStyle w:val="BodyText"/>
      </w:pPr>
      <w:r>
        <w:t xml:space="preserve">Yates, William B. 2009. A Sourcing Study of Soapstone Vessel Fragments from the Poverty Point Archaeological Site (16WC5), West Carroll Parish, Louisiana.</w:t>
      </w:r>
      <w:r>
        <w:t xml:space="preserve"> </w:t>
      </w:r>
      <w:r>
        <w:rPr>
          <w:i/>
          <w:iCs/>
        </w:rPr>
        <w:t xml:space="preserve">Louisiana Archaeology</w:t>
      </w:r>
      <w:r>
        <w:t xml:space="preserve"> </w:t>
      </w:r>
      <w:r>
        <w:t xml:space="preserve">28:25-35.</w:t>
      </w:r>
    </w:p>
    <w:p>
      <w:pPr>
        <w:pStyle w:val="BodyText"/>
      </w:pPr>
      <w:r>
        <w:t xml:space="preserve">Zahavi, Amotz. 1975. Mate Selection: A Selection for a Handicap.</w:t>
      </w:r>
      <w:r>
        <w:t xml:space="preserve"> </w:t>
      </w:r>
      <w:r>
        <w:rPr>
          <w:i/>
          <w:iCs/>
        </w:rPr>
        <w:t xml:space="preserve">Journal of Theoretical Biology</w:t>
      </w:r>
      <w:r>
        <w:t xml:space="preserve"> </w:t>
      </w:r>
      <w:r>
        <w:t xml:space="preserve">53:205-214.</w:t>
      </w:r>
    </w:p>
    <w:bookmarkEnd w:id="91"/>
    <w:bookmarkStart w:id="92" w:name="supplemental-material"/>
    <w:p>
      <w:pPr>
        <w:pStyle w:val="Heading2"/>
      </w:pPr>
      <w:r>
        <w:t xml:space="preserve">Supplemental Material</w:t>
      </w:r>
    </w:p>
    <w:p>
      <w:pPr>
        <w:pStyle w:val="FirstParagraph"/>
      </w:pPr>
      <w: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t xml:space="preserve"> </w:t>
      </w:r>
      <m:oMath>
        <m:sSub>
          <m:e>
            <m:r>
              <m:t>n</m:t>
            </m:r>
          </m:e>
          <m:sub>
            <m:r>
              <m:t>a</m:t>
            </m:r>
            <m:r>
              <m:t>g</m:t>
            </m:r>
            <m:r>
              <m:t>g</m:t>
            </m:r>
          </m:sub>
        </m:sSub>
      </m:oMath>
      <w:r>
        <w:t xml:space="preserve"> </w:t>
      </w:r>
      <w: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2026-05-27T15:33:36Z</dcterms:created>
  <dcterms:modified xsi:type="dcterms:W3CDTF">2026-05-27T15:33:36Z</dcterms:modified>
</cp:coreProperties>
</file>

<file path=docProps/custom.xml><?xml version="1.0" encoding="utf-8"?>
<Properties xmlns="http://schemas.openxmlformats.org/officeDocument/2006/custom-properties" xmlns:vt="http://schemas.openxmlformats.org/officeDocument/2006/docPropsVTypes"/>
</file>