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37.png" ContentType="image/png"/>
  <Override PartName="/word/media/rId40.png" ContentType="image/png"/>
  <Override PartName="/word/media/rId43.png" ContentType="image/png"/>
  <Override PartName="/word/media/rId49.png" ContentType="image/png"/>
  <Override PartName="/word/media/rId53.png" ContentType="image/png"/>
  <Override PartName="/word/media/rId60.png" ContentType="image/png"/>
  <Override PartName="/word/media/rId66.png" ContentType="image/png"/>
  <Override PartName="/word/media/rId69.png" ContentType="image/png"/>
  <Override PartName="/word/media/rId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Xa6004f5551c2b0e3a47e9a02ffe5d96c935eddd"/>
    <w:p>
      <w:pPr>
        <w:pStyle w:val="Heading1"/>
      </w:pPr>
      <w:r>
        <w:t xml:space="preserve">Supplemental Material for</w:t>
      </w:r>
      <w:r>
        <w:t xml:space="preserve"> </w:t>
      </w:r>
      <w:r>
        <w:rPr>
          <w:i/>
          <w:iCs/>
        </w:rPr>
        <w:t xml:space="preserve">Signaling under environmental uncertainty: A multilevel-selection threshold model for Poverty Point</w:t>
      </w:r>
    </w:p>
    <w:p>
      <w:pPr>
        <w:pStyle w:val="FirstParagraph"/>
      </w:pPr>
      <w:r>
        <w:t xml:space="preserve">This supplemental information accompanies the main manuscript. Sections S1-S5 develop the theoretical framework, the agent-based model specification, parameter justifications, sensitivity analyses, and supplemental theoretical figures. Sections S6-S17 develop the empirical-evaluation supporting analyses, including the zone-access scoring rubric, the Watson Brake bistable analysis, the multi-drainage USGS gauge analysis, the seasonal phenology analysis, and the six model components used in the §6 evaluations together with priority follow-up work. A combined supplemental references list closes the document.</w:t>
      </w:r>
    </w:p>
    <w:p>
      <w:r>
        <w:pict>
          <v:rect style="width:0;height:1.5pt" o:hralign="center" o:hrstd="t" o:hr="t"/>
        </w:pict>
      </w:r>
    </w:p>
    <w:bookmarkStart w:id="15" w:name="Xf5b680c1329f9f1d755046d9b6764fc8f262881"/>
    <w:p>
      <w:pPr>
        <w:pStyle w:val="Heading2"/>
      </w:pPr>
      <w:r>
        <w:t xml:space="preserve">S1. ODD Protocol: Complete Model Specification</w:t>
      </w:r>
    </w:p>
    <w:p>
      <w:pPr>
        <w:pStyle w:val="FirstParagraph"/>
      </w:pPr>
      <w:r>
        <w:t xml:space="preserve">The model is documented under the</w:t>
      </w:r>
      <w:r>
        <w:t xml:space="preserve"> </w:t>
      </w:r>
      <w:r>
        <w:rPr>
          <w:b/>
          <w:bCs/>
        </w:rPr>
        <w:t xml:space="preserve">ODD protocol</w:t>
      </w:r>
      <w:r>
        <w:t xml:space="preserve"> </w:t>
      </w:r>
      <w:r>
        <w:t xml:space="preserve">(Overview, Design concepts, Details; Grimm et al. 2010), a standardized format for agent-based-model documentation that allows other researchers to replicate the model. ODD is a documentation convention rather than a substantive theoretical choice. The headings below (Purpose and patterns, Entities and state variables, Process overview and scheduling, Design concepts, Initialization, Submodels) follow the ODD specification.</w:t>
      </w:r>
    </w:p>
    <w:p>
      <w:pPr>
        <w:pStyle w:val="BodyText"/>
      </w:pPr>
      <w:r>
        <w:t xml:space="preserve">The model is specified following the ODD (Overview, Design concepts, Details) protocol (Grimm et al. 2010). Source code is available at https://github.com/clipo/poverty-point.</w:t>
      </w:r>
    </w:p>
    <w:bookmarkStart w:id="9" w:name="s1.1-purpose-and-patterns"/>
    <w:p>
      <w:pPr>
        <w:pStyle w:val="Heading3"/>
      </w:pPr>
      <w:r>
        <w:t xml:space="preserve">S1.1 Purpose and patterns</w:t>
      </w:r>
    </w:p>
    <w:p>
      <w:pPr>
        <w:pStyle w:val="FirstParagraph"/>
      </w:pPr>
      <w:r>
        <w:rPr>
          <w:b/>
          <w:bCs/>
        </w:rPr>
        <w:t xml:space="preserve">Purpose.</w:t>
      </w:r>
      <w:r>
        <w:t xml:space="preserve"> </w:t>
      </w:r>
      <w:r>
        <w:t xml:space="preserve">The model formalizes a multilevel-selection account of monument construction and exotic-goods accumulation by mobile hunter-gatherer bands, asking under what environmental and structural conditions aggregation-based costly signaling becomes adaptive.</w:t>
      </w:r>
    </w:p>
    <w:p>
      <w:pPr>
        <w:pStyle w:val="BodyText"/>
      </w:pPr>
      <w:r>
        <w:rPr>
          <w:b/>
          <w:bCs/>
        </w:rPr>
        <w:t xml:space="preserve">Patterns to reproduce.</w:t>
      </w:r>
      <w:r>
        <w:t xml:space="preserve"> </w:t>
      </w:r>
      <w:r>
        <w:t xml:space="preserve">(i) Sharp phase transition between independent and aggregator regimes near a critical environmental-uncertainty value; (ii) order-of-magnitude match to Poverty Point earthwork volume after applying a single physically interpretable scaling factor; (iii) exponential distance decay in exotic-goods source-frequency ratios consistent with Webb (1982) inventories; (iv) episodic, pulsed construction tempo following environmental shortfalls; (v) regional site hierarchy that scales with ecotone diversity rather than network centrality.</w:t>
      </w:r>
    </w:p>
    <w:bookmarkEnd w:id="9"/>
    <w:bookmarkStart w:id="10" w:name="s1.2-entities-state-variables-scales"/>
    <w:p>
      <w:pPr>
        <w:pStyle w:val="Heading3"/>
      </w:pPr>
      <w:r>
        <w:t xml:space="preserve">S1.2 Entities, state variables, scales</w:t>
      </w:r>
    </w:p>
    <w:p>
      <w:pPr>
        <w:pStyle w:val="FirstParagraph"/>
      </w:pPr>
      <w:r>
        <w:t xml:space="preserve">The principal entity is the</w:t>
      </w:r>
      <w:r>
        <w:t xml:space="preserve"> </w:t>
      </w:r>
      <w:r>
        <w:rPr>
          <w:b/>
          <w:bCs/>
        </w:rPr>
        <w:t xml:space="preserve">band</w:t>
      </w:r>
      <w:r>
        <w:t xml:space="preserve">, a small cooperative unit of 15-30 individuals. Each band</w:t>
      </w:r>
      <w:r>
        <w:t xml:space="preserve"> </w:t>
      </w:r>
      <m:oMath>
        <m:r>
          <m:t>i</m:t>
        </m:r>
      </m:oMath>
      <w:r>
        <w:t xml:space="preserve"> </w:t>
      </w:r>
      <w:r>
        <w:t xml:space="preserve">at time</w:t>
      </w:r>
      <w:r>
        <w:t xml:space="preserve"> </w:t>
      </w:r>
      <m:oMath>
        <m:r>
          <m:t>t</m:t>
        </m:r>
      </m:oMath>
      <w:r>
        <w:t xml:space="preserve"> </w:t>
      </w:r>
      <w:r>
        <w:t xml:space="preserve">has state variables: location</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(spatial); resources</w:t>
      </w:r>
      <w:r>
        <w:t xml:space="preserve"> </w:t>
      </w:r>
      <m:oMath>
        <m:sSub>
          <m:e>
            <m:r>
              <m:t>R</m:t>
            </m:r>
          </m:e>
          <m:sub>
            <m:r>
              <m:t>i</m:t>
            </m:r>
          </m:sub>
        </m:sSub>
      </m:oMath>
      <w:r>
        <w:t xml:space="preserve"> </w:t>
      </w:r>
      <w:r>
        <w:t xml:space="preserve">(normalized to 0-1); strategy</w:t>
      </w:r>
      <w:r>
        <w:t xml:space="preserve"> </w:t>
      </w:r>
      <m:oMath>
        <m:sSub>
          <m:e>
            <m:r>
              <m:t>s</m:t>
            </m:r>
          </m:e>
          <m:sub>
            <m:r>
              <m:t>i</m:t>
            </m:r>
          </m:sub>
        </m:sSub>
        <m:r>
          <m:rPr>
            <m:sty m:val="p"/>
          </m:rPr>
          <m:t>∈</m:t>
        </m:r>
        <m:r>
          <m:rPr>
            <m:sty m:val="p"/>
          </m:rPr>
          <m:t>{</m:t>
        </m:r>
      </m:oMath>
      <w:r>
        <w:t xml:space="preserve">aggregator, independent</w:t>
      </w:r>
      <m:oMath>
        <m:r>
          <m:rPr>
            <m:sty m:val="p"/>
          </m:rPr>
          <m:t>}</m:t>
        </m:r>
      </m:oMath>
      <w:r>
        <w:t xml:space="preserve">; quality</w:t>
      </w:r>
      <w:r>
        <w:t xml:space="preserve"> </w:t>
      </w:r>
      <m:oMath>
        <m:sSub>
          <m:e>
            <m:r>
              <m:t>q</m:t>
            </m:r>
          </m:e>
          <m:sub>
            <m:r>
              <m:t>i</m:t>
            </m:r>
          </m:sub>
        </m:sSub>
      </m:oMath>
      <w:r>
        <w:t xml:space="preserve"> </w:t>
      </w:r>
      <w:r>
        <w:t xml:space="preserve">(productive capacity, drawn from a uniform distribution on</w:t>
      </w:r>
      <w:r>
        <w:t xml:space="preserve"> </w:t>
      </w:r>
      <m:oMath>
        <m:r>
          <m:rPr>
            <m:sty m:val="p"/>
          </m:rPr>
          <m:t>[</m:t>
        </m:r>
        <m:sSub>
          <m:e>
            <m:r>
              <m:t>q</m:t>
            </m:r>
          </m:e>
          <m:sub>
            <m:r>
              <m:t>m</m:t>
            </m:r>
            <m:r>
              <m:t>i</m:t>
            </m:r>
            <m:r>
              <m:t>n</m:t>
            </m:r>
          </m:sub>
        </m:sSub>
        <m:r>
          <m:rPr>
            <m:sty m:val="p"/>
          </m:rPr>
          <m:t>,</m:t>
        </m:r>
        <m:sSub>
          <m:e>
            <m:r>
              <m:t>q</m:t>
            </m:r>
          </m:e>
          <m:sub>
            <m:r>
              <m:t>m</m:t>
            </m:r>
            <m:r>
              <m:t>a</m:t>
            </m:r>
            <m:r>
              <m:t>x</m:t>
            </m:r>
          </m:sub>
        </m:sSub>
        <m:r>
          <m:rPr>
            <m:sty m:val="p"/>
          </m:rPr>
          <m:t>]</m:t>
        </m:r>
        <m:r>
          <m:rPr>
            <m:sty m:val="p"/>
          </m:rPr>
          <m:t>=</m:t>
        </m:r>
        <m:r>
          <m:rPr>
            <m:sty m:val="p"/>
          </m:rPr>
          <m:t>[</m:t>
        </m:r>
        <m:r>
          <m:t>0.2</m:t>
        </m:r>
        <m:r>
          <m:rPr>
            <m:sty m:val="p"/>
          </m:rPr>
          <m:t>,</m:t>
        </m:r>
        <m:r>
          <m:t>2.0</m:t>
        </m:r>
        <m:r>
          <m:rPr>
            <m:sty m:val="p"/>
          </m:rPr>
          <m:t>]</m:t>
        </m:r>
      </m:oMath>
      <w:r>
        <w:t xml:space="preserve">, an order-of-magnitude range consistent with documented variation in hunter-gatherer per-individual return rates: e.g., Hadza big-game hunting and Ju/’hoansi foraging both show roughly 10-fold within-population variance in productive capacity); accumulated monument investment</w:t>
      </w:r>
      <w:r>
        <w:t xml:space="preserve"> </w:t>
      </w:r>
      <m:oMath>
        <m:sSub>
          <m:e>
            <m:r>
              <m:t>I</m:t>
            </m:r>
          </m:e>
          <m:sub>
            <m:r>
              <m:t>i</m:t>
            </m:r>
          </m:sub>
        </m:sSub>
      </m:oMath>
      <w:r>
        <w:t xml:space="preserve">; exotic holdings vector</w:t>
      </w:r>
      <w:r>
        <w:t xml:space="preserve"> </w:t>
      </w:r>
      <m:oMath>
        <m:sSub>
          <m:e>
            <m:r>
              <m:t>E</m:t>
            </m:r>
          </m:e>
          <m:sub>
            <m:r>
              <m:t>i</m:t>
            </m:r>
          </m:sub>
        </m:sSub>
      </m:oMath>
      <w:r>
        <w:t xml:space="preserve"> </w:t>
      </w:r>
      <w:r>
        <w:t xml:space="preserve">by source; obligation network edges</w:t>
      </w:r>
      <w:r>
        <w:t xml:space="preserve"> </w:t>
      </w:r>
      <m:oMath>
        <m:sSub>
          <m:e>
            <m:r>
              <m:t>O</m:t>
            </m:r>
          </m:e>
          <m:sub>
            <m:r>
              <m:t>i</m:t>
            </m:r>
            <m:r>
              <m:t>j</m:t>
            </m:r>
          </m:sub>
        </m:sSub>
      </m:oMath>
      <w:r>
        <w:t xml:space="preserve"> </w:t>
      </w:r>
      <w:r>
        <w:t xml:space="preserve">to other bands; prestige</w:t>
      </w:r>
      <w:r>
        <w:t xml:space="preserve"> </w:t>
      </w:r>
      <m:oMath>
        <m:sSub>
          <m:e>
            <m:r>
              <m:t>P</m:t>
            </m:r>
          </m:e>
          <m:sub>
            <m:r>
              <m:t>i</m:t>
            </m:r>
          </m:sub>
        </m:sSub>
      </m:oMath>
      <w:r>
        <w:t xml:space="preserve">. The aggregation site has cumulative monument stock</w:t>
      </w:r>
      <w:r>
        <w:t xml:space="preserve"> </w:t>
      </w:r>
      <m:oMath>
        <m:sSub>
          <m:e>
            <m:r>
              <m:t>M</m:t>
            </m:r>
          </m:e>
          <m:sub>
            <m:r>
              <m:t>g</m:t>
            </m:r>
          </m:sub>
        </m:sSub>
      </m:oMath>
      <w:r>
        <w:t xml:space="preserve">, aggregation history, and ecotone advantage</w:t>
      </w:r>
      <w:r>
        <w:t xml:space="preserve"> </w:t>
      </w:r>
      <m:oMath>
        <m:r>
          <m:t>ε</m:t>
        </m:r>
      </m:oMath>
      <w:r>
        <w:t xml:space="preserve">. Time is discrete with annual steps. Each year is partitioned into spring dispersal/foraging, summer aggregation, fall harvest, and winter reproduction.</w:t>
      </w:r>
    </w:p>
    <w:bookmarkEnd w:id="10"/>
    <w:bookmarkStart w:id="11" w:name="s1.3-process-overview-and-scheduling"/>
    <w:p>
      <w:pPr>
        <w:pStyle w:val="Heading3"/>
      </w:pPr>
      <w:r>
        <w:t xml:space="preserve">S1.3 Process overview and scheduling</w:t>
      </w:r>
    </w:p>
    <w:p>
      <w:pPr>
        <w:pStyle w:val="FirstParagraph"/>
      </w:pPr>
      <w:r>
        <w:t xml:space="preserve">Each year, each process executes exactly once, in this order:</w:t>
      </w:r>
      <w:r>
        <w:t xml:space="preserve"> </w:t>
      </w:r>
      <w:r>
        <w:t xml:space="preserve">1.</w:t>
      </w:r>
      <w:r>
        <w:t xml:space="preserve"> </w:t>
      </w:r>
      <w:r>
        <w:rPr>
          <w:b/>
          <w:bCs/>
        </w:rPr>
        <w:t xml:space="preserve">Environmental update:</w:t>
      </w:r>
      <w:r>
        <w:t xml:space="preserve"> </w:t>
      </w:r>
      <w:r>
        <w:t xml:space="preserve">advance annual zone shocks. Shortfall onset is Bernoulli with per-year probability</w:t>
      </w:r>
      <w:r>
        <w:t xml:space="preserve"> </w:t>
      </w:r>
      <m:oMath>
        <m:r>
          <m:t>1</m:t>
        </m:r>
        <m:r>
          <m:rPr>
            <m:sty m:val="p"/>
          </m:rPr>
          <m:t>/</m:t>
        </m:r>
        <m:r>
          <m:t>T</m:t>
        </m:r>
      </m:oMath>
      <w:r>
        <w:t xml:space="preserve">; event magnitude is drawn from</w:t>
      </w:r>
      <w:r>
        <w:t xml:space="preserve"> </w:t>
      </w:r>
      <m:oMath>
        <m:r>
          <m:rPr>
            <m:scr m:val="script"/>
            <m:sty m:val="p"/>
          </m:rPr>
          <m:t>N</m:t>
        </m:r>
        <m:r>
          <m:rPr>
            <m:sty m:val="p"/>
          </m:rPr>
          <m:t>(</m:t>
        </m:r>
        <m:r>
          <m:t>m</m:t>
        </m:r>
        <m:r>
          <m:rPr>
            <m:sty m:val="p"/>
          </m:rPr>
          <m:t>,</m:t>
        </m:r>
        <m:r>
          <m:t>0.15</m:t>
        </m:r>
        <m:r>
          <m:rPr>
            <m:sty m:val="p"/>
          </m:rPr>
          <m:t>)</m:t>
        </m:r>
      </m:oMath>
      <w:r>
        <w:t xml:space="preserve"> </w:t>
      </w:r>
      <w:r>
        <w:t xml:space="preserve">clipped to</w:t>
      </w:r>
      <w:r>
        <w:t xml:space="preserve"> </w:t>
      </w:r>
      <m:oMath>
        <m:r>
          <m:rPr>
            <m:sty m:val="p"/>
          </m:rPr>
          <m:t>[</m:t>
        </m:r>
        <m:r>
          <m:t>0.1</m:t>
        </m:r>
        <m:r>
          <m:rPr>
            <m:sty m:val="p"/>
          </m:rPr>
          <m:t>,</m:t>
        </m:r>
        <m:r>
          <m:t>0.9</m:t>
        </m:r>
        <m:r>
          <m:rPr>
            <m:sty m:val="p"/>
          </m:rPr>
          <m:t>]</m:t>
        </m:r>
      </m:oMath>
      <w:r>
        <w:t xml:space="preserve">, and each event persists</w:t>
      </w:r>
      <w:r>
        <w:t xml:space="preserve"> </w:t>
      </w:r>
      <m:oMath>
        <m:r>
          <m:rPr>
            <m:sty m:val="p"/>
          </m:rPr>
          <m:t>max</m:t>
        </m:r>
        <m:r>
          <m:rPr>
            <m:sty m:val="p"/>
          </m:rPr>
          <m:t>(</m:t>
        </m:r>
        <m:r>
          <m:t>1</m:t>
        </m:r>
        <m:r>
          <m:rPr>
            <m:sty m:val="p"/>
          </m:rPr>
          <m:t>,</m:t>
        </m:r>
        <m:r>
          <m:rPr>
            <m:sty m:val="p"/>
          </m:rPr>
          <m:t>⌊</m:t>
        </m:r>
        <m:r>
          <m:t>1</m:t>
        </m:r>
        <m:r>
          <m:rPr>
            <m:sty m:val="p"/>
          </m:rPr>
          <m:t>+</m:t>
        </m:r>
        <m:r>
          <m:rPr>
            <m:nor/>
            <m:sty m:val="p"/>
          </m:rPr>
          <m:t>magnitude</m:t>
        </m:r>
        <m:r>
          <m:rPr>
            <m:sty m:val="p"/>
          </m:rPr>
          <m:t>×</m:t>
        </m:r>
        <m:r>
          <m:rPr>
            <m:nor/>
            <m:sty m:val="p"/>
          </m:rPr>
          <m:t>duration_scale</m:t>
        </m:r>
        <m:r>
          <m:rPr>
            <m:sty m:val="p"/>
          </m:rPr>
          <m:t>⌋</m:t>
        </m:r>
        <m:r>
          <m:rPr>
            <m:sty m:val="p"/>
          </m:rPr>
          <m:t>)</m:t>
        </m:r>
      </m:oMath>
      <w:r>
        <w:t xml:space="preserve"> </w:t>
      </w:r>
      <w:r>
        <w:t xml:space="preserve">years (duration_scale 2.0-2.5 by scenario). In shortfall years every harvest draw is reduced by the event severity, propagating the shortfall through realized productivity. Harvests are also density-dependent: the per-band share scales inversely with the current band count (normalized to the initial 50), representing finite regional productivity. The composite</w:t>
      </w:r>
      <w:r>
        <w:t xml:space="preserve"> </w:t>
      </w:r>
      <m:oMath>
        <m:r>
          <m:t>σ</m:t>
        </m:r>
      </m:oMath>
      <w:r>
        <w:t xml:space="preserve"> </w:t>
      </w:r>
      <w:r>
        <w:t xml:space="preserve">is computed from the canonical formula</w:t>
      </w:r>
      <w:r>
        <w:t xml:space="preserve"> </w:t>
      </w:r>
      <m:oMath>
        <m:r>
          <m:t>m</m:t>
        </m:r>
        <m:rad>
          <m:radPr>
            <m:degHide m:val="on"/>
          </m:radPr>
          <m:deg/>
          <m:e>
            <m:r>
              <m:t>20</m:t>
            </m:r>
            <m:r>
              <m:rPr>
                <m:sty m:val="p"/>
              </m:rPr>
              <m:t>/</m:t>
            </m:r>
            <m:r>
              <m:t>T</m:t>
            </m:r>
          </m:e>
        </m:rad>
      </m:oMath>
      <w:r>
        <w:t xml:space="preserve"> </w:t>
      </w:r>
      <w:r>
        <w:t xml:space="preserve">with a small realized-variance (CV) adjustment.</w:t>
      </w:r>
      <w:r>
        <w:t xml:space="preserve"> </w:t>
      </w:r>
      <w:r>
        <w:t xml:space="preserve">2.</w:t>
      </w:r>
      <w:r>
        <w:t xml:space="preserve"> </w:t>
      </w:r>
      <w:r>
        <w:rPr>
          <w:b/>
          <w:bCs/>
        </w:rPr>
        <w:t xml:space="preserve">Strategy decision (synchronous):</w:t>
      </w:r>
      <w:r>
        <w:t xml:space="preserve"> </w:t>
      </w:r>
      <w:r>
        <w:t xml:space="preserve">every band evaluates</w:t>
      </w:r>
      <w:r>
        <w:t xml:space="preserve"> </w:t>
      </w:r>
      <m:oMath>
        <m:sSub>
          <m:e>
            <m:r>
              <m:t>W</m:t>
            </m:r>
          </m:e>
          <m:sub>
            <m:r>
              <m:t>a</m:t>
            </m:r>
            <m:r>
              <m:t>g</m:t>
            </m:r>
            <m:r>
              <m:t>g</m:t>
            </m:r>
          </m:sub>
        </m:sSub>
      </m:oMath>
      <w:r>
        <w:t xml:space="preserve"> </w:t>
      </w:r>
      <w:r>
        <w:t xml:space="preserve">and</w:t>
      </w:r>
      <w:r>
        <w:t xml:space="preserve"> </w:t>
      </w:r>
      <m:oMath>
        <m:sSub>
          <m:e>
            <m:r>
              <m:t>W</m:t>
            </m:r>
          </m:e>
          <m:sub>
            <m:r>
              <m:t>i</m:t>
            </m:r>
            <m:r>
              <m:t>n</m:t>
            </m:r>
            <m:r>
              <m:t>d</m:t>
            </m:r>
          </m:sub>
        </m:sSub>
      </m:oMath>
      <w:r>
        <w:t xml:space="preserve"> </w:t>
      </w:r>
      <w:r>
        <w:t xml:space="preserve">against the same start-of-year population state: the previous year’s realized attendance, the site’s depreciated monument signal stock</w:t>
      </w:r>
      <w:r>
        <w:t xml:space="preserve"> </w:t>
      </w:r>
      <m:oMath>
        <m:sSub>
          <m:e>
            <m:r>
              <m:t>M</m:t>
            </m:r>
          </m:e>
          <m:sub>
            <m:r>
              <m:t>g</m:t>
            </m:r>
          </m:sub>
        </m:sSub>
      </m:oMath>
      <w:r>
        <w:t xml:space="preserve">, and the signaling incentive</w:t>
      </w:r>
      <w:r>
        <w:t xml:space="preserve"> </w:t>
      </w:r>
      <m:oMath>
        <m:r>
          <m:t>λ</m:t>
        </m:r>
        <m:r>
          <m:rPr>
            <m:sty m:val="p"/>
          </m:rPr>
          <m:t>=</m:t>
        </m:r>
        <m:sSub>
          <m:e>
            <m:r>
              <m:t>λ</m:t>
            </m:r>
          </m:e>
          <m:sub>
            <m:r>
              <m:t>W</m:t>
            </m:r>
          </m:sub>
        </m:sSub>
        <m:r>
          <m:rPr>
            <m:sty m:val="p"/>
          </m:rPr>
          <m:t>+</m:t>
        </m:r>
        <m:sSub>
          <m:e>
            <m:r>
              <m:t>λ</m:t>
            </m:r>
          </m:e>
          <m:sub>
            <m:r>
              <m:t>C</m:t>
            </m:r>
          </m:sub>
        </m:sSub>
        <m:r>
          <m:rPr>
            <m:sty m:val="p"/>
          </m:rPr>
          <m:t>(</m:t>
        </m:r>
        <m:sSub>
          <m:e>
            <m:r>
              <m:t>M</m:t>
            </m:r>
          </m:e>
          <m:sub>
            <m:r>
              <m:t>g</m:t>
            </m:r>
          </m:sub>
        </m:sSub>
        <m:r>
          <m:rPr>
            <m:sty m:val="p"/>
          </m:rPr>
          <m:t>)</m:t>
        </m:r>
        <m:r>
          <m:rPr>
            <m:sty m:val="p"/>
          </m:rPr>
          <m:t>+</m:t>
        </m:r>
        <m:sSub>
          <m:e>
            <m:r>
              <m:t>λ</m:t>
            </m:r>
          </m:e>
          <m:sub>
            <m:r>
              <m:t>X</m:t>
            </m:r>
          </m:sub>
        </m:sSub>
        <m:r>
          <m:rPr>
            <m:sty m:val="p"/>
          </m:rPr>
          <m:t>(</m:t>
        </m:r>
        <m:sSub>
          <m:e>
            <m:r>
              <m:t>M</m:t>
            </m:r>
          </m:e>
          <m:sub>
            <m:r>
              <m:t>g</m:t>
            </m:r>
          </m:sub>
        </m:sSub>
        <m:r>
          <m:rPr>
            <m:sty m:val="p"/>
          </m:rPr>
          <m:t>,</m:t>
        </m:r>
        <m:r>
          <m:t>σ</m:t>
        </m:r>
        <m:r>
          <m:rPr>
            <m:sty m:val="p"/>
          </m:rPr>
          <m:t>)</m:t>
        </m:r>
      </m:oMath>
      <w:r>
        <w:t xml:space="preserve"> </w:t>
      </w:r>
      <w:r>
        <w:t xml:space="preserve">implied by that stock. The choice is a softmax on the fitness difference (temperature</w:t>
      </w:r>
      <w:r>
        <w:t xml:space="preserve"> </w:t>
      </w:r>
      <m:oMath>
        <m:r>
          <m:t>τ</m:t>
        </m:r>
        <m:r>
          <m:rPr>
            <m:sty m:val="p"/>
          </m:rPr>
          <m:t>=</m:t>
        </m:r>
        <m:r>
          <m:t>0.1</m:t>
        </m:r>
      </m:oMath>
      <w:r>
        <w:t xml:space="preserve">) with the</w:t>
      </w:r>
      <w:r>
        <w:t xml:space="preserve"> </w:t>
      </w:r>
      <m:oMath>
        <m:r>
          <m:rPr>
            <m:sty m:val="p"/>
          </m:rPr>
          <m:t>±</m:t>
        </m:r>
        <m:r>
          <m:t>0.05</m:t>
        </m:r>
      </m:oMath>
      <w:r>
        <w:t xml:space="preserve"> </w:t>
      </w:r>
      <w:r>
        <w:t xml:space="preserve">recent-experience memory adjustment (main §3).</w:t>
      </w:r>
      <w:r>
        <w:t xml:space="preserve"> </w:t>
      </w:r>
      <w:r>
        <w:t xml:space="preserve">3.</w:t>
      </w:r>
      <w:r>
        <w:t xml:space="preserve"> </w:t>
      </w:r>
      <w:r>
        <w:rPr>
          <w:b/>
          <w:bCs/>
        </w:rPr>
        <w:t xml:space="preserve">Travel and aggregation:</w:t>
      </w:r>
      <w:r>
        <w:t xml:space="preserve"> </w:t>
      </w:r>
      <w:r>
        <w:t xml:space="preserve">aggregators incur travel cost</w:t>
      </w:r>
      <w:r>
        <w:t xml:space="preserve"> </w:t>
      </w:r>
      <m:oMath>
        <m:sSub>
          <m:e>
            <m:r>
              <m:t>C</m:t>
            </m:r>
          </m:e>
          <m:sub>
            <m:r>
              <m:t>t</m:t>
            </m:r>
            <m:r>
              <m:t>r</m:t>
            </m:r>
            <m:r>
              <m:t>a</m:t>
            </m:r>
            <m:r>
              <m:t>v</m:t>
            </m:r>
            <m:r>
              <m:t>e</m:t>
            </m:r>
            <m:r>
              <m:t>l</m:t>
            </m:r>
          </m:sub>
        </m:sSub>
        <m:r>
          <m:rPr>
            <m:sty m:val="p"/>
          </m:rPr>
          <m:t>=</m:t>
        </m:r>
        <m:r>
          <m:t>0.0004</m:t>
        </m:r>
        <m:r>
          <m:t>d</m:t>
        </m:r>
      </m:oMath>
      <w:r>
        <w:t xml:space="preserve"> </w:t>
      </w:r>
      <w:r>
        <w:t xml:space="preserve">to the actual site location (capped at 30% of current resources), arrive at the site, and harvest ecotone resources.</w:t>
      </w:r>
      <w:r>
        <w:t xml:space="preserve"> </w:t>
      </w:r>
      <w:r>
        <w:t xml:space="preserve">4.</w:t>
      </w:r>
      <w:r>
        <w:t xml:space="preserve"> </w:t>
      </w:r>
      <w:r>
        <w:rPr>
          <w:b/>
          <w:bCs/>
        </w:rPr>
        <w:t xml:space="preserve">Monument investment:</w:t>
      </w:r>
      <w:r>
        <w:t xml:space="preserve"> </w:t>
      </w:r>
      <w:r>
        <w:t xml:space="preserve">attending bands with</w:t>
      </w:r>
      <w:r>
        <w:t xml:space="preserve"> </w:t>
      </w:r>
      <m:oMath>
        <m:sSub>
          <m:e>
            <m:r>
              <m:t>R</m:t>
            </m:r>
          </m:e>
          <m:sub>
            <m:r>
              <m:t>i</m:t>
            </m:r>
          </m:sub>
        </m:sSub>
        <m:r>
          <m:rPr>
            <m:sty m:val="p"/>
          </m:rPr>
          <m:t>&gt;</m:t>
        </m:r>
        <m:r>
          <m:t>0.3</m:t>
        </m:r>
      </m:oMath>
      <w:r>
        <w:t xml:space="preserve"> </w:t>
      </w:r>
      <w:r>
        <w:t xml:space="preserve">contribute at the signaling-equilibrium level</w:t>
      </w:r>
      <w:r>
        <w:t xml:space="preserve"> </w:t>
      </w:r>
      <m:oMath>
        <m:sSup>
          <m:e>
            <m:r>
              <m:t>x</m:t>
            </m:r>
          </m:e>
          <m:sup>
            <m:r>
              <m:rPr>
                <m:sty m:val="p"/>
              </m:rPr>
              <m:t>*</m:t>
            </m:r>
          </m:sup>
        </m:sSup>
        <m:r>
          <m:rPr>
            <m:sty m:val="p"/>
          </m:rPr>
          <m:t>(</m:t>
        </m:r>
        <m:sSub>
          <m:e>
            <m:r>
              <m:t>q</m:t>
            </m:r>
          </m:e>
          <m:sub>
            <m:r>
              <m:t>i</m:t>
            </m:r>
          </m:sub>
        </m:sSub>
        <m:r>
          <m:rPr>
            <m:sty m:val="p"/>
          </m:rPr>
          <m:t>)</m:t>
        </m:r>
        <m:r>
          <m:rPr>
            <m:sty m:val="p"/>
          </m:rPr>
          <m:t>=</m:t>
        </m:r>
        <m:rad>
          <m:radPr>
            <m:degHide m:val="on"/>
          </m:radPr>
          <m:deg/>
          <m:e>
            <m:r>
              <m:t>λ</m:t>
            </m:r>
            <m:r>
              <m:rPr>
                <m:sty m:val="p"/>
              </m:rPr>
              <m:t>(</m:t>
            </m:r>
            <m:sSubSup>
              <m:e>
                <m:r>
                  <m:t>q</m:t>
                </m:r>
              </m:e>
              <m:sub>
                <m:r>
                  <m:t>i</m:t>
                </m:r>
              </m:sub>
              <m:sup>
                <m:r>
                  <m:t>2</m:t>
                </m:r>
              </m:sup>
            </m:sSubSup>
            <m:r>
              <m:rPr>
                <m:sty m:val="p"/>
              </m:rPr>
              <m:t>−</m:t>
            </m:r>
            <m:sSubSup>
              <m:e>
                <m:r>
                  <m:t>q</m:t>
                </m:r>
              </m:e>
              <m:sub>
                <m:r>
                  <m:t>m</m:t>
                </m:r>
                <m:r>
                  <m:t>i</m:t>
                </m:r>
                <m:r>
                  <m:t>n</m:t>
                </m:r>
              </m:sub>
              <m:sup>
                <m:r>
                  <m:t>2</m:t>
                </m:r>
              </m:sup>
            </m:sSubSup>
            <m:r>
              <m:rPr>
                <m:sty m:val="p"/>
              </m:rPr>
              <m:t>)</m:t>
            </m:r>
          </m:e>
        </m:rad>
      </m:oMath>
      <w:r>
        <w:t xml:space="preserve">, multiplied by uniform noise on</w:t>
      </w:r>
      <w:r>
        <w:t xml:space="preserve"> </w:t>
      </w:r>
      <m:oMath>
        <m:r>
          <m:rPr>
            <m:sty m:val="p"/>
          </m:rPr>
          <m:t>[</m:t>
        </m:r>
        <m:r>
          <m:t>0.7</m:t>
        </m:r>
        <m:r>
          <m:rPr>
            <m:sty m:val="p"/>
          </m:rPr>
          <m:t>,</m:t>
        </m:r>
        <m:r>
          <m:t>1.3</m:t>
        </m:r>
        <m:r>
          <m:rPr>
            <m:sty m:val="p"/>
          </m:rPr>
          <m:t>]</m:t>
        </m:r>
      </m:oMath>
      <w:r>
        <w:t xml:space="preserve"> </w:t>
      </w:r>
      <w:r>
        <w:t xml:space="preserve">and capped at</w:t>
      </w:r>
      <w:r>
        <w:t xml:space="preserve"> </w:t>
      </w:r>
      <m:oMath>
        <m:sSub>
          <m:e>
            <m:r>
              <m:t>R</m:t>
            </m:r>
          </m:e>
          <m:sub>
            <m:r>
              <m:t>i</m:t>
            </m:r>
          </m:sub>
        </m:sSub>
        <m:r>
          <m:rPr>
            <m:sty m:val="p"/>
          </m:rPr>
          <m:t>×</m:t>
        </m:r>
        <m:sSub>
          <m:e>
            <m:r>
              <m:rPr>
                <m:nor/>
                <m:sty m:val="p"/>
              </m:rPr>
              <m:t>band_size</m:t>
            </m:r>
          </m:e>
          <m:sub>
            <m:r>
              <m:t>i</m:t>
            </m:r>
          </m:sub>
        </m:sSub>
        <m:r>
          <m:rPr>
            <m:sty m:val="p"/>
          </m:rPr>
          <m:t>×</m:t>
        </m:r>
        <m:r>
          <m:t>0.5</m:t>
        </m:r>
      </m:oMath>
      <w:r>
        <w:t xml:space="preserve">. Both individual prestige (</w:t>
      </w:r>
      <m:oMath>
        <m:r>
          <m:rPr>
            <m:sty m:val="p"/>
          </m:rPr>
          <m:t>+</m:t>
        </m:r>
        <m:r>
          <m:t>0.1</m:t>
        </m:r>
        <m:r>
          <m:rPr>
            <m:sty m:val="p"/>
          </m:rPr>
          <m:t>×</m:t>
        </m:r>
      </m:oMath>
      <w:r>
        <w:t xml:space="preserve"> </w:t>
      </w:r>
      <w:r>
        <w:t xml:space="preserve">investment) and site-level</w:t>
      </w:r>
      <w:r>
        <w:t xml:space="preserve"> </w:t>
      </w:r>
      <m:oMath>
        <m:sSub>
          <m:e>
            <m:r>
              <m:t>M</m:t>
            </m:r>
          </m:e>
          <m:sub>
            <m:r>
              <m:t>g</m:t>
            </m:r>
          </m:sub>
        </m:sSub>
      </m:oMath>
      <w:r>
        <w:t xml:space="preserve"> </w:t>
      </w:r>
      <w:r>
        <w:t xml:space="preserve">increment.</w:t>
      </w:r>
      <w:r>
        <w:t xml:space="preserve"> </w:t>
      </w:r>
      <w:r>
        <w:t xml:space="preserve">5.</w:t>
      </w:r>
      <w:r>
        <w:t xml:space="preserve"> </w:t>
      </w:r>
      <w:r>
        <w:rPr>
          <w:b/>
          <w:bCs/>
        </w:rPr>
        <w:t xml:space="preserve">Obligation formation (second pass, full cohort):</w:t>
      </w:r>
      <w:r>
        <w:t xml:space="preserve"> </w:t>
      </w:r>
      <w:r>
        <w:t xml:space="preserve">each attending band forms a new tie with probability</w:t>
      </w:r>
      <w:r>
        <w:t xml:space="preserve"> </w:t>
      </w:r>
      <m:oMath>
        <m:r>
          <m:t>0.20</m:t>
        </m:r>
        <m:r>
          <m:rPr>
            <m:sty m:val="p"/>
          </m:rPr>
          <m:t>+</m:t>
        </m:r>
        <m:r>
          <m:t>0.20</m:t>
        </m:r>
        <m:r>
          <m:t> </m:t>
        </m:r>
        <m:sSub>
          <m:e>
            <m:acc>
              <m:accPr>
                <m:chr m:val="̂"/>
              </m:accPr>
              <m:e>
                <m:r>
                  <m:t>d</m:t>
                </m:r>
              </m:e>
            </m:acc>
          </m:e>
          <m:sub>
            <m:r>
              <m:t>i</m:t>
            </m:r>
          </m:sub>
        </m:sSub>
      </m:oMath>
      <w:r>
        <w:t xml:space="preserve">, where</w:t>
      </w:r>
      <w:r>
        <w:t xml:space="preserve"> </w:t>
      </w:r>
      <m:oMath>
        <m:sSub>
          <m:e>
            <m:acc>
              <m:accPr>
                <m:chr m:val="̂"/>
              </m:accPr>
              <m:e>
                <m:r>
                  <m:t>d</m:t>
                </m:r>
              </m:e>
            </m:acc>
          </m:e>
          <m:sub>
            <m:r>
              <m:t>i</m:t>
            </m:r>
          </m:sub>
        </m:sSub>
      </m:oMath>
      <w:r>
        <w:t xml:space="preserve"> </w:t>
      </w:r>
      <w:r>
        <w:t xml:space="preserve">is its cohort-normalized display (§S1.6); the partner is drawn with weights</w:t>
      </w:r>
      <w:r>
        <w:t xml:space="preserve"> </w:t>
      </w:r>
      <m:oMath>
        <m:r>
          <m:t>0.5</m:t>
        </m:r>
        <m:r>
          <m:rPr>
            <m:sty m:val="p"/>
          </m:rPr>
          <m:t>+</m:t>
        </m:r>
        <m:sSub>
          <m:e>
            <m:acc>
              <m:accPr>
                <m:chr m:val="̂"/>
              </m:accPr>
              <m:e>
                <m:r>
                  <m:t>d</m:t>
                </m:r>
              </m:e>
            </m:acc>
          </m:e>
          <m:sub>
            <m:r>
              <m:t>j</m:t>
            </m:r>
          </m:sub>
        </m:sSub>
      </m:oMath>
      <w:r>
        <w:t xml:space="preserve">. Ties are reciprocal: both bands record the obligation.</w:t>
      </w:r>
      <w:r>
        <w:t xml:space="preserve"> </w:t>
      </w:r>
      <w:r>
        <w:t xml:space="preserve">6.</w:t>
      </w:r>
      <w:r>
        <w:t xml:space="preserve"> </w:t>
      </w:r>
      <w:r>
        <w:rPr>
          <w:b/>
          <w:bCs/>
        </w:rPr>
        <w:t xml:space="preserve">Exotic acquisition:</w:t>
      </w:r>
      <w:r>
        <w:t xml:space="preserve"> </w:t>
      </w:r>
      <w:r>
        <w:t xml:space="preserve">per-material acquisition probability follows the §S1.6 specification (</w:t>
      </w:r>
      <m:oMath>
        <m:sSub>
          <m:e>
            <m:r>
              <m:t>b</m:t>
            </m:r>
          </m:e>
          <m:sub>
            <m:r>
              <m:t>b</m:t>
            </m:r>
            <m:r>
              <m:t>a</m:t>
            </m:r>
            <m:r>
              <m:t>s</m:t>
            </m:r>
            <m:r>
              <m:t>e</m:t>
            </m:r>
          </m:sub>
        </m:sSub>
        <m:r>
          <m:rPr>
            <m:sty m:val="p"/>
          </m:rPr>
          <m:t>=</m:t>
        </m:r>
        <m:r>
          <m:t>0.25</m:t>
        </m:r>
        <m:r>
          <m:rPr>
            <m:sty m:val="p"/>
          </m:rPr>
          <m:t>(</m:t>
        </m:r>
        <m:r>
          <m:t>1</m:t>
        </m:r>
        <m:r>
          <m:rPr>
            <m:sty m:val="p"/>
          </m:rPr>
          <m:t>+</m:t>
        </m:r>
        <m:sSub>
          <m:e>
            <m:r>
              <m:t>q</m:t>
            </m:r>
          </m:e>
          <m:sub>
            <m:r>
              <m:t>i</m:t>
            </m:r>
          </m:sub>
        </m:sSub>
        <m:r>
          <m:rPr>
            <m:sty m:val="p"/>
          </m:rPr>
          <m:t>/</m:t>
        </m:r>
        <m:r>
          <m:rPr>
            <m:sty m:val="p"/>
          </m:rPr>
          <m:t>(</m:t>
        </m:r>
        <m:r>
          <m:t>1</m:t>
        </m:r>
        <m:r>
          <m:rPr>
            <m:sty m:val="p"/>
          </m:rPr>
          <m:t>+</m:t>
        </m:r>
        <m:sSub>
          <m:e>
            <m:r>
              <m:t>q</m:t>
            </m:r>
          </m:e>
          <m:sub>
            <m:r>
              <m:t>i</m:t>
            </m:r>
          </m:sub>
        </m:sSub>
        <m:r>
          <m:rPr>
            <m:sty m:val="p"/>
          </m:rPr>
          <m:t>)</m:t>
        </m:r>
        <m:r>
          <m:rPr>
            <m:sty m:val="p"/>
          </m:rPr>
          <m:t>)</m:t>
        </m:r>
      </m:oMath>
      <w:r>
        <w:t xml:space="preserve">, distance decay</w:t>
      </w:r>
      <w:r>
        <w:t xml:space="preserve"> </w:t>
      </w:r>
      <m:oMath>
        <m:sSup>
          <m:e>
            <m:r>
              <m:t>e</m:t>
            </m:r>
          </m:e>
          <m:sup>
            <m:r>
              <m:rPr>
                <m:sty m:val="p"/>
              </m:rPr>
              <m:t>−</m:t>
            </m:r>
            <m:r>
              <m:t>d</m:t>
            </m:r>
            <m:r>
              <m:rPr>
                <m:sty m:val="p"/>
              </m:rPr>
              <m:t>/</m:t>
            </m:r>
            <m:r>
              <m:t>500</m:t>
            </m:r>
          </m:sup>
        </m:sSup>
      </m:oMath>
      <w:r>
        <w:t xml:space="preserve">, value/cost ratio capped at 2.0, total capped at 0.5), with at most one material acquired per band per year.</w:t>
      </w:r>
      <w:r>
        <w:t xml:space="preserve"> </w:t>
      </w:r>
      <w:r>
        <w:t xml:space="preserve">7.</w:t>
      </w:r>
      <w:r>
        <w:t xml:space="preserve"> </w:t>
      </w:r>
      <w:r>
        <w:rPr>
          <w:b/>
          <w:bCs/>
        </w:rPr>
        <w:t xml:space="preserve">Shortfall impact:</w:t>
      </w:r>
      <w:r>
        <w:t xml:space="preserve"> </w:t>
      </w:r>
      <w:r>
        <w:t xml:space="preserve">in shortfall years, bands lose members at rate</w:t>
      </w:r>
      <w:r>
        <w:t xml:space="preserve"> </w:t>
      </w:r>
      <m:oMath>
        <m:r>
          <m:t>1</m:t>
        </m:r>
        <m:r>
          <m:rPr>
            <m:sty m:val="p"/>
          </m:rPr>
          <m:t>−</m:t>
        </m:r>
        <m:r>
          <m:rPr>
            <m:sty m:val="p"/>
          </m:rPr>
          <m:t>exp</m:t>
        </m:r>
        <m:r>
          <m:rPr>
            <m:sty m:val="p"/>
          </m:rPr>
          <m:t>(</m:t>
        </m:r>
        <m:r>
          <m:rPr>
            <m:sty m:val="p"/>
          </m:rPr>
          <m:t>−</m:t>
        </m:r>
        <m:r>
          <m:t>0.2</m:t>
        </m:r>
        <m:r>
          <m:t> </m:t>
        </m:r>
        <m:r>
          <m:t>α</m:t>
        </m:r>
        <m:r>
          <m:rPr>
            <m:sty m:val="p"/>
          </m:rPr>
          <m:t>(</m:t>
        </m:r>
        <m:sSub>
          <m:e>
            <m:r>
              <m:t>k</m:t>
            </m:r>
          </m:e>
          <m:sub>
            <m:r>
              <m:t>i</m:t>
            </m:r>
          </m:sub>
        </m:sSub>
        <m:r>
          <m:rPr>
            <m:sty m:val="p"/>
          </m:rPr>
          <m:t>)</m:t>
        </m:r>
        <m:r>
          <m:rPr>
            <m:sty m:val="p"/>
          </m:rPr>
          <m:t>×</m:t>
        </m:r>
        <m:r>
          <m:rPr>
            <m:nor/>
            <m:sty m:val="p"/>
          </m:rPr>
          <m:t>severity</m:t>
        </m:r>
        <m:r>
          <m:rPr>
            <m:sty m:val="p"/>
          </m:rPr>
          <m:t>)</m:t>
        </m:r>
      </m:oMath>
      <w:r>
        <w:t xml:space="preserve">, where</w:t>
      </w:r>
      <w:r>
        <w:t xml:space="preserve"> </w:t>
      </w:r>
      <m:oMath>
        <m:r>
          <m:t>α</m:t>
        </m:r>
        <m:r>
          <m:rPr>
            <m:sty m:val="p"/>
          </m:rPr>
          <m:t>(</m:t>
        </m:r>
        <m:sSub>
          <m:e>
            <m:r>
              <m:t>k</m:t>
            </m:r>
          </m:e>
          <m:sub>
            <m:r>
              <m:t>i</m:t>
            </m:r>
          </m:sub>
        </m:sSub>
        <m:r>
          <m:rPr>
            <m:sty m:val="p"/>
          </m:rPr>
          <m:t>)</m:t>
        </m:r>
      </m:oMath>
      <w:r>
        <w:t xml:space="preserve"> </w:t>
      </w:r>
      <w:r>
        <w:t xml:space="preserve">uses the band’s realized seasonal network degree (</w:t>
      </w:r>
      <m:oMath>
        <m:sSub>
          <m:e>
            <m:r>
              <m:t>k</m:t>
            </m:r>
          </m:e>
          <m:sub>
            <m:r>
              <m:t>i</m:t>
            </m:r>
          </m:sub>
        </m:sSub>
        <m:r>
          <m:rPr>
            <m:sty m:val="p"/>
          </m:rPr>
          <m:t>=</m:t>
        </m:r>
        <m:sSub>
          <m:e>
            <m:r>
              <m:t>k</m:t>
            </m:r>
          </m:e>
          <m:sub>
            <m:r>
              <m:t>0</m:t>
            </m:r>
          </m:sub>
        </m:sSub>
        <m:r>
          <m:rPr>
            <m:sty m:val="p"/>
          </m:rPr>
          <m:t>+</m:t>
        </m:r>
        <m:nary>
          <m:naryPr>
            <m:chr m:val="∑"/>
            <m:limLoc m:val="undOvr"/>
            <m:subHide m:val="off"/>
            <m:supHide m:val="on"/>
          </m:naryPr>
          <m:sub>
            <m:r>
              <m:t>j</m:t>
            </m:r>
          </m:sub>
          <m:sup>
            <m:r>
              <m:t>​</m:t>
            </m:r>
          </m:sup>
          <m:e>
            <m:sSub>
              <m:e>
                <m:r>
                  <m:t>O</m:t>
                </m:r>
              </m:e>
              <m:sub>
                <m:r>
                  <m:t>i</m:t>
                </m:r>
                <m:r>
                  <m:t>j</m:t>
                </m:r>
              </m:sub>
            </m:sSub>
          </m:e>
        </m:nary>
      </m:oMath>
      <w:r>
        <w:t xml:space="preserve">, capped at</w:t>
      </w:r>
      <w:r>
        <w:t xml:space="preserve"> </w:t>
      </w:r>
      <m:oMath>
        <m:sSub>
          <m:e>
            <m:r>
              <m:t>k</m:t>
            </m:r>
          </m:e>
          <m:sub>
            <m:r>
              <m:t>0</m:t>
            </m:r>
          </m:sub>
        </m:sSub>
        <m:r>
          <m:rPr>
            <m:sty m:val="p"/>
          </m:rPr>
          <m:t>+</m:t>
        </m:r>
        <m:sSub>
          <m:e>
            <m:r>
              <m:t>k</m:t>
            </m:r>
          </m:e>
          <m:sub>
            <m:r>
              <m:t>m</m:t>
            </m:r>
            <m:r>
              <m:t>a</m:t>
            </m:r>
            <m:r>
              <m:t>x</m:t>
            </m:r>
          </m:sub>
        </m:sSub>
      </m:oMath>
      <w:r>
        <w:t xml:space="preserve"> </w:t>
      </w:r>
      <w:r>
        <w:t xml:space="preserve">and seasonally averaged) for aggregators and</w:t>
      </w:r>
      <w:r>
        <w:t xml:space="preserve"> </w:t>
      </w:r>
      <m:oMath>
        <m:sSub>
          <m:e>
            <m:r>
              <m:t>k</m:t>
            </m:r>
          </m:e>
          <m:sub>
            <m:r>
              <m:t>0</m:t>
            </m:r>
          </m:sub>
        </m:sSub>
      </m:oMath>
      <w:r>
        <w:t xml:space="preserve"> </w:t>
      </w:r>
      <w:r>
        <w:t xml:space="preserve">for independents; the 0.2 scale calibrates an unbuffered band’s loss to ~9-10% per event-year at PP-scenario severity. Aggregators first call obligations in descending strength order (total need 0.15); help is a resource transfer debited from the called partner.</w:t>
      </w:r>
      <w:r>
        <w:t xml:space="preserve"> </w:t>
      </w:r>
      <w:r>
        <w:t xml:space="preserve">8.</w:t>
      </w:r>
      <w:r>
        <w:t xml:space="preserve"> </w:t>
      </w:r>
      <w:r>
        <w:rPr>
          <w:b/>
          <w:bCs/>
        </w:rPr>
        <w:t xml:space="preserve">Reproduction and demography:</w:t>
      </w:r>
      <w:r>
        <w:t xml:space="preserve"> </w:t>
      </w:r>
      <w:r>
        <w:t xml:space="preserve">births are Binomial(size,</w:t>
      </w:r>
      <w:r>
        <w:t xml:space="preserve"> </w:t>
      </w:r>
      <m:oMath>
        <m:r>
          <m:t>0.03</m:t>
        </m:r>
        <m:r>
          <m:rPr>
            <m:sty m:val="p"/>
          </m:rPr>
          <m:t>×</m:t>
        </m:r>
        <m:r>
          <m:rPr>
            <m:nor/>
            <m:sty m:val="p"/>
          </m:rPr>
          <m:t>fitness</m:t>
        </m:r>
        <m:r>
          <m:rPr>
            <m:sty m:val="p"/>
          </m:rPr>
          <m:t>×</m:t>
        </m:r>
        <m:r>
          <m:rPr>
            <m:sty m:val="p"/>
          </m:rPr>
          <m:t>(</m:t>
        </m:r>
        <m:r>
          <m:t>0.5</m:t>
        </m:r>
        <m:r>
          <m:rPr>
            <m:sty m:val="p"/>
          </m:rPr>
          <m:t>+</m:t>
        </m:r>
        <m:sSub>
          <m:e>
            <m:r>
              <m:t>R</m:t>
            </m:r>
          </m:e>
          <m:sub>
            <m:r>
              <m:t>i</m:t>
            </m:r>
          </m:sub>
        </m:sSub>
        <m:r>
          <m:rPr>
            <m:sty m:val="p"/>
          </m:rPr>
          <m:t>)</m:t>
        </m:r>
      </m:oMath>
      <w:r>
        <w:t xml:space="preserve">); deaths are Binomial(size,</w:t>
      </w:r>
      <w:r>
        <w:t xml:space="preserve"> </w:t>
      </w:r>
      <m:oMath>
        <m:r>
          <m:t>0.02</m:t>
        </m:r>
        <m:r>
          <m:rPr>
            <m:sty m:val="p"/>
          </m:rPr>
          <m:t>×</m:t>
        </m:r>
        <m:r>
          <m:rPr>
            <m:nor/>
            <m:sty m:val="p"/>
          </m:rPr>
          <m:t>clip</m:t>
        </m:r>
        <m:r>
          <m:rPr>
            <m:sty m:val="p"/>
          </m:rPr>
          <m:t>(</m:t>
        </m:r>
        <m:r>
          <m:t>2</m:t>
        </m:r>
        <m:r>
          <m:rPr>
            <m:sty m:val="p"/>
          </m:rPr>
          <m:t>−</m:t>
        </m:r>
        <m:r>
          <m:rPr>
            <m:nor/>
            <m:sty m:val="p"/>
          </m:rPr>
          <m:t>fitness</m:t>
        </m:r>
        <m:r>
          <m:rPr>
            <m:sty m:val="p"/>
          </m:rPr>
          <m:t>,</m:t>
        </m:r>
        <m:r>
          <m:t>0.5</m:t>
        </m:r>
        <m:r>
          <m:rPr>
            <m:sty m:val="p"/>
          </m:rPr>
          <m:t>,</m:t>
        </m:r>
        <m:r>
          <m:t>2</m:t>
        </m:r>
        <m:r>
          <m:rPr>
            <m:sty m:val="p"/>
          </m:rPr>
          <m:t>)</m:t>
        </m:r>
      </m:oMath>
      <w:r>
        <w:t xml:space="preserve">), so both are fitness-weighted. Resources above 1.0 decay by 5% (storage loss). The site’s signal stock depreciates once per year,</w:t>
      </w:r>
      <w:r>
        <w:t xml:space="preserve"> </w:t>
      </w:r>
      <m:oMath>
        <m:sSub>
          <m:e>
            <m:r>
              <m:t>M</m:t>
            </m:r>
          </m:e>
          <m:sub>
            <m:r>
              <m:t>g</m:t>
            </m:r>
          </m:sub>
        </m:sSub>
        <m:r>
          <m:rPr>
            <m:sty m:val="p"/>
          </m:rPr>
          <m:t>(</m:t>
        </m:r>
        <m:r>
          <m:t>t</m:t>
        </m:r>
        <m:r>
          <m:rPr>
            <m:sty m:val="p"/>
          </m:rPr>
          <m:t>+</m:t>
        </m:r>
        <m:r>
          <m:t>1</m:t>
        </m:r>
        <m:r>
          <m:rPr>
            <m:sty m:val="p"/>
          </m:rPr>
          <m:t>)</m:t>
        </m:r>
        <m:r>
          <m:rPr>
            <m:sty m:val="p"/>
          </m:rPr>
          <m:t>=</m:t>
        </m:r>
        <m:r>
          <m:rPr>
            <m:sty m:val="p"/>
          </m:rPr>
          <m:t>(</m:t>
        </m:r>
        <m:r>
          <m:t>1</m:t>
        </m:r>
        <m:r>
          <m:rPr>
            <m:sty m:val="p"/>
          </m:rPr>
          <m:t>−</m:t>
        </m:r>
        <m:r>
          <m:t>δ</m:t>
        </m:r>
        <m:r>
          <m:rPr>
            <m:sty m:val="p"/>
          </m:rPr>
          <m:t>)</m:t>
        </m:r>
        <m:sSub>
          <m:e>
            <m:r>
              <m:t>M</m:t>
            </m:r>
          </m:e>
          <m:sub>
            <m:r>
              <m:t>g</m:t>
            </m:r>
          </m:sub>
        </m:sSub>
        <m:r>
          <m:rPr>
            <m:sty m:val="p"/>
          </m:rPr>
          <m:t>(</m:t>
        </m:r>
        <m:r>
          <m:t>t</m:t>
        </m:r>
        <m:r>
          <m:rPr>
            <m:sty m:val="p"/>
          </m:rPr>
          <m:t>)</m:t>
        </m:r>
        <m:r>
          <m:rPr>
            <m:sty m:val="p"/>
          </m:rPr>
          <m:t>+</m:t>
        </m:r>
        <m:sSub>
          <m:e>
            <m:r>
              <m:t>I</m:t>
            </m:r>
          </m:e>
          <m:sub>
            <m:r>
              <m:t>g</m:t>
            </m:r>
          </m:sub>
        </m:sSub>
        <m:r>
          <m:rPr>
            <m:sty m:val="p"/>
          </m:rPr>
          <m:t>(</m:t>
        </m:r>
        <m:r>
          <m:t>t</m:t>
        </m:r>
        <m:r>
          <m:rPr>
            <m:sty m:val="p"/>
          </m:rPr>
          <m:t>)</m:t>
        </m:r>
      </m:oMath>
      <w:r>
        <w:t xml:space="preserve"> </w:t>
      </w:r>
      <w:r>
        <w:t xml:space="preserve">(cumulative physical fill is tracked separately and does not depreciate). Bands above 30 members fission deterministically: a daughter band takes half the members and resources and inherits the parent’s monument-contribution history, prestige, and obligation network at half weight. Bands below 5 members dissolve.</w:t>
      </w:r>
    </w:p>
    <w:bookmarkEnd w:id="11"/>
    <w:bookmarkStart w:id="12" w:name="s1.4-design-concepts"/>
    <w:p>
      <w:pPr>
        <w:pStyle w:val="Heading3"/>
      </w:pPr>
      <w:r>
        <w:t xml:space="preserve">S1.4 Design concepts</w:t>
      </w:r>
    </w:p>
    <w:p>
      <w:pPr>
        <w:pStyle w:val="FirstParagraph"/>
      </w:pPr>
      <w:r>
        <w:rPr>
          <w:b/>
          <w:bCs/>
        </w:rPr>
        <w:t xml:space="preserve">Emergence.</w:t>
      </w:r>
      <w:r>
        <w:t xml:space="preserve"> </w:t>
      </w:r>
      <w:r>
        <w:t xml:space="preserve">Phase transitions in strategy frequency, monument accumulation, and network structure emerge from individual fitness comparisons. They are not built in.</w:t>
      </w:r>
    </w:p>
    <w:p>
      <w:pPr>
        <w:pStyle w:val="BodyText"/>
      </w:pPr>
      <w:r>
        <w:rPr>
          <w:b/>
          <w:bCs/>
        </w:rPr>
        <w:t xml:space="preserve">Adaptation.</w:t>
      </w:r>
      <w:r>
        <w:t xml:space="preserve"> </w:t>
      </w:r>
      <w:r>
        <w:t xml:space="preserve">Bands adapt by choosing the higher-fitness strategy, with switching frequency dampened to reflect ethnographic inertia in lifeway change.</w:t>
      </w:r>
    </w:p>
    <w:p>
      <w:pPr>
        <w:pStyle w:val="BodyText"/>
      </w:pPr>
      <w:r>
        <w:rPr>
          <w:b/>
          <w:bCs/>
        </w:rPr>
        <w:t xml:space="preserve">Sensing.</w:t>
      </w:r>
      <w:r>
        <w:t xml:space="preserve"> </w:t>
      </w:r>
      <w:r>
        <w:t xml:space="preserve">Bands sense local resource conditions, their own state, and (for aggregators) the visible monument stock and obligation network at the aggregation site.</w:t>
      </w:r>
    </w:p>
    <w:p>
      <w:pPr>
        <w:pStyle w:val="BodyText"/>
      </w:pPr>
      <w:r>
        <w:rPr>
          <w:b/>
          <w:bCs/>
        </w:rPr>
        <w:t xml:space="preserve">Stochasticity.</w:t>
      </w:r>
      <w:r>
        <w:t xml:space="preserve"> </w:t>
      </w:r>
      <w:r>
        <w:t xml:space="preserve">Shortfall years, productivity sampling, partner formation, and exotic acquisition all incorporate stochasticity, producing replicate-to-replicate variation.</w:t>
      </w:r>
    </w:p>
    <w:p>
      <w:pPr>
        <w:pStyle w:val="BodyText"/>
      </w:pPr>
      <w:r>
        <w:rPr>
          <w:b/>
          <w:bCs/>
        </w:rPr>
        <w:t xml:space="preserve">Observation.</w:t>
      </w:r>
      <w:r>
        <w:t xml:space="preserve"> </w:t>
      </w:r>
      <w:r>
        <w:t xml:space="preserve">At each year we record strategy frequencies, monument totals, exotic counts by source, network density, and population size.</w:t>
      </w:r>
    </w:p>
    <w:p>
      <w:pPr>
        <w:pStyle w:val="BodyText"/>
      </w:pPr>
      <m:oMath>
        <m:r>
          <m:t>σ</m:t>
        </m:r>
      </m:oMath>
      <w:r>
        <w:rPr>
          <w:b/>
          <w:bCs/>
        </w:rPr>
        <w:t xml:space="preserve"> </w:t>
      </w:r>
      <w:r>
        <w:rPr>
          <w:b/>
          <w:bCs/>
        </w:rPr>
        <w:t xml:space="preserve">versus</w:t>
      </w:r>
      <w:r>
        <w:rPr>
          <w:b/>
          <w:bCs/>
        </w:rPr>
        <w:t xml:space="preserve"> </w:t>
      </w:r>
      <m:oMath>
        <m:sSub>
          <m:e>
            <m:r>
              <m:t>σ</m:t>
            </m:r>
          </m:e>
          <m:sub>
            <m:r>
              <m:t>e</m:t>
            </m:r>
            <m:r>
              <m:t>f</m:t>
            </m:r>
            <m:r>
              <m:t>f</m:t>
            </m:r>
          </m:sub>
        </m:sSub>
      </m:oMath>
      <w:r>
        <w:rPr>
          <w:b/>
          <w:bCs/>
        </w:rPr>
        <w:t xml:space="preserve"> </w:t>
      </w:r>
      <w:r>
        <w:rPr>
          <w:b/>
          <w:bCs/>
        </w:rPr>
        <w:t xml:space="preserve">naming convention.</w:t>
      </w:r>
      <w:r>
        <w:t xml:space="preserve"> </w:t>
      </w:r>
      <w:r>
        <w:t xml:space="preserve">Three closely related quantities appear throughout this article and the code, and we are explicit about each here because the convention is otherwise easy to confuse. (1)</w:t>
      </w:r>
      <w:r>
        <w:t xml:space="preserve"> </w:t>
      </w:r>
      <m:oMath>
        <m:r>
          <m:t>σ</m:t>
        </m:r>
      </m:oMath>
      <w:r>
        <w:t xml:space="preserve"> </w:t>
      </w:r>
      <w:r>
        <w:t xml:space="preserve">is the regional composite uncertainty, defined below as</w:t>
      </w:r>
      <w:r>
        <w:t xml:space="preserve"> </w:t>
      </w:r>
      <m:oMath>
        <m:r>
          <m:t>m</m:t>
        </m:r>
        <m:r>
          <m:rPr>
            <m:sty m:val="p"/>
          </m:rPr>
          <m:t>⋅</m:t>
        </m:r>
        <m:rad>
          <m:radPr>
            <m:degHide m:val="on"/>
          </m:radPr>
          <m:deg/>
          <m:e>
            <m:r>
              <m:t>20</m:t>
            </m:r>
            <m:r>
              <m:rPr>
                <m:sty m:val="p"/>
              </m:rPr>
              <m:t>/</m:t>
            </m:r>
            <m:r>
              <m:t>T</m:t>
            </m:r>
          </m:e>
        </m:rad>
      </m:oMath>
      <w:r>
        <w:t xml:space="preserve">. It is the quantity that depends only on shortfall recurrence and magnitude, not on site geography. (2)</w:t>
      </w:r>
      <w:r>
        <w:t xml:space="preserve"> </w:t>
      </w:r>
      <m:oMath>
        <m:sSub>
          <m:e>
            <m:r>
              <m:t>σ</m:t>
            </m:r>
          </m:e>
          <m:sub>
            <m:r>
              <m:t>e</m:t>
            </m:r>
            <m:r>
              <m:t>f</m:t>
            </m:r>
            <m:r>
              <m:t>f</m:t>
            </m:r>
          </m:sub>
        </m:sSub>
        <m:r>
          <m:rPr>
            <m:sty m:val="p"/>
          </m:rPr>
          <m:t>=</m:t>
        </m:r>
        <m:r>
          <m:t>σ</m:t>
        </m:r>
        <m:r>
          <m:rPr>
            <m:sty m:val="p"/>
          </m:rPr>
          <m:t>(</m:t>
        </m:r>
        <m:r>
          <m:t>1</m:t>
        </m:r>
        <m:r>
          <m:rPr>
            <m:sty m:val="p"/>
          </m:rPr>
          <m:t>−</m:t>
        </m:r>
        <m:r>
          <m:t>ε</m:t>
        </m:r>
        <m:r>
          <m:rPr>
            <m:sty m:val="p"/>
          </m:rPr>
          <m:t>)</m:t>
        </m:r>
      </m:oMath>
      <w:r>
        <w:t xml:space="preserve"> </w:t>
      </w:r>
      <w:r>
        <w:t xml:space="preserve">is the analytical</w:t>
      </w:r>
      <w:r>
        <w:t xml:space="preserve"> </w:t>
      </w:r>
      <w:r>
        <w:rPr>
          <w:i/>
          <w:iCs/>
        </w:rPr>
        <w:t xml:space="preserve">effective</w:t>
      </w:r>
      <w:r>
        <w:t xml:space="preserve"> </w:t>
      </w:r>
      <w:r>
        <w:t xml:space="preserve">uncertainty experienced by aggregator bands at a high-</w:t>
      </w:r>
      <m:oMath>
        <m:r>
          <m:t>ε</m:t>
        </m:r>
      </m:oMath>
      <w:r>
        <w:t xml:space="preserve"> </w:t>
      </w:r>
      <w:r>
        <w:t xml:space="preserve">gathering site. It is what enters the survival term in</w:t>
      </w:r>
      <w:r>
        <w:t xml:space="preserve"> </w:t>
      </w:r>
      <w:r>
        <w:rPr>
          <w:rStyle w:val="VerbatimChar"/>
        </w:rPr>
        <w:t xml:space="preserve">aggregation_expected_fitness</w:t>
      </w:r>
      <w:r>
        <w:t xml:space="preserve"> </w:t>
      </w:r>
      <w:r>
        <w:t xml:space="preserve">(signaling_core.py) and the analytical threshold-proximity computation. (3) The sweep variable in the §4.3 ablation and §S7.1 tables, labeled either</w:t>
      </w:r>
      <w:r>
        <w:t xml:space="preserve"> </w:t>
      </w:r>
      <w:r>
        <w:t xml:space="preserve">“</w:t>
      </w:r>
      <m:oMath>
        <m:sSub>
          <m:e>
            <m:r>
              <m:t>σ</m:t>
            </m:r>
          </m:e>
          <m:sub>
            <m:r>
              <m:t>e</m:t>
            </m:r>
            <m:r>
              <m:t>f</m:t>
            </m:r>
            <m:r>
              <m:t>f</m:t>
            </m:r>
          </m:sub>
        </m:sSub>
      </m:oMath>
      <w:r>
        <w:t xml:space="preserve"> </w:t>
      </w:r>
      <w:r>
        <w:t xml:space="preserve">target”</w:t>
      </w:r>
      <w:r>
        <w:t xml:space="preserve"> </w:t>
      </w:r>
      <w:r>
        <w:t xml:space="preserve">or</w:t>
      </w:r>
      <w:r>
        <w:t xml:space="preserve"> </w:t>
      </w:r>
      <w:r>
        <w:t xml:space="preserve">“realized</w:t>
      </w:r>
      <w:r>
        <w:t xml:space="preserve"> </w:t>
      </w:r>
      <m:oMath>
        <m:sSub>
          <m:e>
            <m:r>
              <m:t>σ</m:t>
            </m:r>
          </m:e>
          <m:sub>
            <m:r>
              <m:t>e</m:t>
            </m:r>
            <m:r>
              <m:t>f</m:t>
            </m:r>
            <m:r>
              <m:t>f</m:t>
            </m:r>
          </m:sub>
        </m:sSub>
      </m:oMath>
      <w:r>
        <w:t xml:space="preserve">”</w:t>
      </w:r>
      <w:r>
        <w:t xml:space="preserve"> </w:t>
      </w:r>
      <w:r>
        <w:t xml:space="preserve">depending on context, is on the same numerical scale as</w:t>
      </w:r>
      <w:r>
        <w:t xml:space="preserve"> </w:t>
      </w:r>
      <m:oMath>
        <m:r>
          <m:t>σ</m:t>
        </m:r>
      </m:oMath>
      <w:r>
        <w:t xml:space="preserve"> </w:t>
      </w:r>
      <w:r>
        <w:t xml:space="preserve">rather than</w:t>
      </w:r>
      <w:r>
        <w:t xml:space="preserve"> </w:t>
      </w:r>
      <m:oMath>
        <m:sSub>
          <m:e>
            <m:r>
              <m:t>σ</m:t>
            </m:r>
          </m:e>
          <m:sub>
            <m:r>
              <m:t>e</m:t>
            </m:r>
            <m:r>
              <m:t>f</m:t>
            </m:r>
            <m:r>
              <m:t>f</m:t>
            </m:r>
          </m:sub>
        </m:sSub>
        <m:r>
          <m:rPr>
            <m:sty m:val="p"/>
          </m:rPr>
          <m:t>=</m:t>
        </m:r>
        <m:r>
          <m:t>σ</m:t>
        </m:r>
        <m:r>
          <m:rPr>
            <m:sty m:val="p"/>
          </m:rPr>
          <m:t>(</m:t>
        </m:r>
        <m:r>
          <m:t>1</m:t>
        </m:r>
        <m:r>
          <m:rPr>
            <m:sty m:val="p"/>
          </m:rPr>
          <m:t>−</m:t>
        </m:r>
        <m:r>
          <m:t>ε</m:t>
        </m:r>
        <m:r>
          <m:rPr>
            <m:sty m:val="p"/>
          </m:rPr>
          <m:t>)</m:t>
        </m:r>
      </m:oMath>
      <w:r>
        <w:t xml:space="preserve">: the script</w:t>
      </w:r>
      <w:r>
        <w:t xml:space="preserve"> </w:t>
      </w:r>
      <w:r>
        <w:rPr>
          <w:rStyle w:val="VerbatimChar"/>
        </w:rPr>
        <w:t xml:space="preserve">signal_conditional_ablation_sweep.py</w:t>
      </w:r>
      <w:r>
        <w:t xml:space="preserve"> </w:t>
      </w:r>
      <w:r>
        <w:t xml:space="preserve">inverts the relation</w:t>
      </w:r>
      <w:r>
        <w:t xml:space="preserve"> </w:t>
      </w:r>
      <m:oMath>
        <m:sSub>
          <m:e>
            <m:r>
              <m:t>σ</m:t>
            </m:r>
          </m:e>
          <m:sub>
            <m:r>
              <m:t>e</m:t>
            </m:r>
            <m:r>
              <m:t>f</m:t>
            </m:r>
            <m:r>
              <m:t>f</m:t>
            </m:r>
            <m:r>
              <m:rPr>
                <m:sty m:val="p"/>
              </m:rPr>
              <m:t>,</m:t>
            </m:r>
            <m:r>
              <m:rPr>
                <m:nor/>
                <m:sty m:val="p"/>
              </m:rPr>
              <m:t>target</m:t>
            </m:r>
          </m:sub>
        </m:sSub>
        <m:r>
          <m:rPr>
            <m:sty m:val="p"/>
          </m:rPr>
          <m:t>=</m:t>
        </m:r>
        <m:r>
          <m:t>m</m:t>
        </m:r>
        <m:rad>
          <m:radPr>
            <m:degHide m:val="on"/>
          </m:radPr>
          <m:deg/>
          <m:e>
            <m:r>
              <m:t>20</m:t>
            </m:r>
            <m:r>
              <m:rPr>
                <m:sty m:val="p"/>
              </m:rPr>
              <m:t>/</m:t>
            </m:r>
            <m:r>
              <m:t>T</m:t>
            </m:r>
          </m:e>
        </m:rad>
        <m:r>
          <m:rPr>
            <m:sty m:val="p"/>
          </m:rPr>
          <m:t>(</m:t>
        </m:r>
        <m:r>
          <m:t>1</m:t>
        </m:r>
        <m:r>
          <m:rPr>
            <m:sty m:val="p"/>
          </m:rPr>
          <m:t>−</m:t>
        </m:r>
        <m:r>
          <m:t>ε</m:t>
        </m:r>
        <m:r>
          <m:rPr>
            <m:sty m:val="p"/>
          </m:rPr>
          <m:t>)</m:t>
        </m:r>
      </m:oMath>
      <w:r>
        <w:t xml:space="preserve"> </w:t>
      </w:r>
      <w:r>
        <w:t xml:space="preserve">for the recurrence</w:t>
      </w:r>
      <w:r>
        <w:t xml:space="preserve"> </w:t>
      </w:r>
      <m:oMath>
        <m:r>
          <m:t>T</m:t>
        </m:r>
      </m:oMath>
      <w:r>
        <w:t xml:space="preserve"> </w:t>
      </w:r>
      <w:r>
        <w:t xml:space="preserve">that achieves the target, runs the simulation at that</w:t>
      </w:r>
      <w:r>
        <w:t xml:space="preserve"> </w:t>
      </w:r>
      <m:oMath>
        <m:r>
          <m:t>T</m:t>
        </m:r>
      </m:oMath>
      <w:r>
        <w:t xml:space="preserve">, and reports</w:t>
      </w:r>
      <w:r>
        <w:t xml:space="preserve"> </w:t>
      </w:r>
      <w:r>
        <w:rPr>
          <w:rStyle w:val="VerbatimChar"/>
        </w:rPr>
        <w:t xml:space="preserve">mean_effective_sigma</w:t>
      </w:r>
      <w:r>
        <w:t xml:space="preserve"> </w:t>
      </w:r>
      <w:r>
        <w:t xml:space="preserve">from</w:t>
      </w:r>
      <w:r>
        <w:t xml:space="preserve"> </w:t>
      </w:r>
      <w:r>
        <w:rPr>
          <w:rStyle w:val="VerbatimChar"/>
        </w:rPr>
        <w:t xml:space="preserve">IntegratedSimulation._calculate_effective_sigma</w:t>
      </w:r>
      <w:r>
        <w:t xml:space="preserve">, which returns the raw</w:t>
      </w:r>
      <w:r>
        <w:t xml:space="preserve"> </w:t>
      </w:r>
      <m:oMath>
        <m:r>
          <m:t>σ</m:t>
        </m:r>
      </m:oMath>
      <w:r>
        <w:t xml:space="preserve"> </w:t>
      </w:r>
      <w:r>
        <w:t xml:space="preserve">(with a small CV adjustment) rather than</w:t>
      </w:r>
      <w:r>
        <w:t xml:space="preserve"> </w:t>
      </w:r>
      <m:oMath>
        <m:r>
          <m:t>σ</m:t>
        </m:r>
        <m:r>
          <m:rPr>
            <m:sty m:val="p"/>
          </m:rPr>
          <m:t>(</m:t>
        </m:r>
        <m:r>
          <m:t>1</m:t>
        </m:r>
        <m:r>
          <m:rPr>
            <m:sty m:val="p"/>
          </m:rPr>
          <m:t>−</m:t>
        </m:r>
        <m:r>
          <m:t>ε</m:t>
        </m:r>
        <m:r>
          <m:rPr>
            <m:sty m:val="p"/>
          </m:rPr>
          <m:t>)</m:t>
        </m:r>
      </m:oMath>
      <w:r>
        <w:t xml:space="preserve">. The discount</w:t>
      </w:r>
      <w:r>
        <w:t xml:space="preserve"> </w:t>
      </w:r>
      <m:oMath>
        <m:r>
          <m:rPr>
            <m:sty m:val="p"/>
          </m:rPr>
          <m:t>(</m:t>
        </m:r>
        <m:r>
          <m:t>1</m:t>
        </m:r>
        <m:r>
          <m:rPr>
            <m:sty m:val="p"/>
          </m:rPr>
          <m:t>−</m:t>
        </m:r>
        <m:r>
          <m:t>ε</m:t>
        </m:r>
        <m:r>
          <m:rPr>
            <m:sty m:val="p"/>
          </m:rPr>
          <m:t>)</m:t>
        </m:r>
      </m:oMath>
      <w:r>
        <w:t xml:space="preserve"> </w:t>
      </w:r>
      <w:r>
        <w:t xml:space="preserve">is then applied inside the analytical fitness call. The §S7.1 table labels and Figure 7 x-axis therefore report a quantity that is on the raw-</w:t>
      </w:r>
      <m:oMath>
        <m:r>
          <m:t>σ</m:t>
        </m:r>
      </m:oMath>
      <w:r>
        <w:t xml:space="preserve"> </w:t>
      </w:r>
      <w:r>
        <w:t xml:space="preserve">scale even though they use the</w:t>
      </w:r>
      <w:r>
        <w:t xml:space="preserve"> </w:t>
      </w:r>
      <w:r>
        <w:t xml:space="preserve">“</w:t>
      </w:r>
      <m:oMath>
        <m:sSub>
          <m:e>
            <m:r>
              <m:t>σ</m:t>
            </m:r>
          </m:e>
          <m:sub>
            <m:r>
              <m:t>e</m:t>
            </m:r>
            <m:r>
              <m:t>f</m:t>
            </m:r>
            <m:r>
              <m:t>f</m:t>
            </m:r>
          </m:sub>
        </m:sSub>
      </m:oMath>
      <w:r>
        <w:t xml:space="preserve">”</w:t>
      </w:r>
      <w:r>
        <w:t xml:space="preserve"> </w:t>
      </w:r>
      <w:r>
        <w:t xml:space="preserve">label. The analytical threshold</w:t>
      </w:r>
      <w:r>
        <w:t xml:space="preserve"> </w:t>
      </w:r>
      <m:oMath>
        <m:sSup>
          <m:e>
            <m:r>
              <m:t>σ</m:t>
            </m:r>
          </m:e>
          <m:sup>
            <m:r>
              <m:rPr>
                <m:sty m:val="p"/>
              </m:rPr>
              <m:t>*</m:t>
            </m:r>
          </m:sup>
        </m:sSup>
        <m:r>
          <m:rPr>
            <m:sty m:val="p"/>
          </m:rPr>
          <m:t>=</m:t>
        </m:r>
        <m:r>
          <m:t>0.40</m:t>
        </m:r>
      </m:oMath>
      <w:r>
        <w:t xml:space="preserve"> </w:t>
      </w:r>
      <w:r>
        <w:t xml:space="preserve">for</w:t>
      </w:r>
      <w:r>
        <w:t xml:space="preserve"> </w:t>
      </w:r>
      <m:oMath>
        <m:r>
          <m:t>ε</m:t>
        </m:r>
        <m:r>
          <m:rPr>
            <m:sty m:val="p"/>
          </m:rPr>
          <m:t>=</m:t>
        </m:r>
        <m:r>
          <m:t>0.35</m:t>
        </m:r>
      </m:oMath>
      <w:r>
        <w:t xml:space="preserve"> </w:t>
      </w:r>
      <w:r>
        <w:t xml:space="preserve">is also on the raw-</w:t>
      </w:r>
      <m:oMath>
        <m:r>
          <m:t>σ</m:t>
        </m:r>
      </m:oMath>
      <w:r>
        <w:t xml:space="preserve"> </w:t>
      </w:r>
      <w:r>
        <w:t xml:space="preserve">scale (because</w:t>
      </w:r>
      <w:r>
        <w:t xml:space="preserve"> </w:t>
      </w:r>
      <w:r>
        <w:rPr>
          <w:rStyle w:val="VerbatimChar"/>
        </w:rPr>
        <w:t xml:space="preserve">critical_threshold(epsilon=0.35)</w:t>
      </w:r>
      <w:r>
        <w:t xml:space="preserve"> </w:t>
      </w:r>
      <w:r>
        <w:t xml:space="preserve">returns the analytical</w:t>
      </w:r>
      <w:r>
        <w:t xml:space="preserve"> </w:t>
      </w:r>
      <m:oMath>
        <m:sSup>
          <m:e>
            <m:r>
              <m:t>σ</m:t>
            </m:r>
          </m:e>
          <m:sup>
            <m:r>
              <m:rPr>
                <m:sty m:val="p"/>
              </m:rPr>
              <m:t>*</m:t>
            </m:r>
          </m:sup>
        </m:sSup>
      </m:oMath>
      <w:r>
        <w:t xml:space="preserve"> </w:t>
      </w:r>
      <w:r>
        <w:t xml:space="preserve">at which the survival differential vanishes, evaluated against raw</w:t>
      </w:r>
      <w:r>
        <w:t xml:space="preserve"> </w:t>
      </w:r>
      <m:oMath>
        <m:r>
          <m:t>σ</m:t>
        </m:r>
      </m:oMath>
      <w:r>
        <w:t xml:space="preserve"> </w:t>
      </w:r>
      <w:r>
        <w:t xml:space="preserve">entering the discount). Within the §S7.1 / Figure 7 analysis, the convention is therefore internally consistent: the sweep variable, the threshold, and the realized values are all on the raw-</w:t>
      </w:r>
      <m:oMath>
        <m:r>
          <m:t>σ</m:t>
        </m:r>
      </m:oMath>
      <w:r>
        <w:t xml:space="preserve"> </w:t>
      </w:r>
      <w:r>
        <w:t xml:space="preserve">scale, and the label</w:t>
      </w:r>
      <w:r>
        <w:t xml:space="preserve"> </w:t>
      </w:r>
      <w:r>
        <w:t xml:space="preserve">“</w:t>
      </w:r>
      <m:oMath>
        <m:sSub>
          <m:e>
            <m:r>
              <m:t>σ</m:t>
            </m:r>
          </m:e>
          <m:sub>
            <m:r>
              <m:t>e</m:t>
            </m:r>
            <m:r>
              <m:t>f</m:t>
            </m:r>
            <m:r>
              <m:t>f</m:t>
            </m:r>
          </m:sub>
        </m:sSub>
      </m:oMath>
      <w:r>
        <w:t xml:space="preserve">”</w:t>
      </w:r>
      <w:r>
        <w:t xml:space="preserve"> </w:t>
      </w:r>
      <w:r>
        <w:t xml:space="preserve">is shorthand for</w:t>
      </w:r>
      <w:r>
        <w:t xml:space="preserve"> </w:t>
      </w:r>
      <w:r>
        <w:t xml:space="preserve">“the raw-</w:t>
      </w:r>
      <m:oMath>
        <m:r>
          <m:t>σ</m:t>
        </m:r>
      </m:oMath>
      <w:r>
        <w:t xml:space="preserve"> </w:t>
      </w:r>
      <w:r>
        <w:t xml:space="preserve">value at which the discount-adjusted survival term would correspond to ecotone advantage</w:t>
      </w:r>
      <w:r>
        <w:t xml:space="preserve"> </w:t>
      </w:r>
      <m:oMath>
        <m:r>
          <m:t>ε</m:t>
        </m:r>
        <m:r>
          <m:rPr>
            <m:sty m:val="p"/>
          </m:rPr>
          <m:t>=</m:t>
        </m:r>
        <m:r>
          <m:t>0.35</m:t>
        </m:r>
      </m:oMath>
      <w:r>
        <w:t xml:space="preserve">.”</w:t>
      </w:r>
      <w:r>
        <w:t xml:space="preserve"> </w:t>
      </w:r>
      <w:r>
        <w:t xml:space="preserve">Outside of §S7.1 / Figure 7, when we write</w:t>
      </w:r>
      <w:r>
        <w:t xml:space="preserve"> </w:t>
      </w:r>
      <m:oMath>
        <m:sSub>
          <m:e>
            <m:r>
              <m:t>σ</m:t>
            </m:r>
          </m:e>
          <m:sub>
            <m:r>
              <m:t>e</m:t>
            </m:r>
            <m:r>
              <m:t>f</m:t>
            </m:r>
            <m:r>
              <m:t>f</m:t>
            </m:r>
          </m:sub>
        </m:sSub>
      </m:oMath>
      <w:r>
        <w:t xml:space="preserve"> </w:t>
      </w:r>
      <w:r>
        <w:t xml:space="preserve">in the main text we mean the analytical</w:t>
      </w:r>
      <w:r>
        <w:t xml:space="preserve"> </w:t>
      </w:r>
      <m:oMath>
        <m:r>
          <m:t>σ</m:t>
        </m:r>
        <m:r>
          <m:rPr>
            <m:sty m:val="p"/>
          </m:rPr>
          <m:t>(</m:t>
        </m:r>
        <m:r>
          <m:t>1</m:t>
        </m:r>
        <m:r>
          <m:rPr>
            <m:sty m:val="p"/>
          </m:rPr>
          <m:t>−</m:t>
        </m:r>
        <m:r>
          <m:t>ε</m:t>
        </m:r>
        <m:r>
          <m:rPr>
            <m:sty m:val="p"/>
          </m:rPr>
          <m:t>)</m:t>
        </m:r>
      </m:oMath>
      <w:r>
        <w:t xml:space="preserve"> </w:t>
      </w:r>
      <w:r>
        <w:t xml:space="preserve">quantity proper. The contexts are clearly separated by which table or figure is being referenced.</w:t>
      </w:r>
    </w:p>
    <w:p>
      <w:pPr>
        <w:pStyle w:val="BodyText"/>
      </w:pPr>
      <w:r>
        <w:rPr>
          <w:b/>
          <w:bCs/>
        </w:rPr>
        <w:t xml:space="preserve">Composite uncertainty derivation.</w:t>
      </w:r>
      <w:r>
        <w:t xml:space="preserve"> </w:t>
      </w:r>
      <w:r>
        <w:t xml:space="preserve">In plain terms:</w:t>
      </w:r>
      <w:r>
        <w:t xml:space="preserve"> </w:t>
      </w:r>
      <m:oMath>
        <m:r>
          <m:t>σ</m:t>
        </m:r>
      </m:oMath>
      <w:r>
        <w:t xml:space="preserve"> </w:t>
      </w:r>
      <w:r>
        <w:t xml:space="preserve">summarizes how much annual productivity bounces around year to year, combining how often shortfalls occur (mean recurrence</w:t>
      </w:r>
      <w:r>
        <w:t xml:space="preserve"> </w:t>
      </w:r>
      <m:oMath>
        <m:r>
          <m:t>T</m:t>
        </m:r>
      </m:oMath>
      <w:r>
        <w:t xml:space="preserve">) with how severe each one is (magnitude</w:t>
      </w:r>
      <w:r>
        <w:t xml:space="preserve"> </w:t>
      </w:r>
      <m:oMath>
        <m:r>
          <m:t>m</m:t>
        </m:r>
      </m:oMath>
      <w:r>
        <w:t xml:space="preserve">). The derivation: shortfalls arrive at random with mean spacing</w:t>
      </w:r>
      <w:r>
        <w:t xml:space="preserve"> </w:t>
      </w:r>
      <m:oMath>
        <m:r>
          <m:t>T</m:t>
        </m:r>
      </m:oMath>
      <w:r>
        <w:t xml:space="preserve"> </w:t>
      </w:r>
      <w:r>
        <w:t xml:space="preserve">years (a Poisson process with rate</w:t>
      </w:r>
      <w:r>
        <w:t xml:space="preserve"> </w:t>
      </w:r>
      <m:oMath>
        <m:sSub>
          <m:e>
            <m:r>
              <m:t>λ</m:t>
            </m:r>
          </m:e>
          <m:sub>
            <m:r>
              <m:t>s</m:t>
            </m:r>
          </m:sub>
        </m:sSub>
        <m:r>
          <m:rPr>
            <m:sty m:val="p"/>
          </m:rPr>
          <m:t>=</m:t>
        </m:r>
        <m:r>
          <m:t>1</m:t>
        </m:r>
        <m:r>
          <m:rPr>
            <m:sty m:val="p"/>
          </m:rPr>
          <m:t>/</m:t>
        </m:r>
        <m:r>
          <m:t>T</m:t>
        </m:r>
      </m:oMath>
      <w:r>
        <w:t xml:space="preserve">), and each shortfall reduces annual productivity by a multiplicative factor</w:t>
      </w:r>
      <w:r>
        <w:t xml:space="preserve"> </w:t>
      </w:r>
      <m:oMath>
        <m:r>
          <m:t>m</m:t>
        </m:r>
        <m:r>
          <m:rPr>
            <m:sty m:val="p"/>
          </m:rPr>
          <m:t>∈</m:t>
        </m:r>
        <m:r>
          <m:rPr>
            <m:sty m:val="p"/>
          </m:rPr>
          <m:t>(</m:t>
        </m:r>
        <m:r>
          <m:t>0</m:t>
        </m:r>
        <m:r>
          <m:rPr>
            <m:sty m:val="p"/>
          </m:rPr>
          <m:t>,</m:t>
        </m:r>
        <m:r>
          <m:t>1</m:t>
        </m:r>
        <m:r>
          <m:rPr>
            <m:sty m:val="p"/>
          </m:rPr>
          <m:t>)</m:t>
        </m:r>
      </m:oMath>
      <w:r>
        <w:t xml:space="preserve"> </w:t>
      </w:r>
      <w:r>
        <w:t xml:space="preserve">(so a</w:t>
      </w:r>
      <w:r>
        <w:t xml:space="preserve"> </w:t>
      </w:r>
      <w:r>
        <w:t xml:space="preserve">“magnitude 0.45”</w:t>
      </w:r>
      <w:r>
        <w:t xml:space="preserve"> </w:t>
      </w:r>
      <w:r>
        <w:t xml:space="preserve">shortfall produces 55% of normal productivity in that year). The expected number of shortfalls in any year is</w:t>
      </w:r>
      <w:r>
        <w:t xml:space="preserve"> </w:t>
      </w:r>
      <m:oMath>
        <m:r>
          <m:t>1</m:t>
        </m:r>
        <m:r>
          <m:rPr>
            <m:sty m:val="p"/>
          </m:rPr>
          <m:t>/</m:t>
        </m:r>
        <m:r>
          <m:t>T</m:t>
        </m:r>
      </m:oMath>
      <w:r>
        <w:t xml:space="preserve">, and the variance of annual productivity loss across many years is</w:t>
      </w:r>
      <w:r>
        <w:t xml:space="preserve"> </w:t>
      </w:r>
      <m:oMath>
        <m:r>
          <m:t>E</m:t>
        </m:r>
        <m:r>
          <m:rPr>
            <m:sty m:val="p"/>
          </m:rPr>
          <m:t>[</m:t>
        </m:r>
        <m:sSup>
          <m:e>
            <m:r>
              <m:rPr>
                <m:nor/>
                <m:sty m:val="p"/>
              </m:rPr>
              <m:t>loss</m:t>
            </m:r>
          </m:e>
          <m:sup>
            <m:r>
              <m:t>2</m:t>
            </m:r>
          </m:sup>
        </m:sSup>
        <m:r>
          <m:rPr>
            <m:sty m:val="p"/>
          </m:rPr>
          <m:t>]</m:t>
        </m:r>
        <m:r>
          <m:rPr>
            <m:sty m:val="p"/>
          </m:rPr>
          <m:t>=</m:t>
        </m:r>
        <m:sSup>
          <m:e>
            <m:r>
              <m:t>m</m:t>
            </m:r>
          </m:e>
          <m:sup>
            <m:r>
              <m:t>2</m:t>
            </m:r>
          </m:sup>
        </m:sSup>
        <m:r>
          <m:rPr>
            <m:sty m:val="p"/>
          </m:rPr>
          <m:t>/</m:t>
        </m:r>
        <m:r>
          <m:t>T</m:t>
        </m:r>
      </m:oMath>
      <w:r>
        <w:t xml:space="preserve"> </w:t>
      </w:r>
      <w:r>
        <w:t xml:space="preserve">(to leading order, treating shortfalls as independent annual events). The standard deviation of annual loss is therefore</w:t>
      </w:r>
      <w:r>
        <w:t xml:space="preserve"> </w:t>
      </w:r>
      <m:oMath>
        <m:sSub>
          <m:e>
            <m:r>
              <m:t>σ</m:t>
            </m:r>
          </m:e>
          <m:sub>
            <m:r>
              <m:rPr>
                <m:nor/>
                <m:sty m:val="p"/>
              </m:rPr>
              <m:t>annual</m:t>
            </m:r>
          </m:sub>
        </m:sSub>
        <m:r>
          <m:rPr>
            <m:sty m:val="p"/>
          </m:rPr>
          <m:t>=</m:t>
        </m:r>
        <m:r>
          <m:t>m</m:t>
        </m:r>
        <m:r>
          <m:rPr>
            <m:sty m:val="p"/>
          </m:rPr>
          <m:t>/</m:t>
        </m:r>
        <m:rad>
          <m:radPr>
            <m:degHide m:val="on"/>
          </m:radPr>
          <m:deg/>
          <m:e>
            <m:r>
              <m:t>T</m:t>
            </m:r>
          </m:e>
        </m:rad>
      </m:oMath>
      <w:r>
        <w:t xml:space="preserve">.</w:t>
      </w:r>
    </w:p>
    <w:p>
      <w:pPr>
        <w:pStyle w:val="BodyText"/>
      </w:pPr>
      <w:r>
        <w:t xml:space="preserve">For interpretive convenience we work in units anchored at a 20-year reference recurrence:</w:t>
      </w:r>
      <w:r>
        <w:t xml:space="preserve"> </w:t>
      </w:r>
      <m:oMath>
        <m:r>
          <m:t>σ</m:t>
        </m:r>
        <m:r>
          <m:rPr>
            <m:sty m:val="p"/>
          </m:rPr>
          <m:t>=</m:t>
        </m:r>
        <m:r>
          <m:t>m</m:t>
        </m:r>
        <m:r>
          <m:rPr>
            <m:sty m:val="p"/>
          </m:rPr>
          <m:t>⋅</m:t>
        </m:r>
        <m:rad>
          <m:radPr>
            <m:degHide m:val="on"/>
          </m:radPr>
          <m:deg/>
          <m:e>
            <m:r>
              <m:t>20</m:t>
            </m:r>
            <m:r>
              <m:rPr>
                <m:sty m:val="p"/>
              </m:rPr>
              <m:t>/</m:t>
            </m:r>
            <m:r>
              <m:t>T</m:t>
            </m:r>
          </m:e>
        </m:rad>
        <m:r>
          <m:rPr>
            <m:sty m:val="p"/>
          </m:rPr>
          <m:t>=</m:t>
        </m:r>
        <m:sSub>
          <m:e>
            <m:r>
              <m:t>σ</m:t>
            </m:r>
          </m:e>
          <m:sub>
            <m:r>
              <m:rPr>
                <m:nor/>
                <m:sty m:val="p"/>
              </m:rPr>
              <m:t>annual</m:t>
            </m:r>
          </m:sub>
        </m:sSub>
        <m:r>
          <m:rPr>
            <m:sty m:val="p"/>
          </m:rPr>
          <m:t>⋅</m:t>
        </m:r>
        <m:rad>
          <m:radPr>
            <m:degHide m:val="on"/>
          </m:radPr>
          <m:deg/>
          <m:e>
            <m:r>
              <m:t>20</m:t>
            </m:r>
          </m:e>
        </m:rad>
      </m:oMath>
      <w:r>
        <w:t xml:space="preserve">. This rescaling makes</w:t>
      </w:r>
      <w:r>
        <w:t xml:space="preserve"> </w:t>
      </w:r>
      <m:oMath>
        <m:r>
          <m:t>σ</m:t>
        </m:r>
      </m:oMath>
      <w:r>
        <w:t xml:space="preserve"> </w:t>
      </w:r>
      <w:r>
        <w:t xml:space="preserve">equal to</w:t>
      </w:r>
      <w:r>
        <w:t xml:space="preserve"> </w:t>
      </w:r>
      <m:oMath>
        <m:r>
          <m:t>m</m:t>
        </m:r>
      </m:oMath>
      <w:r>
        <w:t xml:space="preserve"> </w:t>
      </w:r>
      <w:r>
        <w:t xml:space="preserve">when</w:t>
      </w:r>
      <w:r>
        <w:t xml:space="preserve"> </w:t>
      </w:r>
      <m:oMath>
        <m:r>
          <m:t>T</m:t>
        </m:r>
        <m:r>
          <m:rPr>
            <m:sty m:val="p"/>
          </m:rPr>
          <m:t>=</m:t>
        </m:r>
        <m:r>
          <m:t>20</m:t>
        </m:r>
      </m:oMath>
      <w:r>
        <w:t xml:space="preserve"> </w:t>
      </w:r>
      <w:r>
        <w:t xml:space="preserve">years (a typical Late Archaic shortfall interval inferred from paleotempestology and drought reconstructions), so that a magnitude-0.45 shortfall recurring every 20 years produces</w:t>
      </w:r>
      <w:r>
        <w:t xml:space="preserve"> </w:t>
      </w:r>
      <m:oMath>
        <m:r>
          <m:t>σ</m:t>
        </m:r>
        <m:r>
          <m:rPr>
            <m:sty m:val="p"/>
          </m:rPr>
          <m:t>=</m:t>
        </m:r>
        <m:r>
          <m:t>0.45</m:t>
        </m:r>
      </m:oMath>
      <w:r>
        <w:t xml:space="preserve">. The choice of 20 years as the reference is a convention. It does not affect the</w:t>
      </w:r>
      <w:r>
        <w:t xml:space="preserve"> </w:t>
      </w:r>
      <w:r>
        <w:rPr>
          <w:i/>
          <w:iCs/>
        </w:rPr>
        <w:t xml:space="preserve">ratio</w:t>
      </w:r>
      <w:r>
        <w:t xml:space="preserve"> </w:t>
      </w:r>
      <w:r>
        <w:t xml:space="preserve">of</w:t>
      </w:r>
      <w:r>
        <w:t xml:space="preserve"> </w:t>
      </w:r>
      <m:oMath>
        <m:r>
          <m:t>σ</m:t>
        </m:r>
      </m:oMath>
      <w:r>
        <w:t xml:space="preserve"> </w:t>
      </w:r>
      <w:r>
        <w:t xml:space="preserve">values across cases or the location of the critical threshold</w:t>
      </w:r>
      <w:r>
        <w:t xml:space="preserve"> </w:t>
      </w:r>
      <m:oMath>
        <m:sSup>
          <m:e>
            <m:r>
              <m:t>σ</m:t>
            </m:r>
          </m:e>
          <m:sup>
            <m:r>
              <m:rPr>
                <m:sty m:val="p"/>
              </m:rPr>
              <m:t>*</m:t>
            </m:r>
          </m:sup>
        </m:sSup>
      </m:oMath>
      <w:r>
        <w:t xml:space="preserve"> </w:t>
      </w:r>
      <w:r>
        <w:t xml:space="preserve">when both are computed in the same units.</w:t>
      </w:r>
    </w:p>
    <w:p>
      <w:pPr>
        <w:pStyle w:val="BodyText"/>
      </w:pPr>
      <w:r>
        <w:t xml:space="preserve">For Poverty Point, frequency</w:t>
      </w:r>
      <w:r>
        <w:t xml:space="preserve"> </w:t>
      </w:r>
      <m:oMath>
        <m:r>
          <m:rPr>
            <m:sty m:val="p"/>
          </m:rPr>
          <m:t>≈</m:t>
        </m:r>
        <m:r>
          <m:t>10</m:t>
        </m:r>
      </m:oMath>
      <w:r>
        <w:t xml:space="preserve"> </w:t>
      </w:r>
      <w:r>
        <w:t xml:space="preserve">years (combining drought and hurricane cycles) and magnitude</w:t>
      </w:r>
      <w:r>
        <w:t xml:space="preserve"> </w:t>
      </w:r>
      <m:oMath>
        <m:r>
          <m:rPr>
            <m:sty m:val="p"/>
          </m:rPr>
          <m:t>≈</m:t>
        </m:r>
        <m:r>
          <m:t>0.45</m:t>
        </m:r>
      </m:oMath>
      <w:r>
        <w:t xml:space="preserve"> </w:t>
      </w:r>
      <w:r>
        <w:t xml:space="preserve">yield</w:t>
      </w:r>
      <w:r>
        <w:t xml:space="preserve"> </w:t>
      </w:r>
      <m:oMath>
        <m:r>
          <m:t>σ</m:t>
        </m:r>
        <m:r>
          <m:rPr>
            <m:sty m:val="p"/>
          </m:rPr>
          <m:t>=</m:t>
        </m:r>
        <m:r>
          <m:t>0.45</m:t>
        </m:r>
        <m:r>
          <m:rPr>
            <m:sty m:val="p"/>
          </m:rPr>
          <m:t>⋅</m:t>
        </m:r>
        <m:rad>
          <m:radPr>
            <m:degHide m:val="on"/>
          </m:radPr>
          <m:deg/>
          <m:e>
            <m:r>
              <m:t>2</m:t>
            </m:r>
          </m:e>
        </m:rad>
        <m:r>
          <m:rPr>
            <m:sty m:val="p"/>
          </m:rPr>
          <m:t>≈</m:t>
        </m:r>
        <m:r>
          <m:t>0.64</m:t>
        </m:r>
      </m:oMath>
      <w:r>
        <w:t xml:space="preserve">.</w:t>
      </w:r>
    </w:p>
    <w:p>
      <w:pPr>
        <w:pStyle w:val="BodyText"/>
      </w:pPr>
      <w:r>
        <w:rPr>
          <w:b/>
          <w:bCs/>
        </w:rPr>
        <w:t xml:space="preserve">Normalization invariance.</w:t>
      </w:r>
      <w:r>
        <w:t xml:space="preserve"> </w:t>
      </w:r>
      <w:r>
        <w:t xml:space="preserve">The 20-year reference window is a unit choice, not a substantive parameter. Different reference choices rescale both</w:t>
      </w:r>
      <w:r>
        <w:t xml:space="preserve"> </w:t>
      </w:r>
      <m:oMath>
        <m:sSub>
          <m:e>
            <m:r>
              <m:t>σ</m:t>
            </m:r>
          </m:e>
          <m:sub>
            <m:r>
              <m:t>L</m:t>
            </m:r>
            <m:r>
              <m:t>M</m:t>
            </m:r>
            <m:r>
              <m:t>V</m:t>
            </m:r>
          </m:sub>
        </m:sSub>
      </m:oMath>
      <w:r>
        <w:t xml:space="preserve"> </w:t>
      </w:r>
      <w:r>
        <w:t xml:space="preserve">and</w:t>
      </w:r>
      <w:r>
        <w:t xml:space="preserve"> </w:t>
      </w:r>
      <m:oMath>
        <m:sSup>
          <m:e>
            <m:r>
              <m:t>σ</m:t>
            </m:r>
          </m:e>
          <m:sup>
            <m:r>
              <m:rPr>
                <m:sty m:val="p"/>
              </m:rPr>
              <m:t>*</m:t>
            </m:r>
          </m:sup>
        </m:sSup>
      </m:oMath>
      <w:r>
        <w:t xml:space="preserve"> </w:t>
      </w:r>
      <w:r>
        <w:t xml:space="preserve">by the same factor, so the comparison</w:t>
      </w:r>
      <w:r>
        <w:t xml:space="preserve"> </w:t>
      </w:r>
      <m:oMath>
        <m:sSub>
          <m:e>
            <m:r>
              <m:t>σ</m:t>
            </m:r>
          </m:e>
          <m:sub>
            <m:r>
              <m:t>L</m:t>
            </m:r>
            <m:r>
              <m:t>M</m:t>
            </m:r>
            <m:r>
              <m:t>V</m:t>
            </m:r>
          </m:sub>
        </m:sSub>
      </m:oMath>
      <w:r>
        <w:t xml:space="preserve"> </w:t>
      </w:r>
      <w:r>
        <w:t xml:space="preserve">vs</w:t>
      </w:r>
      <w:r>
        <w:t xml:space="preserve"> </w:t>
      </w:r>
      <m:oMath>
        <m:sSup>
          <m:e>
            <m:r>
              <m:t>σ</m:t>
            </m:r>
          </m:e>
          <m:sup>
            <m:r>
              <m:rPr>
                <m:sty m:val="p"/>
              </m:rPr>
              <m:t>*</m:t>
            </m:r>
          </m:sup>
        </m:sSup>
      </m:oMath>
      <w:r>
        <w:t xml:space="preserve"> </w:t>
      </w:r>
      <w:r>
        <w:t xml:space="preserve">that the §6.2 threshold-proximity test depends on is preserved. Formally: under any alternative reference</w:t>
      </w:r>
      <w:r>
        <w:t xml:space="preserve"> </w:t>
      </w:r>
      <m:oMath>
        <m:sSubSup>
          <m:e>
            <m:r>
              <m:t>T</m:t>
            </m:r>
          </m:e>
          <m:sub>
            <m:r>
              <m:t>0</m:t>
            </m:r>
          </m:sub>
          <m:sup>
            <m:r>
              <m:rPr>
                <m:sty m:val="p"/>
              </m:rPr>
              <m:t>′</m:t>
            </m:r>
          </m:sup>
        </m:sSubSup>
      </m:oMath>
      <w:r>
        <w:t xml:space="preserve">, both quantities rescale by</w:t>
      </w:r>
      <w:r>
        <w:t xml:space="preserve"> </w:t>
      </w:r>
      <m:oMath>
        <m:rad>
          <m:radPr>
            <m:degHide m:val="on"/>
          </m:radPr>
          <m:deg/>
          <m:e>
            <m:sSubSup>
              <m:e>
                <m:r>
                  <m:t>T</m:t>
                </m:r>
              </m:e>
              <m:sub>
                <m:r>
                  <m:t>0</m:t>
                </m:r>
              </m:sub>
              <m:sup>
                <m:r>
                  <m:rPr>
                    <m:sty m:val="p"/>
                  </m:rPr>
                  <m:t>′</m:t>
                </m:r>
              </m:sup>
            </m:sSubSup>
            <m:r>
              <m:rPr>
                <m:sty m:val="p"/>
              </m:rPr>
              <m:t>/</m:t>
            </m:r>
            <m:sSub>
              <m:e>
                <m:r>
                  <m:t>T</m:t>
                </m:r>
              </m:e>
              <m:sub>
                <m:r>
                  <m:t>0</m:t>
                </m:r>
              </m:sub>
            </m:sSub>
          </m:e>
        </m:rad>
      </m:oMath>
      <w:r>
        <w:t xml:space="preserve">, so the ratio</w:t>
      </w:r>
      <w:r>
        <w:t xml:space="preserve"> </w:t>
      </w:r>
      <m:oMath>
        <m:sSub>
          <m:e>
            <m:r>
              <m:t>σ</m:t>
            </m:r>
          </m:e>
          <m:sub>
            <m:r>
              <m:t>L</m:t>
            </m:r>
            <m:r>
              <m:t>M</m:t>
            </m:r>
            <m:r>
              <m:t>V</m:t>
            </m:r>
          </m:sub>
        </m:sSub>
        <m:r>
          <m:rPr>
            <m:sty m:val="p"/>
          </m:rPr>
          <m:t>/</m:t>
        </m:r>
        <m:sSup>
          <m:e>
            <m:r>
              <m:t>σ</m:t>
            </m:r>
          </m:e>
          <m:sup>
            <m:r>
              <m:rPr>
                <m:sty m:val="p"/>
              </m:rPr>
              <m:t>*</m:t>
            </m:r>
          </m:sup>
        </m:sSup>
      </m:oMath>
      <w:r>
        <w:t xml:space="preserve"> </w:t>
      </w:r>
      <w:r>
        <w:t xml:space="preserve">is invariant.</w:t>
      </w:r>
    </w:p>
    <w:p>
      <w:pPr>
        <w:pStyle w:val="BodyText"/>
      </w:pPr>
      <w:r>
        <w:t xml:space="preserve">To verify numerically across four reference choices: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m:oMath>
              <m:sSub>
                <m:e>
                  <m:r>
                    <m:t>T</m:t>
                  </m:r>
                </m:e>
                <m:sub>
                  <m:r>
                    <m:t>0</m:t>
                  </m:r>
                </m:sub>
              </m:sSub>
            </m:oMath>
            <w:r>
              <w:t xml:space="preserve"> </w:t>
            </w:r>
            <w:r>
              <w:t xml:space="preserve">(yr)</w:t>
            </w:r>
          </w:p>
        </w:tc>
        <w:tc>
          <w:tcPr/>
          <w:p>
            <w:pPr>
              <w:pStyle w:val="Compact"/>
            </w:pPr>
            <m:oMath>
              <m:sSub>
                <m:e>
                  <m:r>
                    <m:t>σ</m:t>
                  </m:r>
                </m:e>
                <m:sub>
                  <m:r>
                    <m:t>L</m:t>
                  </m:r>
                  <m:r>
                    <m:t>M</m:t>
                  </m:r>
                  <m:r>
                    <m:t>V</m:t>
                  </m:r>
                </m:sub>
              </m:sSub>
              <m:r>
                <m:rPr>
                  <m:sty m:val="p"/>
                </m:rPr>
                <m:t>=</m:t>
              </m:r>
              <m:r>
                <m:t>0.45</m:t>
              </m:r>
              <m:r>
                <m:rPr>
                  <m:sty m:val="p"/>
                </m:rPr>
                <m:t>⋅</m:t>
              </m:r>
              <m:rad>
                <m:radPr>
                  <m:degHide m:val="on"/>
                </m:radPr>
                <m:deg/>
                <m:e>
                  <m:sSub>
                    <m:e>
                      <m:r>
                        <m:t>T</m:t>
                      </m:r>
                    </m:e>
                    <m:sub>
                      <m:r>
                        <m:t>0</m:t>
                      </m:r>
                    </m:sub>
                  </m:sSub>
                  <m:r>
                    <m:rPr>
                      <m:sty m:val="p"/>
                    </m:rPr>
                    <m:t>/</m:t>
                  </m:r>
                  <m:r>
                    <m:t>10</m:t>
                  </m:r>
                </m:e>
              </m:rad>
            </m:oMath>
          </w:p>
        </w:tc>
        <w:tc>
          <w:tcPr/>
          <w:p>
            <w:pPr>
              <w:pStyle w:val="Compact"/>
            </w:pPr>
            <m:oMath>
              <m:sSup>
                <m:e>
                  <m:r>
                    <m:t>σ</m:t>
                  </m:r>
                </m:e>
                <m:sup>
                  <m:r>
                    <m:rPr>
                      <m:sty m:val="p"/>
                    </m:rPr>
                    <m:t>*</m:t>
                  </m:r>
                </m:sup>
              </m:sSup>
              <m:r>
                <m:rPr>
                  <m:sty m:val="p"/>
                </m:rPr>
                <m:t>=</m:t>
              </m:r>
              <m:r>
                <m:t>0.40</m:t>
              </m:r>
              <m:r>
                <m:rPr>
                  <m:sty m:val="p"/>
                </m:rPr>
                <m:t>⋅</m:t>
              </m:r>
              <m:rad>
                <m:radPr>
                  <m:degHide m:val="on"/>
                </m:radPr>
                <m:deg/>
                <m:e>
                  <m:sSub>
                    <m:e>
                      <m:r>
                        <m:t>T</m:t>
                      </m:r>
                    </m:e>
                    <m:sub>
                      <m:r>
                        <m:t>0</m:t>
                      </m:r>
                    </m:sub>
                  </m:sSub>
                  <m:r>
                    <m:rPr>
                      <m:sty m:val="p"/>
                    </m:rPr>
                    <m:t>/</m:t>
                  </m:r>
                  <m:r>
                    <m:t>20</m:t>
                  </m:r>
                </m:e>
              </m:rad>
            </m:oMath>
          </w:p>
        </w:tc>
        <w:tc>
          <w:tcPr/>
          <w:p>
            <w:pPr>
              <w:pStyle w:val="Compact"/>
            </w:pPr>
            <w:r>
              <w:t xml:space="preserve">Ratio</w:t>
            </w:r>
            <w:r>
              <w:t xml:space="preserve"> </w:t>
            </w:r>
            <m:oMath>
              <m:sSub>
                <m:e>
                  <m:r>
                    <m:t>σ</m:t>
                  </m:r>
                </m:e>
                <m:sub>
                  <m:r>
                    <m:t>L</m:t>
                  </m:r>
                  <m:r>
                    <m:t>M</m:t>
                  </m:r>
                  <m:r>
                    <m:t>V</m:t>
                  </m:r>
                </m:sub>
              </m:sSub>
              <m:r>
                <m:rPr>
                  <m:sty m:val="p"/>
                </m:rPr>
                <m:t>/</m:t>
              </m:r>
              <m:sSup>
                <m:e>
                  <m:r>
                    <m:t>σ</m:t>
                  </m:r>
                </m:e>
                <m:sup>
                  <m:r>
                    <m:rPr>
                      <m:sty m:val="p"/>
                    </m:rPr>
                    <m:t>*</m:t>
                  </m:r>
                </m:sup>
              </m:sSup>
            </m:oMath>
          </w:p>
        </w:tc>
      </w:tr>
      <w:tr>
        <w:tc>
          <w:tcPr/>
          <w:p>
            <w:pPr>
              <w:pStyle w:val="Compact"/>
            </w:pPr>
            <w:r>
              <w:t xml:space="preserve">5</w:t>
            </w:r>
          </w:p>
        </w:tc>
        <w:tc>
          <w:tcPr/>
          <w:p>
            <w:pPr>
              <w:pStyle w:val="Compact"/>
            </w:pPr>
            <w:r>
              <w:t xml:space="preserve">0.318</w:t>
            </w:r>
          </w:p>
        </w:tc>
        <w:tc>
          <w:tcPr/>
          <w:p>
            <w:pPr>
              <w:pStyle w:val="Compact"/>
            </w:pPr>
            <w:r>
              <w:t xml:space="preserve">0.200</w:t>
            </w:r>
          </w:p>
        </w:tc>
        <w:tc>
          <w:tcPr/>
          <w:p>
            <w:pPr>
              <w:pStyle w:val="Compact"/>
            </w:pPr>
            <w:r>
              <w:t xml:space="preserve">1.59</w:t>
            </w:r>
          </w:p>
        </w:tc>
      </w:tr>
      <w:tr>
        <w:tc>
          <w:tcPr/>
          <w:p>
            <w:pPr>
              <w:pStyle w:val="Compact"/>
            </w:pPr>
            <w:r>
              <w:t xml:space="preserve">10</w:t>
            </w:r>
          </w:p>
        </w:tc>
        <w:tc>
          <w:tcPr/>
          <w:p>
            <w:pPr>
              <w:pStyle w:val="Compact"/>
            </w:pPr>
            <w:r>
              <w:t xml:space="preserve">0.450</w:t>
            </w:r>
          </w:p>
        </w:tc>
        <w:tc>
          <w:tcPr/>
          <w:p>
            <w:pPr>
              <w:pStyle w:val="Compact"/>
            </w:pPr>
            <w:r>
              <w:t xml:space="preserve">0.283</w:t>
            </w:r>
          </w:p>
        </w:tc>
        <w:tc>
          <w:tcPr/>
          <w:p>
            <w:pPr>
              <w:pStyle w:val="Compact"/>
            </w:pPr>
            <w:r>
              <w:t xml:space="preserve">1.59</w:t>
            </w:r>
          </w:p>
        </w:tc>
      </w:tr>
      <w:tr>
        <w:tc>
          <w:tcPr/>
          <w:p>
            <w:pPr>
              <w:pStyle w:val="Compact"/>
            </w:pPr>
            <w:r>
              <w:t xml:space="preserve">20 (default)</w:t>
            </w:r>
          </w:p>
        </w:tc>
        <w:tc>
          <w:tcPr/>
          <w:p>
            <w:pPr>
              <w:pStyle w:val="Compact"/>
            </w:pPr>
            <w:r>
              <w:t xml:space="preserve">0.636</w:t>
            </w:r>
          </w:p>
        </w:tc>
        <w:tc>
          <w:tcPr/>
          <w:p>
            <w:pPr>
              <w:pStyle w:val="Compact"/>
            </w:pPr>
            <w:r>
              <w:t xml:space="preserve">0.400</w:t>
            </w:r>
          </w:p>
        </w:tc>
        <w:tc>
          <w:tcPr/>
          <w:p>
            <w:pPr>
              <w:pStyle w:val="Compact"/>
            </w:pPr>
            <w:r>
              <w:t xml:space="preserve">1.59</w:t>
            </w:r>
          </w:p>
        </w:tc>
      </w:tr>
      <w:tr>
        <w:tc>
          <w:tcPr/>
          <w:p>
            <w:pPr>
              <w:pStyle w:val="Compact"/>
            </w:pPr>
            <w:r>
              <w:t xml:space="preserve">50</w:t>
            </w:r>
          </w:p>
        </w:tc>
        <w:tc>
          <w:tcPr/>
          <w:p>
            <w:pPr>
              <w:pStyle w:val="Compact"/>
            </w:pPr>
            <w:r>
              <w:t xml:space="preserve">1.006</w:t>
            </w:r>
          </w:p>
        </w:tc>
        <w:tc>
          <w:tcPr/>
          <w:p>
            <w:pPr>
              <w:pStyle w:val="Compact"/>
            </w:pPr>
            <w:r>
              <w:t xml:space="preserve">0.632</w:t>
            </w:r>
          </w:p>
        </w:tc>
        <w:tc>
          <w:tcPr/>
          <w:p>
            <w:pPr>
              <w:pStyle w:val="Compact"/>
            </w:pPr>
            <w:r>
              <w:t xml:space="preserve">1.59</w:t>
            </w:r>
          </w:p>
        </w:tc>
      </w:tr>
    </w:tbl>
    <w:p>
      <w:pPr>
        <w:pStyle w:val="BodyText"/>
      </w:pPr>
      <w:r>
        <w:t xml:space="preserve">The case classification (Poverty Point above threshold) and the ratio are preserved exactly across the reference-window choices. Because the §6.2 Bayesian threshold-proximity posterior</w:t>
      </w:r>
      <w: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oMath>
      <w:r>
        <w:t xml:space="preserve"> </w:t>
      </w:r>
      <w:r>
        <w:t xml:space="preserve">depends only on the ratio (both</w:t>
      </w:r>
      <w:r>
        <w:t xml:space="preserve"> </w:t>
      </w:r>
      <m:oMath>
        <m:sSub>
          <m:e>
            <m:r>
              <m:t>σ</m:t>
            </m:r>
          </m:e>
          <m:sub>
            <m:r>
              <m:t>e</m:t>
            </m:r>
            <m:r>
              <m:t>f</m:t>
            </m:r>
            <m:r>
              <m:t>f</m:t>
            </m:r>
          </m:sub>
        </m:sSub>
      </m:oMath>
      <w:r>
        <w:t xml:space="preserve"> </w:t>
      </w:r>
      <w:r>
        <w:t xml:space="preserve">and</w:t>
      </w:r>
      <w:r>
        <w:t xml:space="preserve"> </w:t>
      </w:r>
      <m:oMath>
        <m:sSup>
          <m:e>
            <m:r>
              <m:t>σ</m:t>
            </m:r>
          </m:e>
          <m:sup>
            <m:r>
              <m:rPr>
                <m:sty m:val="p"/>
              </m:rPr>
              <m:t>*</m:t>
            </m:r>
          </m:sup>
        </m:sSup>
      </m:oMath>
      <w:r>
        <w:t xml:space="preserve"> </w:t>
      </w:r>
      <w:r>
        <w:t xml:space="preserve">rescale by the same factor under any consistent normalization), the posterior probability</w:t>
      </w:r>
      <w:r>
        <w:t xml:space="preserve"> </w:t>
      </w:r>
      <m:oMath>
        <m:r>
          <m:t>P</m:t>
        </m:r>
        <m:r>
          <m:rPr>
            <m:sty m:val="p"/>
          </m:rPr>
          <m:t>=</m:t>
        </m:r>
        <m:r>
          <m:t>0.36</m:t>
        </m:r>
      </m:oMath>
      <w:r>
        <w:t xml:space="preserve">-</w:t>
      </w:r>
      <m:oMath>
        <m:r>
          <m:t>0.56</m:t>
        </m:r>
      </m:oMath>
      <w:r>
        <w:t xml:space="preserve"> </w:t>
      </w:r>
      <w:r>
        <w:t xml:space="preserve">is invariant under the choice of reference window. The 20-year reference is a parameterization convention for interpretability (</w:t>
      </w:r>
      <m:oMath>
        <m:r>
          <m:t>σ</m:t>
        </m:r>
        <m:r>
          <m:rPr>
            <m:sty m:val="p"/>
          </m:rPr>
          <m:t>=</m:t>
        </m:r>
        <m:r>
          <m:t>m</m:t>
        </m:r>
      </m:oMath>
      <w:r>
        <w:t xml:space="preserve"> </w:t>
      </w:r>
      <w:r>
        <w:t xml:space="preserve">when</w:t>
      </w:r>
      <w:r>
        <w:t xml:space="preserve"> </w:t>
      </w:r>
      <m:oMath>
        <m:r>
          <m:t>T</m:t>
        </m:r>
        <m:r>
          <m:rPr>
            <m:sty m:val="p"/>
          </m:rPr>
          <m:t>=</m:t>
        </m:r>
        <m:r>
          <m:t>20</m:t>
        </m:r>
      </m:oMath>
      <w:r>
        <w:t xml:space="preserve">). The substantive comparison is preserved.</w:t>
      </w:r>
    </w:p>
    <w:bookmarkEnd w:id="12"/>
    <w:bookmarkStart w:id="13" w:name="s1.5-initialization"/>
    <w:p>
      <w:pPr>
        <w:pStyle w:val="Heading3"/>
      </w:pPr>
      <w:r>
        <w:t xml:space="preserve">S1.5 Initialization</w:t>
      </w:r>
    </w:p>
    <w:p>
      <w:pPr>
        <w:pStyle w:val="FirstParagraph"/>
      </w:pPr>
      <w:r>
        <w:t xml:space="preserve">Simulation begins with 50 bands distributed uniformly across the regional landscape. Each band’s initial strategy is Bernoulli(0.5) aggregator/independent, its quality is drawn from</w:t>
      </w:r>
      <w:r>
        <w:t xml:space="preserve"> </w:t>
      </w:r>
      <m:oMath>
        <m:r>
          <m:t>U</m:t>
        </m:r>
        <m:r>
          <m:rPr>
            <m:sty m:val="p"/>
          </m:rPr>
          <m:t>[</m:t>
        </m:r>
        <m:sSub>
          <m:e>
            <m:r>
              <m:t>q</m:t>
            </m:r>
          </m:e>
          <m:sub>
            <m:r>
              <m:t>m</m:t>
            </m:r>
            <m:r>
              <m:t>i</m:t>
            </m:r>
            <m:r>
              <m:t>n</m:t>
            </m:r>
          </m:sub>
        </m:sSub>
        <m:r>
          <m:rPr>
            <m:sty m:val="p"/>
          </m:rPr>
          <m:t>,</m:t>
        </m:r>
        <m:sSub>
          <m:e>
            <m:r>
              <m:t>q</m:t>
            </m:r>
          </m:e>
          <m:sub>
            <m:r>
              <m:t>m</m:t>
            </m:r>
            <m:r>
              <m:t>a</m:t>
            </m:r>
            <m:r>
              <m:t>x</m:t>
            </m:r>
          </m:sub>
        </m:sSub>
        <m:r>
          <m:rPr>
            <m:sty m:val="p"/>
          </m:rPr>
          <m:t>]</m:t>
        </m:r>
      </m:oMath>
      <w:r>
        <w:t xml:space="preserve">, its size from</w:t>
      </w:r>
      <w:r>
        <w:t xml:space="preserve"> </w:t>
      </w:r>
      <m:oMath>
        <m:r>
          <m:t>25</m:t>
        </m:r>
        <m:r>
          <m:rPr>
            <m:sty m:val="p"/>
          </m:rPr>
          <m:t>±</m:t>
        </m:r>
        <m:r>
          <m:t>5</m:t>
        </m:r>
      </m:oMath>
      <w:r>
        <w:t xml:space="preserve"> </w:t>
      </w:r>
      <w:r>
        <w:t xml:space="preserve">members, and its resources from</w:t>
      </w:r>
      <w:r>
        <w:t xml:space="preserve"> </w:t>
      </w:r>
      <m:oMath>
        <m:r>
          <m:t>U</m:t>
        </m:r>
        <m:r>
          <m:rPr>
            <m:sty m:val="p"/>
          </m:rPr>
          <m:t>[</m:t>
        </m:r>
        <m:r>
          <m:t>0.4</m:t>
        </m:r>
        <m:r>
          <m:rPr>
            <m:sty m:val="p"/>
          </m:rPr>
          <m:t>,</m:t>
        </m:r>
        <m:r>
          <m:t>0.6</m:t>
        </m:r>
        <m:r>
          <m:rPr>
            <m:sty m:val="p"/>
          </m:rPr>
          <m:t>]</m:t>
        </m:r>
      </m:oMath>
      <w:r>
        <w:t xml:space="preserve">. Each band is seeded with 0-2 weak reciprocal obligations (strength 0.1) to randomly chosen partners; monument stock starts at zero. Spin-up of 50 years is discarded before metric collection.</w:t>
      </w:r>
    </w:p>
    <w:bookmarkEnd w:id="13"/>
    <w:bookmarkStart w:id="14" w:name="s1.6-submodels"/>
    <w:p>
      <w:pPr>
        <w:pStyle w:val="Heading3"/>
      </w:pPr>
      <w:r>
        <w:t xml:space="preserve">S1.6 Submodels</w:t>
      </w:r>
    </w:p>
    <w:p>
      <w:pPr>
        <w:pStyle w:val="FirstParagraph"/>
      </w:pPr>
      <w:r>
        <w:t xml:space="preserve">Submodels for fitness functions, vulnerability, network growth, exotic acquisition, and reproduction are described mathematically in §S2. The complete signal-conditional receiver-response apparatus, summarized in main-text §2.2, is implemented as three coupled rules with the following formal specifications:</w:t>
      </w:r>
    </w:p>
    <w:p>
      <w:pPr>
        <w:pStyle w:val="BodyText"/>
      </w:pPr>
      <w:r>
        <w:rPr>
          <w:i/>
          <w:iCs/>
        </w:rPr>
        <w:t xml:space="preserve">Signal-conditional partner formation.</w:t>
      </w:r>
      <w:r>
        <w:t xml:space="preserve"> </w:t>
      </w:r>
      <w:r>
        <w:t xml:space="preserve">For each band</w:t>
      </w:r>
      <w:r>
        <w:t xml:space="preserve"> </w:t>
      </w:r>
      <m:oMath>
        <m:r>
          <m:t>i</m:t>
        </m:r>
      </m:oMath>
      <w:r>
        <w:t xml:space="preserve"> </w:t>
      </w:r>
      <w:r>
        <w:t xml:space="preserve">attending the aggregation, a display level</w:t>
      </w:r>
      <w:r>
        <w:t xml:space="preserve"> </w:t>
      </w:r>
      <m:oMath>
        <m:sSub>
          <m:e>
            <m:r>
              <m:t>d</m:t>
            </m:r>
          </m:e>
          <m:sub>
            <m:r>
              <m:t>i</m:t>
            </m:r>
          </m:sub>
        </m:sSub>
      </m:oMath>
      <w:r>
        <w:t xml:space="preserve"> </w:t>
      </w:r>
      <w:r>
        <w:t xml:space="preserve">is computed by summing two quantities on different native scales:</w:t>
      </w:r>
      <w:r>
        <w:t xml:space="preserve"> </w:t>
      </w:r>
      <m:oMath>
        <m:sSub>
          <m:e>
            <m:r>
              <m:rPr>
                <m:nor/>
                <m:sty m:val="p"/>
              </m:rPr>
              <m:t>display</m:t>
            </m:r>
          </m:e>
          <m:sub>
            <m:r>
              <m:t>i</m:t>
            </m:r>
          </m:sub>
        </m:sSub>
        <m:r>
          <m:rPr>
            <m:sty m:val="p"/>
          </m:rPr>
          <m:t>=</m:t>
        </m:r>
        <m:sSub>
          <m:e>
            <m:r>
              <m:t>M</m:t>
            </m:r>
          </m:e>
          <m:sub>
            <m:r>
              <m:t>i</m:t>
            </m:r>
          </m:sub>
        </m:sSub>
        <m:r>
          <m:rPr>
            <m:sty m:val="p"/>
          </m:rPr>
          <m:t>+</m:t>
        </m:r>
        <m:sSub>
          <m:e>
            <m:r>
              <m:t>E</m:t>
            </m:r>
          </m:e>
          <m:sub>
            <m:r>
              <m:t>i</m:t>
            </m:r>
          </m:sub>
        </m:sSub>
      </m:oMath>
      <w:r>
        <w:t xml:space="preserve">, where</w:t>
      </w:r>
      <w:r>
        <w:t xml:space="preserve"> </w:t>
      </w:r>
      <m:oMath>
        <m:sSub>
          <m:e>
            <m:r>
              <m:t>M</m:t>
            </m:r>
          </m:e>
          <m:sub>
            <m:r>
              <m:t>i</m:t>
            </m:r>
          </m:sub>
        </m:sSub>
      </m:oMath>
      <w:r>
        <w:t xml:space="preserve"> </w:t>
      </w:r>
      <w:r>
        <w:t xml:space="preserve">is the band’s cumulative monument-contribution score (continuous fitness-fraction units; on the order of</w:t>
      </w:r>
      <w:r>
        <w:t xml:space="preserve"> </w:t>
      </w:r>
      <m:oMath>
        <m:sSup>
          <m:e>
            <m:r>
              <m:t>10</m:t>
            </m:r>
          </m:e>
          <m:sup>
            <m:r>
              <m:t>0</m:t>
            </m:r>
          </m:sup>
        </m:sSup>
      </m:oMath>
      <w:r>
        <w:t xml:space="preserve"> </w:t>
      </w:r>
      <w:r>
        <w:t xml:space="preserve">to</w:t>
      </w:r>
      <w:r>
        <w:t xml:space="preserve"> </w:t>
      </w:r>
      <m:oMath>
        <m:sSup>
          <m:e>
            <m:r>
              <m:t>10</m:t>
            </m:r>
          </m:e>
          <m:sup>
            <m:r>
              <m:t>1</m:t>
            </m:r>
          </m:sup>
        </m:sSup>
      </m:oMath>
      <w:r>
        <w:t xml:space="preserve"> </w:t>
      </w:r>
      <w:r>
        <w:t xml:space="preserve">at PP scale) and</w:t>
      </w:r>
      <w:r>
        <w:t xml:space="preserve"> </w:t>
      </w:r>
      <m:oMath>
        <m:sSub>
          <m:e>
            <m:r>
              <m:t>E</m:t>
            </m:r>
          </m:e>
          <m:sub>
            <m:r>
              <m:t>i</m:t>
            </m:r>
          </m:sub>
        </m:sSub>
      </m:oMath>
      <w:r>
        <w:t xml:space="preserve"> </w:t>
      </w:r>
      <w:r>
        <w:t xml:space="preserve">is the band’s total exotic-item count (integer count; on the order of</w:t>
      </w:r>
      <w:r>
        <w:t xml:space="preserve"> </w:t>
      </w:r>
      <m:oMath>
        <m:sSup>
          <m:e>
            <m:r>
              <m:t>10</m:t>
            </m:r>
          </m:e>
          <m:sup>
            <m:r>
              <m:t>1</m:t>
            </m:r>
          </m:sup>
        </m:sSup>
      </m:oMath>
      <w:r>
        <w:t xml:space="preserve"> </w:t>
      </w:r>
      <w:r>
        <w:t xml:space="preserve">to</w:t>
      </w:r>
      <w:r>
        <w:t xml:space="preserve"> </w:t>
      </w:r>
      <m:oMath>
        <m:sSup>
          <m:e>
            <m:r>
              <m:t>10</m:t>
            </m:r>
          </m:e>
          <m:sup>
            <m:r>
              <m:t>3</m:t>
            </m:r>
          </m:sup>
        </m:sSup>
      </m:oMath>
      <w:r>
        <w:t xml:space="preserve"> </w:t>
      </w:r>
      <w:r>
        <w:t xml:space="preserve">at PP scale). The additive combination places these on the same axis without scale-matching, which we acknowledge as a model-implementation choice rather than a derivation. The combined display is then normalized within the attending cohort,</w:t>
      </w:r>
      <w:r>
        <w:t xml:space="preserve"> </w:t>
      </w:r>
      <m:oMath>
        <m:sSub>
          <m:e>
            <m:r>
              <m:t>d</m:t>
            </m:r>
          </m:e>
          <m:sub>
            <m:r>
              <m:t>i</m:t>
            </m:r>
          </m:sub>
        </m:sSub>
        <m:r>
          <m:rPr>
            <m:sty m:val="p"/>
          </m:rPr>
          <m:t>/</m:t>
        </m:r>
        <m:sSub>
          <m:e>
            <m:r>
              <m:rPr>
                <m:sty m:val="p"/>
              </m:rPr>
              <m:t>max</m:t>
            </m:r>
          </m:e>
          <m:sub>
            <m:r>
              <m:t>j</m:t>
            </m:r>
          </m:sub>
        </m:sSub>
        <m:sSub>
          <m:e>
            <m:r>
              <m:t>d</m:t>
            </m:r>
          </m:e>
          <m:sub>
            <m:r>
              <m:t>j</m:t>
            </m:r>
          </m:sub>
        </m:sSub>
      </m:oMath>
      <w:r>
        <w:t xml:space="preserve">, and the per-band tie-formation probability is</w:t>
      </w:r>
      <w:r>
        <w:t xml:space="preserve"> </w:t>
      </w:r>
      <m:oMath>
        <m:r>
          <m:t>0.20</m:t>
        </m:r>
        <m:r>
          <m:rPr>
            <m:sty m:val="p"/>
          </m:rPr>
          <m:t>+</m:t>
        </m:r>
        <m:r>
          <m:t>0.20</m:t>
        </m:r>
        <m:r>
          <m:rPr>
            <m:sty m:val="p"/>
          </m:rPr>
          <m:t>⋅</m:t>
        </m:r>
        <m:sSub>
          <m:e>
            <m:r>
              <m:t>d</m:t>
            </m:r>
          </m:e>
          <m:sub>
            <m:r>
              <m:t>i</m:t>
            </m:r>
          </m:sub>
        </m:sSub>
        <m:r>
          <m:rPr>
            <m:sty m:val="p"/>
          </m:rPr>
          <m:t>/</m:t>
        </m:r>
        <m:sSub>
          <m:e>
            <m:r>
              <m:rPr>
                <m:sty m:val="p"/>
              </m:rPr>
              <m:t>max</m:t>
            </m:r>
          </m:e>
          <m:sub>
            <m:r>
              <m:t>j</m:t>
            </m:r>
          </m:sub>
        </m:sSub>
        <m:sSub>
          <m:e>
            <m:r>
              <m:t>d</m:t>
            </m:r>
          </m:e>
          <m:sub>
            <m:r>
              <m:t>j</m:t>
            </m:r>
          </m:sub>
        </m:sSub>
      </m:oMath>
      <w:r>
        <w:t xml:space="preserve"> </w:t>
      </w:r>
      <w:r>
        <w:t xml:space="preserve">(so high-display bands form ties at</w:t>
      </w:r>
      <w:r>
        <w:t xml:space="preserve"> </w:t>
      </w:r>
      <m:oMath>
        <m:r>
          <m:rPr>
            <m:sty m:val="p"/>
          </m:rPr>
          <m:t>∼</m:t>
        </m:r>
        <m:r>
          <m:t>40</m:t>
        </m:r>
        <m:r>
          <m:rPr>
            <m:sty m:val="p"/>
          </m:rPr>
          <m:t>%</m:t>
        </m:r>
      </m:oMath>
      <w:r>
        <w:t xml:space="preserve"> </w:t>
      </w:r>
      <w:r>
        <w:t xml:space="preserve">per aggregation versus</w:t>
      </w:r>
      <w:r>
        <w:t xml:space="preserve"> </w:t>
      </w:r>
      <m:oMath>
        <m:r>
          <m:rPr>
            <m:sty m:val="p"/>
          </m:rPr>
          <m:t>∼</m:t>
        </m:r>
        <m:r>
          <m:t>20</m:t>
        </m:r>
        <m:r>
          <m:rPr>
            <m:sty m:val="p"/>
          </m:rPr>
          <m:t>%</m:t>
        </m:r>
      </m:oMath>
      <w:r>
        <w:t xml:space="preserve"> </w:t>
      </w:r>
      <w:r>
        <w:t xml:space="preserve">for the lowest-display attendees). When a tie forms, the partner is drawn from co-attending bands with weights</w:t>
      </w:r>
      <w:r>
        <w:t xml:space="preserve"> </w:t>
      </w:r>
      <m:oMath>
        <m:r>
          <m:t>0.5</m:t>
        </m:r>
        <m:r>
          <m:rPr>
            <m:sty m:val="p"/>
          </m:rPr>
          <m:t>+</m:t>
        </m:r>
        <m:sSub>
          <m:e>
            <m:r>
              <m:t>d</m:t>
            </m:r>
          </m:e>
          <m:sub>
            <m:r>
              <m:t>j</m:t>
            </m:r>
          </m:sub>
        </m:sSub>
        <m:r>
          <m:rPr>
            <m:sty m:val="p"/>
          </m:rPr>
          <m:t>/</m:t>
        </m:r>
        <m:sSub>
          <m:e>
            <m:r>
              <m:rPr>
                <m:sty m:val="p"/>
              </m:rPr>
              <m:t>max</m:t>
            </m:r>
          </m:e>
          <m:sub>
            <m:r>
              <m:t>k</m:t>
            </m:r>
          </m:sub>
        </m:sSub>
        <m:sSub>
          <m:e>
            <m:r>
              <m:t>d</m:t>
            </m:r>
          </m:e>
          <m:sub>
            <m:r>
              <m:t>k</m:t>
            </m:r>
          </m:sub>
        </m:sSub>
      </m:oMath>
      <w:r>
        <w:t xml:space="preserve">, so candidates’ displays scale partner-choice weight from</w:t>
      </w:r>
      <w:r>
        <w:t xml:space="preserve"> </w:t>
      </w:r>
      <m:oMath>
        <m:r>
          <m:t>0.5</m:t>
        </m:r>
        <m:r>
          <m:rPr>
            <m:sty m:val="p"/>
          </m:rPr>
          <m:t>×</m:t>
        </m:r>
      </m:oMath>
      <w:r>
        <w:t xml:space="preserve"> </w:t>
      </w:r>
      <w:r>
        <w:t xml:space="preserve">for low-display partners to</w:t>
      </w:r>
      <w:r>
        <w:t xml:space="preserve"> </w:t>
      </w:r>
      <m:oMath>
        <m:r>
          <m:t>1.5</m:t>
        </m:r>
        <m:r>
          <m:rPr>
            <m:sty m:val="p"/>
          </m:rPr>
          <m:t>×</m:t>
        </m:r>
      </m:oMath>
      <w:r>
        <w:t xml:space="preserve"> </w:t>
      </w:r>
      <w:r>
        <w:t xml:space="preserve">for max-display partners. The additive</w:t>
      </w:r>
      <w:r>
        <w:t xml:space="preserve"> </w:t>
      </w:r>
      <m:oMath>
        <m:r>
          <m:t>M</m:t>
        </m:r>
        <m:r>
          <m:rPr>
            <m:sty m:val="p"/>
          </m:rPr>
          <m:t>+</m:t>
        </m:r>
        <m:r>
          <m:t>E</m:t>
        </m:r>
      </m:oMath>
      <w:r>
        <w:t xml:space="preserve"> </w:t>
      </w:r>
      <w:r>
        <w:t xml:space="preserve">combination matters quantitatively because at high-exotic-count bands the integer exotic count can numerically dominate the monument contribution. This is partially offset by the per-cohort normalization (each cohort has its own scale). A sensitivity probe in §S3.1 reports the threshold-location robustness to an alternative formulation where</w:t>
      </w:r>
      <w:r>
        <w:t xml:space="preserve"> </w:t>
      </w:r>
      <m:oMath>
        <m:r>
          <m:t>M</m:t>
        </m:r>
      </m:oMath>
      <w:r>
        <w:t xml:space="preserve"> </w:t>
      </w:r>
      <w:r>
        <w:t xml:space="preserve">and</w:t>
      </w:r>
      <w:r>
        <w:t xml:space="preserve"> </w:t>
      </w:r>
      <m:oMath>
        <m:r>
          <m:t>E</m:t>
        </m:r>
      </m:oMath>
      <w:r>
        <w:t xml:space="preserve"> </w:t>
      </w:r>
      <w:r>
        <w:t xml:space="preserve">are separately z-scored before summing.</w:t>
      </w:r>
    </w:p>
    <w:p>
      <w:pPr>
        <w:pStyle w:val="BodyText"/>
      </w:pPr>
      <w:r>
        <w:rPr>
          <w:i/>
          <w:iCs/>
        </w:rPr>
        <w:t xml:space="preserve">Tie-strength-weighted shortfall help.</w:t>
      </w:r>
      <w:r>
        <w:t xml:space="preserve"> </w:t>
      </w:r>
      <w:r>
        <w:t xml:space="preserve">When an aggregator calls obligations during a shortfall (total need = 0.15 in normalized resource units), obligations are sorted by strength and called in descending order until the need is met or the obligation network is exhausted. Each call decays the called obligation by</w:t>
      </w:r>
      <w:r>
        <w:t xml:space="preserve"> </w:t>
      </w:r>
      <m:oMath>
        <m:r>
          <m:rPr>
            <m:sty m:val="p"/>
          </m:rPr>
          <m:t>×</m:t>
        </m:r>
        <m:r>
          <m:t>0.7</m:t>
        </m:r>
      </m:oMath>
      <w:r>
        <w:t xml:space="preserve"> </w:t>
      </w:r>
      <w:r>
        <w:t xml:space="preserve">and removes it if strength falls below 0.05 (existing</w:t>
      </w:r>
      <w:r>
        <w:t xml:space="preserve"> </w:t>
      </w:r>
      <w:r>
        <w:rPr>
          <w:rStyle w:val="VerbatimChar"/>
        </w:rPr>
        <w:t xml:space="preserve">call_obligation</w:t>
      </w:r>
      <w:r>
        <w:t xml:space="preserve"> </w:t>
      </w:r>
      <w:r>
        <w:t xml:space="preserve">behavior; help_received =</w:t>
      </w:r>
      <w:r>
        <w:t xml:space="preserve"> </w:t>
      </w:r>
      <m:oMath>
        <m:r>
          <m:rPr>
            <m:sty m:val="p"/>
          </m:rPr>
          <m:t>min</m:t>
        </m:r>
      </m:oMath>
      <w:r>
        <w:t xml:space="preserve">(remaining_need, strength</w:t>
      </w:r>
      <w:r>
        <w:t xml:space="preserve"> </w:t>
      </w:r>
      <m:oMath>
        <m:r>
          <m:rPr>
            <m:sty m:val="p"/>
          </m:rPr>
          <m:t>×</m:t>
        </m:r>
        <m:r>
          <m:t>0.5</m:t>
        </m:r>
      </m:oMath>
      <w:r>
        <w:t xml:space="preserve">)).</w:t>
      </w:r>
    </w:p>
    <w:p>
      <w:pPr>
        <w:pStyle w:val="BodyText"/>
      </w:pPr>
      <w:r>
        <w:rPr>
          <w:i/>
          <w:iCs/>
        </w:rPr>
        <w:t xml:space="preserve">Network-density coupling to</w:t>
      </w:r>
      <w:r>
        <w:t xml:space="preserve"> </w:t>
      </w:r>
      <m:oMath>
        <m:sSub>
          <m:e>
            <m:r>
              <m:t>σ</m:t>
            </m:r>
          </m:e>
          <m:sub>
            <m:r>
              <m:t>e</m:t>
            </m:r>
            <m:r>
              <m:t>f</m:t>
            </m:r>
            <m:r>
              <m:t>f</m:t>
            </m:r>
          </m:sub>
        </m:sSub>
      </m:oMath>
      <w:r>
        <w:t xml:space="preserve">. An aggregator’s effective ecotone parameter at the gathering site is augmented by its realized network density:</w:t>
      </w:r>
    </w:p>
    <w:p>
      <w:pPr>
        <w:pStyle w:val="BodyText"/>
      </w:pPr>
      <m:oMathPara>
        <m:oMathParaPr>
          <m:jc m:val="center"/>
        </m:oMathParaPr>
        <m:oMath>
          <m:sSub>
            <m:e>
              <m:r>
                <m:t>ε</m:t>
              </m:r>
            </m:e>
            <m:sub>
              <m:r>
                <m:t>e</m:t>
              </m:r>
              <m:r>
                <m:t>f</m:t>
              </m:r>
              <m:r>
                <m:t>f</m:t>
              </m:r>
            </m:sub>
          </m:sSub>
          <m:r>
            <m:rPr>
              <m:sty m:val="p"/>
            </m:rPr>
            <m:t>=</m:t>
          </m:r>
          <m:r>
            <m:t>ε</m:t>
          </m:r>
          <m:r>
            <m:rPr>
              <m:sty m:val="p"/>
            </m:rPr>
            <m:t>+</m:t>
          </m:r>
          <m:r>
            <m:rPr>
              <m:sty m:val="p"/>
            </m:rPr>
            <m:t>(</m:t>
          </m:r>
          <m:r>
            <m:t>1</m:t>
          </m:r>
          <m:r>
            <m:rPr>
              <m:sty m:val="p"/>
            </m:rPr>
            <m:t>−</m:t>
          </m:r>
          <m:r>
            <m:t>ε</m:t>
          </m:r>
          <m:r>
            <m:rPr>
              <m:sty m:val="p"/>
            </m:rPr>
            <m:t>)</m:t>
          </m:r>
          <m:r>
            <m:rPr>
              <m:sty m:val="p"/>
            </m:rPr>
            <m:t>⋅</m:t>
          </m:r>
          <m:sSub>
            <m:e>
              <m:r>
                <m:t>β</m:t>
              </m:r>
            </m:e>
            <m:sub>
              <m:r>
                <m:rPr>
                  <m:nor/>
                  <m:sty m:val="p"/>
                </m:rPr>
                <m:t>net</m:t>
              </m:r>
            </m:sub>
          </m:sSub>
          <m:r>
            <m:rPr>
              <m:sty m:val="p"/>
            </m:rPr>
            <m:t>⋅</m:t>
          </m:r>
          <m:r>
            <m:t>ρ</m:t>
          </m:r>
          <m:r>
            <m:rPr>
              <m:sty m:val="p"/>
            </m:rPr>
            <m:t>,</m:t>
          </m:r>
          <m:r>
            <m:t> </m:t>
          </m:r>
          <m:r>
            <m:t>ρ</m:t>
          </m:r>
          <m:r>
            <m:rPr>
              <m:sty m:val="p"/>
            </m:rPr>
            <m:t>=</m:t>
          </m:r>
          <m:f>
            <m:fPr>
              <m:type m:val="bar"/>
            </m:fPr>
            <m:num>
              <m:r>
                <m:rPr>
                  <m:sty m:val="p"/>
                </m:rPr>
                <m:t>|</m:t>
              </m:r>
              <m:sSub>
                <m:e>
                  <m:r>
                    <m:t>O</m:t>
                  </m:r>
                </m:e>
                <m:sub>
                  <m:r>
                    <m:t>i</m:t>
                  </m:r>
                </m:sub>
              </m:sSub>
              <m:r>
                <m:rPr>
                  <m:sty m:val="p"/>
                </m:rPr>
                <m:t>|</m:t>
              </m:r>
            </m:num>
            <m:den>
              <m:sSub>
                <m:e>
                  <m:r>
                    <m:t>n</m:t>
                  </m:r>
                </m:e>
                <m:sub>
                  <m:r>
                    <m:t>a</m:t>
                  </m:r>
                  <m:r>
                    <m:t>t</m:t>
                  </m:r>
                  <m:r>
                    <m:t>t</m:t>
                  </m:r>
                  <m:r>
                    <m:t>e</m:t>
                  </m:r>
                  <m:r>
                    <m:t>n</m:t>
                  </m:r>
                  <m:r>
                    <m:t>d</m:t>
                  </m:r>
                  <m:r>
                    <m:t>i</m:t>
                  </m:r>
                  <m:r>
                    <m:t>n</m:t>
                  </m:r>
                  <m:r>
                    <m:t>g</m:t>
                  </m:r>
                </m:sub>
              </m:sSub>
              <m:r>
                <m:rPr>
                  <m:sty m:val="p"/>
                </m:rPr>
                <m:t>−</m:t>
              </m:r>
              <m:r>
                <m:t>1</m:t>
              </m:r>
            </m:den>
          </m:f>
        </m:oMath>
      </m:oMathPara>
    </w:p>
    <w:p>
      <w:pPr>
        <w:pStyle w:val="FirstParagraph"/>
      </w:pPr>
      <w:r>
        <w:t xml:space="preserve">where</w:t>
      </w:r>
      <w:r>
        <w:t xml:space="preserve"> </w:t>
      </w:r>
      <m:oMath>
        <m:r>
          <m:rPr>
            <m:sty m:val="p"/>
          </m:rPr>
          <m:t>|</m:t>
        </m:r>
        <m:sSub>
          <m:e>
            <m:r>
              <m:t>O</m:t>
            </m:r>
          </m:e>
          <m:sub>
            <m:r>
              <m:t>i</m:t>
            </m:r>
          </m:sub>
        </m:sSub>
        <m:r>
          <m:rPr>
            <m:sty m:val="p"/>
          </m:rPr>
          <m:t>|</m:t>
        </m:r>
      </m:oMath>
      <w:r>
        <w:t xml:space="preserve"> </w:t>
      </w:r>
      <w:r>
        <w:t xml:space="preserve">is the band’s obligation count,</w:t>
      </w:r>
      <w:r>
        <w:t xml:space="preserve"> </w:t>
      </w:r>
      <m:oMath>
        <m:r>
          <m:t>ρ</m:t>
        </m:r>
      </m:oMath>
      <w:r>
        <w:t xml:space="preserve"> </w:t>
      </w:r>
      <w:r>
        <w:t xml:space="preserve">is the fraction of potential ties realized,</w:t>
      </w:r>
      <w:r>
        <w:t xml:space="preserve"> </w:t>
      </w:r>
      <m:oMath>
        <m:sSub>
          <m:e>
            <m:r>
              <m:t>β</m:t>
            </m:r>
          </m:e>
          <m:sub>
            <m:r>
              <m:rPr>
                <m:nor/>
                <m:sty m:val="p"/>
              </m:rPr>
              <m:t>net</m:t>
            </m:r>
          </m:sub>
        </m:sSub>
        <m:r>
          <m:rPr>
            <m:sty m:val="p"/>
          </m:rPr>
          <m:t>=</m:t>
        </m:r>
        <m:r>
          <m:t>0.5</m:t>
        </m:r>
      </m:oMath>
      <w:r>
        <w:t xml:space="preserve"> </w:t>
      </w:r>
      <w:r>
        <w:t xml:space="preserve">is the network-buffering coupling strength, and</w:t>
      </w:r>
      <w:r>
        <w:t xml:space="preserve"> </w:t>
      </w:r>
      <m:oMath>
        <m:sSub>
          <m:e>
            <m:r>
              <m:t>ε</m:t>
            </m:r>
          </m:e>
          <m:sub>
            <m:r>
              <m:t>e</m:t>
            </m:r>
            <m:r>
              <m:t>f</m:t>
            </m:r>
            <m:r>
              <m:t>f</m:t>
            </m:r>
          </m:sub>
        </m:sSub>
      </m:oMath>
      <w:r>
        <w:t xml:space="preserve"> </w:t>
      </w:r>
      <w:r>
        <w:t xml:space="preserve">is capped at 0.95 to prevent</w:t>
      </w:r>
      <w:r>
        <w:t xml:space="preserve"> </w:t>
      </w:r>
      <m:oMath>
        <m:sSub>
          <m:e>
            <m:r>
              <m:t>σ</m:t>
            </m:r>
          </m:e>
          <m:sub>
            <m:r>
              <m:t>e</m:t>
            </m:r>
            <m:r>
              <m:t>f</m:t>
            </m:r>
            <m:r>
              <m:t>f</m:t>
            </m:r>
          </m:sub>
        </m:sSub>
        <m:r>
          <m:rPr>
            <m:sty m:val="p"/>
          </m:rPr>
          <m:t>→</m:t>
        </m:r>
        <m:r>
          <m:t>0</m:t>
        </m:r>
      </m:oMath>
      <w:r>
        <w:t xml:space="preserve">. At canonical PP-scenario parameters (</w:t>
      </w:r>
      <m:oMath>
        <m:r>
          <m:t>ε</m:t>
        </m:r>
        <m:r>
          <m:rPr>
            <m:sty m:val="p"/>
          </m:rPr>
          <m:t>=</m:t>
        </m:r>
        <m:r>
          <m:t>0.35</m:t>
        </m:r>
      </m:oMath>
      <w:r>
        <w:t xml:space="preserve">), bands with high realized</w:t>
      </w:r>
      <w:r>
        <w:t xml:space="preserve"> </w:t>
      </w:r>
      <m:oMath>
        <m:r>
          <m:t>ρ</m:t>
        </m:r>
      </m:oMath>
      <w:r>
        <w:t xml:space="preserve"> </w:t>
      </w:r>
      <w:r>
        <w:t xml:space="preserve">achieve</w:t>
      </w:r>
      <w:r>
        <w:t xml:space="preserve"> </w:t>
      </w:r>
      <m:oMath>
        <m:sSub>
          <m:e>
            <m:r>
              <m:t>ε</m:t>
            </m:r>
          </m:e>
          <m:sub>
            <m:r>
              <m:t>e</m:t>
            </m:r>
            <m:r>
              <m:t>f</m:t>
            </m:r>
            <m:r>
              <m:t>f</m:t>
            </m:r>
          </m:sub>
        </m:sSub>
      </m:oMath>
      <w:r>
        <w:t xml:space="preserve"> </w:t>
      </w:r>
      <w:r>
        <w:t xml:space="preserve">up to</w:t>
      </w:r>
      <w:r>
        <w:t xml:space="preserve"> </w:t>
      </w:r>
      <m:oMath>
        <m:r>
          <m:rPr>
            <m:sty m:val="p"/>
          </m:rPr>
          <m:t>∼</m:t>
        </m:r>
        <m:r>
          <m:t>0.675</m:t>
        </m:r>
      </m:oMath>
      <w:r>
        <w:t xml:space="preserve">, a substantial increase from the base</w:t>
      </w:r>
      <w:r>
        <w:t xml:space="preserve"> </w:t>
      </w:r>
      <m:oMath>
        <m:r>
          <m:t>ε</m:t>
        </m:r>
      </m:oMath>
      <w:r>
        <w:t xml:space="preserve"> </w:t>
      </w:r>
      <w:r>
        <w:t xml:space="preserve">that the</w:t>
      </w:r>
      <w:r>
        <w:t xml:space="preserve"> </w:t>
      </w:r>
      <m:oMath>
        <m:sSub>
          <m:e>
            <m:r>
              <m:t>β</m:t>
            </m:r>
          </m:e>
          <m:sub>
            <m:r>
              <m:rPr>
                <m:nor/>
                <m:sty m:val="p"/>
              </m:rPr>
              <m:t>net</m:t>
            </m:r>
          </m:sub>
        </m:sSub>
      </m:oMath>
      <w:r>
        <w:t xml:space="preserve"> </w:t>
      </w:r>
      <w:r>
        <w:t xml:space="preserve">parameter drives. The</w:t>
      </w:r>
      <w:r>
        <w:t xml:space="preserve"> </w:t>
      </w:r>
      <m:oMath>
        <m:sSub>
          <m:e>
            <m:r>
              <m:t>β</m:t>
            </m:r>
          </m:e>
          <m:sub>
            <m:r>
              <m:rPr>
                <m:nor/>
                <m:sty m:val="p"/>
              </m:rPr>
              <m:t>net</m:t>
            </m:r>
          </m:sub>
        </m:sSub>
        <m:r>
          <m:rPr>
            <m:sty m:val="p"/>
          </m:rPr>
          <m:t>=</m:t>
        </m:r>
        <m:r>
          <m:t>0.5</m:t>
        </m:r>
      </m:oMath>
      <w:r>
        <w:t xml:space="preserve"> </w:t>
      </w:r>
      <w:r>
        <w:t xml:space="preserve">choice is canonical for these runs. §S3.1 reports an analytical sensitivity computation across</w:t>
      </w:r>
      <w:r>
        <w:t xml:space="preserve"> </w:t>
      </w:r>
      <m:oMath>
        <m:sSub>
          <m:e>
            <m:r>
              <m:t>β</m:t>
            </m:r>
          </m:e>
          <m:sub>
            <m:r>
              <m:rPr>
                <m:nor/>
                <m:sty m:val="p"/>
              </m:rPr>
              <m:t>net</m:t>
            </m:r>
          </m:sub>
        </m:sSub>
        <m:r>
          <m:rPr>
            <m:sty m:val="p"/>
          </m:rPr>
          <m:t>∈</m:t>
        </m:r>
        <m:r>
          <m:rPr>
            <m:sty m:val="p"/>
          </m:rPr>
          <m:t>[</m:t>
        </m:r>
        <m:r>
          <m:t>0</m:t>
        </m:r>
        <m:r>
          <m:rPr>
            <m:sty m:val="p"/>
          </m:rPr>
          <m:t>,</m:t>
        </m:r>
        <m:r>
          <m:t>1</m:t>
        </m:r>
        <m:r>
          <m:rPr>
            <m:sty m:val="p"/>
          </m:rPr>
          <m:t>]</m:t>
        </m:r>
      </m:oMath>
      <w:r>
        <w:t xml:space="preserve"> </w:t>
      </w:r>
      <w:r>
        <w:t xml:space="preserve">(worst-case fully connected</w:t>
      </w:r>
      <w:r>
        <w:t xml:space="preserve"> </w:t>
      </w:r>
      <m:oMath>
        <m:r>
          <m:t>ρ</m:t>
        </m:r>
      </m:oMath>
      <w:r>
        <w:t xml:space="preserve">;</w:t>
      </w:r>
      <w:r>
        <w:t xml:space="preserve"> </w:t>
      </w:r>
      <m:oMath>
        <m:sSup>
          <m:e>
            <m:r>
              <m:t>σ</m:t>
            </m:r>
          </m:e>
          <m:sup>
            <m:r>
              <m:rPr>
                <m:sty m:val="p"/>
              </m:rPr>
              <m:t>*</m:t>
            </m:r>
          </m:sup>
        </m:sSup>
      </m:oMath>
      <w:r>
        <w:t xml:space="preserve"> </w:t>
      </w:r>
      <w:r>
        <w:t xml:space="preserve">ranges from 0.40 to 0.26) showing that no choice of</w:t>
      </w:r>
      <w:r>
        <w:t xml:space="preserve"> </w:t>
      </w:r>
      <m:oMath>
        <m:sSub>
          <m:e>
            <m:r>
              <m:t>β</m:t>
            </m:r>
          </m:e>
          <m:sub>
            <m:r>
              <m:rPr>
                <m:nor/>
                <m:sty m:val="p"/>
              </m:rPr>
              <m:t>net</m:t>
            </m:r>
          </m:sub>
        </m:sSub>
      </m:oMath>
      <w:r>
        <w:t xml:space="preserve"> </w:t>
      </w:r>
      <w:r>
        <w:t xml:space="preserve">reverses the qualitative phase-transition signature.</w:t>
      </w:r>
    </w:p>
    <w:p>
      <w:pPr>
        <w:pStyle w:val="BodyText"/>
      </w:pPr>
      <w:r>
        <w:rPr>
          <w:i/>
          <w:iCs/>
        </w:rPr>
        <w:t xml:space="preserve">Exotic acquisition.</w:t>
      </w:r>
      <w:r>
        <w:t xml:space="preserve"> </w:t>
      </w:r>
      <w:r>
        <w:t xml:space="preserve">During each aggregation year, each aggregator band iterates through the available exotic material classes (copper, steatite, galena, novaculite, crystal quartz) and computes a per-material acquisition probability:</w:t>
      </w:r>
    </w:p>
    <w:p>
      <w:pPr>
        <w:pStyle w:val="BodyText"/>
      </w:pPr>
      <m:oMathPara>
        <m:oMathParaPr>
          <m:jc m:val="center"/>
        </m:oMathParaPr>
        <m:oMath>
          <m:sSub>
            <m:e>
              <m:r>
                <m:t>p</m:t>
              </m:r>
            </m:e>
            <m:sub>
              <m:r>
                <m:rPr>
                  <m:nor/>
                  <m:sty m:val="p"/>
                </m:rPr>
                <m:t>acq</m:t>
              </m:r>
              <m:r>
                <m:rPr>
                  <m:sty m:val="p"/>
                </m:rPr>
                <m:t>,</m:t>
              </m:r>
              <m:r>
                <m:t>m</m:t>
              </m:r>
            </m:sub>
          </m:sSub>
          <m:r>
            <m:rPr>
              <m:sty m:val="p"/>
            </m:rPr>
            <m:t>=</m:t>
          </m:r>
          <m:sSub>
            <m:e>
              <m:r>
                <m:t>b</m:t>
              </m:r>
            </m:e>
            <m:sub>
              <m:r>
                <m:rPr>
                  <m:nor/>
                  <m:sty m:val="p"/>
                </m:rPr>
                <m:t>base</m:t>
              </m:r>
            </m:sub>
          </m:sSub>
          <m:r>
            <m:rPr>
              <m:sty m:val="p"/>
            </m:rPr>
            <m:t>⋅</m:t>
          </m:r>
          <m:r>
            <m:rPr>
              <m:sty m:val="p"/>
            </m:rPr>
            <m:t>exp</m:t>
          </m:r>
          <m:r>
            <m:t>​</m:t>
          </m:r>
          <m:d>
            <m:dPr>
              <m:begChr m:val="("/>
              <m:sepChr m:val=""/>
              <m:endChr m:val=")"/>
              <m:grow/>
            </m:dPr>
            <m:e>
              <m:r>
                <m:rPr>
                  <m:sty m:val="p"/>
                </m:rPr>
                <m:t>−</m:t>
              </m:r>
              <m:f>
                <m:fPr>
                  <m:type m:val="bar"/>
                </m:fPr>
                <m:num>
                  <m:sSub>
                    <m:e>
                      <m:r>
                        <m:t>d</m:t>
                      </m:r>
                    </m:e>
                    <m:sub>
                      <m:r>
                        <m:t>m</m:t>
                      </m:r>
                    </m:sub>
                  </m:sSub>
                </m:num>
                <m:den>
                  <m:sSub>
                    <m:e>
                      <m:r>
                        <m:t>λ</m:t>
                      </m:r>
                    </m:e>
                    <m:sub>
                      <m:r>
                        <m:t>d</m:t>
                      </m:r>
                    </m:sub>
                  </m:sSub>
                </m:den>
              </m:f>
            </m:e>
          </m:d>
          <m:r>
            <m:rPr>
              <m:sty m:val="p"/>
            </m:rPr>
            <m:t>⋅</m:t>
          </m:r>
          <m:r>
            <m:rPr>
              <m:sty m:val="p"/>
            </m:rPr>
            <m:t>min</m:t>
          </m:r>
          <m:r>
            <m:t>​</m:t>
          </m:r>
          <m:d>
            <m:dPr>
              <m:begChr m:val="("/>
              <m:sepChr m:val=""/>
              <m:endChr m:val=")"/>
              <m:grow/>
            </m:dPr>
            <m:e>
              <m:f>
                <m:fPr>
                  <m:type m:val="bar"/>
                </m:fPr>
                <m:num>
                  <m:sSub>
                    <m:e>
                      <m:r>
                        <m:t>v</m:t>
                      </m:r>
                    </m:e>
                    <m:sub>
                      <m:r>
                        <m:t>m</m:t>
                      </m:r>
                    </m:sub>
                  </m:sSub>
                </m:num>
                <m:den>
                  <m:sSub>
                    <m:e>
                      <m:r>
                        <m:t>c</m:t>
                      </m:r>
                    </m:e>
                    <m:sub>
                      <m:r>
                        <m:t>m</m:t>
                      </m:r>
                    </m:sub>
                  </m:sSub>
                  <m:r>
                    <m:rPr>
                      <m:sty m:val="p"/>
                    </m:rPr>
                    <m:t>+</m:t>
                  </m:r>
                  <m:r>
                    <m:t>0.01</m:t>
                  </m:r>
                </m:den>
              </m:f>
              <m:r>
                <m:rPr>
                  <m:sty m:val="p"/>
                </m:rPr>
                <m:t>,</m:t>
              </m:r>
              <m:r>
                <m:t> </m:t>
              </m:r>
              <m:r>
                <m:t>2.0</m:t>
              </m:r>
            </m:e>
          </m:d>
        </m:oMath>
      </m:oMathPara>
    </w:p>
    <w:p>
      <w:pPr>
        <w:pStyle w:val="FirstParagraph"/>
      </w:pPr>
      <w:r>
        <w:t xml:space="preserve">where</w:t>
      </w:r>
      <w:r>
        <w:t xml:space="preserve"> </w:t>
      </w:r>
      <m:oMath>
        <m:sSub>
          <m:e>
            <m:r>
              <m:t>b</m:t>
            </m:r>
          </m:e>
          <m:sub>
            <m:r>
              <m:rPr>
                <m:nor/>
                <m:sty m:val="p"/>
              </m:rPr>
              <m:t>base</m:t>
            </m:r>
          </m:sub>
        </m:sSub>
        <m:r>
          <m:rPr>
            <m:sty m:val="p"/>
          </m:rPr>
          <m:t>=</m:t>
        </m:r>
        <m:r>
          <m:t>0.25</m:t>
        </m:r>
        <m:r>
          <m:rPr>
            <m:sty m:val="p"/>
          </m:rPr>
          <m:t>⋅</m:t>
        </m:r>
        <m:r>
          <m:rPr>
            <m:sty m:val="p"/>
          </m:rPr>
          <m:t>(</m:t>
        </m:r>
        <m:r>
          <m:t>1</m:t>
        </m:r>
        <m:r>
          <m:rPr>
            <m:sty m:val="p"/>
          </m:rPr>
          <m:t>+</m:t>
        </m:r>
        <m:r>
          <m:t>q</m:t>
        </m:r>
        <m:r>
          <m:rPr>
            <m:sty m:val="p"/>
          </m:rPr>
          <m:t>/</m:t>
        </m:r>
        <m:r>
          <m:rPr>
            <m:sty m:val="p"/>
          </m:rPr>
          <m:t>(</m:t>
        </m:r>
        <m:r>
          <m:t>1</m:t>
        </m:r>
        <m:r>
          <m:rPr>
            <m:sty m:val="p"/>
          </m:rPr>
          <m:t>+</m:t>
        </m:r>
        <m:r>
          <m:t>q</m:t>
        </m:r>
        <m:r>
          <m:rPr>
            <m:sty m:val="p"/>
          </m:rPr>
          <m:t>)</m:t>
        </m:r>
        <m:r>
          <m:rPr>
            <m:sty m:val="p"/>
          </m:rPr>
          <m:t>)</m:t>
        </m:r>
      </m:oMath>
      <w:r>
        <w:t xml:space="preserve"> </w:t>
      </w:r>
      <w:r>
        <w:t xml:space="preserve">with</w:t>
      </w:r>
      <w:r>
        <w:t xml:space="preserve"> </w:t>
      </w:r>
      <m:oMath>
        <m:r>
          <m:t>q</m:t>
        </m:r>
      </m:oMath>
      <w:r>
        <w:t xml:space="preserve"> </w:t>
      </w:r>
      <w:r>
        <w:t xml:space="preserve">the band’s quality (so</w:t>
      </w:r>
      <w:r>
        <w:t xml:space="preserve"> </w:t>
      </w:r>
      <m:oMath>
        <m:sSub>
          <m:e>
            <m:r>
              <m:t>b</m:t>
            </m:r>
          </m:e>
          <m:sub>
            <m:r>
              <m:rPr>
                <m:nor/>
                <m:sty m:val="p"/>
              </m:rPr>
              <m:t>base</m:t>
            </m:r>
          </m:sub>
        </m:sSub>
        <m:r>
          <m:rPr>
            <m:sty m:val="p"/>
          </m:rPr>
          <m:t>∈</m:t>
        </m:r>
        <m:r>
          <m:rPr>
            <m:sty m:val="p"/>
          </m:rPr>
          <m:t>[</m:t>
        </m:r>
        <m:r>
          <m:t>0.25</m:t>
        </m:r>
        <m:r>
          <m:rPr>
            <m:sty m:val="p"/>
          </m:rPr>
          <m:t>,</m:t>
        </m:r>
        <m:r>
          <m:t>0.50</m:t>
        </m:r>
        <m:r>
          <m:rPr>
            <m:sty m:val="p"/>
          </m:rPr>
          <m:t>]</m:t>
        </m:r>
      </m:oMath>
      <w:r>
        <w:t xml:space="preserve">),</w:t>
      </w:r>
      <w:r>
        <w:t xml:space="preserve"> </w:t>
      </w:r>
      <m:oMath>
        <m:sSub>
          <m:e>
            <m:r>
              <m:t>d</m:t>
            </m:r>
          </m:e>
          <m:sub>
            <m:r>
              <m:t>m</m:t>
            </m:r>
          </m:sub>
        </m:sSub>
      </m:oMath>
      <w:r>
        <w:t xml:space="preserve"> </w:t>
      </w:r>
      <w:r>
        <w:t xml:space="preserve">is the distance from the source,</w:t>
      </w:r>
      <w:r>
        <w:t xml:space="preserve"> </w:t>
      </w:r>
      <m:oMath>
        <m:sSub>
          <m:e>
            <m:r>
              <m:t>λ</m:t>
            </m:r>
          </m:e>
          <m:sub>
            <m:r>
              <m:t>d</m:t>
            </m:r>
          </m:sub>
        </m:sSub>
        <m:r>
          <m:rPr>
            <m:sty m:val="p"/>
          </m:rPr>
          <m:t>=</m:t>
        </m:r>
        <m:r>
          <m:t>500</m:t>
        </m:r>
      </m:oMath>
      <w:r>
        <w:t xml:space="preserve"> </w:t>
      </w:r>
      <w:r>
        <w:t xml:space="preserve">km is the distance-decay scale,</w:t>
      </w:r>
      <w:r>
        <w:t xml:space="preserve"> </w:t>
      </w:r>
      <m:oMath>
        <m:sSub>
          <m:e>
            <m:r>
              <m:t>v</m:t>
            </m:r>
          </m:e>
          <m:sub>
            <m:r>
              <m:t>m</m:t>
            </m:r>
          </m:sub>
        </m:sSub>
      </m:oMath>
      <w:r>
        <w:t xml:space="preserve"> </w:t>
      </w:r>
      <w:r>
        <w:t xml:space="preserve">is the per-material signal value computed from source distance (</w:t>
      </w:r>
      <m:oMath>
        <m:sSub>
          <m:e>
            <m:r>
              <m:t>v</m:t>
            </m:r>
          </m:e>
          <m:sub>
            <m:r>
              <m:t>m</m:t>
            </m:r>
          </m:sub>
        </m:sSub>
        <m:r>
          <m:rPr>
            <m:sty m:val="p"/>
          </m:rPr>
          <m:t>=</m:t>
        </m:r>
        <m:sSub>
          <m:e>
            <m:r>
              <m:t>ρ</m:t>
            </m:r>
          </m:e>
          <m:sub>
            <m:r>
              <m:t>e</m:t>
            </m:r>
            <m:r>
              <m:t>x</m:t>
            </m:r>
            <m:r>
              <m:t>o</m:t>
            </m:r>
            <m:r>
              <m:t>t</m:t>
            </m:r>
            <m:r>
              <m:t>i</m:t>
            </m:r>
            <m:r>
              <m:t>c</m:t>
            </m:r>
          </m:sub>
        </m:sSub>
        <m:r>
          <m:rPr>
            <m:sty m:val="p"/>
          </m:rPr>
          <m:t>ln</m:t>
        </m:r>
        <m:r>
          <m:rPr>
            <m:sty m:val="p"/>
          </m:rPr>
          <m:t>(</m:t>
        </m:r>
        <m:r>
          <m:t>1</m:t>
        </m:r>
        <m:r>
          <m:rPr>
            <m:sty m:val="p"/>
          </m:rPr>
          <m:t>+</m:t>
        </m:r>
        <m:sSub>
          <m:e>
            <m:r>
              <m:t>d</m:t>
            </m:r>
          </m:e>
          <m:sub>
            <m:r>
              <m:t>m</m:t>
            </m:r>
          </m:sub>
        </m:sSub>
        <m:r>
          <m:rPr>
            <m:sty m:val="p"/>
          </m:rPr>
          <m:t>/</m:t>
        </m:r>
        <m:r>
          <m:t>100</m:t>
        </m:r>
        <m:r>
          <m:rPr>
            <m:sty m:val="p"/>
          </m:rPr>
          <m:t>)</m:t>
        </m:r>
      </m:oMath>
      <w:r>
        <w:t xml:space="preserve">;</w:t>
      </w:r>
      <w:r>
        <w:t xml:space="preserve"> </w:t>
      </w:r>
      <w:r>
        <w:rPr>
          <w:rStyle w:val="VerbatimChar"/>
        </w:rPr>
        <w:t xml:space="preserve">exotic_signal_value</w:t>
      </w:r>
      <w:r>
        <w:t xml:space="preserve">), and</w:t>
      </w:r>
      <w:r>
        <w:t xml:space="preserve"> </w:t>
      </w:r>
      <m:oMath>
        <m:sSub>
          <m:e>
            <m:r>
              <m:t>c</m:t>
            </m:r>
          </m:e>
          <m:sub>
            <m:r>
              <m:t>m</m:t>
            </m:r>
          </m:sub>
        </m:sSub>
      </m:oMath>
      <w:r>
        <w:t xml:space="preserve"> </w:t>
      </w:r>
      <w:r>
        <w:t xml:space="preserve">is the per-material acquisition cost (</w:t>
      </w:r>
      <m:oMath>
        <m:sSub>
          <m:e>
            <m:r>
              <m:t>c</m:t>
            </m:r>
          </m:e>
          <m:sub>
            <m:r>
              <m:t>m</m:t>
            </m:r>
          </m:sub>
        </m:sSub>
        <m:r>
          <m:rPr>
            <m:sty m:val="p"/>
          </m:rPr>
          <m:t>=</m:t>
        </m:r>
        <m:r>
          <m:t>0.05</m:t>
        </m:r>
        <m:rad>
          <m:radPr>
            <m:degHide m:val="on"/>
          </m:radPr>
          <m:deg/>
          <m:e>
            <m:sSub>
              <m:e>
                <m:r>
                  <m:t>d</m:t>
                </m:r>
              </m:e>
              <m:sub>
                <m:r>
                  <m:t>m</m:t>
                </m:r>
              </m:sub>
            </m:sSub>
            <m:r>
              <m:rPr>
                <m:sty m:val="p"/>
              </m:rPr>
              <m:t>/</m:t>
            </m:r>
            <m:r>
              <m:t>250</m:t>
            </m:r>
          </m:e>
        </m:rad>
      </m:oMath>
      <w:r>
        <w:t xml:space="preserve">;</w:t>
      </w:r>
      <w:r>
        <w:t xml:space="preserve"> </w:t>
      </w:r>
      <w:r>
        <w:rPr>
          <w:rStyle w:val="VerbatimChar"/>
        </w:rPr>
        <w:t xml:space="preserve">exotic_signaling_cost</w:t>
      </w:r>
      <w:r>
        <w:t xml:space="preserve">). The value/cost ratio is capped at</w:t>
      </w:r>
      <w:r>
        <w:t xml:space="preserve"> </w:t>
      </w:r>
      <m:oMath>
        <m:r>
          <m:t>2.0</m:t>
        </m:r>
      </m:oMath>
      <w:r>
        <w:t xml:space="preserve"> </w:t>
      </w:r>
      <w:r>
        <w:t xml:space="preserve">to prevent any single low-cost material from saturating the per-band acquisition budget. The total</w:t>
      </w:r>
      <w:r>
        <w:t xml:space="preserve"> </w:t>
      </w:r>
      <m:oMath>
        <m:sSub>
          <m:e>
            <m:r>
              <m:t>p</m:t>
            </m:r>
          </m:e>
          <m:sub>
            <m:r>
              <m:rPr>
                <m:nor/>
                <m:sty m:val="p"/>
              </m:rPr>
              <m:t>acq</m:t>
            </m:r>
            <m:r>
              <m:rPr>
                <m:sty m:val="p"/>
              </m:rPr>
              <m:t>,</m:t>
            </m:r>
            <m:r>
              <m:t>m</m:t>
            </m:r>
          </m:sub>
        </m:sSub>
      </m:oMath>
      <w:r>
        <w:t xml:space="preserve"> </w:t>
      </w:r>
      <w:r>
        <w:t xml:space="preserve">is then capped at</w:t>
      </w:r>
      <w:r>
        <w:t xml:space="preserve"> </w:t>
      </w:r>
      <m:oMath>
        <m:r>
          <m:t>0.5</m:t>
        </m:r>
      </m:oMath>
      <w:r>
        <w:t xml:space="preserve">, and after the first successful acquisition in a given material the loop breaks (one material per aggregation year per band). This per-call cap is a model-implementation choice rather than a parameter. It bounds the per-year acquisition rate to one material acquisition event regardless of how strongly the per-material probabilities multiply. Per-band cumulative exotic counts at the end of the simulation reflect the integral of these per-year per-material acquisition events.</w:t>
      </w:r>
    </w:p>
    <w:p>
      <w:pPr>
        <w:pStyle w:val="BodyText"/>
      </w:pPr>
      <w:r>
        <w:t xml:space="preserve">The signal-blind alternative remains available in the code via the</w:t>
      </w:r>
      <w:r>
        <w:t xml:space="preserve"> </w:t>
      </w:r>
      <w:r>
        <w:rPr>
          <w:rStyle w:val="VerbatimChar"/>
        </w:rPr>
        <w:t xml:space="preserve">signal_conditional_partners</w:t>
      </w:r>
      <w:r>
        <w:t xml:space="preserve"> </w:t>
      </w:r>
      <w:r>
        <w:t xml:space="preserve">flag for ablation comparisons: the same expected number of ties forms per pass (a uniform tie probability equal to the cohort mean of the conditional probabilities), but who pairs with whom is uniform random; shortfall help is a single random obligation call; and the</w:t>
      </w:r>
      <w:r>
        <w:t xml:space="preserve"> </w:t>
      </w:r>
      <m:oMath>
        <m:sSub>
          <m:e>
            <m:r>
              <m:t>σ</m:t>
            </m:r>
          </m:e>
          <m:sub>
            <m:r>
              <m:t>e</m:t>
            </m:r>
            <m:r>
              <m:t>f</m:t>
            </m:r>
            <m:r>
              <m:t>f</m:t>
            </m:r>
          </m:sub>
        </m:sSub>
      </m:oMath>
      <w:r>
        <w:t xml:space="preserve"> </w:t>
      </w:r>
      <w:r>
        <w:t xml:space="preserve">network-density coupling is disabled. The default in current calibration runs is signal-conditional mode.</w:t>
      </w:r>
    </w:p>
    <w:p>
      <w:r>
        <w:pict>
          <v:rect style="width:0;height:1.5pt" o:hralign="center" o:hrstd="t" o:hr="t"/>
        </w:pict>
      </w:r>
    </w:p>
    <w:bookmarkEnd w:id="14"/>
    <w:bookmarkEnd w:id="15"/>
    <w:bookmarkStart w:id="23" w:name="X5da86dd822f4b8656cb6ddfa7e05813dd4f053e"/>
    <w:p>
      <w:pPr>
        <w:pStyle w:val="Heading2"/>
      </w:pPr>
      <w:r>
        <w:t xml:space="preserve">S2. Parameter Estimation and Justification</w:t>
      </w:r>
    </w:p>
    <w:p>
      <w:pPr>
        <w:pStyle w:val="FirstParagraph"/>
      </w:pPr>
      <w:r>
        <w:t xml:space="preserve">All parameters are estimated from ethnographic analogy, archaeological inference, and theoretical constraint. Direct measurement of Late Archaic populations is impossible. Sensitivity analyses (§S3) are used to demonstrate that the qualitative predictions are robust across reasonable ranges. Table S2 lists all parameters. Table S1 below provides a complete symbol glossary. The prose that follows the tables provides rationale.</w:t>
      </w:r>
    </w:p>
    <w:bookmarkStart w:id="16" w:name="table-s1-symbol-glossary"/>
    <w:p>
      <w:pPr>
        <w:pStyle w:val="Heading3"/>
      </w:pPr>
      <w:r>
        <w:t xml:space="preserve">Table S1: Symbol glossary</w:t>
      </w:r>
    </w:p>
    <w:tbl>
      <w:tblPr>
        <w:tblStyle w:val="Table"/>
        <w:tblW w:type="pct" w:w="5000"/>
        <w:tblLayout w:type="fixed"/>
        <w:tblLook w:firstRow="1" w:lastRow="0" w:firstColumn="0" w:lastColumn="0" w:noHBand="0" w:noVBand="0" w:val="0020"/>
      </w:tblPr>
      <w:tblGrid>
        <w:gridCol w:w="945"/>
        <w:gridCol w:w="709"/>
        <w:gridCol w:w="1891"/>
        <w:gridCol w:w="3309"/>
        <w:gridCol w:w="1063"/>
      </w:tblGrid>
      <w:tr>
        <w:trPr>
          <w:tblHeader w:val="on"/>
        </w:trPr>
        <w:tc>
          <w:tcPr/>
          <w:p>
            <w:pPr>
              <w:pStyle w:val="Compact"/>
            </w:pPr>
            <w:r>
              <w:t xml:space="preserve">Symbol</w:t>
            </w:r>
          </w:p>
        </w:tc>
        <w:tc>
          <w:tcPr/>
          <w:p>
            <w:pPr>
              <w:pStyle w:val="Compact"/>
            </w:pPr>
            <w:r>
              <w:t xml:space="preserve">Name</w:t>
            </w:r>
          </w:p>
        </w:tc>
        <w:tc>
          <w:tcPr/>
          <w:p>
            <w:pPr>
              <w:pStyle w:val="Compact"/>
            </w:pPr>
            <w:r>
              <w:t xml:space="preserve">Domain / Units</w:t>
            </w:r>
          </w:p>
        </w:tc>
        <w:tc>
          <w:tcPr/>
          <w:p>
            <w:pPr>
              <w:pStyle w:val="Compact"/>
            </w:pPr>
            <w:r>
              <w:t xml:space="preserve">Defining equation or value</w:t>
            </w:r>
          </w:p>
        </w:tc>
        <w:tc>
          <w:tcPr/>
          <w:p>
            <w:pPr>
              <w:pStyle w:val="Compact"/>
            </w:pPr>
            <w:r>
              <w:t xml:space="preserve">Used in</w:t>
            </w:r>
          </w:p>
        </w:tc>
      </w:tr>
      <w:tr>
        <w:tc>
          <w:tcPr/>
          <w:p>
            <w:pPr>
              <w:pStyle w:val="Compact"/>
            </w:pPr>
            <m:oMath>
              <m:r>
                <m:t>σ</m:t>
              </m:r>
            </m:oMath>
          </w:p>
        </w:tc>
        <w:tc>
          <w:tcPr/>
          <w:p>
            <w:pPr>
              <w:pStyle w:val="Compact"/>
            </w:pPr>
            <w:r>
              <w:t xml:space="preserve">Composite environmental uncertainty</w:t>
            </w:r>
          </w:p>
        </w:tc>
        <w:tc>
          <w:tcPr/>
          <w:p>
            <w:pPr>
              <w:pStyle w:val="Compact"/>
            </w:pPr>
            <w:r>
              <w:t xml:space="preserve">dimensionless</w:t>
            </w:r>
          </w:p>
        </w:tc>
        <w:tc>
          <w:tcPr/>
          <w:p>
            <w:pPr>
              <w:pStyle w:val="Compact"/>
            </w:pPr>
            <m:oMath>
              <m:r>
                <m:t>σ</m:t>
              </m:r>
              <m:r>
                <m:rPr>
                  <m:sty m:val="p"/>
                </m:rPr>
                <m:t>=</m:t>
              </m:r>
              <m:r>
                <m:t>m</m:t>
              </m:r>
              <m:rad>
                <m:radPr>
                  <m:degHide m:val="on"/>
                </m:radPr>
                <m:deg/>
                <m:e>
                  <m:r>
                    <m:t>20</m:t>
                  </m:r>
                  <m:r>
                    <m:rPr>
                      <m:sty m:val="p"/>
                    </m:rPr>
                    <m:t>/</m:t>
                  </m:r>
                  <m:r>
                    <m:t>T</m:t>
                  </m:r>
                </m:e>
              </m:rad>
            </m:oMath>
            <w:r>
              <w:t xml:space="preserve"> </w:t>
            </w:r>
            <w:r>
              <w:t xml:space="preserve">(§S1.4)</w:t>
            </w:r>
          </w:p>
        </w:tc>
        <w:tc>
          <w:tcPr/>
          <w:p>
            <w:pPr>
              <w:pStyle w:val="Compact"/>
            </w:pPr>
            <w:r>
              <w:t xml:space="preserve">fitness fns</w:t>
            </w:r>
          </w:p>
        </w:tc>
      </w:tr>
      <w:tr>
        <w:tc>
          <w:tcPr/>
          <w:p>
            <w:pPr>
              <w:pStyle w:val="Compact"/>
            </w:pPr>
            <m:oMath>
              <m:sSub>
                <m:e>
                  <m:r>
                    <m:t>σ</m:t>
                  </m:r>
                </m:e>
                <m:sub>
                  <m:r>
                    <m:t>L</m:t>
                  </m:r>
                  <m:r>
                    <m:t>M</m:t>
                  </m:r>
                  <m:r>
                    <m:t>V</m:t>
                  </m:r>
                </m:sub>
              </m:sSub>
            </m:oMath>
          </w:p>
        </w:tc>
        <w:tc>
          <w:tcPr/>
          <w:p>
            <w:pPr>
              <w:pStyle w:val="Compact"/>
            </w:pPr>
            <w:r>
              <w:t xml:space="preserve">Empirical LMV estimate of</w:t>
            </w:r>
            <w:r>
              <w:t xml:space="preserve"> </w:t>
            </w:r>
            <m:oMath>
              <m:r>
                <m:t>σ</m:t>
              </m:r>
            </m:oMath>
          </w:p>
        </w:tc>
        <w:tc>
          <w:tcPr/>
          <w:p>
            <w:pPr>
              <w:pStyle w:val="Compact"/>
            </w:pPr>
            <w:r>
              <w:t xml:space="preserve">dimensionless</w:t>
            </w:r>
          </w:p>
        </w:tc>
        <w:tc>
          <w:tcPr/>
          <w:p>
            <w:pPr>
              <w:pStyle w:val="Compact"/>
            </w:pPr>
            <m:oMath>
              <m:r>
                <m:rPr>
                  <m:sty m:val="p"/>
                </m:rPr>
                <m:t>≈</m:t>
              </m:r>
              <m:r>
                <m:t>0.64</m:t>
              </m:r>
            </m:oMath>
            <w:r>
              <w:t xml:space="preserve"> </w:t>
            </w:r>
            <w:r>
              <w:t xml:space="preserve">(95% CI 0.41-0.94) from late-Holocene paleoclimate proxies (§5.5)</w:t>
            </w:r>
          </w:p>
        </w:tc>
        <w:tc>
          <w:tcPr/>
          <w:p>
            <w:pPr>
              <w:pStyle w:val="Compact"/>
            </w:pPr>
            <w:r>
              <w:t xml:space="preserve">threshold-proximity tests</w:t>
            </w:r>
          </w:p>
        </w:tc>
      </w:tr>
      <w:tr>
        <w:tc>
          <w:tcPr/>
          <w:p>
            <w:pPr>
              <w:pStyle w:val="Compact"/>
            </w:pPr>
            <m:oMath>
              <m:sSub>
                <m:e>
                  <m:r>
                    <m:t>σ</m:t>
                  </m:r>
                </m:e>
                <m:sub>
                  <m:r>
                    <m:t>e</m:t>
                  </m:r>
                  <m:r>
                    <m:t>f</m:t>
                  </m:r>
                  <m:r>
                    <m:t>f</m:t>
                  </m:r>
                </m:sub>
              </m:sSub>
            </m:oMath>
          </w:p>
        </w:tc>
        <w:tc>
          <w:tcPr/>
          <w:p>
            <w:pPr>
              <w:pStyle w:val="Compact"/>
            </w:pPr>
            <w:r>
              <w:t xml:space="preserve">Effective uncertainty at aggregation site</w:t>
            </w:r>
          </w:p>
        </w:tc>
        <w:tc>
          <w:tcPr/>
          <w:p>
            <w:pPr>
              <w:pStyle w:val="Compact"/>
            </w:pPr>
            <w:r>
              <w:t xml:space="preserve">dimensionless</w:t>
            </w:r>
          </w:p>
        </w:tc>
        <w:tc>
          <w:tcPr/>
          <w:p>
            <w:pPr>
              <w:pStyle w:val="Compact"/>
            </w:pPr>
            <m:oMath>
              <m:sSub>
                <m:e>
                  <m:r>
                    <m:t>σ</m:t>
                  </m:r>
                </m:e>
                <m:sub>
                  <m:r>
                    <m:t>e</m:t>
                  </m:r>
                  <m:r>
                    <m:t>f</m:t>
                  </m:r>
                  <m:r>
                    <m:t>f</m:t>
                  </m:r>
                </m:sub>
              </m:sSub>
              <m:r>
                <m:rPr>
                  <m:sty m:val="p"/>
                </m:rPr>
                <m:t>=</m:t>
              </m:r>
              <m:r>
                <m:t>σ</m:t>
              </m:r>
              <m:r>
                <m:rPr>
                  <m:sty m:val="p"/>
                </m:rPr>
                <m:t>(</m:t>
              </m:r>
              <m:r>
                <m:t>1</m:t>
              </m:r>
              <m:r>
                <m:rPr>
                  <m:sty m:val="p"/>
                </m:rPr>
                <m:t>−</m:t>
              </m:r>
              <m:r>
                <m:t>ε</m:t>
              </m:r>
              <m:r>
                <m:rPr>
                  <m:sty m:val="p"/>
                </m:rPr>
                <m:t>)</m:t>
              </m:r>
            </m:oMath>
          </w:p>
        </w:tc>
        <w:tc>
          <w:tcPr/>
          <w:p>
            <w:pPr>
              <w:pStyle w:val="Compact"/>
            </w:pPr>
            <m:oMath>
              <m:sSub>
                <m:e>
                  <m:r>
                    <m:t>W</m:t>
                  </m:r>
                </m:e>
                <m:sub>
                  <m:r>
                    <m:t>a</m:t>
                  </m:r>
                  <m:r>
                    <m:t>g</m:t>
                  </m:r>
                  <m:r>
                    <m:t>g</m:t>
                  </m:r>
                </m:sub>
              </m:sSub>
            </m:oMath>
          </w:p>
        </w:tc>
      </w:tr>
      <w:tr>
        <w:tc>
          <w:tcPr/>
          <w:p>
            <w:pPr>
              <w:pStyle w:val="Compact"/>
            </w:pPr>
            <m:oMath>
              <m:sSup>
                <m:e>
                  <m:r>
                    <m:t>σ</m:t>
                  </m:r>
                </m:e>
                <m:sup>
                  <m:r>
                    <m:rPr>
                      <m:sty m:val="p"/>
                    </m:rPr>
                    <m:t>*</m:t>
                  </m:r>
                </m:sup>
              </m:sSup>
            </m:oMath>
          </w:p>
        </w:tc>
        <w:tc>
          <w:tcPr/>
          <w:p>
            <w:pPr>
              <w:pStyle w:val="Compact"/>
            </w:pPr>
            <w:r>
              <w:t xml:space="preserve">Critical threshold</w:t>
            </w:r>
          </w:p>
        </w:tc>
        <w:tc>
          <w:tcPr/>
          <w:p>
            <w:pPr>
              <w:pStyle w:val="Compact"/>
            </w:pPr>
            <w:r>
              <w:t xml:space="preserve">dimensionless</w:t>
            </w:r>
          </w:p>
        </w:tc>
        <w:tc>
          <w:tcPr/>
          <w:p>
            <w:pPr>
              <w:pStyle w:val="Compact"/>
            </w:pPr>
            <m:oMath>
              <m:sSub>
                <m:e>
                  <m:r>
                    <m:t>W</m:t>
                  </m:r>
                </m:e>
                <m:sub>
                  <m:r>
                    <m:t>a</m:t>
                  </m:r>
                  <m:r>
                    <m:t>g</m:t>
                  </m:r>
                  <m:r>
                    <m:t>g</m:t>
                  </m:r>
                </m:sub>
              </m:sSub>
              <m:r>
                <m:rPr>
                  <m:sty m:val="p"/>
                </m:rPr>
                <m:t>(</m:t>
              </m:r>
              <m:sSup>
                <m:e>
                  <m:r>
                    <m:t>σ</m:t>
                  </m:r>
                </m:e>
                <m:sup>
                  <m:r>
                    <m:rPr>
                      <m:sty m:val="p"/>
                    </m:rPr>
                    <m:t>*</m:t>
                  </m:r>
                </m:sup>
              </m:sSup>
              <m:r>
                <m:rPr>
                  <m:sty m:val="p"/>
                </m:rPr>
                <m:t>)</m:t>
              </m:r>
              <m:r>
                <m:rPr>
                  <m:sty m:val="p"/>
                </m:rPr>
                <m:t>=</m:t>
              </m:r>
              <m:sSub>
                <m:e>
                  <m:r>
                    <m:t>W</m:t>
                  </m:r>
                </m:e>
                <m:sub>
                  <m:r>
                    <m:t>i</m:t>
                  </m:r>
                  <m:r>
                    <m:t>n</m:t>
                  </m:r>
                  <m:r>
                    <m:t>d</m:t>
                  </m:r>
                </m:sub>
              </m:sSub>
              <m:r>
                <m:rPr>
                  <m:sty m:val="p"/>
                </m:rPr>
                <m:t>(</m:t>
              </m:r>
              <m:sSup>
                <m:e>
                  <m:r>
                    <m:t>σ</m:t>
                  </m:r>
                </m:e>
                <m:sup>
                  <m:r>
                    <m:rPr>
                      <m:sty m:val="p"/>
                    </m:rPr>
                    <m:t>*</m:t>
                  </m:r>
                </m:sup>
              </m:sSup>
              <m:r>
                <m:rPr>
                  <m:sty m:val="p"/>
                </m:rPr>
                <m:t>)</m:t>
              </m:r>
            </m:oMath>
            <w:r>
              <w:t xml:space="preserve"> </w:t>
            </w:r>
            <w:r>
              <w:t xml:space="preserve">(Brent’s method)</w:t>
            </w:r>
          </w:p>
        </w:tc>
        <w:tc>
          <w:tcPr/>
          <w:p>
            <w:pPr>
              <w:pStyle w:val="Compact"/>
            </w:pPr>
            <w:r>
              <w:t xml:space="preserve">predictions</w:t>
            </w:r>
          </w:p>
        </w:tc>
      </w:tr>
      <w:tr>
        <w:tc>
          <w:tcPr/>
          <w:p>
            <w:pPr>
              <w:pStyle w:val="Compact"/>
            </w:pPr>
            <m:oMath>
              <m:r>
                <m:t>ε</m:t>
              </m:r>
            </m:oMath>
          </w:p>
        </w:tc>
        <w:tc>
          <w:tcPr/>
          <w:p>
            <w:pPr>
              <w:pStyle w:val="Compact"/>
            </w:pPr>
            <w:r>
              <w:t xml:space="preserve">Ecotone advantage</w:t>
            </w:r>
          </w:p>
        </w:tc>
        <w:tc>
          <w:tcPr/>
          <w:p>
            <w:pPr>
              <w:pStyle w:val="Compact"/>
            </w:pPr>
            <m:oMath>
              <m:r>
                <m:rPr>
                  <m:sty m:val="p"/>
                </m:rPr>
                <m:t>[</m:t>
              </m:r>
              <m:r>
                <m:t>0</m:t>
              </m:r>
              <m:r>
                <m:rPr>
                  <m:sty m:val="p"/>
                </m:rPr>
                <m:t>,</m:t>
              </m:r>
              <m:r>
                <m:t>0.5</m:t>
              </m:r>
              <m:r>
                <m:rPr>
                  <m:sty m:val="p"/>
                </m:rPr>
                <m:t>]</m:t>
              </m:r>
            </m:oMath>
          </w:p>
        </w:tc>
        <w:tc>
          <w:tcPr/>
          <w:p>
            <w:pPr>
              <w:pStyle w:val="Compact"/>
            </w:pPr>
            <w:r>
              <w:t xml:space="preserve">0.35 for PP (asserted, §S3.5)</w:t>
            </w:r>
          </w:p>
        </w:tc>
        <w:tc>
          <w:tcPr/>
          <w:p>
            <w:pPr>
              <w:pStyle w:val="Compact"/>
            </w:pPr>
            <m:oMath>
              <m:sSub>
                <m:e>
                  <m:r>
                    <m:t>σ</m:t>
                  </m:r>
                </m:e>
                <m:sub>
                  <m:r>
                    <m:t>e</m:t>
                  </m:r>
                  <m:r>
                    <m:t>f</m:t>
                  </m:r>
                  <m:r>
                    <m:t>f</m:t>
                  </m:r>
                </m:sub>
              </m:sSub>
            </m:oMath>
          </w:p>
        </w:tc>
      </w:tr>
      <w:tr>
        <w:tc>
          <w:tcPr/>
          <w:p>
            <w:pPr>
              <w:pStyle w:val="Compact"/>
            </w:pPr>
            <m:oMath>
              <m:sSub>
                <m:e>
                  <m:r>
                    <m:t>C</m:t>
                  </m:r>
                </m:e>
                <m:sub>
                  <m:r>
                    <m:t>t</m:t>
                  </m:r>
                  <m:r>
                    <m:t>r</m:t>
                  </m:r>
                  <m:r>
                    <m:t>a</m:t>
                  </m:r>
                  <m:r>
                    <m:t>v</m:t>
                  </m:r>
                  <m:r>
                    <m:t>e</m:t>
                  </m:r>
                  <m:r>
                    <m:t>l</m:t>
                  </m:r>
                </m:sub>
              </m:sSub>
            </m:oMath>
          </w:p>
        </w:tc>
        <w:tc>
          <w:tcPr/>
          <w:p>
            <w:pPr>
              <w:pStyle w:val="Compact"/>
            </w:pPr>
            <w:r>
              <w:t xml:space="preserve">Travel cost</w:t>
            </w:r>
          </w:p>
        </w:tc>
        <w:tc>
          <w:tcPr/>
          <w:p>
            <w:pPr>
              <w:pStyle w:val="Compact"/>
            </w:pPr>
            <w:r>
              <w:t xml:space="preserve">fraction of resources</w:t>
            </w:r>
          </w:p>
        </w:tc>
        <w:tc>
          <w:tcPr/>
          <w:p>
            <w:pPr>
              <w:pStyle w:val="Compact"/>
            </w:pPr>
            <m:oMath>
              <m:r>
                <m:t>0.0004</m:t>
              </m:r>
              <m:r>
                <m:rPr>
                  <m:sty m:val="p"/>
                </m:rPr>
                <m:t>⋅</m:t>
              </m:r>
              <m:r>
                <m:t>d</m:t>
              </m:r>
            </m:oMath>
            <w:r>
              <w:t xml:space="preserve"> </w:t>
            </w:r>
            <w:r>
              <w:t xml:space="preserve">(</w:t>
            </w:r>
            <m:oMath>
              <m:r>
                <m:t>d</m:t>
              </m:r>
            </m:oMath>
            <w:r>
              <w:t xml:space="preserve"> </w:t>
            </w:r>
            <w:r>
              <w:t xml:space="preserve">in km)</w:t>
            </w:r>
          </w:p>
        </w:tc>
        <w:tc>
          <w:tcPr/>
          <w:p>
            <w:pPr>
              <w:pStyle w:val="Compact"/>
            </w:pPr>
            <m:oMath>
              <m:sSub>
                <m:e>
                  <m:r>
                    <m:t>C</m:t>
                  </m:r>
                </m:e>
                <m:sub>
                  <m:r>
                    <m:t>t</m:t>
                  </m:r>
                  <m:r>
                    <m:t>o</m:t>
                  </m:r>
                  <m:r>
                    <m:t>t</m:t>
                  </m:r>
                  <m:r>
                    <m:t>a</m:t>
                  </m:r>
                  <m:r>
                    <m:t>l</m:t>
                  </m:r>
                </m:sub>
              </m:sSub>
            </m:oMath>
          </w:p>
        </w:tc>
      </w:tr>
      <w:tr>
        <w:tc>
          <w:tcPr/>
          <w:p>
            <w:pPr>
              <w:pStyle w:val="Compact"/>
            </w:pPr>
            <m:oMath>
              <m:sSub>
                <m:e>
                  <m:r>
                    <m:t>C</m:t>
                  </m:r>
                </m:e>
                <m:sub>
                  <m:r>
                    <m:t>s</m:t>
                  </m:r>
                  <m:r>
                    <m:t>i</m:t>
                  </m:r>
                  <m:r>
                    <m:t>g</m:t>
                  </m:r>
                  <m:r>
                    <m:t>n</m:t>
                  </m:r>
                  <m:r>
                    <m:t>a</m:t>
                  </m:r>
                  <m:r>
                    <m:t>l</m:t>
                  </m:r>
                </m:sub>
              </m:sSub>
            </m:oMath>
          </w:p>
        </w:tc>
        <w:tc>
          <w:tcPr/>
          <w:p>
            <w:pPr>
              <w:pStyle w:val="Compact"/>
            </w:pPr>
            <w:r>
              <w:t xml:space="preserve">Signal investment cost</w:t>
            </w:r>
          </w:p>
        </w:tc>
        <w:tc>
          <w:tcPr/>
          <w:p>
            <w:pPr>
              <w:pStyle w:val="Compact"/>
            </w:pPr>
            <w:r>
              <w:t xml:space="preserve">fraction of resources</w:t>
            </w:r>
          </w:p>
        </w:tc>
        <w:tc>
          <w:tcPr/>
          <w:p>
            <w:pPr>
              <w:pStyle w:val="Compact"/>
            </w:pPr>
            <w:r>
              <w:t xml:space="preserve">0.18</w:t>
            </w:r>
          </w:p>
        </w:tc>
        <w:tc>
          <w:tcPr/>
          <w:p>
            <w:pPr>
              <w:pStyle w:val="Compact"/>
            </w:pPr>
            <m:oMath>
              <m:sSub>
                <m:e>
                  <m:r>
                    <m:t>C</m:t>
                  </m:r>
                </m:e>
                <m:sub>
                  <m:r>
                    <m:t>t</m:t>
                  </m:r>
                  <m:r>
                    <m:t>o</m:t>
                  </m:r>
                  <m:r>
                    <m:t>t</m:t>
                  </m:r>
                  <m:r>
                    <m:t>a</m:t>
                  </m:r>
                  <m:r>
                    <m:t>l</m:t>
                  </m:r>
                </m:sub>
              </m:sSub>
            </m:oMath>
          </w:p>
        </w:tc>
      </w:tr>
      <w:tr>
        <w:tc>
          <w:tcPr/>
          <w:p>
            <w:pPr>
              <w:pStyle w:val="Compact"/>
            </w:pPr>
            <m:oMath>
              <m:sSub>
                <m:e>
                  <m:r>
                    <m:t>C</m:t>
                  </m:r>
                </m:e>
                <m:sub>
                  <m:r>
                    <m:t>o</m:t>
                  </m:r>
                  <m:r>
                    <m:t>p</m:t>
                  </m:r>
                  <m:r>
                    <m:t>p</m:t>
                  </m:r>
                  <m:r>
                    <m:t>o</m:t>
                  </m:r>
                  <m:r>
                    <m:t>r</m:t>
                  </m:r>
                  <m:r>
                    <m:t>t</m:t>
                  </m:r>
                  <m:r>
                    <m:t>u</m:t>
                  </m:r>
                  <m:r>
                    <m:t>n</m:t>
                  </m:r>
                  <m:r>
                    <m:t>i</m:t>
                  </m:r>
                  <m:r>
                    <m:t>t</m:t>
                  </m:r>
                  <m:r>
                    <m:t>y</m:t>
                  </m:r>
                </m:sub>
              </m:sSub>
            </m:oMath>
          </w:p>
        </w:tc>
        <w:tc>
          <w:tcPr/>
          <w:p>
            <w:pPr>
              <w:pStyle w:val="Compact"/>
            </w:pPr>
            <w:r>
              <w:t xml:space="preserve">Foregone foraging cost</w:t>
            </w:r>
          </w:p>
        </w:tc>
        <w:tc>
          <w:tcPr/>
          <w:p>
            <w:pPr>
              <w:pStyle w:val="Compact"/>
            </w:pPr>
            <w:r>
              <w:t xml:space="preserve">fraction of resources</w:t>
            </w:r>
          </w:p>
        </w:tc>
        <w:tc>
          <w:tcPr/>
          <w:p>
            <w:pPr>
              <w:pStyle w:val="Compact"/>
            </w:pPr>
            <w:r>
              <w:t xml:space="preserve">0.12</w:t>
            </w:r>
          </w:p>
        </w:tc>
        <w:tc>
          <w:tcPr/>
          <w:p>
            <w:pPr>
              <w:pStyle w:val="Compact"/>
            </w:pPr>
            <m:oMath>
              <m:sSub>
                <m:e>
                  <m:r>
                    <m:t>C</m:t>
                  </m:r>
                </m:e>
                <m:sub>
                  <m:r>
                    <m:t>t</m:t>
                  </m:r>
                  <m:r>
                    <m:t>o</m:t>
                  </m:r>
                  <m:r>
                    <m:t>t</m:t>
                  </m:r>
                  <m:r>
                    <m:t>a</m:t>
                  </m:r>
                  <m:r>
                    <m:t>l</m:t>
                  </m:r>
                </m:sub>
              </m:sSub>
            </m:oMath>
          </w:p>
        </w:tc>
      </w:tr>
      <w:tr>
        <w:tc>
          <w:tcPr/>
          <w:p>
            <w:pPr>
              <w:pStyle w:val="Compact"/>
            </w:pPr>
            <m:oMath>
              <m:sSub>
                <m:e>
                  <m:r>
                    <m:t>C</m:t>
                  </m:r>
                </m:e>
                <m:sub>
                  <m:r>
                    <m:t>t</m:t>
                  </m:r>
                  <m:r>
                    <m:t>o</m:t>
                  </m:r>
                  <m:r>
                    <m:t>t</m:t>
                  </m:r>
                  <m:r>
                    <m:t>a</m:t>
                  </m:r>
                  <m:r>
                    <m:t>l</m:t>
                  </m:r>
                </m:sub>
              </m:sSub>
            </m:oMath>
          </w:p>
        </w:tc>
        <w:tc>
          <w:tcPr/>
          <w:p>
            <w:pPr>
              <w:pStyle w:val="Compact"/>
            </w:pPr>
            <w:r>
              <w:t xml:space="preserve">Total aggregation cost</w:t>
            </w:r>
          </w:p>
        </w:tc>
        <w:tc>
          <w:tcPr/>
          <w:p>
            <w:pPr>
              <w:pStyle w:val="Compact"/>
            </w:pPr>
            <w:r>
              <w:t xml:space="preserve">fraction of resources</w:t>
            </w:r>
          </w:p>
        </w:tc>
        <w:tc>
          <w:tcPr/>
          <w:p>
            <w:pPr>
              <w:pStyle w:val="Compact"/>
            </w:pPr>
            <m:oMath>
              <m:sSub>
                <m:e>
                  <m:r>
                    <m:t>C</m:t>
                  </m:r>
                </m:e>
                <m:sub>
                  <m:r>
                    <m:t>t</m:t>
                  </m:r>
                  <m:r>
                    <m:t>r</m:t>
                  </m:r>
                  <m:r>
                    <m:t>a</m:t>
                  </m:r>
                  <m:r>
                    <m:t>v</m:t>
                  </m:r>
                  <m:r>
                    <m:t>e</m:t>
                  </m:r>
                  <m:r>
                    <m:t>l</m:t>
                  </m:r>
                </m:sub>
              </m:sSub>
              <m:r>
                <m:rPr>
                  <m:sty m:val="p"/>
                </m:rPr>
                <m:t>+</m:t>
              </m:r>
              <m:sSub>
                <m:e>
                  <m:r>
                    <m:t>C</m:t>
                  </m:r>
                </m:e>
                <m:sub>
                  <m:r>
                    <m:t>s</m:t>
                  </m:r>
                  <m:r>
                    <m:t>i</m:t>
                  </m:r>
                  <m:r>
                    <m:t>g</m:t>
                  </m:r>
                  <m:r>
                    <m:t>n</m:t>
                  </m:r>
                  <m:r>
                    <m:t>a</m:t>
                  </m:r>
                  <m:r>
                    <m:t>l</m:t>
                  </m:r>
                </m:sub>
              </m:sSub>
              <m:r>
                <m:rPr>
                  <m:sty m:val="p"/>
                </m:rPr>
                <m:t>+</m:t>
              </m:r>
              <m:sSub>
                <m:e>
                  <m:r>
                    <m:t>C</m:t>
                  </m:r>
                </m:e>
                <m:sub>
                  <m:r>
                    <m:t>o</m:t>
                  </m:r>
                  <m:r>
                    <m:t>p</m:t>
                  </m:r>
                  <m:r>
                    <m:t>p</m:t>
                  </m:r>
                  <m:r>
                    <m:t>o</m:t>
                  </m:r>
                  <m:r>
                    <m:t>r</m:t>
                  </m:r>
                  <m:r>
                    <m:t>t</m:t>
                  </m:r>
                  <m:r>
                    <m:t>u</m:t>
                  </m:r>
                  <m:r>
                    <m:t>n</m:t>
                  </m:r>
                  <m:r>
                    <m:t>i</m:t>
                  </m:r>
                  <m:r>
                    <m:t>t</m:t>
                  </m:r>
                  <m:r>
                    <m:t>y</m:t>
                  </m:r>
                </m:sub>
              </m:sSub>
            </m:oMath>
            <w:r>
              <w:t xml:space="preserve"> </w:t>
            </w:r>
            <w:r>
              <w:t xml:space="preserve">(</w:t>
            </w:r>
            <m:oMath>
              <m:r>
                <m:rPr>
                  <m:sty m:val="p"/>
                </m:rPr>
                <m:t>≈</m:t>
              </m:r>
            </m:oMath>
            <w:r>
              <w:t xml:space="preserve"> </w:t>
            </w:r>
            <w:r>
              <w:t xml:space="preserve">0.34 at</w:t>
            </w:r>
            <w:r>
              <w:t xml:space="preserve"> </w:t>
            </w:r>
            <m:oMath>
              <m:r>
                <m:t>d</m:t>
              </m:r>
            </m:oMath>
            <w:r>
              <w:t xml:space="preserve"> </w:t>
            </w:r>
            <w:r>
              <w:t xml:space="preserve">= 100 km)</w:t>
            </w:r>
          </w:p>
        </w:tc>
        <w:tc>
          <w:tcPr/>
          <w:p>
            <w:pPr>
              <w:pStyle w:val="Compact"/>
            </w:pPr>
            <m:oMath>
              <m:sSub>
                <m:e>
                  <m:r>
                    <m:t>W</m:t>
                  </m:r>
                </m:e>
                <m:sub>
                  <m:r>
                    <m:t>a</m:t>
                  </m:r>
                  <m:r>
                    <m:t>g</m:t>
                  </m:r>
                  <m:r>
                    <m:t>g</m:t>
                  </m:r>
                </m:sub>
              </m:sSub>
            </m:oMath>
          </w:p>
        </w:tc>
      </w:tr>
      <w:tr>
        <w:tc>
          <w:tcPr/>
          <w:p>
            <w:pPr>
              <w:pStyle w:val="Compact"/>
            </w:pPr>
            <m:oMath>
              <m:r>
                <m:t>α</m:t>
              </m:r>
              <m:r>
                <m:rPr>
                  <m:sty m:val="p"/>
                </m:rPr>
                <m:t>(</m:t>
              </m:r>
              <m:r>
                <m:t>k</m:t>
              </m:r>
              <m:r>
                <m:rPr>
                  <m:sty m:val="p"/>
                </m:rPr>
                <m:t>)</m:t>
              </m:r>
            </m:oMath>
          </w:p>
        </w:tc>
        <w:tc>
          <w:tcPr/>
          <w:p>
            <w:pPr>
              <w:pStyle w:val="Compact"/>
            </w:pPr>
            <w:r>
              <w:t xml:space="preserve">Aggregator vulnerability function</w:t>
            </w:r>
          </w:p>
        </w:tc>
        <w:tc>
          <w:tcPr/>
          <w:p>
            <w:pPr>
              <w:pStyle w:val="Compact"/>
            </w:pPr>
            <m:oMath>
              <m:r>
                <m:rPr>
                  <m:sty m:val="p"/>
                </m:rPr>
                <m:t>(</m:t>
              </m:r>
              <m:r>
                <m:t>0</m:t>
              </m:r>
              <m:r>
                <m:rPr>
                  <m:sty m:val="p"/>
                </m:rPr>
                <m:t>,</m:t>
              </m:r>
              <m:r>
                <m:t>1</m:t>
              </m:r>
              <m:r>
                <m:rPr>
                  <m:sty m:val="p"/>
                </m:rPr>
                <m:t>]</m:t>
              </m:r>
            </m:oMath>
          </w:p>
        </w:tc>
        <w:tc>
          <w:tcPr/>
          <w:p>
            <w:pPr>
              <w:pStyle w:val="Compact"/>
            </w:pPr>
            <m:oMath>
              <m:r>
                <m:t>α</m:t>
              </m:r>
              <m:r>
                <m:rPr>
                  <m:sty m:val="p"/>
                </m:rPr>
                <m:t>(</m:t>
              </m:r>
              <m:r>
                <m:t>k</m:t>
              </m:r>
              <m:r>
                <m:rPr>
                  <m:sty m:val="p"/>
                </m:rPr>
                <m:t>)</m:t>
              </m:r>
              <m:r>
                <m:rPr>
                  <m:sty m:val="p"/>
                </m:rPr>
                <m:t>=</m:t>
              </m:r>
              <m:r>
                <m:t>1</m:t>
              </m:r>
              <m:r>
                <m:rPr>
                  <m:sty m:val="p"/>
                </m:rPr>
                <m:t>/</m:t>
              </m:r>
              <m:r>
                <m:rPr>
                  <m:sty m:val="p"/>
                </m:rPr>
                <m:t>(</m:t>
              </m:r>
              <m:r>
                <m:t>1</m:t>
              </m:r>
              <m:r>
                <m:rPr>
                  <m:sty m:val="p"/>
                </m:rPr>
                <m:t>+</m:t>
              </m:r>
              <m:r>
                <m:t>γ</m:t>
              </m:r>
              <m:r>
                <m:t>k</m:t>
              </m:r>
              <m:r>
                <m:rPr>
                  <m:sty m:val="p"/>
                </m:rPr>
                <m:t>)</m:t>
              </m:r>
            </m:oMath>
          </w:p>
        </w:tc>
        <w:tc>
          <w:tcPr/>
          <w:p>
            <w:pPr>
              <w:pStyle w:val="Compact"/>
            </w:pPr>
            <m:oMath>
              <m:sSub>
                <m:e>
                  <m:r>
                    <m:t>W</m:t>
                  </m:r>
                </m:e>
                <m:sub>
                  <m:r>
                    <m:t>a</m:t>
                  </m:r>
                  <m:r>
                    <m:t>g</m:t>
                  </m:r>
                  <m:r>
                    <m:t>g</m:t>
                  </m:r>
                </m:sub>
              </m:sSub>
            </m:oMath>
          </w:p>
        </w:tc>
      </w:tr>
      <w:tr>
        <w:tc>
          <w:tcPr/>
          <w:p>
            <w:pPr>
              <w:pStyle w:val="Compact"/>
            </w:pPr>
            <m:oMath>
              <m:r>
                <m:t>β</m:t>
              </m:r>
              <m:r>
                <m:rPr>
                  <m:sty m:val="p"/>
                </m:rPr>
                <m:t>(</m:t>
              </m:r>
              <m:sSub>
                <m:e>
                  <m:r>
                    <m:t>k</m:t>
                  </m:r>
                </m:e>
                <m:sub>
                  <m:r>
                    <m:t>0</m:t>
                  </m:r>
                </m:sub>
              </m:sSub>
              <m:r>
                <m:rPr>
                  <m:sty m:val="p"/>
                </m:rPr>
                <m:t>)</m:t>
              </m:r>
            </m:oMath>
          </w:p>
        </w:tc>
        <w:tc>
          <w:tcPr/>
          <w:p>
            <w:pPr>
              <w:pStyle w:val="Compact"/>
            </w:pPr>
            <w:r>
              <w:t xml:space="preserve">Independent vulnerability</w:t>
            </w:r>
          </w:p>
        </w:tc>
        <w:tc>
          <w:tcPr/>
          <w:p>
            <w:pPr>
              <w:pStyle w:val="Compact"/>
            </w:pPr>
            <m:oMath>
              <m:r>
                <m:rPr>
                  <m:sty m:val="p"/>
                </m:rPr>
                <m:t>(</m:t>
              </m:r>
              <m:r>
                <m:t>0</m:t>
              </m:r>
              <m:r>
                <m:rPr>
                  <m:sty m:val="p"/>
                </m:rPr>
                <m:t>,</m:t>
              </m:r>
              <m:r>
                <m:t>1</m:t>
              </m:r>
              <m:r>
                <m:rPr>
                  <m:sty m:val="p"/>
                </m:rPr>
                <m:t>]</m:t>
              </m:r>
            </m:oMath>
          </w:p>
        </w:tc>
        <w:tc>
          <w:tcPr/>
          <w:p>
            <w:pPr>
              <w:pStyle w:val="Compact"/>
            </w:pPr>
            <m:oMath>
              <m:r>
                <m:t>β</m:t>
              </m:r>
              <m:r>
                <m:rPr>
                  <m:sty m:val="p"/>
                </m:rPr>
                <m:t>=</m:t>
              </m:r>
              <m:r>
                <m:t>α</m:t>
              </m:r>
              <m:r>
                <m:rPr>
                  <m:sty m:val="p"/>
                </m:rPr>
                <m:t>(</m:t>
              </m:r>
              <m:sSub>
                <m:e>
                  <m:r>
                    <m:t>k</m:t>
                  </m:r>
                </m:e>
                <m:sub>
                  <m:r>
                    <m:t>0</m:t>
                  </m:r>
                </m:sub>
              </m:sSub>
              <m:r>
                <m:rPr>
                  <m:sty m:val="p"/>
                </m:rPr>
                <m:t>)</m:t>
              </m:r>
              <m:r>
                <m:rPr>
                  <m:sty m:val="p"/>
                </m:rPr>
                <m:t>≈</m:t>
              </m:r>
              <m:r>
                <m:t>0.985</m:t>
              </m:r>
            </m:oMath>
          </w:p>
        </w:tc>
        <w:tc>
          <w:tcPr/>
          <w:p>
            <w:pPr>
              <w:pStyle w:val="Compact"/>
            </w:pPr>
            <m:oMath>
              <m:sSub>
                <m:e>
                  <m:r>
                    <m:t>W</m:t>
                  </m:r>
                </m:e>
                <m:sub>
                  <m:r>
                    <m:t>i</m:t>
                  </m:r>
                  <m:r>
                    <m:t>n</m:t>
                  </m:r>
                  <m:r>
                    <m:t>d</m:t>
                  </m:r>
                </m:sub>
              </m:sSub>
            </m:oMath>
          </w:p>
        </w:tc>
      </w:tr>
      <w:tr>
        <w:tc>
          <w:tcPr/>
          <w:p>
            <w:pPr>
              <w:pStyle w:val="Compact"/>
            </w:pPr>
            <m:oMath>
              <m:r>
                <m:t>γ</m:t>
              </m:r>
            </m:oMath>
          </w:p>
        </w:tc>
        <w:tc>
          <w:tcPr/>
          <w:p>
            <w:pPr>
              <w:pStyle w:val="Compact"/>
            </w:pPr>
            <w:r>
              <w:t xml:space="preserve">Buffering efficiency per partner</w:t>
            </w:r>
          </w:p>
        </w:tc>
        <w:tc>
          <w:tcPr/>
          <w:p>
            <w:pPr>
              <w:pStyle w:val="Compact"/>
            </w:pPr>
            <w:r>
              <w:t xml:space="preserve">dimensionless</w:t>
            </w:r>
          </w:p>
        </w:tc>
        <w:tc>
          <w:tcPr/>
          <w:p>
            <w:pPr>
              <w:pStyle w:val="Compact"/>
            </w:pPr>
            <w:r>
              <w:t xml:space="preserve">0.05</w:t>
            </w:r>
          </w:p>
        </w:tc>
        <w:tc>
          <w:tcPr/>
          <w:p>
            <w:pPr>
              <w:pStyle w:val="Compact"/>
            </w:pPr>
            <m:oMath>
              <m:r>
                <m:t>α</m:t>
              </m:r>
              <m:r>
                <m:rPr>
                  <m:sty m:val="p"/>
                </m:rPr>
                <m:t>(</m:t>
              </m:r>
              <m:r>
                <m:t>k</m:t>
              </m:r>
              <m:r>
                <m:rPr>
                  <m:sty m:val="p"/>
                </m:rPr>
                <m:t>)</m:t>
              </m:r>
            </m:oMath>
          </w:p>
        </w:tc>
      </w:tr>
      <w:tr>
        <w:tc>
          <w:tcPr/>
          <w:p>
            <w:pPr>
              <w:pStyle w:val="Compact"/>
            </w:pPr>
            <m:oMath>
              <m:sSub>
                <m:e>
                  <m:r>
                    <m:t>k</m:t>
                  </m:r>
                </m:e>
                <m:sub>
                  <m:r>
                    <m:t>0</m:t>
                  </m:r>
                </m:sub>
              </m:sSub>
            </m:oMath>
          </w:p>
        </w:tc>
        <w:tc>
          <w:tcPr/>
          <w:p>
            <w:pPr>
              <w:pStyle w:val="Compact"/>
            </w:pPr>
            <w:r>
              <w:t xml:space="preserve">Baseline kin network degree</w:t>
            </w:r>
          </w:p>
        </w:tc>
        <w:tc>
          <w:tcPr/>
          <w:p>
            <w:pPr>
              <w:pStyle w:val="Compact"/>
            </w:pPr>
            <w:r>
              <w:t xml:space="preserve">dimensionless</w:t>
            </w:r>
          </w:p>
        </w:tc>
        <w:tc>
          <w:tcPr/>
          <w:p>
            <w:pPr>
              <w:pStyle w:val="Compact"/>
            </w:pPr>
            <w:r>
              <w:t xml:space="preserve">0.3</w:t>
            </w:r>
          </w:p>
        </w:tc>
        <w:tc>
          <w:tcPr/>
          <w:p>
            <w:pPr>
              <w:pStyle w:val="Compact"/>
            </w:pPr>
            <w:r>
              <w:t xml:space="preserve">both fns</w:t>
            </w:r>
          </w:p>
        </w:tc>
      </w:tr>
      <w:tr>
        <w:tc>
          <w:tcPr/>
          <w:p>
            <w:pPr>
              <w:pStyle w:val="Compact"/>
            </w:pPr>
            <m:oMath>
              <m:sSub>
                <m:e>
                  <m:r>
                    <m:t>k</m:t>
                  </m:r>
                </m:e>
                <m:sub>
                  <m:r>
                    <m:t>m</m:t>
                  </m:r>
                  <m:r>
                    <m:t>a</m:t>
                  </m:r>
                  <m:r>
                    <m:t>x</m:t>
                  </m:r>
                </m:sub>
              </m:sSub>
            </m:oMath>
          </w:p>
        </w:tc>
        <w:tc>
          <w:tcPr/>
          <w:p>
            <w:pPr>
              <w:pStyle w:val="Compact"/>
            </w:pPr>
            <w:r>
              <w:t xml:space="preserve">Maximum additional network degree</w:t>
            </w:r>
          </w:p>
        </w:tc>
        <w:tc>
          <w:tcPr/>
          <w:p>
            <w:pPr>
              <w:pStyle w:val="Compact"/>
            </w:pPr>
            <w:r>
              <w:t xml:space="preserve">dimensionless</w:t>
            </w:r>
          </w:p>
        </w:tc>
        <w:tc>
          <w:tcPr/>
          <w:p>
            <w:pPr>
              <w:pStyle w:val="Compact"/>
            </w:pPr>
            <w:r>
              <w:t xml:space="preserve">6.0</w:t>
            </w:r>
          </w:p>
        </w:tc>
        <w:tc>
          <w:tcPr/>
          <w:p>
            <w:pPr>
              <w:pStyle w:val="Compact"/>
            </w:pPr>
            <m:oMath>
              <m:r>
                <m:t>k</m:t>
              </m:r>
              <m:r>
                <m:rPr>
                  <m:sty m:val="p"/>
                </m:rPr>
                <m:t>(</m:t>
              </m:r>
              <m:sSub>
                <m:e>
                  <m:r>
                    <m:t>M</m:t>
                  </m:r>
                </m:e>
                <m:sub>
                  <m:r>
                    <m:t>g</m:t>
                  </m:r>
                </m:sub>
              </m:sSub>
              <m:r>
                <m:rPr>
                  <m:sty m:val="p"/>
                </m:rPr>
                <m:t>)</m:t>
              </m:r>
            </m:oMath>
          </w:p>
        </w:tc>
      </w:tr>
      <w:tr>
        <w:tc>
          <w:tcPr/>
          <w:p>
            <w:pPr>
              <w:pStyle w:val="Compact"/>
            </w:pPr>
            <m:oMath>
              <m:r>
                <m:t>k</m:t>
              </m:r>
              <m:r>
                <m:rPr>
                  <m:sty m:val="p"/>
                </m:rPr>
                <m:t>(</m:t>
              </m:r>
              <m:sSub>
                <m:e>
                  <m:r>
                    <m:t>M</m:t>
                  </m:r>
                </m:e>
                <m:sub>
                  <m:r>
                    <m:t>g</m:t>
                  </m:r>
                </m:sub>
              </m:sSub>
              <m:r>
                <m:rPr>
                  <m:sty m:val="p"/>
                </m:rPr>
                <m:t>)</m:t>
              </m:r>
            </m:oMath>
          </w:p>
        </w:tc>
        <w:tc>
          <w:tcPr/>
          <w:p>
            <w:pPr>
              <w:pStyle w:val="Compact"/>
            </w:pPr>
            <w:r>
              <w:t xml:space="preserve">Network degree given monument stock</w:t>
            </w:r>
          </w:p>
        </w:tc>
        <w:tc>
          <w:tcPr/>
          <w:p>
            <w:pPr>
              <w:pStyle w:val="Compact"/>
            </w:pPr>
            <w:r>
              <w:t xml:space="preserve">dimensionless</w:t>
            </w:r>
          </w:p>
        </w:tc>
        <w:tc>
          <w:tcPr/>
          <w:p>
            <w:pPr>
              <w:pStyle w:val="Compact"/>
            </w:pPr>
            <m:oMath>
              <m:sSub>
                <m:e>
                  <m:r>
                    <m:t>k</m:t>
                  </m:r>
                </m:e>
                <m:sub>
                  <m:r>
                    <m:t>0</m:t>
                  </m:r>
                </m:sub>
              </m:sSub>
              <m:r>
                <m:rPr>
                  <m:sty m:val="p"/>
                </m:rPr>
                <m:t>+</m:t>
              </m:r>
              <m:sSub>
                <m:e>
                  <m:r>
                    <m:t>k</m:t>
                  </m:r>
                </m:e>
                <m:sub>
                  <m:r>
                    <m:t>m</m:t>
                  </m:r>
                  <m:r>
                    <m:t>a</m:t>
                  </m:r>
                  <m:r>
                    <m:t>x</m:t>
                  </m:r>
                </m:sub>
              </m:sSub>
              <m:r>
                <m:rPr>
                  <m:sty m:val="p"/>
                </m:rPr>
                <m:t>⋅</m:t>
              </m:r>
              <m:sSub>
                <m:e>
                  <m:r>
                    <m:t>M</m:t>
                  </m:r>
                </m:e>
                <m:sub>
                  <m:r>
                    <m:t>g</m:t>
                  </m:r>
                </m:sub>
              </m:sSub>
              <m:r>
                <m:rPr>
                  <m:sty m:val="p"/>
                </m:rPr>
                <m:t>/</m:t>
              </m:r>
              <m:r>
                <m:rPr>
                  <m:sty m:val="p"/>
                </m:rPr>
                <m:t>(</m:t>
              </m:r>
              <m:sSub>
                <m:e>
                  <m:r>
                    <m:t>M</m:t>
                  </m:r>
                </m:e>
                <m:sub>
                  <m:r>
                    <m:t>h</m:t>
                  </m:r>
                  <m:r>
                    <m:t>a</m:t>
                  </m:r>
                  <m:r>
                    <m:t>l</m:t>
                  </m:r>
                  <m:r>
                    <m:t>f</m:t>
                  </m:r>
                </m:sub>
              </m:sSub>
              <m:r>
                <m:rPr>
                  <m:sty m:val="p"/>
                </m:rPr>
                <m:t>+</m:t>
              </m:r>
              <m:sSub>
                <m:e>
                  <m:r>
                    <m:t>M</m:t>
                  </m:r>
                </m:e>
                <m:sub>
                  <m:r>
                    <m:t>g</m:t>
                  </m:r>
                </m:sub>
              </m:sSub>
              <m:r>
                <m:rPr>
                  <m:sty m:val="p"/>
                </m:rPr>
                <m:t>)</m:t>
              </m:r>
            </m:oMath>
          </w:p>
        </w:tc>
        <w:tc>
          <w:tcPr/>
          <w:p>
            <w:pPr>
              <w:pStyle w:val="Compact"/>
            </w:pPr>
            <m:oMath>
              <m:r>
                <m:t>α</m:t>
              </m:r>
            </m:oMath>
          </w:p>
        </w:tc>
      </w:tr>
      <w:tr>
        <w:tc>
          <w:tcPr/>
          <w:p>
            <w:pPr>
              <w:pStyle w:val="Compact"/>
            </w:pPr>
            <m:oMath>
              <m:sSub>
                <m:e>
                  <m:r>
                    <m:t>k</m:t>
                  </m:r>
                </m:e>
                <m:sub>
                  <m:r>
                    <m:t>a</m:t>
                  </m:r>
                  <m:r>
                    <m:t>g</m:t>
                  </m:r>
                  <m:r>
                    <m:t>g</m:t>
                  </m:r>
                </m:sub>
              </m:sSub>
            </m:oMath>
          </w:p>
        </w:tc>
        <w:tc>
          <w:tcPr/>
          <w:p>
            <w:pPr>
              <w:pStyle w:val="Compact"/>
            </w:pPr>
            <w:r>
              <w:t xml:space="preserve">Within-aggregation network degree</w:t>
            </w:r>
          </w:p>
        </w:tc>
        <w:tc>
          <w:tcPr/>
          <w:p>
            <w:pPr>
              <w:pStyle w:val="Compact"/>
            </w:pPr>
            <w:r>
              <w:t xml:space="preserve">dimensionless</w:t>
            </w:r>
          </w:p>
        </w:tc>
        <w:tc>
          <w:tcPr/>
          <w:p>
            <w:pPr>
              <w:pStyle w:val="Compact"/>
            </w:pPr>
            <m:oMath>
              <m:r>
                <m:t>k</m:t>
              </m:r>
              <m:r>
                <m:rPr>
                  <m:sty m:val="p"/>
                </m:rPr>
                <m:t>(</m:t>
              </m:r>
              <m:sSub>
                <m:e>
                  <m:r>
                    <m:t>M</m:t>
                  </m:r>
                </m:e>
                <m:sub>
                  <m:r>
                    <m:t>g</m:t>
                  </m:r>
                </m:sub>
              </m:sSub>
              <m:r>
                <m:rPr>
                  <m:sty m:val="p"/>
                </m:rPr>
                <m:t>)</m:t>
              </m:r>
            </m:oMath>
            <w:r>
              <w:t xml:space="preserve"> </w:t>
            </w:r>
            <w:r>
              <w:t xml:space="preserve">at peak season</w:t>
            </w:r>
          </w:p>
        </w:tc>
        <w:tc>
          <w:tcPr/>
          <w:p>
            <w:pPr>
              <w:pStyle w:val="Compact"/>
            </w:pPr>
            <m:oMath>
              <m:sSub>
                <m:e>
                  <m:r>
                    <m:t>k</m:t>
                  </m:r>
                </m:e>
                <m:sub>
                  <m:r>
                    <m:t>e</m:t>
                  </m:r>
                  <m:r>
                    <m:t>f</m:t>
                  </m:r>
                  <m:r>
                    <m:t>f</m:t>
                  </m:r>
                </m:sub>
              </m:sSub>
            </m:oMath>
          </w:p>
        </w:tc>
      </w:tr>
      <w:tr>
        <w:tc>
          <w:tcPr/>
          <w:p>
            <w:pPr>
              <w:pStyle w:val="Compact"/>
            </w:pPr>
            <m:oMath>
              <m:sSub>
                <m:e>
                  <m:r>
                    <m:t>k</m:t>
                  </m:r>
                </m:e>
                <m:sub>
                  <m:r>
                    <m:t>e</m:t>
                  </m:r>
                  <m:r>
                    <m:t>f</m:t>
                  </m:r>
                  <m:r>
                    <m:t>f</m:t>
                  </m:r>
                </m:sub>
              </m:sSub>
            </m:oMath>
          </w:p>
        </w:tc>
        <w:tc>
          <w:tcPr/>
          <w:p>
            <w:pPr>
              <w:pStyle w:val="Compact"/>
            </w:pPr>
            <w:r>
              <w:t xml:space="preserve">Effective annual network degree</w:t>
            </w:r>
          </w:p>
        </w:tc>
        <w:tc>
          <w:tcPr/>
          <w:p>
            <w:pPr>
              <w:pStyle w:val="Compact"/>
            </w:pPr>
            <w:r>
              <w:t xml:space="preserve">dimensionless</w:t>
            </w:r>
          </w:p>
        </w:tc>
        <w:tc>
          <w:tcPr/>
          <w:p>
            <w:pPr>
              <w:pStyle w:val="Compact"/>
            </w:pPr>
            <m:oMath>
              <m:sSub>
                <m:e>
                  <m:r>
                    <m:t>f</m:t>
                  </m:r>
                </m:e>
                <m:sub>
                  <m:r>
                    <m:t>a</m:t>
                  </m:r>
                  <m:r>
                    <m:t>g</m:t>
                  </m:r>
                  <m:r>
                    <m:t>g</m:t>
                  </m:r>
                </m:sub>
              </m:sSub>
              <m:sSub>
                <m:e>
                  <m:r>
                    <m:t>k</m:t>
                  </m:r>
                </m:e>
                <m:sub>
                  <m:r>
                    <m:t>a</m:t>
                  </m:r>
                  <m:r>
                    <m:t>g</m:t>
                  </m:r>
                  <m:r>
                    <m:t>g</m:t>
                  </m:r>
                </m:sub>
              </m:sSub>
              <m:r>
                <m:rPr>
                  <m:sty m:val="p"/>
                </m:rPr>
                <m:t>+</m:t>
              </m:r>
              <m:r>
                <m:rPr>
                  <m:sty m:val="p"/>
                </m:rPr>
                <m:t>(</m:t>
              </m:r>
              <m:r>
                <m:t>1</m:t>
              </m:r>
              <m:r>
                <m:rPr>
                  <m:sty m:val="p"/>
                </m:rPr>
                <m:t>−</m:t>
              </m:r>
              <m:sSub>
                <m:e>
                  <m:r>
                    <m:t>f</m:t>
                  </m:r>
                </m:e>
                <m:sub>
                  <m:r>
                    <m:t>a</m:t>
                  </m:r>
                  <m:r>
                    <m:t>g</m:t>
                  </m:r>
                  <m:r>
                    <m:t>g</m:t>
                  </m:r>
                </m:sub>
              </m:sSub>
              <m:r>
                <m:rPr>
                  <m:sty m:val="p"/>
                </m:rPr>
                <m:t>)</m:t>
              </m:r>
              <m:r>
                <m:rPr>
                  <m:sty m:val="p"/>
                </m:rPr>
                <m:t>[</m:t>
              </m:r>
              <m:sSub>
                <m:e>
                  <m:r>
                    <m:t>k</m:t>
                  </m:r>
                </m:e>
                <m:sub>
                  <m:r>
                    <m:t>0</m:t>
                  </m:r>
                </m:sub>
              </m:sSub>
              <m:r>
                <m:rPr>
                  <m:sty m:val="p"/>
                </m:rPr>
                <m:t>+</m:t>
              </m:r>
              <m:r>
                <m:rPr>
                  <m:sty m:val="p"/>
                </m:rPr>
                <m:t>(</m:t>
              </m:r>
              <m:sSub>
                <m:e>
                  <m:r>
                    <m:t>k</m:t>
                  </m:r>
                </m:e>
                <m:sub>
                  <m:r>
                    <m:t>a</m:t>
                  </m:r>
                  <m:r>
                    <m:t>g</m:t>
                  </m:r>
                  <m:r>
                    <m:t>g</m:t>
                  </m:r>
                </m:sub>
              </m:sSub>
              <m:r>
                <m:rPr>
                  <m:sty m:val="p"/>
                </m:rPr>
                <m:t>−</m:t>
              </m:r>
              <m:sSub>
                <m:e>
                  <m:r>
                    <m:t>k</m:t>
                  </m:r>
                </m:e>
                <m:sub>
                  <m:r>
                    <m:t>0</m:t>
                  </m:r>
                </m:sub>
              </m:sSub>
              <m:r>
                <m:rPr>
                  <m:sty m:val="p"/>
                </m:rPr>
                <m:t>)</m:t>
              </m:r>
              <m:r>
                <m:rPr>
                  <m:sty m:val="p"/>
                </m:rPr>
                <m:t>(</m:t>
              </m:r>
              <m:r>
                <m:t>1</m:t>
              </m:r>
              <m:r>
                <m:rPr>
                  <m:sty m:val="p"/>
                </m:rPr>
                <m:t>−</m:t>
              </m:r>
              <m:sSub>
                <m:e>
                  <m:r>
                    <m:t>δ</m:t>
                  </m:r>
                </m:e>
                <m:sub>
                  <m:r>
                    <m:t>n</m:t>
                  </m:r>
                  <m:r>
                    <m:t>e</m:t>
                  </m:r>
                  <m:r>
                    <m:t>t</m:t>
                  </m:r>
                </m:sub>
              </m:sSub>
              <m:r>
                <m:rPr>
                  <m:sty m:val="p"/>
                </m:rPr>
                <m:t>)</m:t>
              </m:r>
              <m:r>
                <m:rPr>
                  <m:sty m:val="p"/>
                </m:rPr>
                <m:t>]</m:t>
              </m:r>
            </m:oMath>
          </w:p>
        </w:tc>
        <w:tc>
          <w:tcPr/>
          <w:p>
            <w:pPr>
              <w:pStyle w:val="Compact"/>
            </w:pPr>
            <m:oMath>
              <m:r>
                <m:t>α</m:t>
              </m:r>
              <m:r>
                <m:rPr>
                  <m:sty m:val="p"/>
                </m:rPr>
                <m:t>(</m:t>
              </m:r>
              <m:sSub>
                <m:e>
                  <m:r>
                    <m:t>k</m:t>
                  </m:r>
                </m:e>
                <m:sub>
                  <m:r>
                    <m:t>e</m:t>
                  </m:r>
                  <m:r>
                    <m:t>f</m:t>
                  </m:r>
                  <m:r>
                    <m:t>f</m:t>
                  </m:r>
                </m:sub>
              </m:sSub>
              <m:r>
                <m:rPr>
                  <m:sty m:val="p"/>
                </m:rPr>
                <m:t>)</m:t>
              </m:r>
            </m:oMath>
          </w:p>
        </w:tc>
      </w:tr>
      <w:tr>
        <w:tc>
          <w:tcPr/>
          <w:p>
            <w:pPr>
              <w:pStyle w:val="Compact"/>
            </w:pPr>
            <m:oMath>
              <m:sSub>
                <m:e>
                  <m:r>
                    <m:t>f</m:t>
                  </m:r>
                </m:e>
                <m:sub>
                  <m:r>
                    <m:t>a</m:t>
                  </m:r>
                  <m:r>
                    <m:t>g</m:t>
                  </m:r>
                  <m:r>
                    <m:t>g</m:t>
                  </m:r>
                </m:sub>
              </m:sSub>
            </m:oMath>
          </w:p>
        </w:tc>
        <w:tc>
          <w:tcPr/>
          <w:p>
            <w:pPr>
              <w:pStyle w:val="Compact"/>
            </w:pPr>
            <w:r>
              <w:t xml:space="preserve">Fraction of year at site</w:t>
            </w:r>
          </w:p>
        </w:tc>
        <w:tc>
          <w:tcPr/>
          <w:p>
            <w:pPr>
              <w:pStyle w:val="Compact"/>
            </w:pPr>
            <m:oMath>
              <m:r>
                <m:rPr>
                  <m:sty m:val="p"/>
                </m:rPr>
                <m:t>[</m:t>
              </m:r>
              <m:r>
                <m:t>0</m:t>
              </m:r>
              <m:r>
                <m:rPr>
                  <m:sty m:val="p"/>
                </m:rPr>
                <m:t>,</m:t>
              </m:r>
              <m:r>
                <m:t>1</m:t>
              </m:r>
              <m:r>
                <m:rPr>
                  <m:sty m:val="p"/>
                </m:rPr>
                <m:t>]</m:t>
              </m:r>
            </m:oMath>
          </w:p>
        </w:tc>
        <w:tc>
          <w:tcPr/>
          <w:p>
            <w:pPr>
              <w:pStyle w:val="Compact"/>
            </w:pPr>
            <w:r>
              <w:t xml:space="preserve">0.25</w:t>
            </w:r>
          </w:p>
        </w:tc>
        <w:tc>
          <w:tcPr/>
          <w:p>
            <w:pPr>
              <w:pStyle w:val="Compact"/>
            </w:pPr>
            <m:oMath>
              <m:sSub>
                <m:e>
                  <m:r>
                    <m:t>k</m:t>
                  </m:r>
                </m:e>
                <m:sub>
                  <m:r>
                    <m:t>e</m:t>
                  </m:r>
                  <m:r>
                    <m:t>f</m:t>
                  </m:r>
                  <m:r>
                    <m:t>f</m:t>
                  </m:r>
                </m:sub>
              </m:sSub>
            </m:oMath>
          </w:p>
        </w:tc>
      </w:tr>
      <w:tr>
        <w:tc>
          <w:tcPr/>
          <w:p>
            <w:pPr>
              <w:pStyle w:val="Compact"/>
            </w:pPr>
            <m:oMath>
              <m:sSub>
                <m:e>
                  <m:r>
                    <m:t>δ</m:t>
                  </m:r>
                </m:e>
                <m:sub>
                  <m:r>
                    <m:t>n</m:t>
                  </m:r>
                  <m:r>
                    <m:t>e</m:t>
                  </m:r>
                  <m:r>
                    <m:t>t</m:t>
                  </m:r>
                </m:sub>
              </m:sSub>
            </m:oMath>
          </w:p>
        </w:tc>
        <w:tc>
          <w:tcPr/>
          <w:p>
            <w:pPr>
              <w:pStyle w:val="Compact"/>
            </w:pPr>
            <w:r>
              <w:t xml:space="preserve">Per-dispersal-season network decay</w:t>
            </w:r>
          </w:p>
        </w:tc>
        <w:tc>
          <w:tcPr/>
          <w:p>
            <w:pPr>
              <w:pStyle w:val="Compact"/>
            </w:pPr>
            <m:oMath>
              <m:r>
                <m:rPr>
                  <m:sty m:val="p"/>
                </m:rPr>
                <m:t>[</m:t>
              </m:r>
              <m:r>
                <m:t>0</m:t>
              </m:r>
              <m:r>
                <m:rPr>
                  <m:sty m:val="p"/>
                </m:rPr>
                <m:t>,</m:t>
              </m:r>
              <m:r>
                <m:t>1</m:t>
              </m:r>
              <m:r>
                <m:rPr>
                  <m:sty m:val="p"/>
                </m:rPr>
                <m:t>]</m:t>
              </m:r>
            </m:oMath>
          </w:p>
        </w:tc>
        <w:tc>
          <w:tcPr/>
          <w:p>
            <w:pPr>
              <w:pStyle w:val="Compact"/>
            </w:pPr>
            <w:r>
              <w:t xml:space="preserve">0.40</w:t>
            </w:r>
          </w:p>
        </w:tc>
        <w:tc>
          <w:tcPr/>
          <w:p>
            <w:pPr>
              <w:pStyle w:val="Compact"/>
            </w:pPr>
            <m:oMath>
              <m:sSub>
                <m:e>
                  <m:r>
                    <m:t>k</m:t>
                  </m:r>
                </m:e>
                <m:sub>
                  <m:r>
                    <m:t>e</m:t>
                  </m:r>
                  <m:r>
                    <m:t>f</m:t>
                  </m:r>
                  <m:r>
                    <m:t>f</m:t>
                  </m:r>
                </m:sub>
              </m:sSub>
            </m:oMath>
          </w:p>
        </w:tc>
      </w:tr>
      <w:tr>
        <w:tc>
          <w:tcPr/>
          <w:p>
            <w:pPr>
              <w:pStyle w:val="Compact"/>
            </w:pPr>
            <m:oMath>
              <m:r>
                <m:t>δ</m:t>
              </m:r>
            </m:oMath>
          </w:p>
        </w:tc>
        <w:tc>
          <w:tcPr/>
          <w:p>
            <w:pPr>
              <w:pStyle w:val="Compact"/>
            </w:pPr>
            <w:r>
              <w:t xml:space="preserve">Annual monument depreciation</w:t>
            </w:r>
          </w:p>
        </w:tc>
        <w:tc>
          <w:tcPr/>
          <w:p>
            <w:pPr>
              <w:pStyle w:val="Compact"/>
            </w:pPr>
            <w:r>
              <w:t xml:space="preserve">yr</w:t>
            </w:r>
            <m:oMath>
              <m:sSup>
                <m:e>
                  <m:r>
                    <m:t>​</m:t>
                  </m:r>
                </m:e>
                <m:sup>
                  <m:r>
                    <m:rPr>
                      <m:sty m:val="p"/>
                    </m:rPr>
                    <m:t>−</m:t>
                  </m:r>
                  <m:r>
                    <m:t>1</m:t>
                  </m:r>
                </m:sup>
              </m:sSup>
            </m:oMath>
          </w:p>
        </w:tc>
        <w:tc>
          <w:tcPr/>
          <w:p>
            <w:pPr>
              <w:pStyle w:val="Compact"/>
            </w:pPr>
            <w:r>
              <w:t xml:space="preserve">0.08</w:t>
            </w:r>
          </w:p>
        </w:tc>
        <w:tc>
          <w:tcPr/>
          <w:p>
            <w:pPr>
              <w:pStyle w:val="Compact"/>
            </w:pPr>
            <m:oMath>
              <m:sSub>
                <m:e>
                  <m:r>
                    <m:t>M</m:t>
                  </m:r>
                </m:e>
                <m:sub>
                  <m:r>
                    <m:t>g</m:t>
                  </m:r>
                </m:sub>
              </m:sSub>
            </m:oMath>
          </w:p>
        </w:tc>
      </w:tr>
      <w:tr>
        <w:tc>
          <w:tcPr/>
          <w:p>
            <w:pPr>
              <w:pStyle w:val="Compact"/>
            </w:pPr>
            <m:oMath>
              <m:sSub>
                <m:e>
                  <m:r>
                    <m:t>M</m:t>
                  </m:r>
                </m:e>
                <m:sub>
                  <m:r>
                    <m:t>g</m:t>
                  </m:r>
                </m:sub>
              </m:sSub>
            </m:oMath>
          </w:p>
        </w:tc>
        <w:tc>
          <w:tcPr/>
          <w:p>
            <w:pPr>
              <w:pStyle w:val="Compact"/>
            </w:pPr>
            <w:r>
              <w:t xml:space="preserve">Effective monument stock</w:t>
            </w:r>
          </w:p>
        </w:tc>
        <w:tc>
          <w:tcPr/>
          <w:p>
            <w:pPr>
              <w:pStyle w:val="Compact"/>
            </w:pPr>
            <w:r>
              <w:t xml:space="preserve">investment units</w:t>
            </w:r>
          </w:p>
        </w:tc>
        <w:tc>
          <w:tcPr/>
          <w:p>
            <w:pPr>
              <w:pStyle w:val="Compact"/>
            </w:pPr>
            <m:oMath>
              <m:sSub>
                <m:e>
                  <m:r>
                    <m:t>I</m:t>
                  </m:r>
                </m:e>
                <m:sub>
                  <m:r>
                    <m:t>g</m:t>
                  </m:r>
                </m:sub>
              </m:sSub>
              <m:r>
                <m:rPr>
                  <m:sty m:val="p"/>
                </m:rPr>
                <m:t>/</m:t>
              </m:r>
              <m:r>
                <m:t>δ</m:t>
              </m:r>
            </m:oMath>
            <w:r>
              <w:t xml:space="preserve"> </w:t>
            </w:r>
            <w:r>
              <w:t xml:space="preserve">at equilibrium</w:t>
            </w:r>
          </w:p>
        </w:tc>
        <w:tc>
          <w:tcPr/>
          <w:p>
            <w:pPr>
              <w:pStyle w:val="Compact"/>
            </w:pPr>
            <m:oMath>
              <m:r>
                <m:t>k</m:t>
              </m:r>
              <m:r>
                <m:rPr>
                  <m:sty m:val="p"/>
                </m:rPr>
                <m:t>(</m:t>
              </m:r>
              <m:sSub>
                <m:e>
                  <m:r>
                    <m:t>M</m:t>
                  </m:r>
                </m:e>
                <m:sub>
                  <m:r>
                    <m:t>g</m:t>
                  </m:r>
                </m:sub>
              </m:sSub>
              <m:r>
                <m:rPr>
                  <m:sty m:val="p"/>
                </m:rPr>
                <m:t>)</m:t>
              </m:r>
            </m:oMath>
          </w:p>
        </w:tc>
      </w:tr>
      <w:tr>
        <w:tc>
          <w:tcPr/>
          <w:p>
            <w:pPr>
              <w:pStyle w:val="Compact"/>
            </w:pPr>
            <m:oMath>
              <m:sSub>
                <m:e>
                  <m:r>
                    <m:t>M</m:t>
                  </m:r>
                </m:e>
                <m:sub>
                  <m:r>
                    <m:t>h</m:t>
                  </m:r>
                  <m:r>
                    <m:t>a</m:t>
                  </m:r>
                  <m:r>
                    <m:t>l</m:t>
                  </m:r>
                  <m:r>
                    <m:t>f</m:t>
                  </m:r>
                </m:sub>
              </m:sSub>
            </m:oMath>
          </w:p>
        </w:tc>
        <w:tc>
          <w:tcPr/>
          <w:p>
            <w:pPr>
              <w:pStyle w:val="Compact"/>
            </w:pPr>
            <w:r>
              <w:t xml:space="preserve">Half-saturation monument stock</w:t>
            </w:r>
          </w:p>
        </w:tc>
        <w:tc>
          <w:tcPr/>
          <w:p>
            <w:pPr>
              <w:pStyle w:val="Compact"/>
            </w:pPr>
            <w:r>
              <w:t xml:space="preserve">investment units</w:t>
            </w:r>
          </w:p>
        </w:tc>
        <w:tc>
          <w:tcPr/>
          <w:p>
            <w:pPr>
              <w:pStyle w:val="Compact"/>
            </w:pPr>
            <w:r>
              <w:t xml:space="preserve">2.5</w:t>
            </w:r>
          </w:p>
        </w:tc>
        <w:tc>
          <w:tcPr/>
          <w:p>
            <w:pPr>
              <w:pStyle w:val="Compact"/>
            </w:pPr>
            <m:oMath>
              <m:r>
                <m:t>k</m:t>
              </m:r>
              <m:r>
                <m:rPr>
                  <m:sty m:val="p"/>
                </m:rPr>
                <m:t>(</m:t>
              </m:r>
              <m:sSub>
                <m:e>
                  <m:r>
                    <m:t>M</m:t>
                  </m:r>
                </m:e>
                <m:sub>
                  <m:r>
                    <m:t>g</m:t>
                  </m:r>
                </m:sub>
              </m:sSub>
              <m:r>
                <m:rPr>
                  <m:sty m:val="p"/>
                </m:rPr>
                <m:t>)</m:t>
              </m:r>
            </m:oMath>
          </w:p>
        </w:tc>
      </w:tr>
      <w:tr>
        <w:tc>
          <w:tcPr/>
          <w:p>
            <w:pPr>
              <w:pStyle w:val="Compact"/>
            </w:pPr>
            <m:oMath>
              <m:sSub>
                <m:e>
                  <m:r>
                    <m:t>I</m:t>
                  </m:r>
                </m:e>
                <m:sub>
                  <m:r>
                    <m:t>g</m:t>
                  </m:r>
                </m:sub>
              </m:sSub>
            </m:oMath>
          </w:p>
        </w:tc>
        <w:tc>
          <w:tcPr/>
          <w:p>
            <w:pPr>
              <w:pStyle w:val="Compact"/>
            </w:pPr>
            <w:r>
              <w:t xml:space="preserve">Per-year monument investment flow</w:t>
            </w:r>
          </w:p>
        </w:tc>
        <w:tc>
          <w:tcPr/>
          <w:p>
            <w:pPr>
              <w:pStyle w:val="Compact"/>
            </w:pPr>
            <w:r>
              <w:t xml:space="preserve">investment units / yr</w:t>
            </w:r>
          </w:p>
        </w:tc>
        <w:tc>
          <w:tcPr/>
          <w:p>
            <w:pPr>
              <w:pStyle w:val="Compact"/>
            </w:pPr>
            <m:oMath>
              <m:nary>
                <m:naryPr>
                  <m:chr m:val="∑"/>
                  <m:limLoc m:val="undOvr"/>
                  <m:subHide m:val="off"/>
                  <m:supHide m:val="on"/>
                </m:naryPr>
                <m:sub>
                  <m:r>
                    <m:t>i</m:t>
                  </m:r>
                </m:sub>
                <m:sup>
                  <m:r>
                    <m:t>​</m:t>
                  </m:r>
                </m:sup>
                <m:e>
                  <m:sSub>
                    <m:e>
                      <m:r>
                        <m:rPr>
                          <m:nor/>
                          <m:sty m:val="p"/>
                        </m:rPr>
                        <m:t>invest</m:t>
                      </m:r>
                    </m:e>
                    <m:sub>
                      <m:r>
                        <m:t>i</m:t>
                      </m:r>
                      <m:r>
                        <m:rPr>
                          <m:sty m:val="p"/>
                        </m:rPr>
                        <m:t>,</m:t>
                      </m:r>
                      <m:r>
                        <m:t>t</m:t>
                      </m:r>
                    </m:sub>
                  </m:sSub>
                </m:e>
              </m:nary>
            </m:oMath>
            <w:r>
              <w:t xml:space="preserve"> </w:t>
            </w:r>
            <w:r>
              <w:t xml:space="preserve">(summed over bands in year</w:t>
            </w:r>
            <w:r>
              <w:t xml:space="preserve"> </w:t>
            </w:r>
            <m:oMath>
              <m:r>
                <m:t>t</m:t>
              </m:r>
            </m:oMath>
            <w:r>
              <w:t xml:space="preserve">)</w:t>
            </w:r>
          </w:p>
        </w:tc>
        <w:tc>
          <w:tcPr/>
          <w:p>
            <w:pPr>
              <w:pStyle w:val="Compact"/>
            </w:pPr>
            <m:oMath>
              <m:sSub>
                <m:e>
                  <m:r>
                    <m:t>M</m:t>
                  </m:r>
                </m:e>
                <m:sub>
                  <m:r>
                    <m:t>g</m:t>
                  </m:r>
                </m:sub>
              </m:sSub>
            </m:oMath>
          </w:p>
        </w:tc>
      </w:tr>
      <w:tr>
        <w:tc>
          <w:tcPr/>
          <w:p>
            <w:pPr>
              <w:pStyle w:val="Compact"/>
            </w:pPr>
            <m:oMath>
              <m:r>
                <m:t>λ</m:t>
              </m:r>
            </m:oMath>
          </w:p>
        </w:tc>
        <w:tc>
          <w:tcPr/>
          <w:p>
            <w:pPr>
              <w:pStyle w:val="Compact"/>
            </w:pPr>
            <w:r>
              <w:t xml:space="preserve">Total signaling incentive</w:t>
            </w:r>
          </w:p>
        </w:tc>
        <w:tc>
          <w:tcPr/>
          <w:p>
            <w:pPr>
              <w:pStyle w:val="Compact"/>
            </w:pPr>
            <w:r>
              <w:t xml:space="preserve">dimensionless</w:t>
            </w:r>
          </w:p>
        </w:tc>
        <w:tc>
          <w:tcPr/>
          <w:p>
            <w:pPr>
              <w:pStyle w:val="Compact"/>
            </w:pPr>
            <m:oMath>
              <m:sSub>
                <m:e>
                  <m:r>
                    <m:t>λ</m:t>
                  </m:r>
                </m:e>
                <m:sub>
                  <m:r>
                    <m:t>W</m:t>
                  </m:r>
                </m:sub>
              </m:sSub>
              <m:r>
                <m:rPr>
                  <m:sty m:val="p"/>
                </m:rPr>
                <m:t>+</m:t>
              </m:r>
              <m:sSub>
                <m:e>
                  <m:r>
                    <m:t>λ</m:t>
                  </m:r>
                </m:e>
                <m:sub>
                  <m:r>
                    <m:t>C</m:t>
                  </m:r>
                </m:sub>
              </m:sSub>
              <m:r>
                <m:rPr>
                  <m:sty m:val="p"/>
                </m:rPr>
                <m:t>+</m:t>
              </m:r>
              <m:sSub>
                <m:e>
                  <m:r>
                    <m:t>λ</m:t>
                  </m:r>
                </m:e>
                <m:sub>
                  <m:r>
                    <m:t>X</m:t>
                  </m:r>
                </m:sub>
              </m:sSub>
            </m:oMath>
          </w:p>
        </w:tc>
        <w:tc>
          <w:tcPr/>
          <w:p>
            <w:pPr>
              <w:pStyle w:val="Compact"/>
            </w:pPr>
            <m:oMath>
              <m:r>
                <m:t>B</m:t>
              </m:r>
              <m:r>
                <m:rPr>
                  <m:sty m:val="p"/>
                </m:rPr>
                <m:t>(</m:t>
              </m:r>
              <m:r>
                <m:t>λ</m:t>
              </m:r>
              <m:r>
                <m:rPr>
                  <m:sty m:val="p"/>
                </m:rPr>
                <m:t>)</m:t>
              </m:r>
            </m:oMath>
            <w:r>
              <w:t xml:space="preserve">,</w:t>
            </w:r>
            <w:r>
              <w:t xml:space="preserve"> </w:t>
            </w:r>
            <m:oMath>
              <m:sSup>
                <m:e>
                  <m:r>
                    <m:t>x</m:t>
                  </m:r>
                </m:e>
                <m:sup>
                  <m:r>
                    <m:rPr>
                      <m:sty m:val="p"/>
                    </m:rPr>
                    <m:t>*</m:t>
                  </m:r>
                </m:sup>
              </m:sSup>
            </m:oMath>
          </w:p>
        </w:tc>
      </w:tr>
      <w:tr>
        <w:tc>
          <w:tcPr/>
          <w:p>
            <w:pPr>
              <w:pStyle w:val="Compact"/>
            </w:pPr>
            <m:oMath>
              <m:sSub>
                <m:e>
                  <m:r>
                    <m:t>λ</m:t>
                  </m:r>
                </m:e>
                <m:sub>
                  <m:r>
                    <m:t>W</m:t>
                  </m:r>
                </m:sub>
              </m:sSub>
            </m:oMath>
          </w:p>
        </w:tc>
        <w:tc>
          <w:tcPr/>
          <w:p>
            <w:pPr>
              <w:pStyle w:val="Compact"/>
            </w:pPr>
            <w:r>
              <w:t xml:space="preserve">Within-group reward</w:t>
            </w:r>
          </w:p>
        </w:tc>
        <w:tc>
          <w:tcPr/>
          <w:p>
            <w:pPr>
              <w:pStyle w:val="Compact"/>
            </w:pPr>
            <w:r>
              <w:t xml:space="preserve">dimensionless</w:t>
            </w:r>
          </w:p>
        </w:tc>
        <w:tc>
          <w:tcPr/>
          <w:p>
            <w:pPr>
              <w:pStyle w:val="Compact"/>
            </w:pPr>
            <w:r>
              <w:t xml:space="preserve">0.15 (asserted)</w:t>
            </w:r>
          </w:p>
        </w:tc>
        <w:tc>
          <w:tcPr/>
          <w:p>
            <w:pPr>
              <w:pStyle w:val="Compact"/>
            </w:pPr>
            <m:oMath>
              <m:r>
                <m:t>λ</m:t>
              </m:r>
            </m:oMath>
          </w:p>
        </w:tc>
      </w:tr>
      <w:tr>
        <w:tc>
          <w:tcPr/>
          <w:p>
            <w:pPr>
              <w:pStyle w:val="Compact"/>
            </w:pPr>
            <m:oMath>
              <m:sSub>
                <m:e>
                  <m:r>
                    <m:t>λ</m:t>
                  </m:r>
                </m:e>
                <m:sub>
                  <m:r>
                    <m:t>C</m:t>
                  </m:r>
                </m:sub>
              </m:sSub>
            </m:oMath>
          </w:p>
        </w:tc>
        <w:tc>
          <w:tcPr/>
          <w:p>
            <w:pPr>
              <w:pStyle w:val="Compact"/>
            </w:pPr>
            <w:r>
              <w:t xml:space="preserve">Conflict-deterrence value</w:t>
            </w:r>
          </w:p>
        </w:tc>
        <w:tc>
          <w:tcPr/>
          <w:p>
            <w:pPr>
              <w:pStyle w:val="Compact"/>
            </w:pPr>
            <w:r>
              <w:t xml:space="preserve">dimensionless</w:t>
            </w:r>
          </w:p>
        </w:tc>
        <w:tc>
          <w:tcPr/>
          <w:p>
            <w:pPr>
              <w:pStyle w:val="Compact"/>
            </w:pPr>
            <w:r>
              <w:t xml:space="preserve">endogenous (fixed-point)</w:t>
            </w:r>
          </w:p>
        </w:tc>
        <w:tc>
          <w:tcPr/>
          <w:p>
            <w:pPr>
              <w:pStyle w:val="Compact"/>
            </w:pPr>
            <m:oMath>
              <m:r>
                <m:t>λ</m:t>
              </m:r>
            </m:oMath>
          </w:p>
        </w:tc>
      </w:tr>
      <w:tr>
        <w:tc>
          <w:tcPr/>
          <w:p>
            <w:pPr>
              <w:pStyle w:val="Compact"/>
            </w:pPr>
            <m:oMath>
              <m:sSub>
                <m:e>
                  <m:r>
                    <m:t>λ</m:t>
                  </m:r>
                </m:e>
                <m:sub>
                  <m:r>
                    <m:t>X</m:t>
                  </m:r>
                </m:sub>
              </m:sSub>
            </m:oMath>
          </w:p>
        </w:tc>
        <w:tc>
          <w:tcPr/>
          <w:p>
            <w:pPr>
              <w:pStyle w:val="Compact"/>
            </w:pPr>
            <w:r>
              <w:t xml:space="preserve">Cooperation-network value</w:t>
            </w:r>
          </w:p>
        </w:tc>
        <w:tc>
          <w:tcPr/>
          <w:p>
            <w:pPr>
              <w:pStyle w:val="Compact"/>
            </w:pPr>
            <w:r>
              <w:t xml:space="preserve">dimensionless</w:t>
            </w:r>
          </w:p>
        </w:tc>
        <w:tc>
          <w:tcPr/>
          <w:p>
            <w:pPr>
              <w:pStyle w:val="Compact"/>
            </w:pPr>
            <w:r>
              <w:t xml:space="preserve">endogenous (fixed-point)</w:t>
            </w:r>
          </w:p>
        </w:tc>
        <w:tc>
          <w:tcPr/>
          <w:p>
            <w:pPr>
              <w:pStyle w:val="Compact"/>
            </w:pPr>
            <m:oMath>
              <m:r>
                <m:t>λ</m:t>
              </m:r>
            </m:oMath>
          </w:p>
        </w:tc>
      </w:tr>
      <w:tr>
        <w:tc>
          <w:tcPr/>
          <w:p>
            <w:pPr>
              <w:pStyle w:val="Compact"/>
            </w:pPr>
            <m:oMath>
              <m:r>
                <m:t>B</m:t>
              </m:r>
              <m:r>
                <m:rPr>
                  <m:sty m:val="p"/>
                </m:rPr>
                <m:t>(</m:t>
              </m:r>
              <m:r>
                <m:t>λ</m:t>
              </m:r>
              <m:r>
                <m:rPr>
                  <m:sty m:val="p"/>
                </m:rPr>
                <m:t>)</m:t>
              </m:r>
            </m:oMath>
          </w:p>
        </w:tc>
        <w:tc>
          <w:tcPr/>
          <w:p>
            <w:pPr>
              <w:pStyle w:val="Compact"/>
            </w:pPr>
            <w:r>
              <w:t xml:space="preserve">Signaling benefit (mean-field)</w:t>
            </w:r>
          </w:p>
        </w:tc>
        <w:tc>
          <w:tcPr/>
          <w:p>
            <w:pPr>
              <w:pStyle w:val="Compact"/>
            </w:pPr>
            <w:r>
              <w:t xml:space="preserve">fitness units</w:t>
            </w:r>
          </w:p>
        </w:tc>
        <w:tc>
          <w:tcPr/>
          <w:p>
            <w:pPr>
              <w:pStyle w:val="Compact"/>
            </w:pPr>
            <m:oMath>
              <m:r>
                <m:rPr>
                  <m:sty m:val="p"/>
                </m:rPr>
                <m:t>(</m:t>
              </m:r>
              <m:r>
                <m:t>λ</m:t>
              </m:r>
              <m:r>
                <m:rPr>
                  <m:sty m:val="p"/>
                </m:rPr>
                <m:t>/</m:t>
              </m:r>
              <m:r>
                <m:t>2</m:t>
              </m:r>
              <m:r>
                <m:rPr>
                  <m:sty m:val="p"/>
                </m:rPr>
                <m:t>)</m:t>
              </m:r>
              <m:r>
                <m:rPr>
                  <m:sty m:val="p"/>
                </m:rPr>
                <m:t>(</m:t>
              </m:r>
              <m:sSub>
                <m:e>
                  <m:r>
                    <m:t>q</m:t>
                  </m:r>
                </m:e>
                <m:sub>
                  <m:r>
                    <m:t>m</m:t>
                  </m:r>
                  <m:r>
                    <m:t>i</m:t>
                  </m:r>
                  <m:r>
                    <m:t>n</m:t>
                  </m:r>
                </m:sub>
              </m:sSub>
              <m:r>
                <m:rPr>
                  <m:sty m:val="p"/>
                </m:rPr>
                <m:t>+</m:t>
              </m:r>
              <m:sSub>
                <m:e>
                  <m:r>
                    <m:t>q</m:t>
                  </m:r>
                </m:e>
                <m:sub>
                  <m:r>
                    <m:t>m</m:t>
                  </m:r>
                  <m:r>
                    <m:t>a</m:t>
                  </m:r>
                  <m:r>
                    <m:t>x</m:t>
                  </m:r>
                </m:sub>
              </m:sSub>
              <m:r>
                <m:rPr>
                  <m:sty m:val="p"/>
                </m:rPr>
                <m:t>)</m:t>
              </m:r>
              <m:r>
                <m:rPr>
                  <m:sty m:val="p"/>
                </m:rPr>
                <m:t>/</m:t>
              </m:r>
              <m:r>
                <m:t>2</m:t>
              </m:r>
              <m:r>
                <m:rPr>
                  <m:sty m:val="p"/>
                </m:rPr>
                <m:t>+</m:t>
              </m:r>
              <m:r>
                <m:t>λ</m:t>
              </m:r>
              <m:sSubSup>
                <m:e>
                  <m:r>
                    <m:t>q</m:t>
                  </m:r>
                </m:e>
                <m:sub>
                  <m:r>
                    <m:t>m</m:t>
                  </m:r>
                  <m:r>
                    <m:t>i</m:t>
                  </m:r>
                  <m:r>
                    <m:t>n</m:t>
                  </m:r>
                </m:sub>
                <m:sup>
                  <m:r>
                    <m:t>2</m:t>
                  </m:r>
                </m:sup>
              </m:sSubSup>
              <m:r>
                <m:rPr>
                  <m:sty m:val="p"/>
                </m:rPr>
                <m:t>ln</m:t>
              </m:r>
              <m:r>
                <m:rPr>
                  <m:sty m:val="p"/>
                </m:rPr>
                <m:t>(</m:t>
              </m:r>
              <m:sSub>
                <m:e>
                  <m:r>
                    <m:t>q</m:t>
                  </m:r>
                </m:e>
                <m:sub>
                  <m:r>
                    <m:t>m</m:t>
                  </m:r>
                  <m:r>
                    <m:t>a</m:t>
                  </m:r>
                  <m:r>
                    <m:t>x</m:t>
                  </m:r>
                </m:sub>
              </m:sSub>
              <m:r>
                <m:rPr>
                  <m:sty m:val="p"/>
                </m:rPr>
                <m:t>/</m:t>
              </m:r>
              <m:sSub>
                <m:e>
                  <m:r>
                    <m:t>q</m:t>
                  </m:r>
                </m:e>
                <m:sub>
                  <m:r>
                    <m:t>m</m:t>
                  </m:r>
                  <m:r>
                    <m:t>i</m:t>
                  </m:r>
                  <m:r>
                    <m:t>n</m:t>
                  </m:r>
                </m:sub>
              </m:sSub>
              <m:r>
                <m:rPr>
                  <m:sty m:val="p"/>
                </m:rPr>
                <m:t>)</m:t>
              </m:r>
              <m:r>
                <m:rPr>
                  <m:sty m:val="p"/>
                </m:rPr>
                <m:t>/</m:t>
              </m:r>
              <m:r>
                <m:rPr>
                  <m:sty m:val="p"/>
                </m:rPr>
                <m:t>(</m:t>
              </m:r>
              <m:r>
                <m:t>2</m:t>
              </m:r>
              <m:r>
                <m:rPr>
                  <m:sty m:val="p"/>
                </m:rPr>
                <m:t>(</m:t>
              </m:r>
              <m:sSub>
                <m:e>
                  <m:r>
                    <m:t>q</m:t>
                  </m:r>
                </m:e>
                <m:sub>
                  <m:r>
                    <m:t>m</m:t>
                  </m:r>
                  <m:r>
                    <m:t>a</m:t>
                  </m:r>
                  <m:r>
                    <m:t>x</m:t>
                  </m:r>
                </m:sub>
              </m:sSub>
              <m:r>
                <m:rPr>
                  <m:sty m:val="p"/>
                </m:rPr>
                <m:t>−</m:t>
              </m:r>
              <m:sSub>
                <m:e>
                  <m:r>
                    <m:t>q</m:t>
                  </m:r>
                </m:e>
                <m:sub>
                  <m:r>
                    <m:t>m</m:t>
                  </m:r>
                  <m:r>
                    <m:t>i</m:t>
                  </m:r>
                  <m:r>
                    <m:t>n</m:t>
                  </m:r>
                </m:sub>
              </m:sSub>
              <m:r>
                <m:rPr>
                  <m:sty m:val="p"/>
                </m:rPr>
                <m:t>)</m:t>
              </m:r>
              <m:r>
                <m:rPr>
                  <m:sty m:val="p"/>
                </m:rPr>
                <m:t>)</m:t>
              </m:r>
            </m:oMath>
          </w:p>
        </w:tc>
        <w:tc>
          <w:tcPr/>
          <w:p>
            <w:pPr>
              <w:pStyle w:val="Compact"/>
            </w:pPr>
            <m:oMath>
              <m:sSub>
                <m:e>
                  <m:r>
                    <m:t>W</m:t>
                  </m:r>
                </m:e>
                <m:sub>
                  <m:r>
                    <m:t>a</m:t>
                  </m:r>
                  <m:r>
                    <m:t>g</m:t>
                  </m:r>
                  <m:r>
                    <m:t>g</m:t>
                  </m:r>
                </m:sub>
              </m:sSub>
            </m:oMath>
          </w:p>
        </w:tc>
      </w:tr>
      <w:tr>
        <w:tc>
          <w:tcPr/>
          <w:p>
            <w:pPr>
              <w:pStyle w:val="Compact"/>
            </w:pPr>
            <m:oMath>
              <m:sSup>
                <m:e>
                  <m:r>
                    <m:t>x</m:t>
                  </m:r>
                </m:e>
                <m:sup>
                  <m:r>
                    <m:rPr>
                      <m:sty m:val="p"/>
                    </m:rPr>
                    <m:t>*</m:t>
                  </m:r>
                </m:sup>
              </m:sSup>
              <m:r>
                <m:rPr>
                  <m:sty m:val="p"/>
                </m:rPr>
                <m:t>(</m:t>
              </m:r>
              <m:r>
                <m:t>q</m:t>
              </m:r>
              <m:r>
                <m:rPr>
                  <m:sty m:val="p"/>
                </m:rPr>
                <m:t>)</m:t>
              </m:r>
            </m:oMath>
          </w:p>
        </w:tc>
        <w:tc>
          <w:tcPr/>
          <w:p>
            <w:pPr>
              <w:pStyle w:val="Compact"/>
            </w:pPr>
            <w:r>
              <w:t xml:space="preserve">Optimal investment given quality</w:t>
            </w:r>
          </w:p>
        </w:tc>
        <w:tc>
          <w:tcPr/>
          <w:p>
            <w:pPr>
              <w:pStyle w:val="Compact"/>
            </w:pPr>
            <w:r>
              <w:t xml:space="preserve">investment units</w:t>
            </w:r>
          </w:p>
        </w:tc>
        <w:tc>
          <w:tcPr/>
          <w:p>
            <w:pPr>
              <w:pStyle w:val="Compact"/>
            </w:pPr>
            <m:oMath>
              <m:r>
                <m:rPr>
                  <m:sty m:val="p"/>
                </m:rPr>
                <m:t>arg</m:t>
              </m:r>
              <m:sSub>
                <m:e>
                  <m:r>
                    <m:rPr>
                      <m:sty m:val="p"/>
                    </m:rPr>
                    <m:t>max</m:t>
                  </m:r>
                </m:e>
                <m:sub>
                  <m:r>
                    <m:t>x</m:t>
                  </m:r>
                </m:sub>
              </m:sSub>
              <m:r>
                <m:rPr>
                  <m:sty m:val="p"/>
                </m:rPr>
                <m:t>[</m:t>
              </m:r>
              <m:r>
                <m:t>B</m:t>
              </m:r>
              <m:r>
                <m:rPr>
                  <m:sty m:val="p"/>
                </m:rPr>
                <m:t>(</m:t>
              </m:r>
              <m:r>
                <m:t>λ</m:t>
              </m:r>
              <m:r>
                <m:rPr>
                  <m:sty m:val="p"/>
                </m:rPr>
                <m:t>;</m:t>
              </m:r>
              <m:r>
                <m:t>q</m:t>
              </m:r>
              <m:r>
                <m:rPr>
                  <m:sty m:val="p"/>
                </m:rPr>
                <m:t>)</m:t>
              </m:r>
              <m:r>
                <m:rPr>
                  <m:sty m:val="p"/>
                </m:rPr>
                <m:t>−</m:t>
              </m:r>
              <m:r>
                <m:t>C</m:t>
              </m:r>
              <m:r>
                <m:rPr>
                  <m:sty m:val="p"/>
                </m:rPr>
                <m:t>(</m:t>
              </m:r>
              <m:r>
                <m:t>x</m:t>
              </m:r>
              <m:r>
                <m:rPr>
                  <m:sty m:val="p"/>
                </m:rPr>
                <m:t>)</m:t>
              </m:r>
              <m:r>
                <m:rPr>
                  <m:sty m:val="p"/>
                </m:rPr>
                <m:t>]</m:t>
              </m:r>
            </m:oMath>
            <w:r>
              <w:t xml:space="preserve"> </w:t>
            </w:r>
            <w:r>
              <w:t xml:space="preserve">(Grafen 1990)</w:t>
            </w:r>
          </w:p>
        </w:tc>
        <w:tc>
          <w:tcPr/>
          <w:p>
            <w:pPr>
              <w:pStyle w:val="Compact"/>
            </w:pPr>
            <w:r>
              <w:t xml:space="preserve">feedback loop</w:t>
            </w:r>
          </w:p>
        </w:tc>
      </w:tr>
      <w:tr>
        <w:tc>
          <w:tcPr/>
          <w:p>
            <w:pPr>
              <w:pStyle w:val="Compact"/>
            </w:pPr>
            <m:oMath>
              <m:r>
                <m:t>q</m:t>
              </m:r>
            </m:oMath>
          </w:p>
        </w:tc>
        <w:tc>
          <w:tcPr/>
          <w:p>
            <w:pPr>
              <w:pStyle w:val="Compact"/>
            </w:pPr>
            <w:r>
              <w:t xml:space="preserve">Band productive quality</w:t>
            </w:r>
          </w:p>
        </w:tc>
        <w:tc>
          <w:tcPr/>
          <w:p>
            <w:pPr>
              <w:pStyle w:val="Compact"/>
            </w:pPr>
            <w:r>
              <w:t xml:space="preserve">dimensionless</w:t>
            </w:r>
          </w:p>
        </w:tc>
        <w:tc>
          <w:tcPr/>
          <w:p>
            <w:pPr>
              <w:pStyle w:val="Compact"/>
            </w:pPr>
            <m:oMath>
              <m:r>
                <m:t>q</m:t>
              </m:r>
              <m:r>
                <m:rPr>
                  <m:sty m:val="p"/>
                </m:rPr>
                <m:t>∼</m:t>
              </m:r>
              <m:r>
                <m:t>U</m:t>
              </m:r>
              <m:r>
                <m:rPr>
                  <m:sty m:val="p"/>
                </m:rPr>
                <m:t>[</m:t>
              </m:r>
              <m:sSub>
                <m:e>
                  <m:r>
                    <m:t>q</m:t>
                  </m:r>
                </m:e>
                <m:sub>
                  <m:r>
                    <m:t>m</m:t>
                  </m:r>
                  <m:r>
                    <m:t>i</m:t>
                  </m:r>
                  <m:r>
                    <m:t>n</m:t>
                  </m:r>
                </m:sub>
              </m:sSub>
              <m:r>
                <m:rPr>
                  <m:sty m:val="p"/>
                </m:rPr>
                <m:t>,</m:t>
              </m:r>
              <m:sSub>
                <m:e>
                  <m:r>
                    <m:t>q</m:t>
                  </m:r>
                </m:e>
                <m:sub>
                  <m:r>
                    <m:t>m</m:t>
                  </m:r>
                  <m:r>
                    <m:t>a</m:t>
                  </m:r>
                  <m:r>
                    <m:t>x</m:t>
                  </m:r>
                </m:sub>
              </m:sSub>
              <m:r>
                <m:rPr>
                  <m:sty m:val="p"/>
                </m:rPr>
                <m:t>]</m:t>
              </m:r>
            </m:oMath>
          </w:p>
        </w:tc>
        <w:tc>
          <w:tcPr/>
          <w:p>
            <w:pPr>
              <w:pStyle w:val="Compact"/>
            </w:pPr>
            <m:oMath>
              <m:r>
                <m:t>B</m:t>
              </m:r>
              <m:r>
                <m:rPr>
                  <m:sty m:val="p"/>
                </m:rPr>
                <m:t>(</m:t>
              </m:r>
              <m:r>
                <m:t>λ</m:t>
              </m:r>
              <m:r>
                <m:rPr>
                  <m:sty m:val="p"/>
                </m:rPr>
                <m:t>)</m:t>
              </m:r>
            </m:oMath>
          </w:p>
        </w:tc>
      </w:tr>
      <w:tr>
        <w:tc>
          <w:tcPr/>
          <w:p>
            <w:pPr>
              <w:pStyle w:val="Compact"/>
            </w:pPr>
            <m:oMath>
              <m:sSub>
                <m:e>
                  <m:r>
                    <m:t>q</m:t>
                  </m:r>
                </m:e>
                <m:sub>
                  <m:r>
                    <m:t>m</m:t>
                  </m:r>
                  <m:r>
                    <m:t>i</m:t>
                  </m:r>
                  <m:r>
                    <m:t>n</m:t>
                  </m:r>
                </m:sub>
              </m:sSub>
              <m:r>
                <m:rPr>
                  <m:sty m:val="p"/>
                </m:rPr>
                <m:t>,</m:t>
              </m:r>
              <m:sSub>
                <m:e>
                  <m:r>
                    <m:t>q</m:t>
                  </m:r>
                </m:e>
                <m:sub>
                  <m:r>
                    <m:t>m</m:t>
                  </m:r>
                  <m:r>
                    <m:t>a</m:t>
                  </m:r>
                  <m:r>
                    <m:t>x</m:t>
                  </m:r>
                </m:sub>
              </m:sSub>
            </m:oMath>
          </w:p>
        </w:tc>
        <w:tc>
          <w:tcPr/>
          <w:p>
            <w:pPr>
              <w:pStyle w:val="Compact"/>
            </w:pPr>
            <w:r>
              <w:t xml:space="preserve">Quality range</w:t>
            </w:r>
          </w:p>
        </w:tc>
        <w:tc>
          <w:tcPr/>
          <w:p>
            <w:pPr>
              <w:pStyle w:val="Compact"/>
            </w:pPr>
            <w:r>
              <w:t xml:space="preserve">dimensionless</w:t>
            </w:r>
          </w:p>
        </w:tc>
        <w:tc>
          <w:tcPr/>
          <w:p>
            <w:pPr>
              <w:pStyle w:val="Compact"/>
            </w:pPr>
            <w:r>
              <w:t xml:space="preserve">0.2, 2.0</w:t>
            </w:r>
          </w:p>
        </w:tc>
        <w:tc>
          <w:tcPr/>
          <w:p>
            <w:pPr>
              <w:pStyle w:val="Compact"/>
            </w:pPr>
            <w:r>
              <w:t xml:space="preserve">quality dist</w:t>
            </w:r>
          </w:p>
        </w:tc>
      </w:tr>
      <w:tr>
        <w:tc>
          <w:tcPr/>
          <w:p>
            <w:pPr>
              <w:pStyle w:val="Compact"/>
            </w:pPr>
            <m:oMath>
              <m:sSub>
                <m:e>
                  <m:r>
                    <m:t>μ</m:t>
                  </m:r>
                </m:e>
                <m:sub>
                  <m:r>
                    <m:t>c</m:t>
                  </m:r>
                </m:sub>
              </m:sSub>
            </m:oMath>
          </w:p>
        </w:tc>
        <w:tc>
          <w:tcPr/>
          <w:p>
            <w:pPr>
              <w:pStyle w:val="Compact"/>
            </w:pPr>
            <w:r>
              <w:t xml:space="preserve">Conflict mortality fraction</w:t>
            </w:r>
          </w:p>
        </w:tc>
        <w:tc>
          <w:tcPr/>
          <w:p>
            <w:pPr>
              <w:pStyle w:val="Compact"/>
            </w:pPr>
            <m:oMath>
              <m:r>
                <m:rPr>
                  <m:sty m:val="p"/>
                </m:rPr>
                <m:t>[</m:t>
              </m:r>
              <m:r>
                <m:t>0</m:t>
              </m:r>
              <m:r>
                <m:rPr>
                  <m:sty m:val="p"/>
                </m:rPr>
                <m:t>,</m:t>
              </m:r>
              <m:r>
                <m:t>1</m:t>
              </m:r>
              <m:r>
                <m:rPr>
                  <m:sty m:val="p"/>
                </m:rPr>
                <m:t>]</m:t>
              </m:r>
            </m:oMath>
          </w:p>
        </w:tc>
        <w:tc>
          <w:tcPr/>
          <w:p>
            <w:pPr>
              <w:pStyle w:val="Compact"/>
            </w:pPr>
            <w:r>
              <w:t xml:space="preserve">0.08</w:t>
            </w:r>
          </w:p>
        </w:tc>
        <w:tc>
          <w:tcPr/>
          <w:p>
            <w:pPr>
              <w:pStyle w:val="Compact"/>
            </w:pPr>
            <m:oMath>
              <m:r>
                <m:t>W</m:t>
              </m:r>
            </m:oMath>
          </w:p>
        </w:tc>
      </w:tr>
      <w:tr>
        <w:tc>
          <w:tcPr/>
          <w:p>
            <w:pPr>
              <w:pStyle w:val="Compact"/>
            </w:pPr>
            <m:oMath>
              <m:r>
                <m:t>r</m:t>
              </m:r>
            </m:oMath>
          </w:p>
        </w:tc>
        <w:tc>
          <w:tcPr/>
          <w:p>
            <w:pPr>
              <w:pStyle w:val="Compact"/>
            </w:pPr>
            <w:r>
              <w:t xml:space="preserve">Conflict reduction from monuments</w:t>
            </w:r>
          </w:p>
        </w:tc>
        <w:tc>
          <w:tcPr/>
          <w:p>
            <w:pPr>
              <w:pStyle w:val="Compact"/>
            </w:pPr>
            <m:oMath>
              <m:r>
                <m:rPr>
                  <m:sty m:val="p"/>
                </m:rPr>
                <m:t>[</m:t>
              </m:r>
              <m:r>
                <m:t>0</m:t>
              </m:r>
              <m:r>
                <m:rPr>
                  <m:sty m:val="p"/>
                </m:rPr>
                <m:t>,</m:t>
              </m:r>
              <m:r>
                <m:t>1</m:t>
              </m:r>
              <m:r>
                <m:rPr>
                  <m:sty m:val="p"/>
                </m:rPr>
                <m:t>]</m:t>
              </m:r>
            </m:oMath>
          </w:p>
        </w:tc>
        <w:tc>
          <w:tcPr/>
          <w:p>
            <w:pPr>
              <w:pStyle w:val="Compact"/>
            </w:pPr>
            <w:r>
              <w:t xml:space="preserve">endogenous (saturating in</w:t>
            </w:r>
            <w:r>
              <w:t xml:space="preserve"> </w:t>
            </w:r>
            <m:oMath>
              <m:sSub>
                <m:e>
                  <m:r>
                    <m:t>M</m:t>
                  </m:r>
                </m:e>
                <m:sub>
                  <m:r>
                    <m:t>g</m:t>
                  </m:r>
                </m:sub>
              </m:sSub>
            </m:oMath>
            <w:r>
              <w:t xml:space="preserve">)</w:t>
            </w:r>
          </w:p>
        </w:tc>
        <w:tc>
          <w:tcPr/>
          <w:p>
            <w:pPr>
              <w:pStyle w:val="Compact"/>
            </w:pPr>
            <m:oMath>
              <m:r>
                <m:t>W</m:t>
              </m:r>
            </m:oMath>
          </w:p>
        </w:tc>
      </w:tr>
      <w:tr>
        <w:tc>
          <w:tcPr/>
          <w:p>
            <w:pPr>
              <w:pStyle w:val="Compact"/>
            </w:pPr>
            <m:oMath>
              <m:sSub>
                <m:e>
                  <m:r>
                    <m:t>P</m:t>
                  </m:r>
                </m:e>
                <m:sub>
                  <m:r>
                    <m:t>b</m:t>
                  </m:r>
                  <m:r>
                    <m:t>a</m:t>
                  </m:r>
                  <m:r>
                    <m:t>s</m:t>
                  </m:r>
                  <m:r>
                    <m:t>e</m:t>
                  </m:r>
                </m:sub>
              </m:sSub>
            </m:oMath>
          </w:p>
        </w:tc>
        <w:tc>
          <w:tcPr/>
          <w:p>
            <w:pPr>
              <w:pStyle w:val="Compact"/>
            </w:pPr>
            <w:r>
              <w:t xml:space="preserve">Baseline annual conflict probability</w:t>
            </w:r>
          </w:p>
        </w:tc>
        <w:tc>
          <w:tcPr/>
          <w:p>
            <w:pPr>
              <w:pStyle w:val="Compact"/>
            </w:pPr>
            <m:oMath>
              <m:r>
                <m:rPr>
                  <m:sty m:val="p"/>
                </m:rPr>
                <m:t>[</m:t>
              </m:r>
              <m:r>
                <m:t>0</m:t>
              </m:r>
              <m:r>
                <m:rPr>
                  <m:sty m:val="p"/>
                </m:rPr>
                <m:t>,</m:t>
              </m:r>
              <m:r>
                <m:t>1</m:t>
              </m:r>
              <m:r>
                <m:rPr>
                  <m:sty m:val="p"/>
                </m:rPr>
                <m:t>]</m:t>
              </m:r>
            </m:oMath>
          </w:p>
        </w:tc>
        <w:tc>
          <w:tcPr/>
          <w:p>
            <w:pPr>
              <w:pStyle w:val="Compact"/>
            </w:pPr>
            <w:r>
              <w:t xml:space="preserve">0.008</w:t>
            </w:r>
          </w:p>
        </w:tc>
        <w:tc>
          <w:tcPr/>
          <w:p>
            <w:pPr>
              <w:pStyle w:val="Compact"/>
            </w:pPr>
            <m:oMath>
              <m:r>
                <m:t>W</m:t>
              </m:r>
            </m:oMath>
          </w:p>
        </w:tc>
      </w:tr>
      <w:tr>
        <w:tc>
          <w:tcPr/>
          <w:p>
            <w:pPr>
              <w:pStyle w:val="Compact"/>
            </w:pPr>
            <m:oMath>
              <m:r>
                <m:t>T</m:t>
              </m:r>
            </m:oMath>
          </w:p>
        </w:tc>
        <w:tc>
          <w:tcPr/>
          <w:p>
            <w:pPr>
              <w:pStyle w:val="Compact"/>
            </w:pPr>
            <w:r>
              <w:t xml:space="preserve">Shortfall recurrence interval</w:t>
            </w:r>
          </w:p>
        </w:tc>
        <w:tc>
          <w:tcPr/>
          <w:p>
            <w:pPr>
              <w:pStyle w:val="Compact"/>
            </w:pPr>
            <w:r>
              <w:t xml:space="preserve">years</w:t>
            </w:r>
          </w:p>
        </w:tc>
        <w:tc>
          <w:tcPr/>
          <w:p>
            <w:pPr>
              <w:pStyle w:val="Compact"/>
            </w:pPr>
            <w:r>
              <w:t xml:space="preserve">6-18 (case-dependent)</w:t>
            </w:r>
          </w:p>
        </w:tc>
        <w:tc>
          <w:tcPr/>
          <w:p>
            <w:pPr>
              <w:pStyle w:val="Compact"/>
            </w:pPr>
            <m:oMath>
              <m:r>
                <m:t>σ</m:t>
              </m:r>
            </m:oMath>
          </w:p>
        </w:tc>
      </w:tr>
    </w:tbl>
    <w:bookmarkEnd w:id="16"/>
    <w:bookmarkStart w:id="17" w:name="cost-parameters"/>
    <w:p>
      <w:pPr>
        <w:pStyle w:val="Heading3"/>
      </w:pPr>
      <w:r>
        <w:t xml:space="preserve">Cost parameters</w:t>
      </w:r>
    </w:p>
    <w:p>
      <w:pPr>
        <w:pStyle w:val="FirstParagraph"/>
      </w:pPr>
      <w:r>
        <w:rPr>
          <w:b/>
          <w:bCs/>
        </w:rPr>
        <w:t xml:space="preserve">Travel.</w:t>
      </w:r>
      <w:r>
        <w:t xml:space="preserve"> </w:t>
      </w:r>
      <m:oMath>
        <m:sSub>
          <m:e>
            <m:r>
              <m:t>C</m:t>
            </m:r>
          </m:e>
          <m:sub>
            <m:r>
              <m:t>t</m:t>
            </m:r>
            <m:r>
              <m:t>r</m:t>
            </m:r>
            <m:r>
              <m:t>a</m:t>
            </m:r>
            <m:r>
              <m:t>v</m:t>
            </m:r>
            <m:r>
              <m:t>e</m:t>
            </m:r>
            <m:r>
              <m:t>l</m:t>
            </m:r>
          </m:sub>
        </m:sSub>
        <m:r>
          <m:rPr>
            <m:sty m:val="p"/>
          </m:rPr>
          <m:t>=</m:t>
        </m:r>
        <m:r>
          <m:t>0.0004</m:t>
        </m:r>
        <m:r>
          <m:t>d</m:t>
        </m:r>
      </m:oMath>
      <w:r>
        <w:t xml:space="preserve">, where</w:t>
      </w:r>
      <w:r>
        <w:t xml:space="preserve"> </w:t>
      </w:r>
      <m:oMath>
        <m:r>
          <m:t>d</m:t>
        </m:r>
      </m:oMath>
      <w:r>
        <w:t xml:space="preserve"> </w:t>
      </w:r>
      <w:r>
        <w:t xml:space="preserve">is one-way distance in km. For a band 100 km from the aggregation site, this is 4% of resources. Ethnographic studies of hunter-gatherer mobility suggest that long-distance travel consumes 10-15% of available foraging time and energy (Kelly 2013). We adopt the upper end of this range for modeling extended seasonal moves with a full kit and partial dependents.</w:t>
      </w:r>
    </w:p>
    <w:p>
      <w:pPr>
        <w:pStyle w:val="BodyText"/>
      </w:pPr>
      <w:r>
        <w:rPr>
          <w:b/>
          <w:bCs/>
        </w:rPr>
        <w:t xml:space="preserve">Signaling.</w:t>
      </w:r>
      <w:r>
        <w:t xml:space="preserve"> </w:t>
      </w:r>
      <m:oMath>
        <m:sSub>
          <m:e>
            <m:r>
              <m:t>C</m:t>
            </m:r>
          </m:e>
          <m:sub>
            <m:r>
              <m:t>s</m:t>
            </m:r>
            <m:r>
              <m:t>i</m:t>
            </m:r>
            <m:r>
              <m:t>g</m:t>
            </m:r>
            <m:r>
              <m:t>n</m:t>
            </m:r>
            <m:r>
              <m:t>a</m:t>
            </m:r>
            <m:r>
              <m:t>l</m:t>
            </m:r>
          </m:sub>
        </m:sSub>
        <m:r>
          <m:rPr>
            <m:sty m:val="p"/>
          </m:rPr>
          <m:t>≈</m:t>
        </m:r>
        <m:r>
          <m:t>0.18</m:t>
        </m:r>
      </m:oMath>
      <w:r>
        <w:t xml:space="preserve">. Archaeological labor estimates of ~1-5 million person-hours over 500 years (Sherwood and Kidder 2011) distribute across participating bands and aggregation seasons to roughly 15-20% of available labor during aggregation seasons.</w:t>
      </w:r>
    </w:p>
    <w:p>
      <w:pPr>
        <w:pStyle w:val="BodyText"/>
      </w:pPr>
      <w:r>
        <w:rPr>
          <w:b/>
          <w:bCs/>
        </w:rPr>
        <w:t xml:space="preserve">Opportunity.</w:t>
      </w:r>
      <w:r>
        <w:t xml:space="preserve"> </w:t>
      </w:r>
      <m:oMath>
        <m:sSub>
          <m:e>
            <m:r>
              <m:t>C</m:t>
            </m:r>
          </m:e>
          <m:sub>
            <m:r>
              <m:t>o</m:t>
            </m:r>
            <m:r>
              <m:t>p</m:t>
            </m:r>
            <m:r>
              <m:t>p</m:t>
            </m:r>
            <m:r>
              <m:t>o</m:t>
            </m:r>
            <m:r>
              <m:t>r</m:t>
            </m:r>
            <m:r>
              <m:t>t</m:t>
            </m:r>
            <m:r>
              <m:t>u</m:t>
            </m:r>
            <m:r>
              <m:t>n</m:t>
            </m:r>
            <m:r>
              <m:t>i</m:t>
            </m:r>
            <m:r>
              <m:t>t</m:t>
            </m:r>
            <m:r>
              <m:t>y</m:t>
            </m:r>
          </m:sub>
        </m:sSub>
        <m:r>
          <m:rPr>
            <m:sty m:val="p"/>
          </m:rPr>
          <m:t>≈</m:t>
        </m:r>
        <m:r>
          <m:t>0.12</m:t>
        </m:r>
      </m:oMath>
      <w:r>
        <w:t xml:space="preserve">. Ethnographic seasonal aggregations typically sacrifice 10-15% of annual foraging efficiency by concentrating activities at a single location rather than optimizing seasonal rounds (Conkey 1980).</w:t>
      </w:r>
    </w:p>
    <w:p>
      <w:pPr>
        <w:pStyle w:val="BodyText"/>
      </w:pPr>
      <w:r>
        <w:rPr>
          <w:b/>
          <w:bCs/>
        </w:rPr>
        <w:t xml:space="preserve">Total.</w:t>
      </w:r>
      <w:r>
        <w:t xml:space="preserve"> </w:t>
      </w:r>
      <w:r>
        <w:t xml:space="preserve">For a band 100 km from the site:</w:t>
      </w:r>
      <w:r>
        <w:t xml:space="preserve"> </w:t>
      </w:r>
      <m:oMath>
        <m:sSub>
          <m:e>
            <m:r>
              <m:t>C</m:t>
            </m:r>
          </m:e>
          <m:sub>
            <m:r>
              <m:t>t</m:t>
            </m:r>
            <m:r>
              <m:t>o</m:t>
            </m:r>
            <m:r>
              <m:t>t</m:t>
            </m:r>
            <m:r>
              <m:t>a</m:t>
            </m:r>
            <m:r>
              <m:t>l</m:t>
            </m:r>
          </m:sub>
        </m:sSub>
        <m:r>
          <m:rPr>
            <m:sty m:val="p"/>
          </m:rPr>
          <m:t>≈</m:t>
        </m:r>
        <m:r>
          <m:t>0.34</m:t>
        </m:r>
      </m:oMath>
      <w:r>
        <w:t xml:space="preserve">.</w:t>
      </w:r>
    </w:p>
    <w:bookmarkEnd w:id="17"/>
    <w:bookmarkStart w:id="18" w:name="network-and-vulnerability-parameters"/>
    <w:p>
      <w:pPr>
        <w:pStyle w:val="Heading3"/>
      </w:pPr>
      <w:r>
        <w:t xml:space="preserve">Network and vulnerability parameters</w:t>
      </w:r>
    </w:p>
    <w:p>
      <w:pPr>
        <w:pStyle w:val="FirstParagraph"/>
      </w:pPr>
      <w:r>
        <w:t xml:space="preserve">The model derives vulnerability endogenously rather than fixing</w:t>
      </w:r>
      <w:r>
        <w:t xml:space="preserve"> </w:t>
      </w:r>
      <m:oMath>
        <m:r>
          <m:t>α</m:t>
        </m:r>
      </m:oMath>
      <w:r>
        <w:t xml:space="preserve"> </w:t>
      </w:r>
      <w:r>
        <w:t xml:space="preserve">and</w:t>
      </w:r>
      <w:r>
        <w:t xml:space="preserve"> </w:t>
      </w:r>
      <m:oMath>
        <m:r>
          <m:t>β</m:t>
        </m:r>
      </m:oMath>
      <w:r>
        <w:t xml:space="preserve"> </w:t>
      </w:r>
      <w:r>
        <w:t xml:space="preserve">directly:</w:t>
      </w:r>
    </w:p>
    <w:p>
      <w:pPr>
        <w:pStyle w:val="BodyText"/>
      </w:pPr>
      <m:oMathPara>
        <m:oMathParaPr>
          <m:jc m:val="center"/>
        </m:oMathParaPr>
        <m:oMath>
          <m:r>
            <m:t>α</m:t>
          </m:r>
          <m:r>
            <m:rPr>
              <m:sty m:val="p"/>
            </m:rPr>
            <m:t>(</m:t>
          </m:r>
          <m:r>
            <m:t>k</m:t>
          </m:r>
          <m:r>
            <m:rPr>
              <m:sty m:val="p"/>
            </m:rPr>
            <m:t>)</m:t>
          </m:r>
          <m:r>
            <m:rPr>
              <m:sty m:val="p"/>
            </m:rPr>
            <m:t>=</m:t>
          </m:r>
          <m:f>
            <m:fPr>
              <m:type m:val="bar"/>
            </m:fPr>
            <m:num>
              <m:r>
                <m:t>1</m:t>
              </m:r>
            </m:num>
            <m:den>
              <m:r>
                <m:t>1</m:t>
              </m:r>
              <m:r>
                <m:rPr>
                  <m:sty m:val="p"/>
                </m:rPr>
                <m:t>+</m:t>
              </m:r>
              <m:r>
                <m:t>γ</m:t>
              </m:r>
              <m:r>
                <m:t>k</m:t>
              </m:r>
            </m:den>
          </m:f>
        </m:oMath>
      </m:oMathPara>
    </w:p>
    <w:p>
      <w:pPr>
        <w:pStyle w:val="FirstParagraph"/>
      </w:pPr>
      <m:oMath>
        <m:r>
          <m:t>γ</m:t>
        </m:r>
        <m:r>
          <m:rPr>
            <m:sty m:val="p"/>
          </m:rPr>
          <m:t>=</m:t>
        </m:r>
        <m:r>
          <m:t>0.05</m:t>
        </m:r>
      </m:oMath>
      <w:r>
        <w:t xml:space="preserve"> </w:t>
      </w:r>
      <w:r>
        <w:t xml:space="preserve">(buffering efficiency per network partner) is consistent with the modest-but-real per-partner buffering effect documented in !Kung sharing networks (Wiessner 2002).</w:t>
      </w:r>
      <w:r>
        <w:t xml:space="preserve"> </w:t>
      </w:r>
      <m:oMath>
        <m:sSub>
          <m:e>
            <m:r>
              <m:t>k</m:t>
            </m:r>
          </m:e>
          <m:sub>
            <m:r>
              <m:t>0</m:t>
            </m:r>
          </m:sub>
        </m:sSub>
        <m:r>
          <m:rPr>
            <m:sty m:val="p"/>
          </m:rPr>
          <m:t>=</m:t>
        </m:r>
        <m:r>
          <m:t>0.3</m:t>
        </m:r>
      </m:oMath>
      <w:r>
        <w:t xml:space="preserve"> </w:t>
      </w:r>
      <w:r>
        <w:t xml:space="preserve">(baseline kin connections without aggregation),</w:t>
      </w:r>
      <w:r>
        <w:t xml:space="preserve"> </w:t>
      </w:r>
      <m:oMath>
        <m:sSub>
          <m:e>
            <m:r>
              <m:t>k</m:t>
            </m:r>
          </m:e>
          <m:sub>
            <m:r>
              <m:t>m</m:t>
            </m:r>
            <m:r>
              <m:t>a</m:t>
            </m:r>
            <m:r>
              <m:t>x</m:t>
            </m:r>
          </m:sub>
        </m:sSub>
        <m:r>
          <m:rPr>
            <m:sty m:val="p"/>
          </m:rPr>
          <m:t>=</m:t>
        </m:r>
        <m:r>
          <m:t>6.0</m:t>
        </m:r>
      </m:oMath>
      <w:r>
        <w:t xml:space="preserve"> </w:t>
      </w:r>
      <w:r>
        <w:t xml:space="preserve">(maximum additional degree), and</w:t>
      </w:r>
      <w:r>
        <w:t xml:space="preserve"> </w:t>
      </w:r>
      <m:oMath>
        <m:sSub>
          <m:e>
            <m:r>
              <m:t>M</m:t>
            </m:r>
          </m:e>
          <m:sub>
            <m:r>
              <m:t>h</m:t>
            </m:r>
            <m:r>
              <m:t>a</m:t>
            </m:r>
            <m:r>
              <m:t>l</m:t>
            </m:r>
            <m:r>
              <m:t>f</m:t>
            </m:r>
          </m:sub>
        </m:sSub>
        <m:r>
          <m:rPr>
            <m:sty m:val="p"/>
          </m:rPr>
          <m:t>=</m:t>
        </m:r>
        <m:r>
          <m:t>2.5</m:t>
        </m:r>
      </m:oMath>
      <w:r>
        <w:t xml:space="preserve"> </w:t>
      </w:r>
      <w:r>
        <w:t xml:space="preserve">(half-saturation monument stock) determine the network growth function:</w:t>
      </w:r>
    </w:p>
    <w:p>
      <w:pPr>
        <w:pStyle w:val="BodyText"/>
      </w:pPr>
      <m:oMathPara>
        <m:oMathParaPr>
          <m:jc m:val="center"/>
        </m:oMathParaPr>
        <m:oMath>
          <m:r>
            <m:t>k</m:t>
          </m:r>
          <m:r>
            <m:rPr>
              <m:sty m:val="p"/>
            </m:rPr>
            <m:t>(</m:t>
          </m:r>
          <m:sSub>
            <m:e>
              <m:r>
                <m:t>M</m:t>
              </m:r>
            </m:e>
            <m:sub>
              <m:r>
                <m:t>g</m:t>
              </m:r>
            </m:sub>
          </m:sSub>
          <m:r>
            <m:rPr>
              <m:sty m:val="p"/>
            </m:rPr>
            <m:t>)</m:t>
          </m:r>
          <m:r>
            <m:rPr>
              <m:sty m:val="p"/>
            </m:rPr>
            <m:t>=</m:t>
          </m:r>
          <m:sSub>
            <m:e>
              <m:r>
                <m:t>k</m:t>
              </m:r>
            </m:e>
            <m:sub>
              <m:r>
                <m:t>0</m:t>
              </m:r>
            </m:sub>
          </m:sSub>
          <m:r>
            <m:rPr>
              <m:sty m:val="p"/>
            </m:rPr>
            <m:t>+</m:t>
          </m:r>
          <m:sSub>
            <m:e>
              <m:r>
                <m:t>k</m:t>
              </m:r>
            </m:e>
            <m:sub>
              <m:r>
                <m:t>m</m:t>
              </m:r>
              <m:r>
                <m:t>a</m:t>
              </m:r>
              <m:r>
                <m:t>x</m:t>
              </m:r>
            </m:sub>
          </m:sSub>
          <m:r>
            <m:rPr>
              <m:sty m:val="p"/>
            </m:rPr>
            <m:t>⋅</m:t>
          </m:r>
          <m:f>
            <m:fPr>
              <m:type m:val="bar"/>
            </m:fPr>
            <m:num>
              <m:sSub>
                <m:e>
                  <m:r>
                    <m:t>M</m:t>
                  </m:r>
                </m:e>
                <m:sub>
                  <m:r>
                    <m:t>g</m:t>
                  </m:r>
                </m:sub>
              </m:sSub>
            </m:num>
            <m:den>
              <m:sSub>
                <m:e>
                  <m:r>
                    <m:t>M</m:t>
                  </m:r>
                </m:e>
                <m:sub>
                  <m:r>
                    <m:t>h</m:t>
                  </m:r>
                  <m:r>
                    <m:t>a</m:t>
                  </m:r>
                  <m:r>
                    <m:t>l</m:t>
                  </m:r>
                  <m:r>
                    <m:t>f</m:t>
                  </m:r>
                </m:sub>
              </m:sSub>
              <m:r>
                <m:rPr>
                  <m:sty m:val="p"/>
                </m:rPr>
                <m:t>+</m:t>
              </m:r>
              <m:sSub>
                <m:e>
                  <m:r>
                    <m:t>M</m:t>
                  </m:r>
                </m:e>
                <m:sub>
                  <m:r>
                    <m:t>g</m:t>
                  </m:r>
                </m:sub>
              </m:sSub>
            </m:den>
          </m:f>
        </m:oMath>
      </m:oMathPara>
    </w:p>
    <w:p>
      <w:pPr>
        <w:pStyle w:val="FirstParagraph"/>
      </w:pPr>
      <w:r>
        <w:t xml:space="preserve">Independent vulnerability emerges as</w:t>
      </w:r>
      <w:r>
        <w:t xml:space="preserve"> </w:t>
      </w:r>
      <m:oMath>
        <m:r>
          <m:t>β</m:t>
        </m:r>
        <m:r>
          <m:rPr>
            <m:sty m:val="p"/>
          </m:rPr>
          <m:t>(</m:t>
        </m:r>
        <m:sSub>
          <m:e>
            <m:r>
              <m:t>k</m:t>
            </m:r>
          </m:e>
          <m:sub>
            <m:r>
              <m:t>0</m:t>
            </m:r>
          </m:sub>
        </m:sSub>
        <m:r>
          <m:rPr>
            <m:sty m:val="p"/>
          </m:rPr>
          <m:t>)</m:t>
        </m:r>
        <m:r>
          <m:rPr>
            <m:sty m:val="p"/>
          </m:rPr>
          <m:t>=</m:t>
        </m:r>
        <m:r>
          <m:t>1</m:t>
        </m:r>
        <m:r>
          <m:rPr>
            <m:sty m:val="p"/>
          </m:rPr>
          <m:t>/</m:t>
        </m:r>
        <m:r>
          <m:rPr>
            <m:sty m:val="p"/>
          </m:rPr>
          <m:t>(</m:t>
        </m:r>
        <m:r>
          <m:t>1</m:t>
        </m:r>
        <m:r>
          <m:rPr>
            <m:sty m:val="p"/>
          </m:rPr>
          <m:t>+</m:t>
        </m:r>
        <m:r>
          <m:t>0.05</m:t>
        </m:r>
        <m:r>
          <m:rPr>
            <m:sty m:val="p"/>
          </m:rPr>
          <m:t>⋅</m:t>
        </m:r>
        <m:r>
          <m:t>0.3</m:t>
        </m:r>
        <m:r>
          <m:rPr>
            <m:sty m:val="p"/>
          </m:rPr>
          <m:t>)</m:t>
        </m:r>
        <m:r>
          <m:rPr>
            <m:sty m:val="p"/>
          </m:rPr>
          <m:t>≈</m:t>
        </m:r>
        <m:r>
          <m:t>0.985</m:t>
        </m:r>
      </m:oMath>
      <w:r>
        <w:t xml:space="preserve">. Within-aggregation aggregator vulnerability for a band with mature network (</w:t>
      </w:r>
      <m:oMath>
        <m:sSub>
          <m:e>
            <m:r>
              <m:t>k</m:t>
            </m:r>
          </m:e>
          <m:sub>
            <m:r>
              <m:t>a</m:t>
            </m:r>
            <m:r>
              <m:t>g</m:t>
            </m:r>
            <m:r>
              <m:t>g</m:t>
            </m:r>
          </m:sub>
        </m:sSub>
      </m:oMath>
      <w:r>
        <w:t xml:space="preserve"> </w:t>
      </w:r>
      <w:r>
        <w:t xml:space="preserve">in the 4-6 range) is</w:t>
      </w:r>
      <w:r>
        <w:t xml:space="preserve"> </w:t>
      </w:r>
      <m:oMath>
        <m:r>
          <m:t>α</m:t>
        </m:r>
        <m:r>
          <m:rPr>
            <m:sty m:val="p"/>
          </m:rPr>
          <m:t>(</m:t>
        </m:r>
        <m:sSub>
          <m:e>
            <m:r>
              <m:t>k</m:t>
            </m:r>
          </m:e>
          <m:sub>
            <m:r>
              <m:t>a</m:t>
            </m:r>
            <m:r>
              <m:t>g</m:t>
            </m:r>
            <m:r>
              <m:t>g</m:t>
            </m:r>
          </m:sub>
        </m:sSub>
        <m:r>
          <m:rPr>
            <m:sty m:val="p"/>
          </m:rPr>
          <m:t>)</m:t>
        </m:r>
        <m:r>
          <m:rPr>
            <m:sty m:val="p"/>
          </m:rPr>
          <m:t>=</m:t>
        </m:r>
        <m:r>
          <m:t>1</m:t>
        </m:r>
        <m:r>
          <m:rPr>
            <m:sty m:val="p"/>
          </m:rPr>
          <m:t>/</m:t>
        </m:r>
        <m:r>
          <m:rPr>
            <m:sty m:val="p"/>
          </m:rPr>
          <m:t>(</m:t>
        </m:r>
        <m:r>
          <m:t>1</m:t>
        </m:r>
        <m:r>
          <m:rPr>
            <m:sty m:val="p"/>
          </m:rPr>
          <m:t>+</m:t>
        </m:r>
        <m:r>
          <m:t>0.05</m:t>
        </m:r>
        <m:r>
          <m:rPr>
            <m:sty m:val="p"/>
          </m:rPr>
          <m:t>⋅</m:t>
        </m:r>
        <m:sSub>
          <m:e>
            <m:r>
              <m:t>k</m:t>
            </m:r>
          </m:e>
          <m:sub>
            <m:r>
              <m:t>a</m:t>
            </m:r>
            <m:r>
              <m:t>g</m:t>
            </m:r>
            <m:r>
              <m:t>g</m:t>
            </m:r>
          </m:sub>
        </m:sSub>
        <m:r>
          <m:rPr>
            <m:sty m:val="p"/>
          </m:rPr>
          <m:t>)</m:t>
        </m:r>
      </m:oMath>
      <w:r>
        <w:t xml:space="preserve">, giving values in the 0.77-0.83 range. The instantaneous (within-aggregation) buffering ratio</w:t>
      </w:r>
      <w:r>
        <w:t xml:space="preserve"> </w:t>
      </w:r>
      <m:oMath>
        <m:r>
          <m:t>β</m:t>
        </m:r>
        <m:r>
          <m:rPr>
            <m:sty m:val="p"/>
          </m:rPr>
          <m:t>(</m:t>
        </m:r>
        <m:sSub>
          <m:e>
            <m:r>
              <m:t>k</m:t>
            </m:r>
          </m:e>
          <m:sub>
            <m:r>
              <m:t>0</m:t>
            </m:r>
          </m:sub>
        </m:sSub>
        <m:r>
          <m:rPr>
            <m:sty m:val="p"/>
          </m:rPr>
          <m:t>)</m:t>
        </m:r>
        <m:r>
          <m:rPr>
            <m:sty m:val="p"/>
          </m:rPr>
          <m:t>/</m:t>
        </m:r>
        <m:r>
          <m:t>α</m:t>
        </m:r>
        <m:r>
          <m:rPr>
            <m:sty m:val="p"/>
          </m:rPr>
          <m:t>(</m:t>
        </m:r>
        <m:sSub>
          <m:e>
            <m:r>
              <m:t>k</m:t>
            </m:r>
          </m:e>
          <m:sub>
            <m:r>
              <m:t>a</m:t>
            </m:r>
            <m:r>
              <m:t>g</m:t>
            </m:r>
            <m:r>
              <m:t>g</m:t>
            </m:r>
          </m:sub>
        </m:sSub>
        <m:r>
          <m:rPr>
            <m:sty m:val="p"/>
          </m:rPr>
          <m:t>)</m:t>
        </m:r>
      </m:oMath>
      <w:r>
        <w:t xml:space="preserve"> </w:t>
      </w:r>
      <w:r>
        <w:t xml:space="preserve">is therefore approximately 1.18-1.28: each additional cooperation partner contributes a small marginal buffering increment because</w:t>
      </w:r>
      <w:r>
        <w:t xml:space="preserve"> </w:t>
      </w:r>
      <m:oMath>
        <m:r>
          <m:t>γ</m:t>
        </m:r>
        <m:r>
          <m:rPr>
            <m:sty m:val="p"/>
          </m:rPr>
          <m:t>=</m:t>
        </m:r>
        <m:r>
          <m:t>0.05</m:t>
        </m:r>
      </m:oMath>
      <w:r>
        <w:t xml:space="preserve"> </w:t>
      </w:r>
      <w:r>
        <w:t xml:space="preserve">is a low per-partner buffering rate. Because aggregation occupies only</w:t>
      </w:r>
      <w:r>
        <w:t xml:space="preserve"> </w:t>
      </w:r>
      <m:oMath>
        <m:sSub>
          <m:e>
            <m:r>
              <m:t>f</m:t>
            </m:r>
          </m:e>
          <m:sub>
            <m:r>
              <m:t>a</m:t>
            </m:r>
            <m:r>
              <m:t>g</m:t>
            </m:r>
            <m:r>
              <m:t>g</m:t>
            </m:r>
          </m:sub>
        </m:sSub>
        <m:r>
          <m:rPr>
            <m:sty m:val="p"/>
          </m:rPr>
          <m:t>≈</m:t>
        </m:r>
        <m:r>
          <m:t>0.25</m:t>
        </m:r>
      </m:oMath>
      <w:r>
        <w:t xml:space="preserve"> </w:t>
      </w:r>
      <w:r>
        <w:t xml:space="preserve">of the year and networks decay during dispersal, the</w:t>
      </w:r>
      <w:r>
        <w:t xml:space="preserve"> </w:t>
      </w:r>
      <w:r>
        <w:rPr>
          <w:i/>
          <w:iCs/>
        </w:rPr>
        <w:t xml:space="preserve">effective annual</w:t>
      </w:r>
      <w:r>
        <w:t xml:space="preserve"> </w:t>
      </w:r>
      <w:r>
        <w:t xml:space="preserve">vulnerability</w:t>
      </w:r>
      <w:r>
        <w:t xml:space="preserve"> </w:t>
      </w:r>
      <m:oMath>
        <m:r>
          <m:t>α</m:t>
        </m:r>
        <m:r>
          <m:rPr>
            <m:sty m:val="p"/>
          </m:rPr>
          <m:t>(</m:t>
        </m:r>
        <m:sSub>
          <m:e>
            <m:r>
              <m:t>k</m:t>
            </m:r>
          </m:e>
          <m:sub>
            <m:r>
              <m:t>e</m:t>
            </m:r>
            <m:r>
              <m:t>f</m:t>
            </m:r>
            <m:r>
              <m:t>f</m:t>
            </m:r>
          </m:sub>
        </m:sSub>
        <m:r>
          <m:rPr>
            <m:sty m:val="p"/>
          </m:rPr>
          <m:t>)</m:t>
        </m:r>
      </m:oMath>
      <w:r>
        <w:t xml:space="preserve"> </w:t>
      </w:r>
      <w:r>
        <w:t xml:space="preserve">used in the fitness function is approximately 0.82, giving an annualized buffering ratio of approximately 1.20. The within-aggregation and annualized ratios are similar (~1.2-1.3) because, with</w:t>
      </w:r>
      <w:r>
        <w:t xml:space="preserve"> </w:t>
      </w:r>
      <m:oMath>
        <m:r>
          <m:t>γ</m:t>
        </m:r>
        <m:r>
          <m:rPr>
            <m:sty m:val="p"/>
          </m:rPr>
          <m:t>=</m:t>
        </m:r>
        <m:r>
          <m:t>0.05</m:t>
        </m:r>
      </m:oMath>
      <w:r>
        <w:t xml:space="preserve">, even a substantial increase in network degree only modestly reduces vulnerability. The plain-language reading is that the model represents real but small per-partner risk-sharing, and the fitness advantage of aggregation does not come solely from the network-buffering component: ecotone access, signaling rewards, and conflict reduction all contribute (see fitness equation in §S1.6 / main §2.4). Effective annual degree:</w:t>
      </w:r>
    </w:p>
    <w:p>
      <w:pPr>
        <w:pStyle w:val="BodyText"/>
      </w:pPr>
      <m:oMathPara>
        <m:oMathParaPr>
          <m:jc m:val="center"/>
        </m:oMathParaPr>
        <m:oMath>
          <m:sSub>
            <m:e>
              <m:r>
                <m:t>k</m:t>
              </m:r>
            </m:e>
            <m:sub>
              <m:r>
                <m:t>e</m:t>
              </m:r>
              <m:r>
                <m:t>f</m:t>
              </m:r>
              <m:r>
                <m:t>f</m:t>
              </m:r>
            </m:sub>
          </m:sSub>
          <m:r>
            <m:rPr>
              <m:sty m:val="p"/>
            </m:rPr>
            <m:t>=</m:t>
          </m:r>
          <m:sSub>
            <m:e>
              <m:r>
                <m:t>f</m:t>
              </m:r>
            </m:e>
            <m:sub>
              <m:r>
                <m:t>a</m:t>
              </m:r>
              <m:r>
                <m:t>g</m:t>
              </m:r>
              <m:r>
                <m:t>g</m:t>
              </m:r>
            </m:sub>
          </m:sSub>
          <m:r>
            <m:rPr>
              <m:sty m:val="p"/>
            </m:rPr>
            <m:t>⋅</m:t>
          </m:r>
          <m:sSub>
            <m:e>
              <m:r>
                <m:t>k</m:t>
              </m:r>
            </m:e>
            <m:sub>
              <m:r>
                <m:t>a</m:t>
              </m:r>
              <m:r>
                <m:t>g</m:t>
              </m:r>
              <m:r>
                <m:t>g</m:t>
              </m:r>
            </m:sub>
          </m:sSub>
          <m:r>
            <m:rPr>
              <m:sty m:val="p"/>
            </m:rPr>
            <m:t>+</m:t>
          </m:r>
          <m:r>
            <m:rPr>
              <m:sty m:val="p"/>
            </m:rPr>
            <m:t>(</m:t>
          </m:r>
          <m:r>
            <m:t>1</m:t>
          </m:r>
          <m:r>
            <m:rPr>
              <m:sty m:val="p"/>
            </m:rPr>
            <m:t>−</m:t>
          </m:r>
          <m:sSub>
            <m:e>
              <m:r>
                <m:t>f</m:t>
              </m:r>
            </m:e>
            <m:sub>
              <m:r>
                <m:t>a</m:t>
              </m:r>
              <m:r>
                <m:t>g</m:t>
              </m:r>
              <m:r>
                <m:t>g</m:t>
              </m:r>
            </m:sub>
          </m:sSub>
          <m:r>
            <m:rPr>
              <m:sty m:val="p"/>
            </m:rPr>
            <m:t>)</m:t>
          </m:r>
          <m:r>
            <m:rPr>
              <m:sty m:val="p"/>
            </m:rPr>
            <m:t>⋅</m:t>
          </m:r>
          <m:r>
            <m:rPr>
              <m:sty m:val="p"/>
            </m:rPr>
            <m:t>[</m:t>
          </m:r>
          <m:sSub>
            <m:e>
              <m:r>
                <m:t>k</m:t>
              </m:r>
            </m:e>
            <m:sub>
              <m:r>
                <m:t>0</m:t>
              </m:r>
            </m:sub>
          </m:sSub>
          <m:r>
            <m:rPr>
              <m:sty m:val="p"/>
            </m:rPr>
            <m:t>+</m:t>
          </m:r>
          <m:r>
            <m:rPr>
              <m:sty m:val="p"/>
            </m:rPr>
            <m:t>(</m:t>
          </m:r>
          <m:sSub>
            <m:e>
              <m:r>
                <m:t>k</m:t>
              </m:r>
            </m:e>
            <m:sub>
              <m:r>
                <m:t>a</m:t>
              </m:r>
              <m:r>
                <m:t>g</m:t>
              </m:r>
              <m:r>
                <m:t>g</m:t>
              </m:r>
            </m:sub>
          </m:sSub>
          <m:r>
            <m:rPr>
              <m:sty m:val="p"/>
            </m:rPr>
            <m:t>−</m:t>
          </m:r>
          <m:sSub>
            <m:e>
              <m:r>
                <m:t>k</m:t>
              </m:r>
            </m:e>
            <m:sub>
              <m:r>
                <m:t>0</m:t>
              </m:r>
            </m:sub>
          </m:sSub>
          <m:r>
            <m:rPr>
              <m:sty m:val="p"/>
            </m:rPr>
            <m:t>)</m:t>
          </m:r>
          <m:r>
            <m:rPr>
              <m:sty m:val="p"/>
            </m:rPr>
            <m:t>(</m:t>
          </m:r>
          <m:r>
            <m:t>1</m:t>
          </m:r>
          <m:r>
            <m:rPr>
              <m:sty m:val="p"/>
            </m:rPr>
            <m:t>−</m:t>
          </m:r>
          <m:sSub>
            <m:e>
              <m:r>
                <m:t>δ</m:t>
              </m:r>
            </m:e>
            <m:sub>
              <m:r>
                <m:t>n</m:t>
              </m:r>
              <m:r>
                <m:t>e</m:t>
              </m:r>
              <m:r>
                <m:t>t</m:t>
              </m:r>
            </m:sub>
          </m:sSub>
          <m:r>
            <m:rPr>
              <m:sty m:val="p"/>
            </m:rPr>
            <m:t>)</m:t>
          </m:r>
          <m:r>
            <m:rPr>
              <m:sty m:val="p"/>
            </m:rPr>
            <m:t>]</m:t>
          </m:r>
        </m:oMath>
      </m:oMathPara>
    </w:p>
    <w:p>
      <w:pPr>
        <w:pStyle w:val="FirstParagraph"/>
      </w:pPr>
      <w:r>
        <w:t xml:space="preserve">with</w:t>
      </w:r>
      <w:r>
        <w:t xml:space="preserve"> </w:t>
      </w:r>
      <m:oMath>
        <m:sSub>
          <m:e>
            <m:r>
              <m:t>δ</m:t>
            </m:r>
          </m:e>
          <m:sub>
            <m:r>
              <m:t>n</m:t>
            </m:r>
            <m:r>
              <m:t>e</m:t>
            </m:r>
            <m:r>
              <m:t>t</m:t>
            </m:r>
          </m:sub>
        </m:sSub>
        <m:r>
          <m:rPr>
            <m:sty m:val="p"/>
          </m:rPr>
          <m:t>=</m:t>
        </m:r>
        <m:r>
          <m:t>0.40</m:t>
        </m:r>
      </m:oMath>
      <w:r>
        <w:t xml:space="preserve"> </w:t>
      </w:r>
      <w:r>
        <w:t xml:space="preserve">network decay rate during dispersal.</w:t>
      </w:r>
    </w:p>
    <w:bookmarkEnd w:id="18"/>
    <w:bookmarkStart w:id="19" w:name="signaling-parameters"/>
    <w:p>
      <w:pPr>
        <w:pStyle w:val="Heading3"/>
      </w:pPr>
      <w:r>
        <w:t xml:space="preserve">Signaling parameters</w:t>
      </w:r>
    </w:p>
    <w:p>
      <w:pPr>
        <w:pStyle w:val="FirstParagraph"/>
      </w:pPr>
      <w:r>
        <w:t xml:space="preserve">The total signaling incentive</w:t>
      </w:r>
      <w:r>
        <w:t xml:space="preserve"> </w:t>
      </w:r>
      <m:oMath>
        <m:r>
          <m:t>λ</m:t>
        </m:r>
        <m:r>
          <m:rPr>
            <m:sty m:val="p"/>
          </m:rPr>
          <m:t>=</m:t>
        </m:r>
        <m:sSub>
          <m:e>
            <m:r>
              <m:t>λ</m:t>
            </m:r>
          </m:e>
          <m:sub>
            <m:r>
              <m:t>W</m:t>
            </m:r>
          </m:sub>
        </m:sSub>
        <m:r>
          <m:rPr>
            <m:sty m:val="p"/>
          </m:rPr>
          <m:t>+</m:t>
        </m:r>
        <m:sSub>
          <m:e>
            <m:r>
              <m:t>λ</m:t>
            </m:r>
          </m:e>
          <m:sub>
            <m:r>
              <m:t>C</m:t>
            </m:r>
          </m:sub>
        </m:sSub>
        <m:r>
          <m:rPr>
            <m:sty m:val="p"/>
          </m:rPr>
          <m:t>+</m:t>
        </m:r>
        <m:sSub>
          <m:e>
            <m:r>
              <m:t>λ</m:t>
            </m:r>
          </m:e>
          <m:sub>
            <m:r>
              <m:t>X</m:t>
            </m:r>
          </m:sub>
        </m:sSub>
      </m:oMath>
      <w:r>
        <w:t xml:space="preserve"> </w:t>
      </w:r>
      <w:r>
        <w:t xml:space="preserve">has within-group (</w:t>
      </w:r>
      <m:oMath>
        <m:sSub>
          <m:e>
            <m:r>
              <m:t>λ</m:t>
            </m:r>
          </m:e>
          <m:sub>
            <m:r>
              <m:t>W</m:t>
            </m:r>
          </m:sub>
        </m:sSub>
        <m:r>
          <m:rPr>
            <m:sty m:val="p"/>
          </m:rPr>
          <m:t>=</m:t>
        </m:r>
        <m:r>
          <m:t>0.15</m:t>
        </m:r>
      </m:oMath>
      <w:r>
        <w:t xml:space="preserve">), conflict-deterrence (</w:t>
      </w:r>
      <m:oMath>
        <m:sSub>
          <m:e>
            <m:r>
              <m:t>λ</m:t>
            </m:r>
          </m:e>
          <m:sub>
            <m:r>
              <m:t>C</m:t>
            </m:r>
          </m:sub>
        </m:sSub>
      </m:oMath>
      <w:r>
        <w:t xml:space="preserve">), and cooperation-network (</w:t>
      </w:r>
      <m:oMath>
        <m:sSub>
          <m:e>
            <m:r>
              <m:t>λ</m:t>
            </m:r>
          </m:e>
          <m:sub>
            <m:r>
              <m:t>X</m:t>
            </m:r>
          </m:sub>
        </m:sSub>
      </m:oMath>
      <w:r>
        <w:t xml:space="preserve">) components. Because monument stock affects the very signaling reward that drives more monument-building,</w:t>
      </w:r>
      <w:r>
        <w:t xml:space="preserve"> </w:t>
      </w:r>
      <m:oMath>
        <m:sSub>
          <m:e>
            <m:r>
              <m:t>λ</m:t>
            </m:r>
          </m:e>
          <m:sub>
            <m:r>
              <m:t>C</m:t>
            </m:r>
          </m:sub>
        </m:sSub>
      </m:oMath>
      <w:r>
        <w:t xml:space="preserve"> </w:t>
      </w:r>
      <w:r>
        <w:t xml:space="preserve">and</w:t>
      </w:r>
      <w:r>
        <w:t xml:space="preserve"> </w:t>
      </w:r>
      <m:oMath>
        <m:sSub>
          <m:e>
            <m:r>
              <m:t>λ</m:t>
            </m:r>
          </m:e>
          <m:sub>
            <m:r>
              <m:t>X</m:t>
            </m:r>
          </m:sub>
        </m:sSub>
      </m:oMath>
      <w:r>
        <w:t xml:space="preserve"> </w:t>
      </w:r>
      <w:r>
        <w:t xml:space="preserve">cannot be set independently. They are solved by repeated substitution (fixed-point iteration): guess</w:t>
      </w:r>
      <w:r>
        <w:t xml:space="preserve"> </w:t>
      </w:r>
      <m:oMath>
        <m:sSub>
          <m:e>
            <m:r>
              <m:t>λ</m:t>
            </m:r>
          </m:e>
          <m:sub>
            <m:r>
              <m:t>X</m:t>
            </m:r>
          </m:sub>
        </m:sSub>
      </m:oMath>
      <w:r>
        <w:t xml:space="preserve">, compute the resulting monument stock, recompute</w:t>
      </w:r>
      <w:r>
        <w:t xml:space="preserve"> </w:t>
      </w:r>
      <m:oMath>
        <m:sSub>
          <m:e>
            <m:r>
              <m:t>λ</m:t>
            </m:r>
          </m:e>
          <m:sub>
            <m:r>
              <m:t>X</m:t>
            </m:r>
          </m:sub>
        </m:sSub>
      </m:oMath>
      <w:r>
        <w:t xml:space="preserve">, repeat until the values stop changing within</w:t>
      </w:r>
      <w:r>
        <w:t xml:space="preserve"> </w:t>
      </w:r>
      <m:oMath>
        <m:sSup>
          <m:e>
            <m:r>
              <m:t>10</m:t>
            </m:r>
          </m:e>
          <m:sup>
            <m:r>
              <m:rPr>
                <m:sty m:val="p"/>
              </m:rPr>
              <m:t>−</m:t>
            </m:r>
            <m:r>
              <m:t>6</m:t>
            </m:r>
          </m:sup>
        </m:sSup>
      </m:oMath>
      <w:r>
        <w:t xml:space="preserve">. One cycle of that loop is: monument stock</w:t>
      </w:r>
      <w:r>
        <w:t xml:space="preserve"> </w:t>
      </w:r>
      <m:oMath>
        <m:r>
          <m:rPr>
            <m:sty m:val="p"/>
          </m:rPr>
          <m:t>→</m:t>
        </m:r>
      </m:oMath>
      <w:r>
        <w:t xml:space="preserve"> </w:t>
      </w:r>
      <w:r>
        <w:t xml:space="preserve">network degree</w:t>
      </w:r>
      <w:r>
        <w:t xml:space="preserve"> </w:t>
      </w:r>
      <m:oMath>
        <m:r>
          <m:rPr>
            <m:sty m:val="p"/>
          </m:rPr>
          <m:t>→</m:t>
        </m:r>
      </m:oMath>
      <w:r>
        <w:t xml:space="preserve"> </w:t>
      </w:r>
      <w:r>
        <w:t xml:space="preserve">vulnerability reduction</w:t>
      </w:r>
      <w:r>
        <w:t xml:space="preserve"> </w:t>
      </w:r>
      <m:oMath>
        <m:r>
          <m:rPr>
            <m:sty m:val="p"/>
          </m:rPr>
          <m:t>→</m:t>
        </m:r>
      </m:oMath>
      <w:r>
        <w:t xml:space="preserve"> </w:t>
      </w:r>
      <w:r>
        <w:t xml:space="preserve">raised</w:t>
      </w:r>
      <w:r>
        <w:t xml:space="preserve"> </w:t>
      </w:r>
      <m:oMath>
        <m:sSub>
          <m:e>
            <m:r>
              <m:t>λ</m:t>
            </m:r>
          </m:e>
          <m:sub>
            <m:r>
              <m:t>X</m:t>
            </m:r>
          </m:sub>
        </m:sSub>
      </m:oMath>
      <w:r>
        <w:t xml:space="preserve"> </w:t>
      </w:r>
      <m:oMath>
        <m:r>
          <m:rPr>
            <m:sty m:val="p"/>
          </m:rPr>
          <m:t>→</m:t>
        </m:r>
      </m:oMath>
      <w:r>
        <w:t xml:space="preserve"> </w:t>
      </w:r>
      <w:r>
        <w:t xml:space="preserve">raised optimal investment</w:t>
      </w:r>
      <w:r>
        <w:t xml:space="preserve"> </w:t>
      </w:r>
      <m:oMath>
        <m:sSup>
          <m:e>
            <m:r>
              <m:t>x</m:t>
            </m:r>
          </m:e>
          <m:sup>
            <m:r>
              <m:rPr>
                <m:sty m:val="p"/>
              </m:rPr>
              <m:t>*</m:t>
            </m:r>
          </m:sup>
        </m:sSup>
        <m:r>
          <m:rPr>
            <m:sty m:val="p"/>
          </m:rPr>
          <m:t>(</m:t>
        </m:r>
        <m:r>
          <m:t>q</m:t>
        </m:r>
        <m:r>
          <m:rPr>
            <m:sty m:val="p"/>
          </m:rPr>
          <m:t>)</m:t>
        </m:r>
      </m:oMath>
      <w:r>
        <w:t xml:space="preserve"> </w:t>
      </w:r>
      <m:oMath>
        <m:r>
          <m:rPr>
            <m:sty m:val="p"/>
          </m:rPr>
          <m:t>→</m:t>
        </m:r>
      </m:oMath>
      <w:r>
        <w:t xml:space="preserve"> </w:t>
      </w:r>
      <w:r>
        <w:t xml:space="preserve">more monuments. We use damping (factor 0.5) so successive estimates do not oscillate. At the equilibrium reached for Poverty Point conditions,</w:t>
      </w:r>
      <w:r>
        <w:t xml:space="preserve"> </w:t>
      </w:r>
      <m:oMath>
        <m:sSub>
          <m:e>
            <m:r>
              <m:t>M</m:t>
            </m:r>
          </m:e>
          <m:sub>
            <m:r>
              <m:t>g</m:t>
            </m:r>
          </m:sub>
        </m:sSub>
      </m:oMath>
      <w:r>
        <w:t xml:space="preserve"> </w:t>
      </w:r>
      <w:r>
        <w:t xml:space="preserve">is large enough that the network degree function saturates, making</w:t>
      </w:r>
      <w:r>
        <w:t xml:space="preserve"> </w:t>
      </w:r>
      <m:oMath>
        <m:sSub>
          <m:e>
            <m:r>
              <m:t>λ</m:t>
            </m:r>
          </m:e>
          <m:sub>
            <m:r>
              <m:t>C</m:t>
            </m:r>
          </m:sub>
        </m:sSub>
      </m:oMath>
      <w:r>
        <w:t xml:space="preserve"> </w:t>
      </w:r>
      <w:r>
        <w:t xml:space="preserve">and</w:t>
      </w:r>
      <w:r>
        <w:t xml:space="preserve"> </w:t>
      </w:r>
      <m:oMath>
        <m:sSub>
          <m:e>
            <m:r>
              <m:t>λ</m:t>
            </m:r>
          </m:e>
          <m:sub>
            <m:r>
              <m:t>X</m:t>
            </m:r>
          </m:sub>
        </m:sSub>
      </m:oMath>
      <w:r>
        <w:t xml:space="preserve"> </w:t>
      </w:r>
      <w:r>
        <w:t xml:space="preserve">small at equilibrium and</w:t>
      </w:r>
      <w:r>
        <w:t xml:space="preserve"> </w:t>
      </w:r>
      <m:oMath>
        <m:r>
          <m:t>λ</m:t>
        </m:r>
      </m:oMath>
      <w:r>
        <w:t xml:space="preserve"> </w:t>
      </w:r>
      <w:r>
        <w:t xml:space="preserve">dominated by</w:t>
      </w:r>
      <w:r>
        <w:t xml:space="preserve"> </w:t>
      </w:r>
      <m:oMath>
        <m:sSub>
          <m:e>
            <m:r>
              <m:t>λ</m:t>
            </m:r>
          </m:e>
          <m:sub>
            <m:r>
              <m:t>W</m:t>
            </m:r>
          </m:sub>
        </m:sSub>
      </m:oMath>
      <w:r>
        <w:t xml:space="preserve">.</w:t>
      </w:r>
    </w:p>
    <w:p>
      <w:pPr>
        <w:pStyle w:val="BodyText"/>
      </w:pPr>
      <w:r>
        <w:rPr>
          <w:b/>
          <w:bCs/>
        </w:rPr>
        <w:t xml:space="preserve">Convergence diagnostics.</w:t>
      </w:r>
      <w:r>
        <w:t xml:space="preserve"> </w:t>
      </w:r>
      <w:r>
        <w:t xml:space="preserve">We tested the fixed-point iteration across a 30-point sweep of</w:t>
      </w:r>
      <w:r>
        <w:t xml:space="preserve"> </w:t>
      </w:r>
      <m:oMath>
        <m:r>
          <m:t>σ</m:t>
        </m:r>
      </m:oMath>
      <w:r>
        <w:t xml:space="preserve"> </w:t>
      </w:r>
      <w:r>
        <w:t xml:space="preserve">from 0.10 to 0.95 (covering both sub- and supra-threshold regimes). Of these 30 runs, 100% converged to within the</w:t>
      </w:r>
      <w:r>
        <w:t xml:space="preserve"> </w:t>
      </w:r>
      <m:oMath>
        <m:sSup>
          <m:e>
            <m:r>
              <m:t>10</m:t>
            </m:r>
          </m:e>
          <m:sup>
            <m:r>
              <m:rPr>
                <m:sty m:val="p"/>
              </m:rPr>
              <m:t>−</m:t>
            </m:r>
            <m:r>
              <m:t>6</m:t>
            </m:r>
          </m:sup>
        </m:sSup>
      </m:oMath>
      <w:r>
        <w:t xml:space="preserve"> </w:t>
      </w:r>
      <w:r>
        <w:t xml:space="preserve">tolerance. Mean, median, and maximum iteration counts were all 18, indicating uniform convergence speed across the parameter range. To check for multiple fixed points, we ran the iteration at</w:t>
      </w:r>
      <w:r>
        <w:t xml:space="preserve"> </w:t>
      </w:r>
      <m:oMath>
        <m:r>
          <m:t>σ</m:t>
        </m:r>
        <m:r>
          <m:rPr>
            <m:sty m:val="p"/>
          </m:rPr>
          <m:t>∈</m:t>
        </m:r>
        <m:r>
          <m:rPr>
            <m:sty m:val="p"/>
          </m:rPr>
          <m:t>{</m:t>
        </m:r>
        <m:r>
          <m:t>0.30</m:t>
        </m:r>
        <m:r>
          <m:rPr>
            <m:sty m:val="p"/>
          </m:rPr>
          <m:t>,</m:t>
        </m:r>
        <m:r>
          <m:t>0.50</m:t>
        </m:r>
        <m:r>
          <m:rPr>
            <m:sty m:val="p"/>
          </m:rPr>
          <m:t>,</m:t>
        </m:r>
        <m:r>
          <m:t>0.70</m:t>
        </m:r>
        <m:r>
          <m:rPr>
            <m:sty m:val="p"/>
          </m:rPr>
          <m:t>}</m:t>
        </m:r>
      </m:oMath>
      <w:r>
        <w:t xml:space="preserve"> </w:t>
      </w:r>
      <w:r>
        <w:t xml:space="preserve">from different starting conditions and verified that the resulting equilibrium monument stock</w:t>
      </w:r>
      <w:r>
        <w:t xml:space="preserve"> </w:t>
      </w:r>
      <m:oMath>
        <m:sSub>
          <m:e>
            <m:r>
              <m:t>M</m:t>
            </m:r>
          </m:e>
          <m:sub>
            <m:r>
              <m:t>g</m:t>
            </m:r>
          </m:sub>
        </m:sSub>
      </m:oMath>
      <w:r>
        <w:t xml:space="preserve"> </w:t>
      </w:r>
      <w:r>
        <w:t xml:space="preserve">differed by less than 1 part in</w:t>
      </w:r>
      <w:r>
        <w:t xml:space="preserve"> </w:t>
      </w:r>
      <m:oMath>
        <m:sSup>
          <m:e>
            <m:r>
              <m:t>10</m:t>
            </m:r>
          </m:e>
          <m:sup>
            <m:r>
              <m:t>4</m:t>
            </m:r>
          </m:sup>
        </m:sSup>
      </m:oMath>
      <w:r>
        <w:t xml:space="preserve"> </w:t>
      </w:r>
      <w:r>
        <w:t xml:space="preserve">(129.78 vs. 129.78 vs. 129.79), confirming empirically that the fixed point is unique within the explored range. The contraction-mapping property follows from the monotonicity of</w:t>
      </w:r>
      <w:r>
        <w:t xml:space="preserve"> </w:t>
      </w:r>
      <m:oMath>
        <m:r>
          <m:t>λ</m:t>
        </m:r>
        <m:r>
          <m:rPr>
            <m:sty m:val="p"/>
          </m:rPr>
          <m:t>→</m:t>
        </m:r>
        <m:sSub>
          <m:e>
            <m:r>
              <m:t>M</m:t>
            </m:r>
          </m:e>
          <m:sub>
            <m:r>
              <m:t>g</m:t>
            </m:r>
          </m:sub>
        </m:sSub>
        <m:r>
          <m:rPr>
            <m:sty m:val="p"/>
          </m:rPr>
          <m:t>→</m:t>
        </m:r>
        <m:r>
          <m:t>k</m:t>
        </m:r>
        <m:r>
          <m:rPr>
            <m:sty m:val="p"/>
          </m:rPr>
          <m:t>(</m:t>
        </m:r>
        <m:sSub>
          <m:e>
            <m:r>
              <m:t>M</m:t>
            </m:r>
          </m:e>
          <m:sub>
            <m:r>
              <m:t>g</m:t>
            </m:r>
          </m:sub>
        </m:sSub>
        <m:r>
          <m:rPr>
            <m:sty m:val="p"/>
          </m:rPr>
          <m:t>)</m:t>
        </m:r>
        <m:r>
          <m:rPr>
            <m:sty m:val="p"/>
          </m:rPr>
          <m:t>→</m:t>
        </m:r>
        <m:sSub>
          <m:e>
            <m:r>
              <m:t>λ</m:t>
            </m:r>
          </m:e>
          <m:sub>
            <m:r>
              <m:t>X</m:t>
            </m:r>
          </m:sub>
        </m:sSub>
      </m:oMath>
      <w:r>
        <w:t xml:space="preserve"> </w:t>
      </w:r>
      <w:r>
        <w:t xml:space="preserve">combined with the saturating</w:t>
      </w:r>
      <w:r>
        <w:t xml:space="preserve"> </w:t>
      </w:r>
      <m:oMath>
        <m:r>
          <m:t>k</m:t>
        </m:r>
        <m:r>
          <m:rPr>
            <m:sty m:val="p"/>
          </m:rPr>
          <m:t>(</m:t>
        </m:r>
        <m:sSub>
          <m:e>
            <m:r>
              <m:t>M</m:t>
            </m:r>
          </m:e>
          <m:sub>
            <m:r>
              <m:t>g</m:t>
            </m:r>
          </m:sub>
        </m:sSub>
        <m:r>
          <m:rPr>
            <m:sty m:val="p"/>
          </m:rPr>
          <m:t>)</m:t>
        </m:r>
      </m:oMath>
      <w:r>
        <w:t xml:space="preserve"> </w:t>
      </w:r>
      <w:r>
        <w:t xml:space="preserve">function: at large</w:t>
      </w:r>
      <w:r>
        <w:t xml:space="preserve"> </w:t>
      </w:r>
      <m:oMath>
        <m:sSub>
          <m:e>
            <m:r>
              <m:t>M</m:t>
            </m:r>
          </m:e>
          <m:sub>
            <m:r>
              <m:t>g</m:t>
            </m:r>
          </m:sub>
        </m:sSub>
      </m:oMath>
      <w:r>
        <w:t xml:space="preserve"> </w:t>
      </w:r>
      <w:r>
        <w:t xml:space="preserve">the marginal contribution to</w:t>
      </w:r>
      <w:r>
        <w:t xml:space="preserve"> </w:t>
      </w:r>
      <m:oMath>
        <m:sSub>
          <m:e>
            <m:r>
              <m:t>λ</m:t>
            </m:r>
          </m:e>
          <m:sub>
            <m:r>
              <m:t>X</m:t>
            </m:r>
          </m:sub>
        </m:sSub>
      </m:oMath>
      <w:r>
        <w:t xml:space="preserve"> </w:t>
      </w:r>
      <w:r>
        <w:t xml:space="preserve">vanishes, providing a stable upper bound, while at small</w:t>
      </w:r>
      <w:r>
        <w:t xml:space="preserve"> </w:t>
      </w:r>
      <m:oMath>
        <m:sSub>
          <m:e>
            <m:r>
              <m:t>M</m:t>
            </m:r>
          </m:e>
          <m:sub>
            <m:r>
              <m:t>g</m:t>
            </m:r>
          </m:sub>
        </m:sSub>
      </m:oMath>
      <w:r>
        <w:t xml:space="preserve"> </w:t>
      </w:r>
      <w:r>
        <w:t xml:space="preserve">the lower bound is set by</w:t>
      </w:r>
      <w:r>
        <w:t xml:space="preserve"> </w:t>
      </w:r>
      <m:oMath>
        <m:sSub>
          <m:e>
            <m:r>
              <m:t>λ</m:t>
            </m:r>
          </m:e>
          <m:sub>
            <m:r>
              <m:t>W</m:t>
            </m:r>
          </m:sub>
        </m:sSub>
        <m:r>
          <m:rPr>
            <m:sty m:val="p"/>
          </m:rPr>
          <m:t>&gt;</m:t>
        </m:r>
        <m:r>
          <m:t>0</m:t>
        </m:r>
      </m:oMath>
      <w:r>
        <w:t xml:space="preserve"> </w:t>
      </w:r>
      <w:r>
        <w:t xml:space="preserve">alone.</w:t>
      </w:r>
    </w:p>
    <w:p>
      <w:pPr>
        <w:pStyle w:val="BodyText"/>
      </w:pPr>
      <w:r>
        <w:rPr>
          <w:b/>
          <w:bCs/>
        </w:rPr>
        <w:t xml:space="preserve">Within-group reward ablation.</w:t>
      </w:r>
      <w:r>
        <w:t xml:space="preserve"> </w:t>
      </w:r>
      <w:r>
        <w:t xml:space="preserve">Setting</w:t>
      </w:r>
      <w:r>
        <w:t xml:space="preserve"> </w:t>
      </w:r>
      <m:oMath>
        <m:sSub>
          <m:e>
            <m:r>
              <m:t>λ</m:t>
            </m:r>
          </m:e>
          <m:sub>
            <m:r>
              <m:t>W</m:t>
            </m:r>
          </m:sub>
        </m:sSub>
        <m:r>
          <m:rPr>
            <m:sty m:val="p"/>
          </m:rPr>
          <m:t>=</m:t>
        </m:r>
        <m:r>
          <m:t>0</m:t>
        </m:r>
      </m:oMath>
      <w:r>
        <w:t xml:space="preserve"> </w:t>
      </w:r>
      <w:r>
        <w:t xml:space="preserve">(which removes the only signaling-as-such contribution to fitness; cooperation benefits via</w:t>
      </w:r>
      <w:r>
        <w:t xml:space="preserve"> </w:t>
      </w:r>
      <m:oMath>
        <m:sSub>
          <m:e>
            <m:r>
              <m:t>λ</m:t>
            </m:r>
          </m:e>
          <m:sub>
            <m:r>
              <m:t>X</m:t>
            </m:r>
          </m:sub>
        </m:sSub>
      </m:oMath>
      <w:r>
        <w:t xml:space="preserve"> </w:t>
      </w:r>
      <w:r>
        <w:t xml:space="preserve">and conflict deterrence via</w:t>
      </w:r>
      <w:r>
        <w:t xml:space="preserve"> </w:t>
      </w:r>
      <m:oMath>
        <m:sSub>
          <m:e>
            <m:r>
              <m:t>λ</m:t>
            </m:r>
          </m:e>
          <m:sub>
            <m:r>
              <m:t>C</m:t>
            </m:r>
          </m:sub>
        </m:sSub>
      </m:oMath>
      <w:r>
        <w:t xml:space="preserve"> </w:t>
      </w:r>
      <w:r>
        <w:t xml:space="preserve">remain) raises the critical threshold from</w:t>
      </w:r>
      <w:r>
        <w:t xml:space="preserve"> </w:t>
      </w:r>
      <m:oMath>
        <m:sSup>
          <m:e>
            <m:r>
              <m:t>σ</m:t>
            </m:r>
          </m:e>
          <m:sup>
            <m:r>
              <m:rPr>
                <m:sty m:val="p"/>
              </m:rPr>
              <m:t>*</m:t>
            </m:r>
          </m:sup>
        </m:sSup>
        <m:r>
          <m:rPr>
            <m:sty m:val="p"/>
          </m:rPr>
          <m:t>=</m:t>
        </m:r>
        <m:r>
          <m:t>0.400</m:t>
        </m:r>
      </m:oMath>
      <w:r>
        <w:t xml:space="preserve"> </w:t>
      </w:r>
      <w:r>
        <w:t xml:space="preserve">to</w:t>
      </w:r>
      <w:r>
        <w:t xml:space="preserve"> </w:t>
      </w:r>
      <m:oMath>
        <m:sSup>
          <m:e>
            <m:r>
              <m:t>σ</m:t>
            </m:r>
          </m:e>
          <m:sup>
            <m:r>
              <m:rPr>
                <m:sty m:val="p"/>
              </m:rPr>
              <m:t>*</m:t>
            </m:r>
          </m:sup>
        </m:sSup>
        <m:r>
          <m:rPr>
            <m:sty m:val="p"/>
          </m:rPr>
          <m:t>=</m:t>
        </m:r>
        <m:r>
          <m:t>0.543</m:t>
        </m:r>
      </m:oMath>
      <w:r>
        <w:t xml:space="preserve">, a +36% shift. A linear sweep</w:t>
      </w:r>
      <w:r>
        <w:t xml:space="preserve"> </w:t>
      </w:r>
      <m:oMath>
        <m:sSub>
          <m:e>
            <m:r>
              <m:t>λ</m:t>
            </m:r>
          </m:e>
          <m:sub>
            <m:r>
              <m:t>W</m:t>
            </m:r>
          </m:sub>
        </m:sSub>
        <m:r>
          <m:rPr>
            <m:sty m:val="p"/>
          </m:rPr>
          <m:t>∈</m:t>
        </m:r>
        <m:r>
          <m:rPr>
            <m:sty m:val="p"/>
          </m:rPr>
          <m:t>{</m:t>
        </m:r>
        <m:r>
          <m:t>0.00</m:t>
        </m:r>
        <m:r>
          <m:rPr>
            <m:sty m:val="p"/>
          </m:rPr>
          <m:t>,</m:t>
        </m:r>
        <m:r>
          <m:t>0.05</m:t>
        </m:r>
        <m:r>
          <m:rPr>
            <m:sty m:val="p"/>
          </m:rPr>
          <m:t>,</m:t>
        </m:r>
        <m:r>
          <m:t>0.10</m:t>
        </m:r>
        <m:r>
          <m:rPr>
            <m:sty m:val="p"/>
          </m:rPr>
          <m:t>,</m:t>
        </m:r>
        <m:r>
          <m:t>0.15</m:t>
        </m:r>
        <m:r>
          <m:rPr>
            <m:sty m:val="p"/>
          </m:rPr>
          <m:t>,</m:t>
        </m:r>
        <m:r>
          <m:t>0.20</m:t>
        </m:r>
        <m:r>
          <m:rPr>
            <m:sty m:val="p"/>
          </m:rPr>
          <m:t>,</m:t>
        </m:r>
        <m:r>
          <m:t>0.25</m:t>
        </m:r>
        <m:r>
          <m:rPr>
            <m:sty m:val="p"/>
          </m:rPr>
          <m:t>,</m:t>
        </m:r>
        <m:r>
          <m:t>0.30</m:t>
        </m:r>
        <m:r>
          <m:rPr>
            <m:sty m:val="p"/>
          </m:rPr>
          <m:t>}</m:t>
        </m:r>
      </m:oMath>
      <w:r>
        <w:t xml:space="preserve"> </w:t>
      </w:r>
      <w:r>
        <w:t xml:space="preserve">produces</w:t>
      </w:r>
      <w:r>
        <w:t xml:space="preserve"> </w:t>
      </w:r>
      <m:oMath>
        <m:sSup>
          <m:e>
            <m:r>
              <m:t>σ</m:t>
            </m:r>
          </m:e>
          <m:sup>
            <m:r>
              <m:rPr>
                <m:sty m:val="p"/>
              </m:rPr>
              <m:t>*</m:t>
            </m:r>
          </m:sup>
        </m:sSup>
        <m:r>
          <m:rPr>
            <m:sty m:val="p"/>
          </m:rPr>
          <m:t>∈</m:t>
        </m:r>
        <m:r>
          <m:rPr>
            <m:sty m:val="p"/>
          </m:rPr>
          <m:t>{</m:t>
        </m:r>
        <m:r>
          <m:t>0.543</m:t>
        </m:r>
        <m:r>
          <m:rPr>
            <m:sty m:val="p"/>
          </m:rPr>
          <m:t>,</m:t>
        </m:r>
        <m:r>
          <m:t>0.491</m:t>
        </m:r>
        <m:r>
          <m:rPr>
            <m:sty m:val="p"/>
          </m:rPr>
          <m:t>,</m:t>
        </m:r>
        <m:r>
          <m:t>0.445</m:t>
        </m:r>
        <m:r>
          <m:rPr>
            <m:sty m:val="p"/>
          </m:rPr>
          <m:t>,</m:t>
        </m:r>
        <m:r>
          <m:t>0.400</m:t>
        </m:r>
        <m:r>
          <m:rPr>
            <m:sty m:val="p"/>
          </m:rPr>
          <m:t>,</m:t>
        </m:r>
        <m:r>
          <m:t>0.354</m:t>
        </m:r>
        <m:r>
          <m:rPr>
            <m:sty m:val="p"/>
          </m:rPr>
          <m:t>,</m:t>
        </m:r>
        <m:r>
          <m:t>0.309</m:t>
        </m:r>
        <m:r>
          <m:rPr>
            <m:sty m:val="p"/>
          </m:rPr>
          <m:t>,</m:t>
        </m:r>
        <m:r>
          <m:t>0.263</m:t>
        </m:r>
        <m:r>
          <m:rPr>
            <m:sty m:val="p"/>
          </m:rPr>
          <m:t>}</m:t>
        </m:r>
      </m:oMath>
      <w:r>
        <w:t xml:space="preserve">, demonstrating that the within-group signaling reward contributes a substantial portion of the threshold lowering and that the model is</w:t>
      </w:r>
      <w:r>
        <w:t xml:space="preserve"> </w:t>
      </w:r>
      <w:r>
        <w:rPr>
          <w:i/>
          <w:iCs/>
        </w:rPr>
        <w:t xml:space="preserve">not</w:t>
      </w:r>
      <w:r>
        <w:t xml:space="preserve"> </w:t>
      </w:r>
      <w:r>
        <w:t xml:space="preserve">well approximated by a generic cooperation account in which signaling is decoration.</w:t>
      </w:r>
    </w:p>
    <w:p>
      <w:pPr>
        <w:pStyle w:val="BodyText"/>
      </w:pPr>
      <w:r>
        <w:t xml:space="preserve">The signaling benefit is derived from the Grafen (1990) signaling equilibrium and is the expectation of each band’s individual signaling payoff over the uniform quality distribution</w:t>
      </w:r>
      <w:r>
        <w:t xml:space="preserve"> </w:t>
      </w:r>
      <m:oMath>
        <m:r>
          <m:t>q</m:t>
        </m:r>
        <m:r>
          <m:rPr>
            <m:sty m:val="p"/>
          </m:rPr>
          <m:t>∼</m:t>
        </m:r>
        <m:r>
          <m:t>U</m:t>
        </m:r>
        <m:r>
          <m:rPr>
            <m:sty m:val="p"/>
          </m:rPr>
          <m:t>[</m:t>
        </m:r>
        <m:sSub>
          <m:e>
            <m:r>
              <m:t>q</m:t>
            </m:r>
          </m:e>
          <m:sub>
            <m:r>
              <m:t>m</m:t>
            </m:r>
            <m:r>
              <m:t>i</m:t>
            </m:r>
            <m:r>
              <m:t>n</m:t>
            </m:r>
          </m:sub>
        </m:sSub>
        <m:r>
          <m:rPr>
            <m:sty m:val="p"/>
          </m:rPr>
          <m:t>,</m:t>
        </m:r>
        <m:sSub>
          <m:e>
            <m:r>
              <m:t>q</m:t>
            </m:r>
          </m:e>
          <m:sub>
            <m:r>
              <m:t>m</m:t>
            </m:r>
            <m:r>
              <m:t>a</m:t>
            </m:r>
            <m:r>
              <m:t>x</m:t>
            </m:r>
          </m:sub>
        </m:sSub>
        <m:r>
          <m:rPr>
            <m:sty m:val="p"/>
          </m:rPr>
          <m:t>]</m:t>
        </m:r>
      </m:oMath>
      <w:r>
        <w:t xml:space="preserve">:</w:t>
      </w:r>
    </w:p>
    <w:p>
      <w:pPr>
        <w:pStyle w:val="BodyText"/>
      </w:pPr>
      <m:oMathPara>
        <m:oMathParaPr>
          <m:jc m:val="center"/>
        </m:oMathParaPr>
        <m:oMath>
          <m:r>
            <m:t>B</m:t>
          </m:r>
          <m:r>
            <m:rPr>
              <m:sty m:val="p"/>
            </m:rPr>
            <m:t>(</m:t>
          </m:r>
          <m:r>
            <m:t>λ</m:t>
          </m:r>
          <m:r>
            <m:rPr>
              <m:sty m:val="p"/>
            </m:rPr>
            <m:t>)</m:t>
          </m:r>
          <m:r>
            <m:rPr>
              <m:sty m:val="p"/>
            </m:rPr>
            <m:t>=</m:t>
          </m:r>
          <m:f>
            <m:fPr>
              <m:type m:val="bar"/>
            </m:fPr>
            <m:num>
              <m:r>
                <m:t>λ</m:t>
              </m:r>
            </m:num>
            <m:den>
              <m:r>
                <m:t>2</m:t>
              </m:r>
            </m:den>
          </m:f>
          <m:r>
            <m:rPr>
              <m:sty m:val="p"/>
            </m:rPr>
            <m:t>⋅</m:t>
          </m:r>
          <m:f>
            <m:fPr>
              <m:type m:val="bar"/>
            </m:fPr>
            <m:num>
              <m:sSub>
                <m:e>
                  <m:r>
                    <m:t>q</m:t>
                  </m:r>
                </m:e>
                <m:sub>
                  <m:r>
                    <m:t>m</m:t>
                  </m:r>
                  <m:r>
                    <m:t>i</m:t>
                  </m:r>
                  <m:r>
                    <m:t>n</m:t>
                  </m:r>
                </m:sub>
              </m:sSub>
              <m:r>
                <m:rPr>
                  <m:sty m:val="p"/>
                </m:rPr>
                <m:t>+</m:t>
              </m:r>
              <m:sSub>
                <m:e>
                  <m:r>
                    <m:t>q</m:t>
                  </m:r>
                </m:e>
                <m:sub>
                  <m:r>
                    <m:t>m</m:t>
                  </m:r>
                  <m:r>
                    <m:t>a</m:t>
                  </m:r>
                  <m:r>
                    <m:t>x</m:t>
                  </m:r>
                </m:sub>
              </m:sSub>
            </m:num>
            <m:den>
              <m:r>
                <m:t>2</m:t>
              </m:r>
            </m:den>
          </m:f>
          <m:r>
            <m:rPr>
              <m:sty m:val="p"/>
            </m:rPr>
            <m:t>+</m:t>
          </m:r>
          <m:f>
            <m:fPr>
              <m:type m:val="bar"/>
            </m:fPr>
            <m:num>
              <m:r>
                <m:t>λ</m:t>
              </m:r>
              <m:r>
                <m:t> </m:t>
              </m:r>
              <m:sSubSup>
                <m:e>
                  <m:r>
                    <m:t>q</m:t>
                  </m:r>
                </m:e>
                <m:sub>
                  <m:r>
                    <m:t>m</m:t>
                  </m:r>
                  <m:r>
                    <m:t>i</m:t>
                  </m:r>
                  <m:r>
                    <m:t>n</m:t>
                  </m:r>
                </m:sub>
                <m:sup>
                  <m:r>
                    <m:t>2</m:t>
                  </m:r>
                </m:sup>
              </m:sSubSup>
            </m:num>
            <m:den>
              <m:r>
                <m:t>2</m:t>
              </m:r>
              <m:r>
                <m:rPr>
                  <m:sty m:val="p"/>
                </m:rPr>
                <m:t>(</m:t>
              </m:r>
              <m:sSub>
                <m:e>
                  <m:r>
                    <m:t>q</m:t>
                  </m:r>
                </m:e>
                <m:sub>
                  <m:r>
                    <m:t>m</m:t>
                  </m:r>
                  <m:r>
                    <m:t>a</m:t>
                  </m:r>
                  <m:r>
                    <m:t>x</m:t>
                  </m:r>
                </m:sub>
              </m:sSub>
              <m:r>
                <m:rPr>
                  <m:sty m:val="p"/>
                </m:rPr>
                <m:t>−</m:t>
              </m:r>
              <m:sSub>
                <m:e>
                  <m:r>
                    <m:t>q</m:t>
                  </m:r>
                </m:e>
                <m:sub>
                  <m:r>
                    <m:t>m</m:t>
                  </m:r>
                  <m:r>
                    <m:t>i</m:t>
                  </m:r>
                  <m:r>
                    <m:t>n</m:t>
                  </m:r>
                </m:sub>
              </m:sSub>
              <m:r>
                <m:rPr>
                  <m:sty m:val="p"/>
                </m:rPr>
                <m:t>)</m:t>
              </m:r>
            </m:den>
          </m:f>
          <m:r>
            <m:t> </m:t>
          </m:r>
          <m:r>
            <m:rPr>
              <m:sty m:val="p"/>
            </m:rPr>
            <m:t>ln</m:t>
          </m:r>
          <m:r>
            <m:t>​</m:t>
          </m:r>
          <m:f>
            <m:fPr>
              <m:type m:val="bar"/>
            </m:fPr>
            <m:num>
              <m:sSub>
                <m:e>
                  <m:r>
                    <m:t>q</m:t>
                  </m:r>
                </m:e>
                <m:sub>
                  <m:r>
                    <m:t>m</m:t>
                  </m:r>
                  <m:r>
                    <m:t>a</m:t>
                  </m:r>
                  <m:r>
                    <m:t>x</m:t>
                  </m:r>
                </m:sub>
              </m:sSub>
            </m:num>
            <m:den>
              <m:sSub>
                <m:e>
                  <m:r>
                    <m:t>q</m:t>
                  </m:r>
                </m:e>
                <m:sub>
                  <m:r>
                    <m:t>m</m:t>
                  </m:r>
                  <m:r>
                    <m:t>i</m:t>
                  </m:r>
                  <m:r>
                    <m:t>n</m:t>
                  </m:r>
                </m:sub>
              </m:sSub>
            </m:den>
          </m:f>
        </m:oMath>
      </m:oMathPara>
    </w:p>
    <w:p>
      <w:pPr>
        <w:pStyle w:val="FirstParagraph"/>
      </w:pPr>
      <w:r>
        <w:t xml:space="preserve">Plainly: B(λ) is the average extra fitness a band gets from signaling, computed by averaging across the range of band qualities present in the population. The first term is the leading contribution. The second is a small correction that accounts for the curvature of the per-band benefit function near</w:t>
      </w:r>
      <w:r>
        <w:t xml:space="preserve"> </w:t>
      </w:r>
      <m:oMath>
        <m:sSub>
          <m:e>
            <m:r>
              <m:t>q</m:t>
            </m:r>
          </m:e>
          <m:sub>
            <m:r>
              <m:t>m</m:t>
            </m:r>
            <m:r>
              <m:t>i</m:t>
            </m:r>
            <m:r>
              <m:t>n</m:t>
            </m:r>
          </m:sub>
        </m:sSub>
      </m:oMath>
      <w:r>
        <w:t xml:space="preserve">. At our parameters (</w:t>
      </w:r>
      <m:oMath>
        <m:sSub>
          <m:e>
            <m:r>
              <m:t>q</m:t>
            </m:r>
          </m:e>
          <m:sub>
            <m:r>
              <m:t>m</m:t>
            </m:r>
            <m:r>
              <m:t>i</m:t>
            </m:r>
            <m:r>
              <m:t>n</m:t>
            </m:r>
          </m:sub>
        </m:sSub>
        <m:r>
          <m:rPr>
            <m:sty m:val="p"/>
          </m:rPr>
          <m:t>=</m:t>
        </m:r>
        <m:r>
          <m:t>0.2</m:t>
        </m:r>
      </m:oMath>
      <w:r>
        <w:t xml:space="preserve">,</w:t>
      </w:r>
      <w:r>
        <w:t xml:space="preserve"> </w:t>
      </w:r>
      <m:oMath>
        <m:sSub>
          <m:e>
            <m:r>
              <m:t>q</m:t>
            </m:r>
          </m:e>
          <m:sub>
            <m:r>
              <m:t>m</m:t>
            </m:r>
            <m:r>
              <m:t>a</m:t>
            </m:r>
            <m:r>
              <m:t>x</m:t>
            </m:r>
          </m:sub>
        </m:sSub>
        <m:r>
          <m:rPr>
            <m:sty m:val="p"/>
          </m:rPr>
          <m:t>=</m:t>
        </m:r>
        <m:r>
          <m:t>2.0</m:t>
        </m:r>
      </m:oMath>
      <w:r>
        <w:t xml:space="preserve">; the ratio of the two terms is independent of</w:t>
      </w:r>
      <w:r>
        <w:t xml:space="preserve"> </w:t>
      </w:r>
      <m:oMath>
        <m:r>
          <m:t>λ</m:t>
        </m:r>
      </m:oMath>
      <w:r>
        <w:t xml:space="preserve">) the second term is approximately 5% of the first, and the code computes both.</w:t>
      </w:r>
    </w:p>
    <w:bookmarkEnd w:id="19"/>
    <w:bookmarkStart w:id="20" w:name="conflict-parameters"/>
    <w:p>
      <w:pPr>
        <w:pStyle w:val="Heading3"/>
      </w:pPr>
      <w:r>
        <w:t xml:space="preserve">Conflict parameters</w:t>
      </w:r>
    </w:p>
    <w:p>
      <w:pPr>
        <w:pStyle w:val="FirstParagraph"/>
      </w:pPr>
      <w:r>
        <w:t xml:space="preserve">Baseline annual conflict probability</w:t>
      </w:r>
      <w:r>
        <w:t xml:space="preserve"> </w:t>
      </w:r>
      <m:oMath>
        <m:sSub>
          <m:e>
            <m:r>
              <m:t>P</m:t>
            </m:r>
          </m:e>
          <m:sub>
            <m:r>
              <m:t>b</m:t>
            </m:r>
            <m:r>
              <m:t>a</m:t>
            </m:r>
            <m:r>
              <m:t>s</m:t>
            </m:r>
            <m:r>
              <m:t>e</m:t>
            </m:r>
          </m:sub>
        </m:sSub>
        <m:r>
          <m:rPr>
            <m:sty m:val="p"/>
          </m:rPr>
          <m:t>=</m:t>
        </m:r>
        <m:r>
          <m:t>0.008</m:t>
        </m:r>
      </m:oMath>
      <w:r>
        <w:t xml:space="preserve"> </w:t>
      </w:r>
      <w:r>
        <w:t xml:space="preserve">and conflict mortality</w:t>
      </w:r>
      <w:r>
        <w:t xml:space="preserve"> </w:t>
      </w:r>
      <m:oMath>
        <m:sSub>
          <m:e>
            <m:r>
              <m:t>μ</m:t>
            </m:r>
          </m:e>
          <m:sub>
            <m:r>
              <m:t>c</m:t>
            </m:r>
          </m:sub>
        </m:sSub>
        <m:r>
          <m:rPr>
            <m:sty m:val="p"/>
          </m:rPr>
          <m:t>=</m:t>
        </m:r>
        <m:r>
          <m:t>0.08</m:t>
        </m:r>
      </m:oMath>
      <w:r>
        <w:t xml:space="preserve"> </w:t>
      </w:r>
      <w:r>
        <w:t xml:space="preserve">are set conservatively low, reflecting reduced territorial fixity of mobile hunter-gatherers relative to sedentary populations. Monument investment reduces conflict through an assessment mechanism (Enquist and Leimar 1983).</w:t>
      </w:r>
    </w:p>
    <w:bookmarkEnd w:id="20"/>
    <w:bookmarkStart w:id="21" w:name="ecotone-parameter"/>
    <w:p>
      <w:pPr>
        <w:pStyle w:val="Heading3"/>
      </w:pPr>
      <w:r>
        <w:t xml:space="preserve">Ecotone parameter</w:t>
      </w:r>
    </w:p>
    <w:p>
      <w:pPr>
        <w:pStyle w:val="FirstParagraph"/>
      </w:pPr>
      <m:oMath>
        <m:r>
          <m:t>ε</m:t>
        </m:r>
      </m:oMath>
      <w:r>
        <w:t xml:space="preserve"> </w:t>
      </w:r>
      <w:r>
        <w:t xml:space="preserve">ranges from 0 (single-zone location) to ~0.5 (exceptionally well-buffered). The main §2.3 develops the negative-covariance interpretation and the regional empirical paper develops the per-site operationalization at LMV mound-building sites. Here we treat</w:t>
      </w:r>
      <w:r>
        <w:t xml:space="preserve"> </w:t>
      </w:r>
      <m:oMath>
        <m:r>
          <m:t>ε</m:t>
        </m:r>
      </m:oMath>
      <w:r>
        <w:t xml:space="preserve"> </w:t>
      </w:r>
      <w:r>
        <w:t xml:space="preserve">as an input variable on</w:t>
      </w:r>
      <w:r>
        <w:t xml:space="preserve"> </w:t>
      </w:r>
      <m:oMath>
        <m:r>
          <m:rPr>
            <m:sty m:val="p"/>
          </m:rPr>
          <m:t>[</m:t>
        </m:r>
        <m:r>
          <m:t>0</m:t>
        </m:r>
        <m:r>
          <m:rPr>
            <m:sty m:val="p"/>
          </m:rPr>
          <m:t>,</m:t>
        </m:r>
        <m:r>
          <m:t>0.5</m:t>
        </m:r>
        <m:r>
          <m:rPr>
            <m:sty m:val="p"/>
          </m:rPr>
          <m:t>]</m:t>
        </m:r>
      </m:oMath>
      <w:r>
        <w:t xml:space="preserve"> </w:t>
      </w:r>
      <w:r>
        <w:t xml:space="preserve">for purposes of the theoretical sweeps below.</w:t>
      </w:r>
    </w:p>
    <w:bookmarkEnd w:id="21"/>
    <w:bookmarkStart w:id="22" w:name="table-s2-full-parameter-list"/>
    <w:p>
      <w:pPr>
        <w:pStyle w:val="Heading3"/>
      </w:pPr>
      <w:r>
        <w:t xml:space="preserve">Table S2: Full parameter list</w:t>
      </w:r>
    </w:p>
    <w:tbl>
      <w:tblPr>
        <w:tblStyle w:val="Table"/>
        <w:tblW w:type="pct" w:w="5000"/>
        <w:tblLayout w:type="fixed"/>
        <w:tblLook w:firstRow="1" w:lastRow="0" w:firstColumn="0" w:lastColumn="0" w:noHBand="0" w:noVBand="0" w:val="0020"/>
      </w:tblPr>
      <w:tblGrid>
        <w:gridCol w:w="2124"/>
        <w:gridCol w:w="1545"/>
        <w:gridCol w:w="1352"/>
        <w:gridCol w:w="1352"/>
        <w:gridCol w:w="1545"/>
      </w:tblGrid>
      <w:tr>
        <w:trPr>
          <w:tblHeader w:val="on"/>
        </w:trPr>
        <w:tc>
          <w:tcPr/>
          <w:p>
            <w:pPr>
              <w:pStyle w:val="Compact"/>
            </w:pPr>
            <w:r>
              <w:t xml:space="preserve">Parameter</w:t>
            </w:r>
          </w:p>
        </w:tc>
        <w:tc>
          <w:tcPr/>
          <w:p>
            <w:pPr>
              <w:pStyle w:val="Compact"/>
            </w:pPr>
            <w:r>
              <w:t xml:space="preserve">Symbol</w:t>
            </w:r>
          </w:p>
        </w:tc>
        <w:tc>
          <w:tcPr/>
          <w:p>
            <w:pPr>
              <w:pStyle w:val="Compact"/>
            </w:pPr>
            <w:r>
              <w:t xml:space="preserve">Value</w:t>
            </w:r>
          </w:p>
        </w:tc>
        <w:tc>
          <w:tcPr/>
          <w:p>
            <w:pPr>
              <w:pStyle w:val="Compact"/>
            </w:pPr>
            <w:r>
              <w:t xml:space="preserve">Range</w:t>
            </w:r>
          </w:p>
        </w:tc>
        <w:tc>
          <w:tcPr/>
          <w:p>
            <w:pPr>
              <w:pStyle w:val="Compact"/>
            </w:pPr>
            <w:r>
              <w:t xml:space="preserve">Source</w:t>
            </w:r>
          </w:p>
        </w:tc>
      </w:tr>
      <w:tr>
        <w:tc>
          <w:tcPr/>
          <w:p>
            <w:pPr>
              <w:pStyle w:val="Compact"/>
            </w:pPr>
            <w:r>
              <w:t xml:space="preserve">Travel cost coefficient</w:t>
            </w:r>
          </w:p>
        </w:tc>
        <w:tc>
          <w:tcPr/>
          <w:p>
            <w:pPr>
              <w:pStyle w:val="Compact"/>
            </w:pPr>
            <m:oMath>
              <m:sSub>
                <m:e>
                  <m:r>
                    <m:t>c</m:t>
                  </m:r>
                </m:e>
                <m:sub>
                  <m:r>
                    <m:t>t</m:t>
                  </m:r>
                </m:sub>
              </m:sSub>
            </m:oMath>
          </w:p>
        </w:tc>
        <w:tc>
          <w:tcPr/>
          <w:p>
            <w:pPr>
              <w:pStyle w:val="Compact"/>
            </w:pPr>
            <w:r>
              <w:t xml:space="preserve">0.0004/km</w:t>
            </w:r>
          </w:p>
        </w:tc>
        <w:tc>
          <w:tcPr/>
          <w:p>
            <w:pPr>
              <w:pStyle w:val="Compact"/>
            </w:pPr>
            <w:r>
              <w:t xml:space="preserve">0.0002-0.0008</w:t>
            </w:r>
          </w:p>
        </w:tc>
        <w:tc>
          <w:tcPr/>
          <w:p>
            <w:pPr>
              <w:pStyle w:val="Compact"/>
            </w:pPr>
            <w:r>
              <w:t xml:space="preserve">Kelly (2013)</w:t>
            </w:r>
          </w:p>
        </w:tc>
      </w:tr>
      <w:tr>
        <w:tc>
          <w:tcPr/>
          <w:p>
            <w:pPr>
              <w:pStyle w:val="Compact"/>
            </w:pPr>
            <w:r>
              <w:t xml:space="preserve">Signal investment</w:t>
            </w:r>
          </w:p>
        </w:tc>
        <w:tc>
          <w:tcPr/>
          <w:p>
            <w:pPr>
              <w:pStyle w:val="Compact"/>
            </w:pPr>
            <m:oMath>
              <m:sSub>
                <m:e>
                  <m:r>
                    <m:t>C</m:t>
                  </m:r>
                </m:e>
                <m:sub>
                  <m:r>
                    <m:t>s</m:t>
                  </m:r>
                  <m:r>
                    <m:t>i</m:t>
                  </m:r>
                  <m:r>
                    <m:t>g</m:t>
                  </m:r>
                  <m:r>
                    <m:t>n</m:t>
                  </m:r>
                  <m:r>
                    <m:t>a</m:t>
                  </m:r>
                  <m:r>
                    <m:t>l</m:t>
                  </m:r>
                </m:sub>
              </m:sSub>
            </m:oMath>
          </w:p>
        </w:tc>
        <w:tc>
          <w:tcPr/>
          <w:p>
            <w:pPr>
              <w:pStyle w:val="Compact"/>
            </w:pPr>
            <w:r>
              <w:t xml:space="preserve">0.18</w:t>
            </w:r>
          </w:p>
        </w:tc>
        <w:tc>
          <w:tcPr/>
          <w:p>
            <w:pPr>
              <w:pStyle w:val="Compact"/>
            </w:pPr>
            <w:r>
              <w:t xml:space="preserve">0.10-0.25</w:t>
            </w:r>
          </w:p>
        </w:tc>
        <w:tc>
          <w:tcPr/>
          <w:p>
            <w:pPr>
              <w:pStyle w:val="Compact"/>
            </w:pPr>
            <w:r>
              <w:t xml:space="preserve">Sherwood &amp; Kidder (2011)</w:t>
            </w:r>
          </w:p>
        </w:tc>
      </w:tr>
      <w:tr>
        <w:tc>
          <w:tcPr/>
          <w:p>
            <w:pPr>
              <w:pStyle w:val="Compact"/>
            </w:pPr>
            <w:r>
              <w:t xml:space="preserve">Opportunity cost</w:t>
            </w:r>
          </w:p>
        </w:tc>
        <w:tc>
          <w:tcPr/>
          <w:p>
            <w:pPr>
              <w:pStyle w:val="Compact"/>
            </w:pPr>
            <m:oMath>
              <m:sSub>
                <m:e>
                  <m:r>
                    <m:t>C</m:t>
                  </m:r>
                </m:e>
                <m:sub>
                  <m:r>
                    <m:t>o</m:t>
                  </m:r>
                  <m:r>
                    <m:t>p</m:t>
                  </m:r>
                  <m:r>
                    <m:t>p</m:t>
                  </m:r>
                  <m:r>
                    <m:t>o</m:t>
                  </m:r>
                  <m:r>
                    <m:t>r</m:t>
                  </m:r>
                  <m:r>
                    <m:t>t</m:t>
                  </m:r>
                  <m:r>
                    <m:t>u</m:t>
                  </m:r>
                  <m:r>
                    <m:t>n</m:t>
                  </m:r>
                  <m:r>
                    <m:t>i</m:t>
                  </m:r>
                  <m:r>
                    <m:t>t</m:t>
                  </m:r>
                  <m:r>
                    <m:t>y</m:t>
                  </m:r>
                </m:sub>
              </m:sSub>
            </m:oMath>
          </w:p>
        </w:tc>
        <w:tc>
          <w:tcPr/>
          <w:p>
            <w:pPr>
              <w:pStyle w:val="Compact"/>
            </w:pPr>
            <w:r>
              <w:t xml:space="preserve">0.12</w:t>
            </w:r>
          </w:p>
        </w:tc>
        <w:tc>
          <w:tcPr/>
          <w:p>
            <w:pPr>
              <w:pStyle w:val="Compact"/>
            </w:pPr>
            <w:r>
              <w:t xml:space="preserve">0.08-0.18</w:t>
            </w:r>
          </w:p>
        </w:tc>
        <w:tc>
          <w:tcPr/>
          <w:p>
            <w:pPr>
              <w:pStyle w:val="Compact"/>
            </w:pPr>
            <w:r>
              <w:t xml:space="preserve">Conkey (1980)</w:t>
            </w:r>
          </w:p>
        </w:tc>
      </w:tr>
      <w:tr>
        <w:tc>
          <w:tcPr/>
          <w:p>
            <w:pPr>
              <w:pStyle w:val="Compact"/>
            </w:pPr>
            <w:r>
              <w:t xml:space="preserve">Buffering efficiency</w:t>
            </w:r>
          </w:p>
        </w:tc>
        <w:tc>
          <w:tcPr/>
          <w:p>
            <w:pPr>
              <w:pStyle w:val="Compact"/>
            </w:pPr>
            <m:oMath>
              <m:r>
                <m:t>γ</m:t>
              </m:r>
            </m:oMath>
          </w:p>
        </w:tc>
        <w:tc>
          <w:tcPr/>
          <w:p>
            <w:pPr>
              <w:pStyle w:val="Compact"/>
            </w:pPr>
            <w:r>
              <w:t xml:space="preserve">0.05</w:t>
            </w:r>
          </w:p>
        </w:tc>
        <w:tc>
          <w:tcPr/>
          <w:p>
            <w:pPr>
              <w:pStyle w:val="Compact"/>
            </w:pPr>
            <w:r>
              <w:t xml:space="preserve">0.03-0.10</w:t>
            </w:r>
          </w:p>
        </w:tc>
        <w:tc>
          <w:tcPr/>
          <w:p>
            <w:pPr>
              <w:pStyle w:val="Compact"/>
            </w:pPr>
            <w:r>
              <w:t xml:space="preserve">Wiessner (2002)</w:t>
            </w:r>
          </w:p>
        </w:tc>
      </w:tr>
      <w:tr>
        <w:tc>
          <w:tcPr/>
          <w:p>
            <w:pPr>
              <w:pStyle w:val="Compact"/>
            </w:pPr>
            <w:r>
              <w:t xml:space="preserve">Baseline degree</w:t>
            </w:r>
          </w:p>
        </w:tc>
        <w:tc>
          <w:tcPr/>
          <w:p>
            <w:pPr>
              <w:pStyle w:val="Compact"/>
            </w:pPr>
            <m:oMath>
              <m:sSub>
                <m:e>
                  <m:r>
                    <m:t>k</m:t>
                  </m:r>
                </m:e>
                <m:sub>
                  <m:r>
                    <m:t>0</m:t>
                  </m:r>
                </m:sub>
              </m:sSub>
            </m:oMath>
          </w:p>
        </w:tc>
        <w:tc>
          <w:tcPr/>
          <w:p>
            <w:pPr>
              <w:pStyle w:val="Compact"/>
            </w:pPr>
            <w:r>
              <w:t xml:space="preserve">0.3</w:t>
            </w:r>
          </w:p>
        </w:tc>
        <w:tc>
          <w:tcPr/>
          <w:p>
            <w:pPr>
              <w:pStyle w:val="Compact"/>
            </w:pPr>
            <w:r>
              <w:t xml:space="preserve">0.1-0.5</w:t>
            </w:r>
          </w:p>
        </w:tc>
        <w:tc>
          <w:tcPr/>
          <w:p>
            <w:pPr>
              <w:pStyle w:val="Compact"/>
            </w:pPr>
            <w:r>
              <w:t xml:space="preserve">ethnographic</w:t>
            </w:r>
          </w:p>
        </w:tc>
      </w:tr>
      <w:tr>
        <w:tc>
          <w:tcPr/>
          <w:p>
            <w:pPr>
              <w:pStyle w:val="Compact"/>
            </w:pPr>
            <w:r>
              <w:t xml:space="preserve">Max degree</w:t>
            </w:r>
          </w:p>
        </w:tc>
        <w:tc>
          <w:tcPr/>
          <w:p>
            <w:pPr>
              <w:pStyle w:val="Compact"/>
            </w:pPr>
            <m:oMath>
              <m:sSub>
                <m:e>
                  <m:r>
                    <m:t>k</m:t>
                  </m:r>
                </m:e>
                <m:sub>
                  <m:r>
                    <m:t>m</m:t>
                  </m:r>
                  <m:r>
                    <m:t>a</m:t>
                  </m:r>
                  <m:r>
                    <m:t>x</m:t>
                  </m:r>
                </m:sub>
              </m:sSub>
            </m:oMath>
          </w:p>
        </w:tc>
        <w:tc>
          <w:tcPr/>
          <w:p>
            <w:pPr>
              <w:pStyle w:val="Compact"/>
            </w:pPr>
            <w:r>
              <w:t xml:space="preserve">6.0</w:t>
            </w:r>
          </w:p>
        </w:tc>
        <w:tc>
          <w:tcPr/>
          <w:p>
            <w:pPr>
              <w:pStyle w:val="Compact"/>
            </w:pPr>
            <w:r>
              <w:t xml:space="preserve">4-10</w:t>
            </w:r>
          </w:p>
        </w:tc>
        <w:tc>
          <w:tcPr/>
          <w:p>
            <w:pPr>
              <w:pStyle w:val="Compact"/>
            </w:pPr>
            <w:r>
              <w:t xml:space="preserve">ethnographic</w:t>
            </w:r>
          </w:p>
        </w:tc>
      </w:tr>
      <w:tr>
        <w:tc>
          <w:tcPr/>
          <w:p>
            <w:pPr>
              <w:pStyle w:val="Compact"/>
            </w:pPr>
            <w:r>
              <w:t xml:space="preserve">Half-saturation</w:t>
            </w:r>
          </w:p>
        </w:tc>
        <w:tc>
          <w:tcPr/>
          <w:p>
            <w:pPr>
              <w:pStyle w:val="Compact"/>
            </w:pPr>
            <m:oMath>
              <m:sSub>
                <m:e>
                  <m:r>
                    <m:t>M</m:t>
                  </m:r>
                </m:e>
                <m:sub>
                  <m:r>
                    <m:t>h</m:t>
                  </m:r>
                  <m:r>
                    <m:t>a</m:t>
                  </m:r>
                  <m:r>
                    <m:t>l</m:t>
                  </m:r>
                  <m:r>
                    <m:t>f</m:t>
                  </m:r>
                </m:sub>
              </m:sSub>
            </m:oMath>
          </w:p>
        </w:tc>
        <w:tc>
          <w:tcPr/>
          <w:p>
            <w:pPr>
              <w:pStyle w:val="Compact"/>
            </w:pPr>
            <w:r>
              <w:t xml:space="preserve">2.5</w:t>
            </w:r>
          </w:p>
        </w:tc>
        <w:tc>
          <w:tcPr/>
          <w:p>
            <w:pPr>
              <w:pStyle w:val="Compact"/>
            </w:pPr>
            <w:r>
              <w:t xml:space="preserve">1-5</w:t>
            </w:r>
          </w:p>
        </w:tc>
        <w:tc>
          <w:tcPr/>
          <w:p>
            <w:pPr>
              <w:pStyle w:val="Compact"/>
            </w:pPr>
            <w:r>
              <w:t xml:space="preserve">model fit</w:t>
            </w:r>
          </w:p>
        </w:tc>
      </w:tr>
      <w:tr>
        <w:tc>
          <w:tcPr/>
          <w:p>
            <w:pPr>
              <w:pStyle w:val="Compact"/>
            </w:pPr>
            <w:r>
              <w:t xml:space="preserve">Aggregation fraction</w:t>
            </w:r>
          </w:p>
        </w:tc>
        <w:tc>
          <w:tcPr/>
          <w:p>
            <w:pPr>
              <w:pStyle w:val="Compact"/>
            </w:pPr>
            <m:oMath>
              <m:sSub>
                <m:e>
                  <m:r>
                    <m:t>f</m:t>
                  </m:r>
                </m:e>
                <m:sub>
                  <m:r>
                    <m:t>a</m:t>
                  </m:r>
                  <m:r>
                    <m:t>g</m:t>
                  </m:r>
                  <m:r>
                    <m:t>g</m:t>
                  </m:r>
                </m:sub>
              </m:sSub>
            </m:oMath>
          </w:p>
        </w:tc>
        <w:tc>
          <w:tcPr/>
          <w:p>
            <w:pPr>
              <w:pStyle w:val="Compact"/>
            </w:pPr>
            <w:r>
              <w:t xml:space="preserve">0.25</w:t>
            </w:r>
          </w:p>
        </w:tc>
        <w:tc>
          <w:tcPr/>
          <w:p>
            <w:pPr>
              <w:pStyle w:val="Compact"/>
            </w:pPr>
            <w:r>
              <w:t xml:space="preserve">0.15-0.35</w:t>
            </w:r>
          </w:p>
        </w:tc>
        <w:tc>
          <w:tcPr/>
          <w:p>
            <w:pPr>
              <w:pStyle w:val="Compact"/>
            </w:pPr>
            <w:r>
              <w:t xml:space="preserve">seasonal cycle</w:t>
            </w:r>
          </w:p>
        </w:tc>
      </w:tr>
      <w:tr>
        <w:tc>
          <w:tcPr/>
          <w:p>
            <w:pPr>
              <w:pStyle w:val="Compact"/>
            </w:pPr>
            <w:r>
              <w:t xml:space="preserve">Network decay</w:t>
            </w:r>
          </w:p>
        </w:tc>
        <w:tc>
          <w:tcPr/>
          <w:p>
            <w:pPr>
              <w:pStyle w:val="Compact"/>
            </w:pPr>
            <m:oMath>
              <m:sSub>
                <m:e>
                  <m:r>
                    <m:t>δ</m:t>
                  </m:r>
                </m:e>
                <m:sub>
                  <m:r>
                    <m:t>n</m:t>
                  </m:r>
                  <m:r>
                    <m:t>e</m:t>
                  </m:r>
                  <m:r>
                    <m:t>t</m:t>
                  </m:r>
                </m:sub>
              </m:sSub>
            </m:oMath>
          </w:p>
        </w:tc>
        <w:tc>
          <w:tcPr/>
          <w:p>
            <w:pPr>
              <w:pStyle w:val="Compact"/>
            </w:pPr>
            <w:r>
              <w:t xml:space="preserve">0.40</w:t>
            </w:r>
          </w:p>
        </w:tc>
        <w:tc>
          <w:tcPr/>
          <w:p>
            <w:pPr>
              <w:pStyle w:val="Compact"/>
            </w:pPr>
            <w:r>
              <w:t xml:space="preserve">0.20-0.60</w:t>
            </w:r>
          </w:p>
        </w:tc>
        <w:tc>
          <w:tcPr/>
          <w:p>
            <w:pPr>
              <w:pStyle w:val="Compact"/>
            </w:pPr>
            <w:r>
              <w:t xml:space="preserve">ethnographic</w:t>
            </w:r>
          </w:p>
        </w:tc>
      </w:tr>
      <w:tr>
        <w:tc>
          <w:tcPr/>
          <w:p>
            <w:pPr>
              <w:pStyle w:val="Compact"/>
            </w:pPr>
            <w:r>
              <w:t xml:space="preserve">Within-group signal</w:t>
            </w:r>
          </w:p>
        </w:tc>
        <w:tc>
          <w:tcPr/>
          <w:p>
            <w:pPr>
              <w:pStyle w:val="Compact"/>
            </w:pPr>
            <m:oMath>
              <m:sSub>
                <m:e>
                  <m:r>
                    <m:t>λ</m:t>
                  </m:r>
                </m:e>
                <m:sub>
                  <m:r>
                    <m:t>W</m:t>
                  </m:r>
                </m:sub>
              </m:sSub>
            </m:oMath>
          </w:p>
        </w:tc>
        <w:tc>
          <w:tcPr/>
          <w:p>
            <w:pPr>
              <w:pStyle w:val="Compact"/>
            </w:pPr>
            <w:r>
              <w:t xml:space="preserve">0.15</w:t>
            </w:r>
          </w:p>
        </w:tc>
        <w:tc>
          <w:tcPr/>
          <w:p>
            <w:pPr>
              <w:pStyle w:val="Compact"/>
            </w:pPr>
            <w:r>
              <w:t xml:space="preserve">0.05-0.30</w:t>
            </w:r>
          </w:p>
        </w:tc>
        <w:tc>
          <w:tcPr/>
          <w:p>
            <w:pPr>
              <w:pStyle w:val="Compact"/>
            </w:pPr>
            <w:r>
              <w:t xml:space="preserve">Hawkes 2000; Wiessner 2002; Hawkes &amp; Bliege Bird 2002</w:t>
            </w:r>
          </w:p>
        </w:tc>
      </w:tr>
      <w:tr>
        <w:tc>
          <w:tcPr/>
          <w:p>
            <w:pPr>
              <w:pStyle w:val="Compact"/>
            </w:pPr>
            <w:r>
              <w:t xml:space="preserve">Quality min</w:t>
            </w:r>
          </w:p>
        </w:tc>
        <w:tc>
          <w:tcPr/>
          <w:p>
            <w:pPr>
              <w:pStyle w:val="Compact"/>
            </w:pPr>
            <m:oMath>
              <m:sSub>
                <m:e>
                  <m:r>
                    <m:t>q</m:t>
                  </m:r>
                </m:e>
                <m:sub>
                  <m:r>
                    <m:t>m</m:t>
                  </m:r>
                  <m:r>
                    <m:t>i</m:t>
                  </m:r>
                  <m:r>
                    <m:t>n</m:t>
                  </m:r>
                </m:sub>
              </m:sSub>
            </m:oMath>
          </w:p>
        </w:tc>
        <w:tc>
          <w:tcPr/>
          <w:p>
            <w:pPr>
              <w:pStyle w:val="Compact"/>
            </w:pPr>
            <w:r>
              <w:t xml:space="preserve">0.2</w:t>
            </w:r>
          </w:p>
        </w:tc>
        <w:tc>
          <w:tcPr/>
          <w:p>
            <w:pPr>
              <w:pStyle w:val="Compact"/>
            </w:pPr>
            <w:r>
              <w:t xml:space="preserve">0.1-0.4</w:t>
            </w:r>
          </w:p>
        </w:tc>
        <w:tc>
          <w:tcPr/>
          <w:p>
            <w:pPr>
              <w:pStyle w:val="Compact"/>
            </w:pPr>
            <w:r>
              <w:t xml:space="preserve">hunter-gatherer return-rate variation (Hadza, Ju/’hoansi)</w:t>
            </w:r>
          </w:p>
        </w:tc>
      </w:tr>
      <w:tr>
        <w:tc>
          <w:tcPr/>
          <w:p>
            <w:pPr>
              <w:pStyle w:val="Compact"/>
            </w:pPr>
            <w:r>
              <w:t xml:space="preserve">Quality max</w:t>
            </w:r>
          </w:p>
        </w:tc>
        <w:tc>
          <w:tcPr/>
          <w:p>
            <w:pPr>
              <w:pStyle w:val="Compact"/>
            </w:pPr>
            <m:oMath>
              <m:sSub>
                <m:e>
                  <m:r>
                    <m:t>q</m:t>
                  </m:r>
                </m:e>
                <m:sub>
                  <m:r>
                    <m:t>m</m:t>
                  </m:r>
                  <m:r>
                    <m:t>a</m:t>
                  </m:r>
                  <m:r>
                    <m:t>x</m:t>
                  </m:r>
                </m:sub>
              </m:sSub>
            </m:oMath>
          </w:p>
        </w:tc>
        <w:tc>
          <w:tcPr/>
          <w:p>
            <w:pPr>
              <w:pStyle w:val="Compact"/>
            </w:pPr>
            <w:r>
              <w:t xml:space="preserve">2.0</w:t>
            </w:r>
          </w:p>
        </w:tc>
        <w:tc>
          <w:tcPr/>
          <w:p>
            <w:pPr>
              <w:pStyle w:val="Compact"/>
            </w:pPr>
            <w:r>
              <w:t xml:space="preserve">1.5-2.5</w:t>
            </w:r>
          </w:p>
        </w:tc>
        <w:tc>
          <w:tcPr/>
          <w:p>
            <w:pPr>
              <w:pStyle w:val="Compact"/>
            </w:pPr>
            <w:r>
              <w:t xml:space="preserve">hunter-gatherer return-rate variation (Hadza, Ju/’hoansi)</w:t>
            </w:r>
          </w:p>
        </w:tc>
      </w:tr>
      <w:tr>
        <w:tc>
          <w:tcPr/>
          <w:p>
            <w:pPr>
              <w:pStyle w:val="Compact"/>
            </w:pPr>
            <w:r>
              <w:t xml:space="preserve">Conflict prob</w:t>
            </w:r>
          </w:p>
        </w:tc>
        <w:tc>
          <w:tcPr/>
          <w:p>
            <w:pPr>
              <w:pStyle w:val="Compact"/>
            </w:pPr>
            <m:oMath>
              <m:sSub>
                <m:e>
                  <m:r>
                    <m:t>P</m:t>
                  </m:r>
                </m:e>
                <m:sub>
                  <m:r>
                    <m:t>b</m:t>
                  </m:r>
                  <m:r>
                    <m:t>a</m:t>
                  </m:r>
                  <m:r>
                    <m:t>s</m:t>
                  </m:r>
                  <m:r>
                    <m:t>e</m:t>
                  </m:r>
                </m:sub>
              </m:sSub>
            </m:oMath>
          </w:p>
        </w:tc>
        <w:tc>
          <w:tcPr/>
          <w:p>
            <w:pPr>
              <w:pStyle w:val="Compact"/>
            </w:pPr>
            <w:r>
              <w:t xml:space="preserve">0.008</w:t>
            </w:r>
          </w:p>
        </w:tc>
        <w:tc>
          <w:tcPr/>
          <w:p>
            <w:pPr>
              <w:pStyle w:val="Compact"/>
            </w:pPr>
            <w:r>
              <w:t xml:space="preserve">0.004-0.020</w:t>
            </w:r>
          </w:p>
        </w:tc>
        <w:tc>
          <w:tcPr/>
          <w:p>
            <w:pPr>
              <w:pStyle w:val="Compact"/>
            </w:pPr>
            <w:r>
              <w:t xml:space="preserve">ethnographic</w:t>
            </w:r>
          </w:p>
        </w:tc>
      </w:tr>
      <w:tr>
        <w:tc>
          <w:tcPr/>
          <w:p>
            <w:pPr>
              <w:pStyle w:val="Compact"/>
            </w:pPr>
            <w:r>
              <w:t xml:space="preserve">Conflict mortality</w:t>
            </w:r>
          </w:p>
        </w:tc>
        <w:tc>
          <w:tcPr/>
          <w:p>
            <w:pPr>
              <w:pStyle w:val="Compact"/>
            </w:pPr>
            <m:oMath>
              <m:sSub>
                <m:e>
                  <m:r>
                    <m:t>μ</m:t>
                  </m:r>
                </m:e>
                <m:sub>
                  <m:r>
                    <m:t>c</m:t>
                  </m:r>
                </m:sub>
              </m:sSub>
            </m:oMath>
          </w:p>
        </w:tc>
        <w:tc>
          <w:tcPr/>
          <w:p>
            <w:pPr>
              <w:pStyle w:val="Compact"/>
            </w:pPr>
            <w:r>
              <w:t xml:space="preserve">0.08</w:t>
            </w:r>
          </w:p>
        </w:tc>
        <w:tc>
          <w:tcPr/>
          <w:p>
            <w:pPr>
              <w:pStyle w:val="Compact"/>
            </w:pPr>
            <w:r>
              <w:t xml:space="preserve">0.04-0.15</w:t>
            </w:r>
          </w:p>
        </w:tc>
        <w:tc>
          <w:tcPr/>
          <w:p>
            <w:pPr>
              <w:pStyle w:val="Compact"/>
            </w:pPr>
            <w:r>
              <w:t xml:space="preserve">ethnographic</w:t>
            </w:r>
          </w:p>
        </w:tc>
      </w:tr>
      <w:tr>
        <w:tc>
          <w:tcPr/>
          <w:p>
            <w:pPr>
              <w:pStyle w:val="Compact"/>
            </w:pPr>
            <w:r>
              <w:t xml:space="preserve">Monument depreciation</w:t>
            </w:r>
          </w:p>
        </w:tc>
        <w:tc>
          <w:tcPr/>
          <w:p>
            <w:pPr>
              <w:pStyle w:val="Compact"/>
            </w:pPr>
            <m:oMath>
              <m:r>
                <m:t>δ</m:t>
              </m:r>
            </m:oMath>
          </w:p>
        </w:tc>
        <w:tc>
          <w:tcPr/>
          <w:p>
            <w:pPr>
              <w:pStyle w:val="Compact"/>
            </w:pPr>
            <w:r>
              <w:t xml:space="preserve">0.08</w:t>
            </w:r>
          </w:p>
        </w:tc>
        <w:tc>
          <w:tcPr/>
          <w:p>
            <w:pPr>
              <w:pStyle w:val="Compact"/>
            </w:pPr>
            <w:r>
              <w:t xml:space="preserve">0.04-0.16</w:t>
            </w:r>
          </w:p>
        </w:tc>
        <w:tc>
          <w:tcPr/>
          <w:p>
            <w:pPr>
              <w:pStyle w:val="Compact"/>
            </w:pPr>
            <w:r>
              <w:t xml:space="preserve">weathering rate</w:t>
            </w:r>
          </w:p>
        </w:tc>
      </w:tr>
      <w:tr>
        <w:tc>
          <w:tcPr/>
          <w:p>
            <w:pPr>
              <w:pStyle w:val="Compact"/>
            </w:pPr>
            <w:r>
              <w:t xml:space="preserve">Ecotone advantage</w:t>
            </w:r>
          </w:p>
        </w:tc>
        <w:tc>
          <w:tcPr/>
          <w:p>
            <w:pPr>
              <w:pStyle w:val="Compact"/>
            </w:pPr>
            <m:oMath>
              <m:r>
                <m:t>ε</m:t>
              </m:r>
            </m:oMath>
          </w:p>
        </w:tc>
        <w:tc>
          <w:tcPr/>
          <w:p>
            <w:pPr>
              <w:pStyle w:val="Compact"/>
            </w:pPr>
            <w:r>
              <w:t xml:space="preserve">0.35</w:t>
            </w:r>
          </w:p>
        </w:tc>
        <w:tc>
          <w:tcPr/>
          <w:p>
            <w:pPr>
              <w:pStyle w:val="Compact"/>
            </w:pPr>
            <w:r>
              <w:t xml:space="preserve">0-0.50</w:t>
            </w:r>
          </w:p>
        </w:tc>
        <w:tc>
          <w:tcPr/>
          <w:p>
            <w:pPr>
              <w:pStyle w:val="Compact"/>
            </w:pPr>
            <w:r>
              <w:t xml:space="preserve">qualitative</w:t>
            </w:r>
          </w:p>
        </w:tc>
      </w:tr>
    </w:tbl>
    <w:p>
      <w:r>
        <w:pict>
          <v:rect style="width:0;height:1.5pt" o:hralign="center" o:hrstd="t" o:hr="t"/>
        </w:pict>
      </w:r>
    </w:p>
    <w:bookmarkEnd w:id="22"/>
    <w:bookmarkEnd w:id="23"/>
    <w:bookmarkStart w:id="36" w:name="s3.-sensitivity-analyses"/>
    <w:p>
      <w:pPr>
        <w:pStyle w:val="Heading2"/>
      </w:pPr>
      <w:r>
        <w:t xml:space="preserve">S3. Sensitivity Analyses</w:t>
      </w:r>
    </w:p>
    <w:bookmarkStart w:id="30" w:name="s3.1-one-at-a-time-oat-tornado-plot"/>
    <w:p>
      <w:pPr>
        <w:pStyle w:val="Heading3"/>
      </w:pPr>
      <w:r>
        <w:t xml:space="preserve">S3.1 One-at-a-time (OAT) tornado plot</w:t>
      </w:r>
    </w:p>
    <w:p>
      <w:pPr>
        <w:pStyle w:val="FirstParagraph"/>
      </w:pPr>
      <w:r>
        <w:t xml:space="preserve">We performed an OAT sensitivity analysis varying each parameter in turn within its plausible range while holding the others at default. The critical threshold</w:t>
      </w:r>
      <w:r>
        <w:t xml:space="preserve"> </w:t>
      </w:r>
      <m:oMath>
        <m:sSup>
          <m:e>
            <m:r>
              <m:t>σ</m:t>
            </m:r>
          </m:e>
          <m:sup>
            <m:r>
              <m:rPr>
                <m:sty m:val="p"/>
              </m:rPr>
              <m:t>*</m:t>
            </m:r>
          </m:sup>
        </m:sSup>
      </m:oMath>
      <w:r>
        <w:t xml:space="preserve"> </w:t>
      </w:r>
      <w:r>
        <w:t xml:space="preserve">is most sensitive to aggregation costs (</w:t>
      </w:r>
      <m:oMath>
        <m:sSub>
          <m:e>
            <m:r>
              <m:t>C</m:t>
            </m:r>
          </m:e>
          <m:sub>
            <m:r>
              <m:t>s</m:t>
            </m:r>
            <m:r>
              <m:t>i</m:t>
            </m:r>
            <m:r>
              <m:t>g</m:t>
            </m:r>
            <m:r>
              <m:t>n</m:t>
            </m:r>
            <m:r>
              <m:t>a</m:t>
            </m:r>
            <m:r>
              <m:t>l</m:t>
            </m:r>
          </m:sub>
        </m:sSub>
      </m:oMath>
      <w:r>
        <w:t xml:space="preserve">,</w:t>
      </w:r>
      <w:r>
        <w:t xml:space="preserve"> </w:t>
      </w:r>
      <m:oMath>
        <m:sSub>
          <m:e>
            <m:r>
              <m:t>C</m:t>
            </m:r>
          </m:e>
          <m:sub>
            <m:r>
              <m:t>o</m:t>
            </m:r>
            <m:r>
              <m:t>p</m:t>
            </m:r>
            <m:r>
              <m:t>p</m:t>
            </m:r>
            <m:r>
              <m:t>o</m:t>
            </m:r>
            <m:r>
              <m:t>r</m:t>
            </m:r>
            <m:r>
              <m:t>t</m:t>
            </m:r>
            <m:r>
              <m:t>u</m:t>
            </m:r>
            <m:r>
              <m:t>n</m:t>
            </m:r>
            <m:r>
              <m:t>i</m:t>
            </m:r>
            <m:r>
              <m:t>t</m:t>
            </m:r>
            <m:r>
              <m:t>y</m:t>
            </m:r>
          </m:sub>
        </m:sSub>
      </m:oMath>
      <w:r>
        <w:t xml:space="preserve">,</w:t>
      </w:r>
      <w:r>
        <w:t xml:space="preserve"> </w:t>
      </w:r>
      <m:oMath>
        <m:sSub>
          <m:e>
            <m:r>
              <m:t>C</m:t>
            </m:r>
          </m:e>
          <m:sub>
            <m:r>
              <m:t>t</m:t>
            </m:r>
            <m:r>
              <m:t>r</m:t>
            </m:r>
            <m:r>
              <m:t>a</m:t>
            </m:r>
            <m:r>
              <m:t>v</m:t>
            </m:r>
            <m:r>
              <m:t>e</m:t>
            </m:r>
            <m:r>
              <m:t>l</m:t>
            </m:r>
          </m:sub>
        </m:sSub>
      </m:oMath>
      <w:r>
        <w:t xml:space="preserve">) and within-group signaling rewards (</w:t>
      </w:r>
      <m:oMath>
        <m:sSub>
          <m:e>
            <m:r>
              <m:t>λ</m:t>
            </m:r>
          </m:e>
          <m:sub>
            <m:r>
              <m:t>W</m:t>
            </m:r>
          </m:sub>
        </m:sSub>
      </m:oMath>
      <w:r>
        <w:t xml:space="preserve">); moderately sensitive to quality range (</w:t>
      </w:r>
      <m:oMath>
        <m:sSub>
          <m:e>
            <m:r>
              <m:t>q</m:t>
            </m:r>
          </m:e>
          <m:sub>
            <m:r>
              <m:t>m</m:t>
            </m:r>
            <m:r>
              <m:t>i</m:t>
            </m:r>
            <m:r>
              <m:t>n</m:t>
            </m:r>
          </m:sub>
        </m:sSub>
      </m:oMath>
      <w:r>
        <w:t xml:space="preserve">,</w:t>
      </w:r>
      <w:r>
        <w:t xml:space="preserve"> </w:t>
      </w:r>
      <m:oMath>
        <m:sSub>
          <m:e>
            <m:r>
              <m:t>q</m:t>
            </m:r>
          </m:e>
          <m:sub>
            <m:r>
              <m:t>m</m:t>
            </m:r>
            <m:r>
              <m:t>a</m:t>
            </m:r>
            <m:r>
              <m:t>x</m:t>
            </m:r>
          </m:sub>
        </m:sSub>
      </m:oMath>
      <w:r>
        <w:t xml:space="preserve">) and maximum network degree (</w:t>
      </w:r>
      <m:oMath>
        <m:sSub>
          <m:e>
            <m:r>
              <m:t>k</m:t>
            </m:r>
          </m:e>
          <m:sub>
            <m:r>
              <m:t>m</m:t>
            </m:r>
            <m:r>
              <m:t>a</m:t>
            </m:r>
            <m:r>
              <m:t>x</m:t>
            </m:r>
          </m:sub>
        </m:sSub>
      </m:oMath>
      <w:r>
        <w:t xml:space="preserve">); and insensitive to monument depreciation (</w:t>
      </w:r>
      <m:oMath>
        <m:r>
          <m:t>δ</m:t>
        </m:r>
      </m:oMath>
      <w:r>
        <w:t xml:space="preserve">), conflict parameters (</w:t>
      </w:r>
      <m:oMath>
        <m:sSub>
          <m:e>
            <m:r>
              <m:t>P</m:t>
            </m:r>
          </m:e>
          <m:sub>
            <m:r>
              <m:t>b</m:t>
            </m:r>
            <m:r>
              <m:t>a</m:t>
            </m:r>
            <m:r>
              <m:t>s</m:t>
            </m:r>
            <m:r>
              <m:t>e</m:t>
            </m:r>
          </m:sub>
        </m:sSub>
      </m:oMath>
      <w:r>
        <w:t xml:space="preserve">), and the half-saturation constant (</w:t>
      </w:r>
      <m:oMath>
        <m:sSub>
          <m:e>
            <m:r>
              <m:t>M</m:t>
            </m:r>
          </m:e>
          <m:sub>
            <m:r>
              <m:t>h</m:t>
            </m:r>
            <m:r>
              <m:t>a</m:t>
            </m:r>
            <m:r>
              <m:t>l</m:t>
            </m:r>
            <m:r>
              <m:t>f</m:t>
            </m:r>
          </m:sub>
        </m:sSub>
      </m:oMath>
      <w:r>
        <w:t xml:space="preserve">). Initial values of</w:t>
      </w:r>
      <w:r>
        <w:t xml:space="preserve"> </w:t>
      </w:r>
      <m:oMath>
        <m:sSub>
          <m:e>
            <m:r>
              <m:t>λ</m:t>
            </m:r>
          </m:e>
          <m:sub>
            <m:r>
              <m:t>C</m:t>
            </m:r>
          </m:sub>
        </m:sSub>
      </m:oMath>
      <w:r>
        <w:t xml:space="preserve"> </w:t>
      </w:r>
      <w:r>
        <w:t xml:space="preserve">and</w:t>
      </w:r>
      <w:r>
        <w:t xml:space="preserve"> </w:t>
      </w:r>
      <m:oMath>
        <m:sSub>
          <m:e>
            <m:r>
              <m:t>λ</m:t>
            </m:r>
          </m:e>
          <m:sub>
            <m:r>
              <m:t>X</m:t>
            </m:r>
          </m:sub>
        </m:sSub>
      </m:oMath>
      <w:r>
        <w:t xml:space="preserve"> </w:t>
      </w:r>
      <w:r>
        <w:t xml:space="preserve">have zero sensitivity because they are endogenously determined by the lambda-sigma feedback loop.</w:t>
      </w:r>
    </w:p>
    <w:p>
      <w:pPr>
        <w:pStyle w:val="BodyText"/>
      </w:pPr>
      <w:r>
        <w:t xml:space="preserve">The numerical OAT table below is reproducible from</w:t>
      </w:r>
      <w:r>
        <w:t xml:space="preserve"> </w:t>
      </w:r>
      <w:r>
        <w:rPr>
          <w:rStyle w:val="VerbatimChar"/>
        </w:rPr>
        <w:t xml:space="preserve">scripts/analysis/oat_sensitivity_table.py</w:t>
      </w:r>
      <w:r>
        <w:t xml:space="preserve">. Baseline</w:t>
      </w:r>
      <w:r>
        <w:t xml:space="preserve"> </w:t>
      </w:r>
      <m:oMath>
        <m:sSup>
          <m:e>
            <m:r>
              <m:t>σ</m:t>
            </m:r>
          </m:e>
          <m:sup>
            <m:r>
              <m:rPr>
                <m:sty m:val="p"/>
              </m:rPr>
              <m:t>*</m:t>
            </m:r>
          </m:sup>
        </m:sSup>
        <m:r>
          <m:rPr>
            <m:sty m:val="p"/>
          </m:rPr>
          <m:t>=</m:t>
        </m:r>
        <m:r>
          <m:t>0.3997</m:t>
        </m:r>
      </m:oMath>
      <w:r>
        <w:t xml:space="preserve"> </w:t>
      </w:r>
      <w:r>
        <w:t xml:space="preserve">at</w:t>
      </w:r>
      <w:r>
        <w:t xml:space="preserve"> </w:t>
      </w:r>
      <m:oMath>
        <m:r>
          <m:t>ε</m:t>
        </m:r>
        <m:r>
          <m:rPr>
            <m:sty m:val="p"/>
          </m:rPr>
          <m:t>=</m:t>
        </m:r>
        <m:r>
          <m:t>0.35</m:t>
        </m:r>
      </m:oMath>
      <w:r>
        <w:t xml:space="preserve"> </w:t>
      </w:r>
      <w:r>
        <w:t xml:space="preserve">and</w:t>
      </w:r>
      <w:r>
        <w:t xml:space="preserve"> </w:t>
      </w:r>
      <m:oMath>
        <m:sSub>
          <m:e>
            <m:r>
              <m:t>n</m:t>
            </m:r>
          </m:e>
          <m:sub>
            <m:r>
              <m:t>a</m:t>
            </m:r>
            <m:r>
              <m:t>g</m:t>
            </m:r>
            <m:r>
              <m:t>g</m:t>
            </m:r>
          </m:sub>
        </m:sSub>
        <m:r>
          <m:rPr>
            <m:sty m:val="p"/>
          </m:rPr>
          <m:t>=</m:t>
        </m:r>
        <m:r>
          <m:t>25</m:t>
        </m:r>
      </m:oMath>
      <w:r>
        <w:t xml:space="preserve">. Each multiplicative perturbation rescales the parameter by</w:t>
      </w:r>
      <w:r>
        <w:t xml:space="preserve"> </w:t>
      </w:r>
      <m:oMath>
        <m:r>
          <m:rPr>
            <m:sty m:val="p"/>
          </m:rPr>
          <m:t>±</m:t>
        </m:r>
        <m:r>
          <m:t>50</m:t>
        </m:r>
        <m:r>
          <m:rPr>
            <m:sty m:val="p"/>
          </m:rPr>
          <m:t>%</m:t>
        </m:r>
      </m:oMath>
      <w:r>
        <w:t xml:space="preserve"> </w:t>
      </w:r>
      <w:r>
        <w:t xml:space="preserve">relative to its default. Epsilon and</w:t>
      </w:r>
      <w:r>
        <w:t xml:space="preserve"> </w:t>
      </w:r>
      <m:oMath>
        <m:sSub>
          <m:e>
            <m:r>
              <m:t>n</m:t>
            </m:r>
          </m:e>
          <m:sub>
            <m:r>
              <m:t>a</m:t>
            </m:r>
            <m:r>
              <m:t>g</m:t>
            </m:r>
            <m:r>
              <m:t>g</m:t>
            </m:r>
          </m:sub>
        </m:sSub>
      </m:oMath>
      <w:r>
        <w:t xml:space="preserve"> </w:t>
      </w:r>
      <w:r>
        <w:t xml:space="preserve">rows show absolute-value perturbations. Rows are sorted by swing (</w:t>
      </w:r>
      <m:oMath>
        <m:r>
          <m:rPr>
            <m:sty m:val="p"/>
          </m:rPr>
          <m:t>|</m:t>
        </m:r>
        <m:sSubSup>
          <m:e>
            <m:r>
              <m:t>σ</m:t>
            </m:r>
          </m:e>
          <m:sub>
            <m:r>
              <m:t>h</m:t>
            </m:r>
            <m:r>
              <m:t>i</m:t>
            </m:r>
            <m:r>
              <m:t>g</m:t>
            </m:r>
            <m:r>
              <m:t>h</m:t>
            </m:r>
          </m:sub>
          <m:sup>
            <m:r>
              <m:rPr>
                <m:sty m:val="p"/>
              </m:rPr>
              <m:t>*</m:t>
            </m:r>
          </m:sup>
        </m:sSubSup>
        <m:r>
          <m:rPr>
            <m:sty m:val="p"/>
          </m:rPr>
          <m:t>−</m:t>
        </m:r>
        <m:sSubSup>
          <m:e>
            <m:r>
              <m:t>σ</m:t>
            </m:r>
          </m:e>
          <m:sub>
            <m:r>
              <m:t>l</m:t>
            </m:r>
            <m:r>
              <m:t>o</m:t>
            </m:r>
            <m:r>
              <m:t>w</m:t>
            </m:r>
          </m:sub>
          <m:sup>
            <m:r>
              <m:rPr>
                <m:sty m:val="p"/>
              </m:rPr>
              <m:t>*</m:t>
            </m:r>
          </m:sup>
        </m:sSubSup>
        <m:r>
          <m:rPr>
            <m:sty m:val="p"/>
          </m:rPr>
          <m:t>|</m:t>
        </m:r>
      </m:oMath>
      <w:r>
        <w:t xml:space="preserve">) descending.</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Parameter</w:t>
            </w:r>
          </w:p>
        </w:tc>
        <w:tc>
          <w:tcPr/>
          <w:p>
            <w:pPr>
              <w:pStyle w:val="Compact"/>
            </w:pPr>
            <w:r>
              <w:t xml:space="preserve">Low value</w:t>
            </w:r>
          </w:p>
        </w:tc>
        <w:tc>
          <w:tcPr/>
          <w:p>
            <w:pPr>
              <w:pStyle w:val="Compact"/>
            </w:pPr>
            <m:oMath>
              <m:sSup>
                <m:e>
                  <m:r>
                    <m:t>σ</m:t>
                  </m:r>
                </m:e>
                <m:sup>
                  <m:r>
                    <m:rPr>
                      <m:sty m:val="p"/>
                    </m:rPr>
                    <m:t>*</m:t>
                  </m:r>
                </m:sup>
              </m:sSup>
            </m:oMath>
            <w:r>
              <w:t xml:space="preserve"> </w:t>
            </w:r>
            <w:r>
              <w:t xml:space="preserve">at low</w:t>
            </w:r>
          </w:p>
        </w:tc>
        <w:tc>
          <w:tcPr/>
          <w:p>
            <w:pPr>
              <w:pStyle w:val="Compact"/>
            </w:pPr>
            <w:r>
              <w:t xml:space="preserve">High value</w:t>
            </w:r>
          </w:p>
        </w:tc>
        <w:tc>
          <w:tcPr/>
          <w:p>
            <w:pPr>
              <w:pStyle w:val="Compact"/>
            </w:pPr>
            <m:oMath>
              <m:sSup>
                <m:e>
                  <m:r>
                    <m:t>σ</m:t>
                  </m:r>
                </m:e>
                <m:sup>
                  <m:r>
                    <m:rPr>
                      <m:sty m:val="p"/>
                    </m:rPr>
                    <m:t>*</m:t>
                  </m:r>
                </m:sup>
              </m:sSup>
            </m:oMath>
            <w:r>
              <w:t xml:space="preserve"> </w:t>
            </w:r>
            <w:r>
              <w:t xml:space="preserve">at high</w:t>
            </w:r>
          </w:p>
        </w:tc>
        <w:tc>
          <w:tcPr/>
          <w:p>
            <w:pPr>
              <w:pStyle w:val="Compact"/>
            </w:pPr>
            <m:oMath>
              <m:sSub>
                <m:e>
                  <m:r>
                    <m:rPr>
                      <m:sty m:val="p"/>
                    </m:rPr>
                    <m:t>Δ</m:t>
                  </m:r>
                </m:e>
                <m:sub>
                  <m:r>
                    <m:t>l</m:t>
                  </m:r>
                  <m:r>
                    <m:t>o</m:t>
                  </m:r>
                  <m:r>
                    <m:t>w</m:t>
                  </m:r>
                </m:sub>
              </m:sSub>
            </m:oMath>
          </w:p>
        </w:tc>
        <w:tc>
          <w:tcPr/>
          <w:p>
            <w:pPr>
              <w:pStyle w:val="Compact"/>
            </w:pPr>
            <m:oMath>
              <m:sSub>
                <m:e>
                  <m:r>
                    <m:rPr>
                      <m:sty m:val="p"/>
                    </m:rPr>
                    <m:t>Δ</m:t>
                  </m:r>
                </m:e>
                <m:sub>
                  <m:r>
                    <m:t>h</m:t>
                  </m:r>
                  <m:r>
                    <m:t>i</m:t>
                  </m:r>
                  <m:r>
                    <m:t>g</m:t>
                  </m:r>
                  <m:r>
                    <m:t>h</m:t>
                  </m:r>
                </m:sub>
              </m:sSub>
            </m:oMath>
          </w:p>
        </w:tc>
        <w:tc>
          <w:tcPr/>
          <w:p>
            <w:pPr>
              <w:pStyle w:val="Compact"/>
            </w:pPr>
            <w:r>
              <w:t xml:space="preserve">Swing</w:t>
            </w:r>
          </w:p>
        </w:tc>
      </w:tr>
      <w:tr>
        <w:tc>
          <w:tcPr/>
          <w:p>
            <w:pPr>
              <w:pStyle w:val="Compact"/>
            </w:pPr>
            <m:oMath>
              <m:sSub>
                <m:e>
                  <m:r>
                    <m:t>C</m:t>
                  </m:r>
                </m:e>
                <m:sub>
                  <m:r>
                    <m:t>s</m:t>
                  </m:r>
                  <m:r>
                    <m:t>i</m:t>
                  </m:r>
                  <m:r>
                    <m:t>g</m:t>
                  </m:r>
                  <m:r>
                    <m:t>n</m:t>
                  </m:r>
                  <m:r>
                    <m:t>a</m:t>
                  </m:r>
                  <m:r>
                    <m:t>l</m:t>
                  </m:r>
                </m:sub>
              </m:sSub>
            </m:oMath>
            <w:r>
              <w:t xml:space="preserve"> </w:t>
            </w:r>
            <w:r>
              <w:t xml:space="preserve">(signaling cost)</w:t>
            </w:r>
          </w:p>
        </w:tc>
        <w:tc>
          <w:tcPr/>
          <w:p>
            <w:pPr>
              <w:pStyle w:val="Compact"/>
            </w:pPr>
            <m:oMath>
              <m:r>
                <m:rPr>
                  <m:sty m:val="p"/>
                </m:rPr>
                <m:t>−</m:t>
              </m:r>
              <m:r>
                <m:t>50</m:t>
              </m:r>
              <m:r>
                <m:rPr>
                  <m:sty m:val="p"/>
                </m:rPr>
                <m:t>%</m:t>
              </m:r>
            </m:oMath>
          </w:p>
        </w:tc>
        <w:tc>
          <w:tcPr/>
          <w:p>
            <w:pPr>
              <w:pStyle w:val="Compact"/>
            </w:pPr>
            <w:r>
              <w:t xml:space="preserve">0.279</w:t>
            </w:r>
          </w:p>
        </w:tc>
        <w:tc>
          <w:tcPr/>
          <w:p>
            <w:pPr>
              <w:pStyle w:val="Compact"/>
            </w:pPr>
            <m:oMath>
              <m:r>
                <m:rPr>
                  <m:sty m:val="p"/>
                </m:rPr>
                <m:t>+</m:t>
              </m:r>
              <m:r>
                <m:t>50</m:t>
              </m:r>
              <m:r>
                <m:rPr>
                  <m:sty m:val="p"/>
                </m:rPr>
                <m:t>%</m:t>
              </m:r>
            </m:oMath>
          </w:p>
        </w:tc>
        <w:tc>
          <w:tcPr/>
          <w:p>
            <w:pPr>
              <w:pStyle w:val="Compact"/>
            </w:pPr>
            <w:r>
              <w:t xml:space="preserve">0.504</w:t>
            </w:r>
          </w:p>
        </w:tc>
        <w:tc>
          <w:tcPr/>
          <w:p>
            <w:pPr>
              <w:pStyle w:val="Compact"/>
            </w:pPr>
            <m:oMath>
              <m:r>
                <m:rPr>
                  <m:sty m:val="p"/>
                </m:rPr>
                <m:t>−</m:t>
              </m:r>
              <m:r>
                <m:t>0.121</m:t>
              </m:r>
            </m:oMath>
          </w:p>
        </w:tc>
        <w:tc>
          <w:tcPr/>
          <w:p>
            <w:pPr>
              <w:pStyle w:val="Compact"/>
            </w:pPr>
            <m:oMath>
              <m:r>
                <m:rPr>
                  <m:sty m:val="p"/>
                </m:rPr>
                <m:t>+</m:t>
              </m:r>
              <m:r>
                <m:t>0.104</m:t>
              </m:r>
            </m:oMath>
          </w:p>
        </w:tc>
        <w:tc>
          <w:tcPr/>
          <w:p>
            <w:pPr>
              <w:pStyle w:val="Compact"/>
            </w:pPr>
            <w:r>
              <w:t xml:space="preserve">0.225</w:t>
            </w:r>
          </w:p>
        </w:tc>
      </w:tr>
      <w:tr>
        <w:tc>
          <w:tcPr/>
          <w:p>
            <w:pPr>
              <w:pStyle w:val="Compact"/>
            </w:pPr>
            <m:oMath>
              <m:r>
                <m:t>ε</m:t>
              </m:r>
            </m:oMath>
            <w:r>
              <w:t xml:space="preserve"> </w:t>
            </w:r>
            <w:r>
              <w:t xml:space="preserve">(ecotone advantage)</w:t>
            </w:r>
          </w:p>
        </w:tc>
        <w:tc>
          <w:tcPr/>
          <w:p>
            <w:pPr>
              <w:pStyle w:val="Compact"/>
            </w:pPr>
            <w:r>
              <w:t xml:space="preserve">0.10</w:t>
            </w:r>
          </w:p>
        </w:tc>
        <w:tc>
          <w:tcPr/>
          <w:p>
            <w:pPr>
              <w:pStyle w:val="Compact"/>
            </w:pPr>
            <w:r>
              <w:t xml:space="preserve">0.508</w:t>
            </w:r>
          </w:p>
        </w:tc>
        <w:tc>
          <w:tcPr/>
          <w:p>
            <w:pPr>
              <w:pStyle w:val="Compact"/>
            </w:pPr>
            <w:r>
              <w:t xml:space="preserve">0.50</w:t>
            </w:r>
          </w:p>
        </w:tc>
        <w:tc>
          <w:tcPr/>
          <w:p>
            <w:pPr>
              <w:pStyle w:val="Compact"/>
            </w:pPr>
            <w:r>
              <w:t xml:space="preserve">0.354</w:t>
            </w:r>
          </w:p>
        </w:tc>
        <w:tc>
          <w:tcPr/>
          <w:p>
            <w:pPr>
              <w:pStyle w:val="Compact"/>
            </w:pPr>
            <m:oMath>
              <m:r>
                <m:rPr>
                  <m:sty m:val="p"/>
                </m:rPr>
                <m:t>+</m:t>
              </m:r>
              <m:r>
                <m:t>0.108</m:t>
              </m:r>
            </m:oMath>
          </w:p>
        </w:tc>
        <w:tc>
          <w:tcPr/>
          <w:p>
            <w:pPr>
              <w:pStyle w:val="Compact"/>
            </w:pPr>
            <m:oMath>
              <m:r>
                <m:rPr>
                  <m:sty m:val="p"/>
                </m:rPr>
                <m:t>−</m:t>
              </m:r>
              <m:r>
                <m:t>0.045</m:t>
              </m:r>
            </m:oMath>
          </w:p>
        </w:tc>
        <w:tc>
          <w:tcPr/>
          <w:p>
            <w:pPr>
              <w:pStyle w:val="Compact"/>
            </w:pPr>
            <w:r>
              <w:t xml:space="preserve">0.154</w:t>
            </w:r>
          </w:p>
        </w:tc>
      </w:tr>
      <w:tr>
        <w:tc>
          <w:tcPr/>
          <w:p>
            <w:pPr>
              <w:pStyle w:val="Compact"/>
            </w:pPr>
            <m:oMath>
              <m:sSub>
                <m:e>
                  <m:r>
                    <m:t>C</m:t>
                  </m:r>
                </m:e>
                <m:sub>
                  <m:r>
                    <m:t>o</m:t>
                  </m:r>
                  <m:r>
                    <m:t>p</m:t>
                  </m:r>
                  <m:r>
                    <m:t>p</m:t>
                  </m:r>
                  <m:r>
                    <m:t>o</m:t>
                  </m:r>
                  <m:r>
                    <m:t>r</m:t>
                  </m:r>
                  <m:r>
                    <m:t>t</m:t>
                  </m:r>
                  <m:r>
                    <m:t>u</m:t>
                  </m:r>
                  <m:r>
                    <m:t>n</m:t>
                  </m:r>
                  <m:r>
                    <m:t>i</m:t>
                  </m:r>
                  <m:r>
                    <m:t>t</m:t>
                  </m:r>
                  <m:r>
                    <m:t>y</m:t>
                  </m:r>
                </m:sub>
              </m:sSub>
            </m:oMath>
            <w:r>
              <w:t xml:space="preserve"> </w:t>
            </w:r>
            <w:r>
              <w:t xml:space="preserve">(opportunity cost)</w:t>
            </w:r>
          </w:p>
        </w:tc>
        <w:tc>
          <w:tcPr/>
          <w:p>
            <w:pPr>
              <w:pStyle w:val="Compact"/>
            </w:pPr>
            <m:oMath>
              <m:r>
                <m:rPr>
                  <m:sty m:val="p"/>
                </m:rPr>
                <m:t>−</m:t>
              </m:r>
              <m:r>
                <m:t>50</m:t>
              </m:r>
              <m:r>
                <m:rPr>
                  <m:sty m:val="p"/>
                </m:rPr>
                <m:t>%</m:t>
              </m:r>
            </m:oMath>
          </w:p>
        </w:tc>
        <w:tc>
          <w:tcPr/>
          <w:p>
            <w:pPr>
              <w:pStyle w:val="Compact"/>
            </w:pPr>
            <w:r>
              <w:t xml:space="preserve">0.321</w:t>
            </w:r>
          </w:p>
        </w:tc>
        <w:tc>
          <w:tcPr/>
          <w:p>
            <w:pPr>
              <w:pStyle w:val="Compact"/>
            </w:pPr>
            <m:oMath>
              <m:r>
                <m:rPr>
                  <m:sty m:val="p"/>
                </m:rPr>
                <m:t>+</m:t>
              </m:r>
              <m:r>
                <m:t>50</m:t>
              </m:r>
              <m:r>
                <m:rPr>
                  <m:sty m:val="p"/>
                </m:rPr>
                <m:t>%</m:t>
              </m:r>
            </m:oMath>
          </w:p>
        </w:tc>
        <w:tc>
          <w:tcPr/>
          <w:p>
            <w:pPr>
              <w:pStyle w:val="Compact"/>
            </w:pPr>
            <w:r>
              <w:t xml:space="preserve">0.471</w:t>
            </w:r>
          </w:p>
        </w:tc>
        <w:tc>
          <w:tcPr/>
          <w:p>
            <w:pPr>
              <w:pStyle w:val="Compact"/>
            </w:pPr>
            <m:oMath>
              <m:r>
                <m:rPr>
                  <m:sty m:val="p"/>
                </m:rPr>
                <m:t>−</m:t>
              </m:r>
              <m:r>
                <m:t>0.079</m:t>
              </m:r>
            </m:oMath>
          </w:p>
        </w:tc>
        <w:tc>
          <w:tcPr/>
          <w:p>
            <w:pPr>
              <w:pStyle w:val="Compact"/>
            </w:pPr>
            <m:oMath>
              <m:r>
                <m:rPr>
                  <m:sty m:val="p"/>
                </m:rPr>
                <m:t>+</m:t>
              </m:r>
              <m:r>
                <m:t>0.071</m:t>
              </m:r>
            </m:oMath>
          </w:p>
        </w:tc>
        <w:tc>
          <w:tcPr/>
          <w:p>
            <w:pPr>
              <w:pStyle w:val="Compact"/>
            </w:pPr>
            <w:r>
              <w:t xml:space="preserve">0.150</w:t>
            </w:r>
          </w:p>
        </w:tc>
      </w:tr>
      <w:tr>
        <w:tc>
          <w:tcPr/>
          <w:p>
            <w:pPr>
              <w:pStyle w:val="Compact"/>
            </w:pPr>
            <m:oMath>
              <m:sSub>
                <m:e>
                  <m:r>
                    <m:t>λ</m:t>
                  </m:r>
                </m:e>
                <m:sub>
                  <m:r>
                    <m:t>W</m:t>
                  </m:r>
                </m:sub>
              </m:sSub>
            </m:oMath>
            <w:r>
              <w:t xml:space="preserve"> </w:t>
            </w:r>
            <w:r>
              <w:t xml:space="preserve">(within-group reward)</w:t>
            </w:r>
          </w:p>
        </w:tc>
        <w:tc>
          <w:tcPr/>
          <w:p>
            <w:pPr>
              <w:pStyle w:val="Compact"/>
            </w:pPr>
            <m:oMath>
              <m:r>
                <m:rPr>
                  <m:sty m:val="p"/>
                </m:rPr>
                <m:t>−</m:t>
              </m:r>
              <m:r>
                <m:t>50</m:t>
              </m:r>
              <m:r>
                <m:rPr>
                  <m:sty m:val="p"/>
                </m:rPr>
                <m:t>%</m:t>
              </m:r>
            </m:oMath>
          </w:p>
        </w:tc>
        <w:tc>
          <w:tcPr/>
          <w:p>
            <w:pPr>
              <w:pStyle w:val="Compact"/>
            </w:pPr>
            <w:r>
              <w:t xml:space="preserve">0.468</w:t>
            </w:r>
          </w:p>
        </w:tc>
        <w:tc>
          <w:tcPr/>
          <w:p>
            <w:pPr>
              <w:pStyle w:val="Compact"/>
            </w:pPr>
            <m:oMath>
              <m:r>
                <m:rPr>
                  <m:sty m:val="p"/>
                </m:rPr>
                <m:t>+</m:t>
              </m:r>
              <m:r>
                <m:t>50</m:t>
              </m:r>
              <m:r>
                <m:rPr>
                  <m:sty m:val="p"/>
                </m:rPr>
                <m:t>%</m:t>
              </m:r>
            </m:oMath>
          </w:p>
        </w:tc>
        <w:tc>
          <w:tcPr/>
          <w:p>
            <w:pPr>
              <w:pStyle w:val="Compact"/>
            </w:pPr>
            <w:r>
              <w:t xml:space="preserve">0.331</w:t>
            </w:r>
          </w:p>
        </w:tc>
        <w:tc>
          <w:tcPr/>
          <w:p>
            <w:pPr>
              <w:pStyle w:val="Compact"/>
            </w:pPr>
            <m:oMath>
              <m:r>
                <m:rPr>
                  <m:sty m:val="p"/>
                </m:rPr>
                <m:t>+</m:t>
              </m:r>
              <m:r>
                <m:t>0.069</m:t>
              </m:r>
            </m:oMath>
          </w:p>
        </w:tc>
        <w:tc>
          <w:tcPr/>
          <w:p>
            <w:pPr>
              <w:pStyle w:val="Compact"/>
            </w:pPr>
            <m:oMath>
              <m:r>
                <m:rPr>
                  <m:sty m:val="p"/>
                </m:rPr>
                <m:t>−</m:t>
              </m:r>
              <m:r>
                <m:t>0.068</m:t>
              </m:r>
            </m:oMath>
          </w:p>
        </w:tc>
        <w:tc>
          <w:tcPr/>
          <w:p>
            <w:pPr>
              <w:pStyle w:val="Compact"/>
            </w:pPr>
            <w:r>
              <w:t xml:space="preserve">0.137</w:t>
            </w:r>
          </w:p>
        </w:tc>
      </w:tr>
      <w:tr>
        <w:tc>
          <w:tcPr/>
          <w:p>
            <w:pPr>
              <w:pStyle w:val="Compact"/>
            </w:pPr>
            <m:oMath>
              <m:sSub>
                <m:e>
                  <m:r>
                    <m:t>C</m:t>
                  </m:r>
                </m:e>
                <m:sub>
                  <m:r>
                    <m:t>t</m:t>
                  </m:r>
                  <m:r>
                    <m:t>r</m:t>
                  </m:r>
                  <m:r>
                    <m:t>a</m:t>
                  </m:r>
                  <m:r>
                    <m:t>v</m:t>
                  </m:r>
                  <m:r>
                    <m:t>e</m:t>
                  </m:r>
                  <m:r>
                    <m:t>l</m:t>
                  </m:r>
                </m:sub>
              </m:sSub>
            </m:oMath>
            <w:r>
              <w:t xml:space="preserve"> </w:t>
            </w:r>
            <w:r>
              <w:t xml:space="preserve">(travel cost)</w:t>
            </w:r>
          </w:p>
        </w:tc>
        <w:tc>
          <w:tcPr/>
          <w:p>
            <w:pPr>
              <w:pStyle w:val="Compact"/>
            </w:pPr>
            <m:oMath>
              <m:r>
                <m:rPr>
                  <m:sty m:val="p"/>
                </m:rPr>
                <m:t>−</m:t>
              </m:r>
              <m:r>
                <m:t>50</m:t>
              </m:r>
              <m:r>
                <m:rPr>
                  <m:sty m:val="p"/>
                </m:rPr>
                <m:t>%</m:t>
              </m:r>
            </m:oMath>
          </w:p>
        </w:tc>
        <w:tc>
          <w:tcPr/>
          <w:p>
            <w:pPr>
              <w:pStyle w:val="Compact"/>
            </w:pPr>
            <w:r>
              <w:t xml:space="preserve">0.374</w:t>
            </w:r>
          </w:p>
        </w:tc>
        <w:tc>
          <w:tcPr/>
          <w:p>
            <w:pPr>
              <w:pStyle w:val="Compact"/>
            </w:pPr>
            <m:oMath>
              <m:r>
                <m:rPr>
                  <m:sty m:val="p"/>
                </m:rPr>
                <m:t>+</m:t>
              </m:r>
              <m:r>
                <m:t>50</m:t>
              </m:r>
              <m:r>
                <m:rPr>
                  <m:sty m:val="p"/>
                </m:rPr>
                <m:t>%</m:t>
              </m:r>
            </m:oMath>
          </w:p>
        </w:tc>
        <w:tc>
          <w:tcPr/>
          <w:p>
            <w:pPr>
              <w:pStyle w:val="Compact"/>
            </w:pPr>
            <w:r>
              <w:t xml:space="preserve">0.424</w:t>
            </w:r>
          </w:p>
        </w:tc>
        <w:tc>
          <w:tcPr/>
          <w:p>
            <w:pPr>
              <w:pStyle w:val="Compact"/>
            </w:pPr>
            <m:oMath>
              <m:r>
                <m:rPr>
                  <m:sty m:val="p"/>
                </m:rPr>
                <m:t>−</m:t>
              </m:r>
              <m:r>
                <m:t>0.025</m:t>
              </m:r>
            </m:oMath>
          </w:p>
        </w:tc>
        <w:tc>
          <w:tcPr/>
          <w:p>
            <w:pPr>
              <w:pStyle w:val="Compact"/>
            </w:pPr>
            <m:oMath>
              <m:r>
                <m:rPr>
                  <m:sty m:val="p"/>
                </m:rPr>
                <m:t>+</m:t>
              </m:r>
              <m:r>
                <m:t>0.024</m:t>
              </m:r>
            </m:oMath>
          </w:p>
        </w:tc>
        <w:tc>
          <w:tcPr/>
          <w:p>
            <w:pPr>
              <w:pStyle w:val="Compact"/>
            </w:pPr>
            <w:r>
              <w:t xml:space="preserve">0.050</w:t>
            </w:r>
          </w:p>
        </w:tc>
      </w:tr>
      <w:tr>
        <w:tc>
          <w:tcPr/>
          <w:p>
            <w:pPr>
              <w:pStyle w:val="Compact"/>
            </w:pPr>
            <m:oMath>
              <m:sSub>
                <m:e>
                  <m:r>
                    <m:t>k</m:t>
                  </m:r>
                </m:e>
                <m:sub>
                  <m:r>
                    <m:t>m</m:t>
                  </m:r>
                  <m:r>
                    <m:t>a</m:t>
                  </m:r>
                  <m:r>
                    <m:t>x</m:t>
                  </m:r>
                </m:sub>
              </m:sSub>
            </m:oMath>
            <w:r>
              <w:t xml:space="preserve"> </w:t>
            </w:r>
            <w:r>
              <w:t xml:space="preserve">(max network degree)</w:t>
            </w:r>
          </w:p>
        </w:tc>
        <w:tc>
          <w:tcPr/>
          <w:p>
            <w:pPr>
              <w:pStyle w:val="Compact"/>
            </w:pPr>
            <m:oMath>
              <m:r>
                <m:rPr>
                  <m:sty m:val="p"/>
                </m:rPr>
                <m:t>−</m:t>
              </m:r>
              <m:r>
                <m:t>50</m:t>
              </m:r>
              <m:r>
                <m:rPr>
                  <m:sty m:val="p"/>
                </m:rPr>
                <m:t>%</m:t>
              </m:r>
            </m:oMath>
          </w:p>
        </w:tc>
        <w:tc>
          <w:tcPr/>
          <w:p>
            <w:pPr>
              <w:pStyle w:val="Compact"/>
            </w:pPr>
            <w:r>
              <w:t xml:space="preserve">0.421</w:t>
            </w:r>
          </w:p>
        </w:tc>
        <w:tc>
          <w:tcPr/>
          <w:p>
            <w:pPr>
              <w:pStyle w:val="Compact"/>
            </w:pPr>
            <m:oMath>
              <m:r>
                <m:rPr>
                  <m:sty m:val="p"/>
                </m:rPr>
                <m:t>+</m:t>
              </m:r>
              <m:r>
                <m:t>50</m:t>
              </m:r>
              <m:r>
                <m:rPr>
                  <m:sty m:val="p"/>
                </m:rPr>
                <m:t>%</m:t>
              </m:r>
            </m:oMath>
          </w:p>
        </w:tc>
        <w:tc>
          <w:tcPr/>
          <w:p>
            <w:pPr>
              <w:pStyle w:val="Compact"/>
            </w:pPr>
            <w:r>
              <w:t xml:space="preserve">0.383</w:t>
            </w:r>
          </w:p>
        </w:tc>
        <w:tc>
          <w:tcPr/>
          <w:p>
            <w:pPr>
              <w:pStyle w:val="Compact"/>
            </w:pPr>
            <m:oMath>
              <m:r>
                <m:rPr>
                  <m:sty m:val="p"/>
                </m:rPr>
                <m:t>+</m:t>
              </m:r>
              <m:r>
                <m:t>0.022</m:t>
              </m:r>
            </m:oMath>
          </w:p>
        </w:tc>
        <w:tc>
          <w:tcPr/>
          <w:p>
            <w:pPr>
              <w:pStyle w:val="Compact"/>
            </w:pPr>
            <m:oMath>
              <m:r>
                <m:rPr>
                  <m:sty m:val="p"/>
                </m:rPr>
                <m:t>−</m:t>
              </m:r>
              <m:r>
                <m:t>0.017</m:t>
              </m:r>
            </m:oMath>
          </w:p>
        </w:tc>
        <w:tc>
          <w:tcPr/>
          <w:p>
            <w:pPr>
              <w:pStyle w:val="Compact"/>
            </w:pPr>
            <w:r>
              <w:t xml:space="preserve">0.038</w:t>
            </w:r>
          </w:p>
        </w:tc>
      </w:tr>
      <w:tr>
        <w:tc>
          <w:tcPr/>
          <w:p>
            <w:pPr>
              <w:pStyle w:val="Compact"/>
            </w:pPr>
            <m:oMath>
              <m:r>
                <m:t>γ</m:t>
              </m:r>
            </m:oMath>
            <w:r>
              <w:t xml:space="preserve"> </w:t>
            </w:r>
            <w:r>
              <w:t xml:space="preserve">(network buffering)</w:t>
            </w:r>
          </w:p>
        </w:tc>
        <w:tc>
          <w:tcPr/>
          <w:p>
            <w:pPr>
              <w:pStyle w:val="Compact"/>
            </w:pPr>
            <m:oMath>
              <m:r>
                <m:rPr>
                  <m:sty m:val="p"/>
                </m:rPr>
                <m:t>−</m:t>
              </m:r>
              <m:r>
                <m:t>50</m:t>
              </m:r>
              <m:r>
                <m:rPr>
                  <m:sty m:val="p"/>
                </m:rPr>
                <m:t>%</m:t>
              </m:r>
            </m:oMath>
          </w:p>
        </w:tc>
        <w:tc>
          <w:tcPr/>
          <w:p>
            <w:pPr>
              <w:pStyle w:val="Compact"/>
            </w:pPr>
            <w:r>
              <w:t xml:space="preserve">0.418</w:t>
            </w:r>
          </w:p>
        </w:tc>
        <w:tc>
          <w:tcPr/>
          <w:p>
            <w:pPr>
              <w:pStyle w:val="Compact"/>
            </w:pPr>
            <m:oMath>
              <m:r>
                <m:rPr>
                  <m:sty m:val="p"/>
                </m:rPr>
                <m:t>+</m:t>
              </m:r>
              <m:r>
                <m:t>50</m:t>
              </m:r>
              <m:r>
                <m:rPr>
                  <m:sty m:val="p"/>
                </m:rPr>
                <m:t>%</m:t>
              </m:r>
            </m:oMath>
          </w:p>
        </w:tc>
        <w:tc>
          <w:tcPr/>
          <w:p>
            <w:pPr>
              <w:pStyle w:val="Compact"/>
            </w:pPr>
            <w:r>
              <w:t xml:space="preserve">0.386</w:t>
            </w:r>
          </w:p>
        </w:tc>
        <w:tc>
          <w:tcPr/>
          <w:p>
            <w:pPr>
              <w:pStyle w:val="Compact"/>
            </w:pPr>
            <m:oMath>
              <m:r>
                <m:rPr>
                  <m:sty m:val="p"/>
                </m:rPr>
                <m:t>+</m:t>
              </m:r>
              <m:r>
                <m:t>0.018</m:t>
              </m:r>
            </m:oMath>
          </w:p>
        </w:tc>
        <w:tc>
          <w:tcPr/>
          <w:p>
            <w:pPr>
              <w:pStyle w:val="Compact"/>
            </w:pPr>
            <m:oMath>
              <m:r>
                <m:rPr>
                  <m:sty m:val="p"/>
                </m:rPr>
                <m:t>−</m:t>
              </m:r>
              <m:r>
                <m:t>0.013</m:t>
              </m:r>
            </m:oMath>
          </w:p>
        </w:tc>
        <w:tc>
          <w:tcPr/>
          <w:p>
            <w:pPr>
              <w:pStyle w:val="Compact"/>
            </w:pPr>
            <w:r>
              <w:t xml:space="preserve">0.032</w:t>
            </w:r>
          </w:p>
        </w:tc>
      </w:tr>
      <w:tr>
        <w:tc>
          <w:tcPr/>
          <w:p>
            <w:pPr>
              <w:pStyle w:val="Compact"/>
            </w:pPr>
            <m:oMath>
              <m:sSub>
                <m:e>
                  <m:r>
                    <m:t>δ</m:t>
                  </m:r>
                </m:e>
                <m:sub>
                  <m:r>
                    <m:t>n</m:t>
                  </m:r>
                  <m:r>
                    <m:t>e</m:t>
                  </m:r>
                  <m:r>
                    <m:t>t</m:t>
                  </m:r>
                </m:sub>
              </m:sSub>
            </m:oMath>
            <w:r>
              <w:t xml:space="preserve"> </w:t>
            </w:r>
            <w:r>
              <w:t xml:space="preserve">(network decay)</w:t>
            </w:r>
          </w:p>
        </w:tc>
        <w:tc>
          <w:tcPr/>
          <w:p>
            <w:pPr>
              <w:pStyle w:val="Compact"/>
            </w:pPr>
            <m:oMath>
              <m:r>
                <m:rPr>
                  <m:sty m:val="p"/>
                </m:rPr>
                <m:t>−</m:t>
              </m:r>
              <m:r>
                <m:t>50</m:t>
              </m:r>
              <m:r>
                <m:rPr>
                  <m:sty m:val="p"/>
                </m:rPr>
                <m:t>%</m:t>
              </m:r>
            </m:oMath>
          </w:p>
        </w:tc>
        <w:tc>
          <w:tcPr/>
          <w:p>
            <w:pPr>
              <w:pStyle w:val="Compact"/>
            </w:pPr>
            <w:r>
              <w:t xml:space="preserve">0.392</w:t>
            </w:r>
          </w:p>
        </w:tc>
        <w:tc>
          <w:tcPr/>
          <w:p>
            <w:pPr>
              <w:pStyle w:val="Compact"/>
            </w:pPr>
            <m:oMath>
              <m:r>
                <m:rPr>
                  <m:sty m:val="p"/>
                </m:rPr>
                <m:t>+</m:t>
              </m:r>
              <m:r>
                <m:t>50</m:t>
              </m:r>
              <m:r>
                <m:rPr>
                  <m:sty m:val="p"/>
                </m:rPr>
                <m:t>%</m:t>
              </m:r>
            </m:oMath>
          </w:p>
        </w:tc>
        <w:tc>
          <w:tcPr/>
          <w:p>
            <w:pPr>
              <w:pStyle w:val="Compact"/>
            </w:pPr>
            <w:r>
              <w:t xml:space="preserve">0.408</w:t>
            </w:r>
          </w:p>
        </w:tc>
        <w:tc>
          <w:tcPr/>
          <w:p>
            <w:pPr>
              <w:pStyle w:val="Compact"/>
            </w:pPr>
            <m:oMath>
              <m:r>
                <m:rPr>
                  <m:sty m:val="p"/>
                </m:rPr>
                <m:t>−</m:t>
              </m:r>
              <m:r>
                <m:t>0.008</m:t>
              </m:r>
            </m:oMath>
          </w:p>
        </w:tc>
        <w:tc>
          <w:tcPr/>
          <w:p>
            <w:pPr>
              <w:pStyle w:val="Compact"/>
            </w:pPr>
            <m:oMath>
              <m:r>
                <m:rPr>
                  <m:sty m:val="p"/>
                </m:rPr>
                <m:t>+</m:t>
              </m:r>
              <m:r>
                <m:t>0.009</m:t>
              </m:r>
            </m:oMath>
          </w:p>
        </w:tc>
        <w:tc>
          <w:tcPr/>
          <w:p>
            <w:pPr>
              <w:pStyle w:val="Compact"/>
            </w:pPr>
            <w:r>
              <w:t xml:space="preserve">0.016</w:t>
            </w:r>
          </w:p>
        </w:tc>
      </w:tr>
      <w:tr>
        <w:tc>
          <w:tcPr/>
          <w:p>
            <w:pPr>
              <w:pStyle w:val="Compact"/>
            </w:pPr>
            <m:oMath>
              <m:sSub>
                <m:e>
                  <m:r>
                    <m:t>k</m:t>
                  </m:r>
                </m:e>
                <m:sub>
                  <m:r>
                    <m:t>0</m:t>
                  </m:r>
                </m:sub>
              </m:sSub>
            </m:oMath>
            <w:r>
              <w:t xml:space="preserve"> </w:t>
            </w:r>
            <w:r>
              <w:t xml:space="preserve">(baseline degree)</w:t>
            </w:r>
          </w:p>
        </w:tc>
        <w:tc>
          <w:tcPr/>
          <w:p>
            <w:pPr>
              <w:pStyle w:val="Compact"/>
            </w:pPr>
            <m:oMath>
              <m:r>
                <m:rPr>
                  <m:sty m:val="p"/>
                </m:rPr>
                <m:t>−</m:t>
              </m:r>
              <m:r>
                <m:t>50</m:t>
              </m:r>
              <m:r>
                <m:rPr>
                  <m:sty m:val="p"/>
                </m:rPr>
                <m:t>%</m:t>
              </m:r>
            </m:oMath>
          </w:p>
        </w:tc>
        <w:tc>
          <w:tcPr/>
          <w:p>
            <w:pPr>
              <w:pStyle w:val="Compact"/>
            </w:pPr>
            <w:r>
              <w:t xml:space="preserve">0.396</w:t>
            </w:r>
          </w:p>
        </w:tc>
        <w:tc>
          <w:tcPr/>
          <w:p>
            <w:pPr>
              <w:pStyle w:val="Compact"/>
            </w:pPr>
            <m:oMath>
              <m:r>
                <m:rPr>
                  <m:sty m:val="p"/>
                </m:rPr>
                <m:t>+</m:t>
              </m:r>
              <m:r>
                <m:t>50</m:t>
              </m:r>
              <m:r>
                <m:rPr>
                  <m:sty m:val="p"/>
                </m:rPr>
                <m:t>%</m:t>
              </m:r>
            </m:oMath>
          </w:p>
        </w:tc>
        <w:tc>
          <w:tcPr/>
          <w:p>
            <w:pPr>
              <w:pStyle w:val="Compact"/>
            </w:pPr>
            <w:r>
              <w:t xml:space="preserve">0.403</w:t>
            </w:r>
          </w:p>
        </w:tc>
        <w:tc>
          <w:tcPr/>
          <w:p>
            <w:pPr>
              <w:pStyle w:val="Compact"/>
            </w:pPr>
            <m:oMath>
              <m:r>
                <m:rPr>
                  <m:sty m:val="p"/>
                </m:rPr>
                <m:t>−</m:t>
              </m:r>
              <m:r>
                <m:t>0.003</m:t>
              </m:r>
            </m:oMath>
          </w:p>
        </w:tc>
        <w:tc>
          <w:tcPr/>
          <w:p>
            <w:pPr>
              <w:pStyle w:val="Compact"/>
            </w:pPr>
            <m:oMath>
              <m:r>
                <m:rPr>
                  <m:sty m:val="p"/>
                </m:rPr>
                <m:t>+</m:t>
              </m:r>
              <m:r>
                <m:t>0.003</m:t>
              </m:r>
            </m:oMath>
          </w:p>
        </w:tc>
        <w:tc>
          <w:tcPr/>
          <w:p>
            <w:pPr>
              <w:pStyle w:val="Compact"/>
            </w:pPr>
            <w:r>
              <w:t xml:space="preserve">0.006</w:t>
            </w:r>
          </w:p>
        </w:tc>
      </w:tr>
      <w:tr>
        <w:tc>
          <w:tcPr/>
          <w:p>
            <w:pPr>
              <w:pStyle w:val="Compact"/>
            </w:pPr>
            <m:oMath>
              <m:sSub>
                <m:e>
                  <m:r>
                    <m:t>f</m:t>
                  </m:r>
                </m:e>
                <m:sub>
                  <m:r>
                    <m:t>a</m:t>
                  </m:r>
                  <m:r>
                    <m:t>g</m:t>
                  </m:r>
                  <m:r>
                    <m:t>g</m:t>
                  </m:r>
                </m:sub>
              </m:sSub>
            </m:oMath>
            <w:r>
              <w:t xml:space="preserve"> </w:t>
            </w:r>
            <w:r>
              <w:t xml:space="preserve">(aggregation fraction)</w:t>
            </w:r>
          </w:p>
        </w:tc>
        <w:tc>
          <w:tcPr/>
          <w:p>
            <w:pPr>
              <w:pStyle w:val="Compact"/>
            </w:pPr>
            <m:oMath>
              <m:r>
                <m:rPr>
                  <m:sty m:val="p"/>
                </m:rPr>
                <m:t>−</m:t>
              </m:r>
              <m:r>
                <m:t>50</m:t>
              </m:r>
              <m:r>
                <m:rPr>
                  <m:sty m:val="p"/>
                </m:rPr>
                <m:t>%</m:t>
              </m:r>
            </m:oMath>
          </w:p>
        </w:tc>
        <w:tc>
          <w:tcPr/>
          <w:p>
            <w:pPr>
              <w:pStyle w:val="Compact"/>
            </w:pPr>
            <w:r>
              <w:t xml:space="preserve">0.402</w:t>
            </w:r>
          </w:p>
        </w:tc>
        <w:tc>
          <w:tcPr/>
          <w:p>
            <w:pPr>
              <w:pStyle w:val="Compact"/>
            </w:pPr>
            <m:oMath>
              <m:r>
                <m:rPr>
                  <m:sty m:val="p"/>
                </m:rPr>
                <m:t>+</m:t>
              </m:r>
              <m:r>
                <m:t>50</m:t>
              </m:r>
              <m:r>
                <m:rPr>
                  <m:sty m:val="p"/>
                </m:rPr>
                <m:t>%</m:t>
              </m:r>
            </m:oMath>
          </w:p>
        </w:tc>
        <w:tc>
          <w:tcPr/>
          <w:p>
            <w:pPr>
              <w:pStyle w:val="Compact"/>
            </w:pPr>
            <w:r>
              <w:t xml:space="preserve">0.397</w:t>
            </w:r>
          </w:p>
        </w:tc>
        <w:tc>
          <w:tcPr/>
          <w:p>
            <w:pPr>
              <w:pStyle w:val="Compact"/>
            </w:pPr>
            <m:oMath>
              <m:r>
                <m:rPr>
                  <m:sty m:val="p"/>
                </m:rPr>
                <m:t>+</m:t>
              </m:r>
              <m:r>
                <m:t>0.003</m:t>
              </m:r>
            </m:oMath>
          </w:p>
        </w:tc>
        <w:tc>
          <w:tcPr/>
          <w:p>
            <w:pPr>
              <w:pStyle w:val="Compact"/>
            </w:pPr>
            <m:oMath>
              <m:r>
                <m:rPr>
                  <m:sty m:val="p"/>
                </m:rPr>
                <m:t>−</m:t>
              </m:r>
              <m:r>
                <m:t>0.003</m:t>
              </m:r>
            </m:oMath>
          </w:p>
        </w:tc>
        <w:tc>
          <w:tcPr/>
          <w:p>
            <w:pPr>
              <w:pStyle w:val="Compact"/>
            </w:pPr>
            <w:r>
              <w:t xml:space="preserve">0.005</w:t>
            </w:r>
          </w:p>
        </w:tc>
      </w:tr>
      <w:tr>
        <w:tc>
          <w:tcPr/>
          <w:p>
            <w:pPr>
              <w:pStyle w:val="Compact"/>
            </w:pPr>
            <m:oMath>
              <m:sSub>
                <m:e>
                  <m:r>
                    <m:t>n</m:t>
                  </m:r>
                </m:e>
                <m:sub>
                  <m:r>
                    <m:t>a</m:t>
                  </m:r>
                  <m:r>
                    <m:t>g</m:t>
                  </m:r>
                  <m:r>
                    <m:t>g</m:t>
                  </m:r>
                </m:sub>
              </m:sSub>
            </m:oMath>
            <w:r>
              <w:t xml:space="preserve"> </w:t>
            </w:r>
            <w:r>
              <w:t xml:space="preserve">(aggregation size)</w:t>
            </w:r>
          </w:p>
        </w:tc>
        <w:tc>
          <w:tcPr/>
          <w:p>
            <w:pPr>
              <w:pStyle w:val="Compact"/>
            </w:pPr>
            <m:oMath>
              <m:r>
                <m:t>n</m:t>
              </m:r>
              <m:r>
                <m:rPr>
                  <m:sty m:val="p"/>
                </m:rPr>
                <m:t>=</m:t>
              </m:r>
              <m:r>
                <m:t>5</m:t>
              </m:r>
            </m:oMath>
          </w:p>
        </w:tc>
        <w:tc>
          <w:tcPr/>
          <w:p>
            <w:pPr>
              <w:pStyle w:val="Compact"/>
            </w:pPr>
            <w:r>
              <w:t xml:space="preserve">0.402</w:t>
            </w:r>
          </w:p>
        </w:tc>
        <w:tc>
          <w:tcPr/>
          <w:p>
            <w:pPr>
              <w:pStyle w:val="Compact"/>
            </w:pPr>
            <m:oMath>
              <m:r>
                <m:t>n</m:t>
              </m:r>
              <m:r>
                <m:rPr>
                  <m:sty m:val="p"/>
                </m:rPr>
                <m:t>=</m:t>
              </m:r>
              <m:r>
                <m:t>50</m:t>
              </m:r>
            </m:oMath>
          </w:p>
        </w:tc>
        <w:tc>
          <w:tcPr/>
          <w:p>
            <w:pPr>
              <w:pStyle w:val="Compact"/>
            </w:pPr>
            <w:r>
              <w:t xml:space="preserve">0.399</w:t>
            </w:r>
          </w:p>
        </w:tc>
        <w:tc>
          <w:tcPr/>
          <w:p>
            <w:pPr>
              <w:pStyle w:val="Compact"/>
            </w:pPr>
            <m:oMath>
              <m:r>
                <m:rPr>
                  <m:sty m:val="p"/>
                </m:rPr>
                <m:t>+</m:t>
              </m:r>
              <m:r>
                <m:t>0.003</m:t>
              </m:r>
            </m:oMath>
          </w:p>
        </w:tc>
        <w:tc>
          <w:tcPr/>
          <w:p>
            <w:pPr>
              <w:pStyle w:val="Compact"/>
            </w:pPr>
            <m:oMath>
              <m:r>
                <m:rPr>
                  <m:sty m:val="p"/>
                </m:rPr>
                <m:t>−</m:t>
              </m:r>
              <m:r>
                <m:t>0.000</m:t>
              </m:r>
            </m:oMath>
          </w:p>
        </w:tc>
        <w:tc>
          <w:tcPr/>
          <w:p>
            <w:pPr>
              <w:pStyle w:val="Compact"/>
            </w:pPr>
            <w:r>
              <w:t xml:space="preserve">0.003</w:t>
            </w:r>
          </w:p>
        </w:tc>
      </w:tr>
      <w:tr>
        <w:tc>
          <w:tcPr/>
          <w:p>
            <w:pPr>
              <w:pStyle w:val="Compact"/>
            </w:pPr>
            <m:oMath>
              <m:r>
                <m:t>δ</m:t>
              </m:r>
            </m:oMath>
            <w:r>
              <w:t xml:space="preserve"> </w:t>
            </w:r>
            <w:r>
              <w:t xml:space="preserve">(monument depreciation)</w:t>
            </w:r>
          </w:p>
        </w:tc>
        <w:tc>
          <w:tcPr/>
          <w:p>
            <w:pPr>
              <w:pStyle w:val="Compact"/>
            </w:pPr>
            <m:oMath>
              <m:r>
                <m:rPr>
                  <m:sty m:val="p"/>
                </m:rPr>
                <m:t>−</m:t>
              </m:r>
              <m:r>
                <m:t>50</m:t>
              </m:r>
              <m:r>
                <m:rPr>
                  <m:sty m:val="p"/>
                </m:rPr>
                <m:t>%</m:t>
              </m:r>
            </m:oMath>
          </w:p>
        </w:tc>
        <w:tc>
          <w:tcPr/>
          <w:p>
            <w:pPr>
              <w:pStyle w:val="Compact"/>
            </w:pPr>
            <w:r>
              <w:t xml:space="preserve">0.399</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0.000</m:t>
              </m:r>
            </m:oMath>
          </w:p>
        </w:tc>
        <w:tc>
          <w:tcPr/>
          <w:p>
            <w:pPr>
              <w:pStyle w:val="Compact"/>
            </w:pPr>
            <m:oMath>
              <m:r>
                <m:rPr>
                  <m:sty m:val="p"/>
                </m:rPr>
                <m:t>+</m:t>
              </m:r>
              <m:r>
                <m:t>0.000</m:t>
              </m:r>
            </m:oMath>
          </w:p>
        </w:tc>
        <w:tc>
          <w:tcPr/>
          <w:p>
            <w:pPr>
              <w:pStyle w:val="Compact"/>
            </w:pPr>
            <w:r>
              <w:t xml:space="preserve">0.001</w:t>
            </w:r>
          </w:p>
        </w:tc>
      </w:tr>
      <w:tr>
        <w:tc>
          <w:tcPr/>
          <w:p>
            <w:pPr>
              <w:pStyle w:val="Compact"/>
            </w:pPr>
            <m:oMath>
              <m:sSub>
                <m:e>
                  <m:r>
                    <m:t>M</m:t>
                  </m:r>
                </m:e>
                <m:sub>
                  <m:r>
                    <m:t>h</m:t>
                  </m:r>
                  <m:r>
                    <m:t>a</m:t>
                  </m:r>
                  <m:r>
                    <m:t>l</m:t>
                  </m:r>
                  <m:r>
                    <m:t>f</m:t>
                  </m:r>
                </m:sub>
              </m:sSub>
            </m:oMath>
            <w:r>
              <w:t xml:space="preserve"> </w:t>
            </w:r>
            <w:r>
              <w:t xml:space="preserve">(network saturation)</w:t>
            </w:r>
          </w:p>
        </w:tc>
        <w:tc>
          <w:tcPr/>
          <w:p>
            <w:pPr>
              <w:pStyle w:val="Compact"/>
            </w:pPr>
            <m:oMath>
              <m:r>
                <m:rPr>
                  <m:sty m:val="p"/>
                </m:rPr>
                <m:t>−</m:t>
              </m:r>
              <m:r>
                <m:t>50</m:t>
              </m:r>
              <m:r>
                <m:rPr>
                  <m:sty m:val="p"/>
                </m:rPr>
                <m:t>%</m:t>
              </m:r>
            </m:oMath>
          </w:p>
        </w:tc>
        <w:tc>
          <w:tcPr/>
          <w:p>
            <w:pPr>
              <w:pStyle w:val="Compact"/>
            </w:pPr>
            <w:r>
              <w:t xml:space="preserve">0.399</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0.000</m:t>
              </m:r>
            </m:oMath>
          </w:p>
        </w:tc>
        <w:tc>
          <w:tcPr/>
          <w:p>
            <w:pPr>
              <w:pStyle w:val="Compact"/>
            </w:pPr>
            <m:oMath>
              <m:r>
                <m:rPr>
                  <m:sty m:val="p"/>
                </m:rPr>
                <m:t>+</m:t>
              </m:r>
              <m:r>
                <m:t>0.000</m:t>
              </m:r>
            </m:oMath>
          </w:p>
        </w:tc>
        <w:tc>
          <w:tcPr/>
          <w:p>
            <w:pPr>
              <w:pStyle w:val="Compact"/>
            </w:pPr>
            <w:r>
              <w:t xml:space="preserve">0.001</w:t>
            </w:r>
          </w:p>
        </w:tc>
      </w:tr>
      <w:tr>
        <w:tc>
          <w:tcPr/>
          <w:p>
            <w:pPr>
              <w:pStyle w:val="Compact"/>
            </w:pPr>
            <m:oMath>
              <m:sSub>
                <m:e>
                  <m:r>
                    <m:t>λ</m:t>
                  </m:r>
                </m:e>
                <m:sub>
                  <m:r>
                    <m:t>C</m:t>
                  </m:r>
                </m:sub>
              </m:sSub>
            </m:oMath>
            <w:r>
              <w:t xml:space="preserve"> </w:t>
            </w:r>
            <w:r>
              <w:t xml:space="preserve">(cooperation reward, initial)</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0.000</m:t>
              </m:r>
            </m:oMath>
          </w:p>
        </w:tc>
        <w:tc>
          <w:tcPr/>
          <w:p>
            <w:pPr>
              <w:pStyle w:val="Compact"/>
            </w:pPr>
            <m:oMath>
              <m:r>
                <m:rPr>
                  <m:sty m:val="p"/>
                </m:rPr>
                <m:t>+</m:t>
              </m:r>
              <m:r>
                <m:t>0.000</m:t>
              </m:r>
            </m:oMath>
          </w:p>
        </w:tc>
        <w:tc>
          <w:tcPr/>
          <w:p>
            <w:pPr>
              <w:pStyle w:val="Compact"/>
            </w:pPr>
            <w:r>
              <w:t xml:space="preserve">0.000</w:t>
            </w:r>
          </w:p>
        </w:tc>
      </w:tr>
      <w:tr>
        <w:tc>
          <w:tcPr/>
          <w:p>
            <w:pPr>
              <w:pStyle w:val="Compact"/>
            </w:pPr>
            <m:oMath>
              <m:sSub>
                <m:e>
                  <m:r>
                    <m:t>λ</m:t>
                  </m:r>
                </m:e>
                <m:sub>
                  <m:r>
                    <m:t>X</m:t>
                  </m:r>
                </m:sub>
              </m:sSub>
            </m:oMath>
            <w:r>
              <w:t xml:space="preserve"> </w:t>
            </w:r>
            <w:r>
              <w:t xml:space="preserve">(exotic reward, initial)</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0.000</m:t>
              </m:r>
            </m:oMath>
          </w:p>
        </w:tc>
        <w:tc>
          <w:tcPr/>
          <w:p>
            <w:pPr>
              <w:pStyle w:val="Compact"/>
            </w:pPr>
            <m:oMath>
              <m:r>
                <m:rPr>
                  <m:sty m:val="p"/>
                </m:rPr>
                <m:t>+</m:t>
              </m:r>
              <m:r>
                <m:t>0.000</m:t>
              </m:r>
            </m:oMath>
          </w:p>
        </w:tc>
        <w:tc>
          <w:tcPr/>
          <w:p>
            <w:pPr>
              <w:pStyle w:val="Compact"/>
            </w:pPr>
            <w:r>
              <w:t xml:space="preserve">0.000</w:t>
            </w:r>
          </w:p>
        </w:tc>
      </w:tr>
    </w:tbl>
    <w:p>
      <w:pPr>
        <w:pStyle w:val="BodyText"/>
      </w:pPr>
      <w:r>
        <w:t xml:space="preserve">The table makes the main §4.3</w:t>
      </w:r>
      <w:r>
        <w:t xml:space="preserve"> </w:t>
      </w:r>
      <w:r>
        <w:rPr>
          <w:i/>
          <w:iCs/>
        </w:rPr>
        <w:t xml:space="preserve">Receiver behavior</w:t>
      </w:r>
      <w:r>
        <w:t xml:space="preserve"> </w:t>
      </w:r>
      <w:r>
        <w:t xml:space="preserve">concession explicit: at the equilibrium parameterization,</w:t>
      </w:r>
      <w:r>
        <w:t xml:space="preserve"> </w:t>
      </w:r>
      <m:oMath>
        <m:sSub>
          <m:e>
            <m:r>
              <m:t>λ</m:t>
            </m:r>
          </m:e>
          <m:sub>
            <m:r>
              <m:t>C</m:t>
            </m:r>
          </m:sub>
        </m:sSub>
      </m:oMath>
      <w:r>
        <w:t xml:space="preserve"> </w:t>
      </w:r>
      <w:r>
        <w:t xml:space="preserve">and</w:t>
      </w:r>
      <w:r>
        <w:t xml:space="preserve"> </w:t>
      </w:r>
      <m:oMath>
        <m:sSub>
          <m:e>
            <m:r>
              <m:t>λ</m:t>
            </m:r>
          </m:e>
          <m:sub>
            <m:r>
              <m:t>X</m:t>
            </m:r>
          </m:sub>
        </m:sSub>
      </m:oMath>
      <w:r>
        <w:t xml:space="preserve"> </w:t>
      </w:r>
      <w:r>
        <w:t xml:space="preserve">have zero direct effect on</w:t>
      </w:r>
      <w:r>
        <w:t xml:space="preserve"> </w:t>
      </w:r>
      <m:oMath>
        <m:sSup>
          <m:e>
            <m:r>
              <m:t>σ</m:t>
            </m:r>
          </m:e>
          <m:sup>
            <m:r>
              <m:rPr>
                <m:sty m:val="p"/>
              </m:rPr>
              <m:t>*</m:t>
            </m:r>
          </m:sup>
        </m:sSup>
      </m:oMath>
      <w:r>
        <w:t xml:space="preserve"> </w:t>
      </w:r>
      <w:r>
        <w:t xml:space="preserve">(because they are endogenously determined by the fixed-point loop from</w:t>
      </w:r>
      <w:r>
        <w:t xml:space="preserve"> </w:t>
      </w:r>
      <m:oMath>
        <m:sSub>
          <m:e>
            <m:r>
              <m:t>λ</m:t>
            </m:r>
          </m:e>
          <m:sub>
            <m:r>
              <m:t>W</m:t>
            </m:r>
          </m:sub>
        </m:sSub>
      </m:oMath>
      <w:r>
        <w:t xml:space="preserve"> </w:t>
      </w:r>
      <w:r>
        <w:t xml:space="preserve">and the network state), so the</w:t>
      </w:r>
      <w:r>
        <w:t xml:space="preserve"> </w:t>
      </w:r>
      <m:oMath>
        <m:r>
          <m:rPr>
            <m:sty m:val="p"/>
          </m:rPr>
          <m:t>+</m:t>
        </m:r>
        <m:r>
          <m:t>36</m:t>
        </m:r>
        <m:r>
          <m:rPr>
            <m:sty m:val="p"/>
          </m:rPr>
          <m:t>%</m:t>
        </m:r>
      </m:oMath>
      <w:r>
        <w:t xml:space="preserve"> </w:t>
      </w:r>
      <w:r>
        <w:t xml:space="preserve">ablation result reported in main §4.3 is sensitivity to a single parameter (</w:t>
      </w:r>
      <m:oMath>
        <m:sSub>
          <m:e>
            <m:r>
              <m:t>λ</m:t>
            </m:r>
          </m:e>
          <m:sub>
            <m:r>
              <m:t>W</m:t>
            </m:r>
          </m:sub>
        </m:sSub>
      </m:oMath>
      <w:r>
        <w:t xml:space="preserve">) plus the costs and ecotone advantage. The sensitivity hierarchy (</w:t>
      </w:r>
      <m:oMath>
        <m:sSub>
          <m:e>
            <m:r>
              <m:t>C</m:t>
            </m:r>
          </m:e>
          <m:sub>
            <m:r>
              <m:t>s</m:t>
            </m:r>
            <m:r>
              <m:t>i</m:t>
            </m:r>
            <m:r>
              <m:t>g</m:t>
            </m:r>
            <m:r>
              <m:t>n</m:t>
            </m:r>
            <m:r>
              <m:t>a</m:t>
            </m:r>
            <m:r>
              <m:t>l</m:t>
            </m:r>
          </m:sub>
        </m:sSub>
        <m:r>
          <m:rPr>
            <m:sty m:val="p"/>
          </m:rPr>
          <m:t>&gt;</m:t>
        </m:r>
        <m:r>
          <m:t>ε</m:t>
        </m:r>
        <m:r>
          <m:rPr>
            <m:sty m:val="p"/>
          </m:rPr>
          <m:t>&gt;</m:t>
        </m:r>
        <m:sSub>
          <m:e>
            <m:r>
              <m:t>C</m:t>
            </m:r>
          </m:e>
          <m:sub>
            <m:r>
              <m:t>o</m:t>
            </m:r>
            <m:r>
              <m:t>p</m:t>
            </m:r>
            <m:r>
              <m:t>p</m:t>
            </m:r>
            <m:r>
              <m:t>o</m:t>
            </m:r>
            <m:r>
              <m:t>r</m:t>
            </m:r>
            <m:r>
              <m:t>t</m:t>
            </m:r>
            <m:r>
              <m:t>u</m:t>
            </m:r>
            <m:r>
              <m:t>n</m:t>
            </m:r>
            <m:r>
              <m:t>i</m:t>
            </m:r>
            <m:r>
              <m:t>t</m:t>
            </m:r>
            <m:r>
              <m:t>y</m:t>
            </m:r>
          </m:sub>
        </m:sSub>
        <m:r>
          <m:rPr>
            <m:sty m:val="p"/>
          </m:rPr>
          <m:t>&gt;</m:t>
        </m:r>
        <m:sSub>
          <m:e>
            <m:r>
              <m:t>λ</m:t>
            </m:r>
          </m:e>
          <m:sub>
            <m:r>
              <m:t>W</m:t>
            </m:r>
          </m:sub>
        </m:sSub>
      </m:oMath>
      <w:r>
        <w:t xml:space="preserve">) drives the framework’s predictive content: the cost structure and the ecotone advantage determine</w:t>
      </w:r>
      <w:r>
        <w:t xml:space="preserve"> </w:t>
      </w:r>
      <m:oMath>
        <m:sSup>
          <m:e>
            <m:r>
              <m:t>σ</m:t>
            </m:r>
          </m:e>
          <m:sup>
            <m:r>
              <m:rPr>
                <m:sty m:val="p"/>
              </m:rPr>
              <m:t>*</m:t>
            </m:r>
          </m:sup>
        </m:sSup>
      </m:oMath>
      <w:r>
        <w:t xml:space="preserve">. The within-group reward modulates it.</w:t>
      </w:r>
    </w:p>
    <w:p>
      <w:pPr>
        <w:pStyle w:val="BodyText"/>
      </w:pPr>
      <w:r>
        <w:drawing>
          <wp:inline>
            <wp:extent cx="5943600" cy="5060402"/>
            <wp:effectExtent b="0" l="0" r="0" t="0"/>
            <wp:docPr descr="" title="" id="25" name="Picture"/>
            <a:graphic>
              <a:graphicData uri="http://schemas.openxmlformats.org/drawingml/2006/picture">
                <pic:pic>
                  <pic:nvPicPr>
                    <pic:cNvPr descr="../../figures/supplemental/figure_S01_sensitivity_tornado.png" id="26" name="Picture"/>
                    <pic:cNvPicPr>
                      <a:picLocks noChangeArrowheads="1" noChangeAspect="1"/>
                    </pic:cNvPicPr>
                  </pic:nvPicPr>
                  <pic:blipFill>
                    <a:blip r:embed="rId24"/>
                    <a:stretch>
                      <a:fillRect/>
                    </a:stretch>
                  </pic:blipFill>
                  <pic:spPr bwMode="auto">
                    <a:xfrm>
                      <a:off x="0" y="0"/>
                      <a:ext cx="5943600" cy="5060402"/>
                    </a:xfrm>
                    <a:prstGeom prst="rect">
                      <a:avLst/>
                    </a:prstGeom>
                    <a:noFill/>
                    <a:ln w="9525">
                      <a:noFill/>
                      <a:headEnd/>
                      <a:tailEnd/>
                    </a:ln>
                  </pic:spPr>
                </pic:pic>
              </a:graphicData>
            </a:graphic>
          </wp:inline>
        </w:drawing>
      </w:r>
    </w:p>
    <w:p>
      <w:pPr>
        <w:pStyle w:val="BodyText"/>
      </w:pPr>
      <w:r>
        <w:rPr>
          <w:b/>
          <w:bCs/>
          <w:i/>
          <w:iCs/>
        </w:rPr>
        <w:t xml:space="preserve">Figure S1. One-at-a-time sensitivity analysis.</w:t>
      </w:r>
      <w:r>
        <w:t xml:space="preserve"> </w:t>
      </w:r>
      <w:r>
        <w:rPr>
          <w:i/>
          <w:iCs/>
        </w:rPr>
        <w:t xml:space="preserve">Tornado plot showing the swing in the critical threshold</w:t>
      </w:r>
      <w:r>
        <w:rPr>
          <w:i/>
          <w:iCs/>
        </w:rPr>
        <w:t xml:space="preserve"> </w:t>
      </w:r>
      <m:oMath>
        <m:sSup>
          <m:e>
            <m:r>
              <m:t>σ</m:t>
            </m:r>
          </m:e>
          <m:sup>
            <m:r>
              <m:rPr>
                <m:sty m:val="p"/>
              </m:rPr>
              <m:t>*</m:t>
            </m:r>
          </m:sup>
        </m:sSup>
      </m:oMath>
      <w:r>
        <w:rPr>
          <w:i/>
          <w:iCs/>
        </w:rPr>
        <w:t xml:space="preserve"> </w:t>
      </w:r>
      <w:r>
        <w:rPr>
          <w:i/>
          <w:iCs/>
        </w:rPr>
        <w:t xml:space="preserve">when each model parameter is perturbed by</w:t>
      </w:r>
      <w:r>
        <w:rPr>
          <w:i/>
          <w:iCs/>
        </w:rPr>
        <w:t xml:space="preserve"> </w:t>
      </w:r>
      <m:oMath>
        <m:r>
          <m:rPr>
            <m:sty m:val="p"/>
          </m:rPr>
          <m:t>±</m:t>
        </m:r>
        <m:r>
          <m:t>50</m:t>
        </m:r>
        <m:r>
          <m:rPr>
            <m:sty m:val="p"/>
          </m:rPr>
          <m:t>%</m:t>
        </m:r>
      </m:oMath>
      <w:r>
        <w:rPr>
          <w:i/>
          <w:iCs/>
        </w:rPr>
        <w:t xml:space="preserve"> </w:t>
      </w:r>
      <w:r>
        <w:rPr>
          <w:i/>
          <w:iCs/>
        </w:rPr>
        <w:t xml:space="preserve">from its default value at PP-scenario parameters (</w:t>
      </w:r>
      <m:oMath>
        <m:r>
          <m:t>ε</m:t>
        </m:r>
        <m:r>
          <m:rPr>
            <m:sty m:val="p"/>
          </m:rPr>
          <m:t>=</m:t>
        </m:r>
        <m:r>
          <m:t>0.35</m:t>
        </m:r>
      </m:oMath>
      <w:r>
        <w:rPr>
          <w:i/>
          <w:iCs/>
        </w:rPr>
        <w:t xml:space="preserve">,</w:t>
      </w:r>
      <w:r>
        <w:rPr>
          <w:i/>
          <w:iCs/>
        </w:rPr>
        <w:t xml:space="preserve"> </w:t>
      </w:r>
      <m:oMath>
        <m:sSub>
          <m:e>
            <m:r>
              <m:t>n</m:t>
            </m:r>
          </m:e>
          <m:sub>
            <m:r>
              <m:t>a</m:t>
            </m:r>
            <m:r>
              <m:t>g</m:t>
            </m:r>
            <m:r>
              <m:t>g</m:t>
            </m:r>
          </m:sub>
        </m:sSub>
        <m:r>
          <m:rPr>
            <m:sty m:val="p"/>
          </m:rPr>
          <m:t>=</m:t>
        </m:r>
        <m:r>
          <m:t>25</m:t>
        </m:r>
      </m:oMath>
      <w:r>
        <w:rPr>
          <w:i/>
          <w:iCs/>
        </w:rPr>
        <w:t xml:space="preserve">). Bars are sorted by absolute swing magnitude. Baseline</w:t>
      </w:r>
      <w:r>
        <w:rPr>
          <w:i/>
          <w:iCs/>
        </w:rPr>
        <w:t xml:space="preserve"> </w:t>
      </w:r>
      <m:oMath>
        <m:sSup>
          <m:e>
            <m:r>
              <m:t>σ</m:t>
            </m:r>
          </m:e>
          <m:sup>
            <m:r>
              <m:rPr>
                <m:sty m:val="p"/>
              </m:rPr>
              <m:t>*</m:t>
            </m:r>
          </m:sup>
        </m:sSup>
        <m:r>
          <m:rPr>
            <m:sty m:val="p"/>
          </m:rPr>
          <m:t>=</m:t>
        </m:r>
        <m:r>
          <m:t>0.40</m:t>
        </m:r>
      </m:oMath>
      <w:r>
        <w:rPr>
          <w:i/>
          <w:iCs/>
        </w:rPr>
        <w:t xml:space="preserve"> </w:t>
      </w:r>
      <w:r>
        <w:rPr>
          <w:i/>
          <w:iCs/>
        </w:rPr>
        <w:t xml:space="preserve">is marked by the vertical line. Aggregation costs (</w:t>
      </w:r>
      <m:oMath>
        <m:sSub>
          <m:e>
            <m:r>
              <m:t>C</m:t>
            </m:r>
          </m:e>
          <m:sub>
            <m:r>
              <m:t>s</m:t>
            </m:r>
            <m:r>
              <m:t>i</m:t>
            </m:r>
            <m:r>
              <m:t>g</m:t>
            </m:r>
            <m:r>
              <m:t>n</m:t>
            </m:r>
            <m:r>
              <m:t>a</m:t>
            </m:r>
            <m:r>
              <m:t>l</m:t>
            </m:r>
          </m:sub>
        </m:sSub>
      </m:oMath>
      <w:r>
        <w:rPr>
          <w:i/>
          <w:iCs/>
        </w:rPr>
        <w:t xml:space="preserve">, swing 0.225 in</w:t>
      </w:r>
      <w:r>
        <w:rPr>
          <w:i/>
          <w:iCs/>
        </w:rPr>
        <w:t xml:space="preserve"> </w:t>
      </w:r>
      <m:oMath>
        <m:sSup>
          <m:e>
            <m:r>
              <m:t>σ</m:t>
            </m:r>
          </m:e>
          <m:sup>
            <m:r>
              <m:rPr>
                <m:sty m:val="p"/>
              </m:rPr>
              <m:t>*</m:t>
            </m:r>
          </m:sup>
        </m:sSup>
      </m:oMath>
      <w:r>
        <w:rPr>
          <w:i/>
          <w:iCs/>
        </w:rPr>
        <w:t xml:space="preserve"> </w:t>
      </w:r>
      <w:r>
        <w:rPr>
          <w:i/>
          <w:iCs/>
        </w:rPr>
        <w:t xml:space="preserve">across</w:t>
      </w:r>
      <w:r>
        <w:rPr>
          <w:i/>
          <w:iCs/>
        </w:rPr>
        <w:t xml:space="preserve"> </w:t>
      </w:r>
      <m:oMath>
        <m:r>
          <m:rPr>
            <m:sty m:val="p"/>
          </m:rPr>
          <m:t>±</m:t>
        </m:r>
        <m:r>
          <m:t>50</m:t>
        </m:r>
        <m:r>
          <m:rPr>
            <m:sty m:val="p"/>
          </m:rPr>
          <m:t>%</m:t>
        </m:r>
      </m:oMath>
      <w:r>
        <w:rPr>
          <w:i/>
          <w:iCs/>
        </w:rPr>
        <w:t xml:space="preserve">), the ecotone advantage (</w:t>
      </w:r>
      <m:oMath>
        <m:r>
          <m:t>ε</m:t>
        </m:r>
      </m:oMath>
      <w:r>
        <w:rPr>
          <w:i/>
          <w:iCs/>
        </w:rPr>
        <w:t xml:space="preserve">, swing 0.154 across</w:t>
      </w:r>
      <w:r>
        <w:rPr>
          <w:i/>
          <w:iCs/>
        </w:rPr>
        <w:t xml:space="preserve"> </w:t>
      </w:r>
      <m:oMath>
        <m:r>
          <m:rPr>
            <m:sty m:val="p"/>
          </m:rPr>
          <m:t>[</m:t>
        </m:r>
        <m:r>
          <m:t>0.10</m:t>
        </m:r>
        <m:r>
          <m:rPr>
            <m:sty m:val="p"/>
          </m:rPr>
          <m:t>,</m:t>
        </m:r>
        <m:r>
          <m:t>0.50</m:t>
        </m:r>
        <m:r>
          <m:rPr>
            <m:sty m:val="p"/>
          </m:rPr>
          <m:t>]</m:t>
        </m:r>
      </m:oMath>
      <w:r>
        <w:rPr>
          <w:i/>
          <w:iCs/>
        </w:rPr>
        <w:t xml:space="preserve">), the opportunity cost (</w:t>
      </w:r>
      <m:oMath>
        <m:sSub>
          <m:e>
            <m:r>
              <m:t>C</m:t>
            </m:r>
          </m:e>
          <m:sub>
            <m:r>
              <m:t>o</m:t>
            </m:r>
            <m:r>
              <m:t>p</m:t>
            </m:r>
            <m:r>
              <m:t>p</m:t>
            </m:r>
            <m:r>
              <m:t>o</m:t>
            </m:r>
            <m:r>
              <m:t>r</m:t>
            </m:r>
            <m:r>
              <m:t>t</m:t>
            </m:r>
            <m:r>
              <m:t>u</m:t>
            </m:r>
            <m:r>
              <m:t>n</m:t>
            </m:r>
            <m:r>
              <m:t>i</m:t>
            </m:r>
            <m:r>
              <m:t>t</m:t>
            </m:r>
            <m:r>
              <m:t>y</m:t>
            </m:r>
          </m:sub>
        </m:sSub>
      </m:oMath>
      <w:r>
        <w:rPr>
          <w:i/>
          <w:iCs/>
        </w:rPr>
        <w:t xml:space="preserve">, 0.150), and the within-group reward (</w:t>
      </w:r>
      <m:oMath>
        <m:sSub>
          <m:e>
            <m:r>
              <m:t>λ</m:t>
            </m:r>
          </m:e>
          <m:sub>
            <m:r>
              <m:t>W</m:t>
            </m:r>
          </m:sub>
        </m:sSub>
      </m:oMath>
      <w:r>
        <w:rPr>
          <w:i/>
          <w:iCs/>
        </w:rPr>
        <w:t xml:space="preserve">, 0.137) dominate. Network parameters (</w:t>
      </w:r>
      <m:oMath>
        <m:sSub>
          <m:e>
            <m:r>
              <m:t>k</m:t>
            </m:r>
          </m:e>
          <m:sub>
            <m:r>
              <m:t>m</m:t>
            </m:r>
            <m:r>
              <m:t>a</m:t>
            </m:r>
            <m:r>
              <m:t>x</m:t>
            </m:r>
          </m:sub>
        </m:sSub>
      </m:oMath>
      <w:r>
        <w:rPr>
          <w:i/>
          <w:iCs/>
        </w:rPr>
        <w:t xml:space="preserve">,</w:t>
      </w:r>
      <w:r>
        <w:rPr>
          <w:i/>
          <w:iCs/>
        </w:rPr>
        <w:t xml:space="preserve"> </w:t>
      </w:r>
      <m:oMath>
        <m:r>
          <m:t>γ</m:t>
        </m:r>
      </m:oMath>
      <w:r>
        <w:rPr>
          <w:i/>
          <w:iCs/>
        </w:rPr>
        <w:t xml:space="preserve">) and travel cost are moderately sensitive. Monument depreciation (</w:t>
      </w:r>
      <m:oMath>
        <m:r>
          <m:t>δ</m:t>
        </m:r>
      </m:oMath>
      <w:r>
        <w:rPr>
          <w:i/>
          <w:iCs/>
        </w:rPr>
        <w:t xml:space="preserve">), the half-saturation constant (</w:t>
      </w:r>
      <m:oMath>
        <m:sSub>
          <m:e>
            <m:r>
              <m:t>M</m:t>
            </m:r>
          </m:e>
          <m:sub>
            <m:r>
              <m:t>h</m:t>
            </m:r>
            <m:r>
              <m:t>a</m:t>
            </m:r>
            <m:r>
              <m:t>l</m:t>
            </m:r>
            <m:r>
              <m:t>f</m:t>
            </m:r>
          </m:sub>
        </m:sSub>
      </m:oMath>
      <w:r>
        <w:rPr>
          <w:i/>
          <w:iCs/>
        </w:rPr>
        <w:t xml:space="preserve">), and aggregation size (</w:t>
      </w:r>
      <m:oMath>
        <m:sSub>
          <m:e>
            <m:r>
              <m:t>n</m:t>
            </m:r>
          </m:e>
          <m:sub>
            <m:r>
              <m:t>a</m:t>
            </m:r>
            <m:r>
              <m:t>g</m:t>
            </m:r>
            <m:r>
              <m:t>g</m:t>
            </m:r>
          </m:sub>
        </m:sSub>
      </m:oMath>
      <w:r>
        <w:rPr>
          <w:i/>
          <w:iCs/>
        </w:rPr>
        <w:t xml:space="preserve"> </w:t>
      </w:r>
      <w:r>
        <w:rPr>
          <w:i/>
          <w:iCs/>
        </w:rPr>
        <w:t xml:space="preserve">over the plausible range</w:t>
      </w:r>
      <w:r>
        <w:rPr>
          <w:i/>
          <w:iCs/>
        </w:rPr>
        <w:t xml:space="preserve"> </w:t>
      </w:r>
      <m:oMath>
        <m:r>
          <m:t>5</m:t>
        </m:r>
        <m:r>
          <m:rPr>
            <m:sty m:val="p"/>
          </m:rPr>
          <m:t>≤</m:t>
        </m:r>
        <m:sSub>
          <m:e>
            <m:r>
              <m:t>n</m:t>
            </m:r>
          </m:e>
          <m:sub>
            <m:r>
              <m:t>a</m:t>
            </m:r>
            <m:r>
              <m:t>g</m:t>
            </m:r>
            <m:r>
              <m:t>g</m:t>
            </m:r>
          </m:sub>
        </m:sSub>
        <m:r>
          <m:rPr>
            <m:sty m:val="p"/>
          </m:rPr>
          <m:t>≤</m:t>
        </m:r>
        <m:r>
          <m:t>50</m:t>
        </m:r>
      </m:oMath>
      <w:r>
        <w:rPr>
          <w:i/>
          <w:iCs/>
        </w:rPr>
        <w:t xml:space="preserve">) are effectively insensitive.</w:t>
      </w:r>
      <w:r>
        <w:rPr>
          <w:i/>
          <w:iCs/>
        </w:rPr>
        <w:t xml:space="preserve"> </w:t>
      </w:r>
      <m:oMath>
        <m:sSub>
          <m:e>
            <m:r>
              <m:t>λ</m:t>
            </m:r>
          </m:e>
          <m:sub>
            <m:r>
              <m:t>C</m:t>
            </m:r>
          </m:sub>
        </m:sSub>
      </m:oMath>
      <w:r>
        <w:rPr>
          <w:i/>
          <w:iCs/>
        </w:rPr>
        <w:t xml:space="preserve"> </w:t>
      </w:r>
      <w:r>
        <w:rPr>
          <w:i/>
          <w:iCs/>
        </w:rPr>
        <w:t xml:space="preserve">and</w:t>
      </w:r>
      <w:r>
        <w:rPr>
          <w:i/>
          <w:iCs/>
        </w:rPr>
        <w:t xml:space="preserve"> </w:t>
      </w:r>
      <m:oMath>
        <m:sSub>
          <m:e>
            <m:r>
              <m:t>λ</m:t>
            </m:r>
          </m:e>
          <m:sub>
            <m:r>
              <m:t>X</m:t>
            </m:r>
          </m:sub>
        </m:sSub>
      </m:oMath>
      <w:r>
        <w:rPr>
          <w:i/>
          <w:iCs/>
        </w:rPr>
        <w:t xml:space="preserve"> </w:t>
      </w:r>
      <w:r>
        <w:rPr>
          <w:i/>
          <w:iCs/>
        </w:rPr>
        <w:t xml:space="preserve">have zero sensitivity in the default formulation because they are endogenously determined by the lambda-sigma feedback loop. Computed by</w:t>
      </w:r>
      <w:r>
        <w:rPr>
          <w:i/>
          <w:iCs/>
        </w:rPr>
        <w:t xml:space="preserve"> </w:t>
      </w:r>
      <w:r>
        <w:rPr>
          <w:rStyle w:val="VerbatimChar"/>
          <w:i/>
          <w:iCs/>
        </w:rPr>
        <w:t xml:space="preserve">scripts/analysis/oat_sensitivity.py</w:t>
      </w:r>
      <w:r>
        <w:rPr>
          <w:i/>
          <w:iCs/>
        </w:rPr>
        <w:t xml:space="preserve">.</w:t>
      </w:r>
    </w:p>
    <w:p>
      <w:pPr>
        <w:pStyle w:val="BodyText"/>
      </w:pPr>
      <w:r>
        <w:rPr>
          <w:b/>
          <w:bCs/>
        </w:rPr>
        <w:t xml:space="preserve">Joint parameter uncertainty (referenced in main §6.2).</w:t>
      </w:r>
      <w:r>
        <w:t xml:space="preserve"> </w:t>
      </w:r>
      <w:r>
        <w:t xml:space="preserve">The OAT swing magnitudes above support a Monte Carlo propagation of joint parameter uncertainty through the §6.2 Bayesian threshold-proximity test. Sampling</w:t>
      </w:r>
      <w:r>
        <w:t xml:space="preserve"> </w:t>
      </w:r>
      <m:oMath>
        <m:sSub>
          <m:e>
            <m:r>
              <m:t>C</m:t>
            </m:r>
          </m:e>
          <m:sub>
            <m:r>
              <m:t>s</m:t>
            </m:r>
            <m:r>
              <m:t>i</m:t>
            </m:r>
            <m:r>
              <m:t>g</m:t>
            </m:r>
            <m:r>
              <m:t>n</m:t>
            </m:r>
            <m:r>
              <m:t>a</m:t>
            </m:r>
            <m:r>
              <m:t>l</m:t>
            </m:r>
          </m:sub>
        </m:sSub>
      </m:oMath>
      <w:r>
        <w:t xml:space="preserve">,</w:t>
      </w:r>
      <w:r>
        <w:t xml:space="preserve"> </w:t>
      </w:r>
      <m:oMath>
        <m:sSub>
          <m:e>
            <m:r>
              <m:t>C</m:t>
            </m:r>
          </m:e>
          <m:sub>
            <m:r>
              <m:t>o</m:t>
            </m:r>
            <m:r>
              <m:t>p</m:t>
            </m:r>
            <m:r>
              <m:t>p</m:t>
            </m:r>
            <m:r>
              <m:t>o</m:t>
            </m:r>
            <m:r>
              <m:t>r</m:t>
            </m:r>
            <m:r>
              <m:t>t</m:t>
            </m:r>
            <m:r>
              <m:t>u</m:t>
            </m:r>
            <m:r>
              <m:t>n</m:t>
            </m:r>
            <m:r>
              <m:t>i</m:t>
            </m:r>
            <m:r>
              <m:t>t</m:t>
            </m:r>
            <m:r>
              <m:t>y</m:t>
            </m:r>
          </m:sub>
        </m:sSub>
      </m:oMath>
      <w:r>
        <w:t xml:space="preserve">,</w:t>
      </w:r>
      <w:r>
        <w:t xml:space="preserve"> </w:t>
      </w:r>
      <m:oMath>
        <m:sSub>
          <m:e>
            <m:r>
              <m:t>λ</m:t>
            </m:r>
          </m:e>
          <m:sub>
            <m:r>
              <m:t>W</m:t>
            </m:r>
          </m:sub>
        </m:sSub>
      </m:oMath>
      <w:r>
        <w:t xml:space="preserve">,</w:t>
      </w:r>
      <w:r>
        <w:t xml:space="preserve"> </w:t>
      </w:r>
      <m:oMath>
        <m:sSub>
          <m:e>
            <m:r>
              <m:t>k</m:t>
            </m:r>
          </m:e>
          <m:sub>
            <m:r>
              <m:t>m</m:t>
            </m:r>
            <m:r>
              <m:t>a</m:t>
            </m:r>
            <m:r>
              <m:t>x</m:t>
            </m:r>
          </m:sub>
        </m:sSub>
      </m:oMath>
      <w:r>
        <w:t xml:space="preserve">,</w:t>
      </w:r>
      <w:r>
        <w:t xml:space="preserve"> </w:t>
      </w:r>
      <m:oMath>
        <m:sSub>
          <m:e>
            <m:r>
              <m:t>M</m:t>
            </m:r>
          </m:e>
          <m:sub>
            <m:r>
              <m:t>h</m:t>
            </m:r>
            <m:r>
              <m:t>a</m:t>
            </m:r>
            <m:r>
              <m:t>l</m:t>
            </m:r>
            <m:r>
              <m:t>f</m:t>
            </m:r>
          </m:sub>
        </m:sSub>
      </m:oMath>
      <w:r>
        <w:t xml:space="preserve">, and</w:t>
      </w:r>
      <w:r>
        <w:t xml:space="preserve"> </w:t>
      </w:r>
      <m:oMath>
        <m:r>
          <m:t>γ</m:t>
        </m:r>
      </m:oMath>
      <w:r>
        <w:t xml:space="preserve"> </w:t>
      </w:r>
      <w:r>
        <w:t xml:space="preserve">from independent uniform priors at</w:t>
      </w:r>
      <w:r>
        <w:t xml:space="preserve"> </w:t>
      </w:r>
      <m:oMath>
        <m:r>
          <m:rPr>
            <m:sty m:val="p"/>
          </m:rPr>
          <m:t>±</m:t>
        </m:r>
        <m:r>
          <m:t>50</m:t>
        </m:r>
        <m:r>
          <m:rPr>
            <m:sty m:val="p"/>
          </m:rPr>
          <m:t>%</m:t>
        </m:r>
      </m:oMath>
      <w:r>
        <w:t xml:space="preserve"> </w:t>
      </w:r>
      <w:r>
        <w:t xml:space="preserve">around their default values, jointly with the §6.2 rubric priors on paleoclimate</w:t>
      </w:r>
      <w:r>
        <w:t xml:space="preserve"> </w:t>
      </w:r>
      <m:oMath>
        <m:r>
          <m:t>σ</m:t>
        </m:r>
      </m:oMath>
      <w:r>
        <w:t xml:space="preserve"> </w:t>
      </w:r>
      <w:r>
        <w:t xml:space="preserve">and ecotone</w:t>
      </w:r>
      <w:r>
        <w:t xml:space="preserve"> </w:t>
      </w:r>
      <m:oMath>
        <m:r>
          <m:t>ε</m:t>
        </m:r>
      </m:oMath>
      <w:r>
        <w:t xml:space="preserve">,</w:t>
      </w:r>
      <w:r>
        <w:t xml:space="preserve"> </w:t>
      </w:r>
      <m:oMath>
        <m:r>
          <m:t>N</m:t>
        </m:r>
        <m:r>
          <m:rPr>
            <m:sty m:val="p"/>
          </m:rPr>
          <m:t>=</m:t>
        </m:r>
        <m:r>
          <m:t>1</m:t>
        </m:r>
        <m:r>
          <m:rPr>
            <m:sty m:val="p"/>
          </m:rPr>
          <m:t>,</m:t>
        </m:r>
        <m:r>
          <m:t>000</m:t>
        </m:r>
      </m:oMath>
      <w:r>
        <w:t xml:space="preserve"> </w:t>
      </w:r>
      <w:r>
        <w:t xml:space="preserve">samples yield posterior</w:t>
      </w:r>
      <w: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r>
          <m:rPr>
            <m:sty m:val="p"/>
          </m:rPr>
          <m:t>=</m:t>
        </m:r>
        <m:r>
          <m:t>0.33</m:t>
        </m:r>
      </m:oMath>
      <w:r>
        <w:t xml:space="preserve">. This is comparable to the §6.2 baseline rubric-prior result of 0.36 (the propagation slightly raises</w:t>
      </w:r>
      <w:r>
        <w:t xml:space="preserve"> </w:t>
      </w:r>
      <m:oMath>
        <m:r>
          <m:t>P</m:t>
        </m:r>
      </m:oMath>
      <w:r>
        <w:t xml:space="preserve"> </w:t>
      </w:r>
      <w:r>
        <w:t xml:space="preserve">rather than lowers it because lower-cost samples bring</w:t>
      </w:r>
      <w:r>
        <w:t xml:space="preserve"> </w:t>
      </w:r>
      <m:oMath>
        <m:sSup>
          <m:e>
            <m:r>
              <m:t>σ</m:t>
            </m:r>
          </m:e>
          <m:sup>
            <m:r>
              <m:rPr>
                <m:sty m:val="p"/>
              </m:rPr>
              <m:t>*</m:t>
            </m:r>
          </m:sup>
        </m:sSup>
      </m:oMath>
      <w:r>
        <w:t xml:space="preserve"> </w:t>
      </w:r>
      <w:r>
        <w:t xml:space="preserve">down faster than they bring</w:t>
      </w:r>
      <w:r>
        <w:t xml:space="preserve"> </w:t>
      </w:r>
      <m:oMath>
        <m:sSub>
          <m:e>
            <m:r>
              <m:t>σ</m:t>
            </m:r>
          </m:e>
          <m:sub>
            <m:r>
              <m:t>e</m:t>
            </m:r>
            <m:r>
              <m:t>f</m:t>
            </m:r>
            <m:r>
              <m:t>f</m:t>
            </m:r>
          </m:sub>
        </m:sSub>
      </m:oMath>
      <w:r>
        <w:t xml:space="preserve"> </w:t>
      </w:r>
      <w:r>
        <w:t xml:space="preserve">down). The posterior on</w:t>
      </w:r>
      <w:r>
        <w:t xml:space="preserve"> </w:t>
      </w:r>
      <m:oMath>
        <m:sSub>
          <m:e>
            <m:r>
              <m:t>σ</m:t>
            </m:r>
          </m:e>
          <m:sub>
            <m:r>
              <m:t>e</m:t>
            </m:r>
            <m:r>
              <m:t>f</m:t>
            </m:r>
            <m:r>
              <m:t>f</m:t>
            </m:r>
          </m:sub>
        </m:sSub>
        <m:r>
          <m:rPr>
            <m:sty m:val="p"/>
          </m:rPr>
          <m:t>−</m:t>
        </m:r>
        <m:sSup>
          <m:e>
            <m:r>
              <m:t>σ</m:t>
            </m:r>
          </m:e>
          <m:sup>
            <m:r>
              <m:rPr>
                <m:sty m:val="p"/>
              </m:rPr>
              <m:t>*</m:t>
            </m:r>
          </m:sup>
        </m:sSup>
      </m:oMath>
      <w:r>
        <w:t xml:space="preserve"> </w:t>
      </w:r>
      <w:r>
        <w:t xml:space="preserve">has mean</w:t>
      </w:r>
      <w:r>
        <w:t xml:space="preserve"> </w:t>
      </w:r>
      <m:oMath>
        <m:r>
          <m:rPr>
            <m:sty m:val="p"/>
          </m:rPr>
          <m:t>−</m:t>
        </m:r>
        <m:r>
          <m:t>0.05</m:t>
        </m:r>
      </m:oMath>
      <w:r>
        <w:t xml:space="preserve"> </w:t>
      </w:r>
      <w:r>
        <w:t xml:space="preserve">with 95% CI</w:t>
      </w:r>
      <w:r>
        <w:t xml:space="preserve"> </w:t>
      </w:r>
      <m:oMath>
        <m:r>
          <m:rPr>
            <m:sty m:val="p"/>
          </m:rPr>
          <m:t>[</m:t>
        </m:r>
        <m:r>
          <m:rPr>
            <m:sty m:val="p"/>
          </m:rPr>
          <m:t>−</m:t>
        </m:r>
        <m:r>
          <m:t>0.26</m:t>
        </m:r>
        <m:r>
          <m:rPr>
            <m:sty m:val="p"/>
          </m:rPr>
          <m:t>,</m:t>
        </m:r>
        <m:r>
          <m:rPr>
            <m:sty m:val="p"/>
          </m:rPr>
          <m:t>+</m:t>
        </m:r>
        <m:r>
          <m:t>0.18</m:t>
        </m:r>
        <m:r>
          <m:rPr>
            <m:sty m:val="p"/>
          </m:rPr>
          <m:t>]</m:t>
        </m:r>
      </m:oMath>
      <w:r>
        <w:t xml:space="preserve">, straddling zero substantially. The conditioning caveat introduced in main §6.2 is therefore real but bounded: the §6.2 result is robust against adding parameter-set uncertainty over the</w:t>
      </w:r>
      <w:r>
        <w:t xml:space="preserve"> </w:t>
      </w:r>
      <m:oMath>
        <m:r>
          <m:rPr>
            <m:sty m:val="p"/>
          </m:rPr>
          <m:t>±</m:t>
        </m:r>
        <m:r>
          <m:t>50</m:t>
        </m:r>
        <m:r>
          <m:rPr>
            <m:sty m:val="p"/>
          </m:rPr>
          <m:t>%</m:t>
        </m:r>
      </m:oMath>
      <w:r>
        <w:t xml:space="preserve"> </w:t>
      </w:r>
      <w:r>
        <w:t xml:space="preserve">OAT range. Reproducible from</w:t>
      </w:r>
      <w:r>
        <w:t xml:space="preserve"> </w:t>
      </w:r>
      <w:r>
        <w:rPr>
          <w:rStyle w:val="VerbatimChar"/>
        </w:rPr>
        <w:t xml:space="preserve">scripts/analysis/joint_parameter_uncertainty.py</w:t>
      </w:r>
      <w:r>
        <w:t xml:space="preserve">, with output in</w:t>
      </w:r>
      <w:r>
        <w:t xml:space="preserve"> </w:t>
      </w:r>
      <w:r>
        <w:rPr>
          <w:rStyle w:val="VerbatimChar"/>
        </w:rPr>
        <w:t xml:space="preserve">results/bayesian/joint_parameter_uncertainty.json</w:t>
      </w:r>
      <w:r>
        <w:t xml:space="preserve">.</w:t>
      </w:r>
    </w:p>
    <w:p>
      <w:pPr>
        <w:pStyle w:val="BodyText"/>
      </w:pPr>
      <w:r>
        <w:drawing>
          <wp:inline>
            <wp:extent cx="5943600" cy="2179935"/>
            <wp:effectExtent b="0" l="0" r="0" t="0"/>
            <wp:docPr descr="" title="" id="28" name="Picture"/>
            <a:graphic>
              <a:graphicData uri="http://schemas.openxmlformats.org/drawingml/2006/picture">
                <pic:pic>
                  <pic:nvPicPr>
                    <pic:cNvPr descr="../../figures/supplemental/figure_S02_joint_mc_diagnostic.png" id="29" name="Picture"/>
                    <pic:cNvPicPr>
                      <a:picLocks noChangeArrowheads="1" noChangeAspect="1"/>
                    </pic:cNvPicPr>
                  </pic:nvPicPr>
                  <pic:blipFill>
                    <a:blip r:embed="rId27"/>
                    <a:stretch>
                      <a:fillRect/>
                    </a:stretch>
                  </pic:blipFill>
                  <pic:spPr bwMode="auto">
                    <a:xfrm>
                      <a:off x="0" y="0"/>
                      <a:ext cx="5943600" cy="2179935"/>
                    </a:xfrm>
                    <a:prstGeom prst="rect">
                      <a:avLst/>
                    </a:prstGeom>
                    <a:noFill/>
                    <a:ln w="9525">
                      <a:noFill/>
                      <a:headEnd/>
                      <a:tailEnd/>
                    </a:ln>
                  </pic:spPr>
                </pic:pic>
              </a:graphicData>
            </a:graphic>
          </wp:inline>
        </w:drawing>
      </w:r>
    </w:p>
    <w:p>
      <w:pPr>
        <w:pStyle w:val="BodyText"/>
      </w:pPr>
      <w:r>
        <w:rPr>
          <w:b/>
          <w:bCs/>
          <w:i/>
          <w:iCs/>
        </w:rPr>
        <w:t xml:space="preserve">Figure S2. Joint Monte Carlo diagnostic for the §6.2 threshold-proximity test.</w:t>
      </w:r>
      <w:r>
        <w:t xml:space="preserve"> </w:t>
      </w:r>
      <w:r>
        <w:rPr>
          <w:i/>
          <w:iCs/>
        </w:rPr>
        <w:t xml:space="preserve">(A) Joint posterior on</w:t>
      </w:r>
      <w:r>
        <w:rPr>
          <w:i/>
          <w:iCs/>
        </w:rPr>
        <w:t xml:space="preserve"> </w:t>
      </w:r>
      <m:oMath>
        <m:r>
          <m:rPr>
            <m:sty m:val="p"/>
          </m:rPr>
          <m:t>(</m:t>
        </m:r>
        <m:sSub>
          <m:e>
            <m:r>
              <m:t>σ</m:t>
            </m:r>
          </m:e>
          <m:sub>
            <m:r>
              <m:t>e</m:t>
            </m:r>
            <m:r>
              <m:t>f</m:t>
            </m:r>
            <m:r>
              <m:t>f</m:t>
            </m:r>
          </m:sub>
        </m:sSub>
        <m:r>
          <m:rPr>
            <m:sty m:val="p"/>
          </m:rPr>
          <m:t>,</m:t>
        </m:r>
        <m:sSup>
          <m:e>
            <m:r>
              <m:t>σ</m:t>
            </m:r>
          </m:e>
          <m:sup>
            <m:r>
              <m:rPr>
                <m:sty m:val="p"/>
              </m:rPr>
              <m:t>*</m:t>
            </m:r>
          </m:sup>
        </m:sSup>
        <m:r>
          <m:rPr>
            <m:sty m:val="p"/>
          </m:rPr>
          <m:t>)</m:t>
        </m:r>
      </m:oMath>
      <w:r>
        <w:rPr>
          <w:i/>
          <w:iCs/>
        </w:rPr>
        <w:t xml:space="preserve"> </w:t>
      </w:r>
      <w:r>
        <w:rPr>
          <w:i/>
          <w:iCs/>
        </w:rPr>
        <w:t xml:space="preserve">across</w:t>
      </w:r>
      <w:r>
        <w:rPr>
          <w:i/>
          <w:iCs/>
        </w:rPr>
        <w:t xml:space="preserve"> </w:t>
      </w:r>
      <m:oMath>
        <m:r>
          <m:t>N</m:t>
        </m:r>
        <m:r>
          <m:rPr>
            <m:sty m:val="p"/>
          </m:rPr>
          <m:t>=</m:t>
        </m:r>
        <m:r>
          <m:t>1</m:t>
        </m:r>
        <m:r>
          <m:rPr>
            <m:sty m:val="p"/>
          </m:rPr>
          <m:t>,</m:t>
        </m:r>
        <m:r>
          <m:t>000</m:t>
        </m:r>
      </m:oMath>
      <w:r>
        <w:rPr>
          <w:i/>
          <w:iCs/>
        </w:rPr>
        <w:t xml:space="preserve"> </w:t>
      </w:r>
      <w:r>
        <w:rPr>
          <w:i/>
          <w:iCs/>
        </w:rPr>
        <w:t xml:space="preserve">samples drawn from the §6.2 rubric priors on paleoclimate</w:t>
      </w:r>
      <w:r>
        <w:rPr>
          <w:i/>
          <w:iCs/>
        </w:rPr>
        <w:t xml:space="preserve"> </w:t>
      </w:r>
      <m:oMath>
        <m:r>
          <m:t>σ</m:t>
        </m:r>
      </m:oMath>
      <w:r>
        <w:rPr>
          <w:i/>
          <w:iCs/>
        </w:rPr>
        <w:t xml:space="preserve"> </w:t>
      </w:r>
      <w:r>
        <w:rPr>
          <w:i/>
          <w:iCs/>
        </w:rPr>
        <w:t xml:space="preserve">and ecotone</w:t>
      </w:r>
      <w:r>
        <w:rPr>
          <w:i/>
          <w:iCs/>
        </w:rPr>
        <w:t xml:space="preserve"> </w:t>
      </w:r>
      <m:oMath>
        <m:r>
          <m:t>ε</m:t>
        </m:r>
      </m:oMath>
      <w:r>
        <w:rPr>
          <w:i/>
          <w:iCs/>
        </w:rPr>
        <w:t xml:space="preserve"> </w:t>
      </w:r>
      <w:r>
        <w:rPr>
          <w:i/>
          <w:iCs/>
        </w:rPr>
        <w:t xml:space="preserve">jointly with</w:t>
      </w:r>
      <w:r>
        <w:rPr>
          <w:i/>
          <w:iCs/>
        </w:rPr>
        <w:t xml:space="preserve"> </w:t>
      </w:r>
      <m:oMath>
        <m:r>
          <m:rPr>
            <m:sty m:val="p"/>
          </m:rPr>
          <m:t>±</m:t>
        </m:r>
        <m:r>
          <m:t>50</m:t>
        </m:r>
        <m:r>
          <m:rPr>
            <m:sty m:val="p"/>
          </m:rPr>
          <m:t>%</m:t>
        </m:r>
      </m:oMath>
      <w:r>
        <w:rPr>
          <w:i/>
          <w:iCs/>
        </w:rPr>
        <w:t xml:space="preserve"> </w:t>
      </w:r>
      <w:r>
        <w:rPr>
          <w:i/>
          <w:iCs/>
        </w:rPr>
        <w:t xml:space="preserve">uniform priors on the six model parameters that set</w:t>
      </w:r>
      <w:r>
        <w:rPr>
          <w:i/>
          <w:iCs/>
        </w:rPr>
        <w:t xml:space="preserve"> </w:t>
      </w:r>
      <m:oMath>
        <m:sSup>
          <m:e>
            <m:r>
              <m:t>σ</m:t>
            </m:r>
          </m:e>
          <m:sup>
            <m:r>
              <m:rPr>
                <m:sty m:val="p"/>
              </m:rPr>
              <m:t>*</m:t>
            </m:r>
          </m:sup>
        </m:sSup>
      </m:oMath>
      <w:r>
        <w:rPr>
          <w:i/>
          <w:iCs/>
        </w:rPr>
        <w:t xml:space="preserve"> </w:t>
      </w:r>
      <w:r>
        <w:rPr>
          <w:i/>
          <w:iCs/>
        </w:rPr>
        <w:t xml:space="preserve">(</w:t>
      </w:r>
      <m:oMath>
        <m:sSub>
          <m:e>
            <m:r>
              <m:t>C</m:t>
            </m:r>
          </m:e>
          <m:sub>
            <m:r>
              <m:t>s</m:t>
            </m:r>
            <m:r>
              <m:t>i</m:t>
            </m:r>
            <m:r>
              <m:t>g</m:t>
            </m:r>
            <m:r>
              <m:t>n</m:t>
            </m:r>
            <m:r>
              <m:t>a</m:t>
            </m:r>
            <m:r>
              <m:t>l</m:t>
            </m:r>
          </m:sub>
        </m:sSub>
      </m:oMath>
      <w:r>
        <w:rPr>
          <w:i/>
          <w:iCs/>
        </w:rPr>
        <w:t xml:space="preserve">,</w:t>
      </w:r>
      <w:r>
        <w:rPr>
          <w:i/>
          <w:iCs/>
        </w:rPr>
        <w:t xml:space="preserve"> </w:t>
      </w:r>
      <m:oMath>
        <m:sSub>
          <m:e>
            <m:r>
              <m:t>C</m:t>
            </m:r>
          </m:e>
          <m:sub>
            <m:r>
              <m:t>o</m:t>
            </m:r>
            <m:r>
              <m:t>p</m:t>
            </m:r>
            <m:r>
              <m:t>p</m:t>
            </m:r>
            <m:r>
              <m:t>o</m:t>
            </m:r>
            <m:r>
              <m:t>r</m:t>
            </m:r>
            <m:r>
              <m:t>t</m:t>
            </m:r>
            <m:r>
              <m:t>u</m:t>
            </m:r>
            <m:r>
              <m:t>n</m:t>
            </m:r>
            <m:r>
              <m:t>i</m:t>
            </m:r>
            <m:r>
              <m:t>t</m:t>
            </m:r>
            <m:r>
              <m:t>y</m:t>
            </m:r>
          </m:sub>
        </m:sSub>
      </m:oMath>
      <w:r>
        <w:rPr>
          <w:i/>
          <w:iCs/>
        </w:rPr>
        <w:t xml:space="preserve">,</w:t>
      </w:r>
      <w:r>
        <w:rPr>
          <w:i/>
          <w:iCs/>
        </w:rPr>
        <w:t xml:space="preserve"> </w:t>
      </w:r>
      <m:oMath>
        <m:sSub>
          <m:e>
            <m:r>
              <m:t>λ</m:t>
            </m:r>
          </m:e>
          <m:sub>
            <m:r>
              <m:t>W</m:t>
            </m:r>
          </m:sub>
        </m:sSub>
      </m:oMath>
      <w:r>
        <w:rPr>
          <w:i/>
          <w:iCs/>
        </w:rPr>
        <w:t xml:space="preserve">,</w:t>
      </w:r>
      <w:r>
        <w:rPr>
          <w:i/>
          <w:iCs/>
        </w:rPr>
        <w:t xml:space="preserve"> </w:t>
      </w:r>
      <m:oMath>
        <m:sSub>
          <m:e>
            <m:r>
              <m:t>k</m:t>
            </m:r>
          </m:e>
          <m:sub>
            <m:r>
              <m:t>m</m:t>
            </m:r>
            <m:r>
              <m:t>a</m:t>
            </m:r>
            <m:r>
              <m:t>x</m:t>
            </m:r>
          </m:sub>
        </m:sSub>
      </m:oMath>
      <w:r>
        <w:rPr>
          <w:i/>
          <w:iCs/>
        </w:rPr>
        <w:t xml:space="preserve">,</w:t>
      </w:r>
      <w:r>
        <w:rPr>
          <w:i/>
          <w:iCs/>
        </w:rPr>
        <w:t xml:space="preserve"> </w:t>
      </w:r>
      <m:oMath>
        <m:sSub>
          <m:e>
            <m:r>
              <m:t>M</m:t>
            </m:r>
          </m:e>
          <m:sub>
            <m:r>
              <m:t>h</m:t>
            </m:r>
            <m:r>
              <m:t>a</m:t>
            </m:r>
            <m:r>
              <m:t>l</m:t>
            </m:r>
            <m:r>
              <m:t>f</m:t>
            </m:r>
          </m:sub>
        </m:sSub>
      </m:oMath>
      <w:r>
        <w:rPr>
          <w:i/>
          <w:iCs/>
        </w:rPr>
        <w:t xml:space="preserve">,</w:t>
      </w:r>
      <w:r>
        <w:rPr>
          <w:i/>
          <w:iCs/>
        </w:rPr>
        <w:t xml:space="preserve"> </w:t>
      </w:r>
      <m:oMath>
        <m:r>
          <m:t>γ</m:t>
        </m:r>
      </m:oMath>
      <w:r>
        <w:rPr>
          <w:i/>
          <w:iCs/>
        </w:rPr>
        <w:t xml:space="preserve">). Red dashed line is</w:t>
      </w:r>
      <w:r>
        <w:rPr>
          <w:i/>
          <w:iCs/>
        </w:rPr>
        <w:t xml:space="preserve"> </w:t>
      </w:r>
      <m:oMath>
        <m:sSub>
          <m:e>
            <m:r>
              <m:t>σ</m:t>
            </m:r>
          </m:e>
          <m:sub>
            <m:r>
              <m:t>e</m:t>
            </m:r>
            <m:r>
              <m:t>f</m:t>
            </m:r>
            <m:r>
              <m:t>f</m:t>
            </m:r>
          </m:sub>
        </m:sSub>
        <m:r>
          <m:rPr>
            <m:sty m:val="p"/>
          </m:rPr>
          <m:t>=</m:t>
        </m:r>
        <m:sSup>
          <m:e>
            <m:r>
              <m:t>σ</m:t>
            </m:r>
          </m:e>
          <m:sup>
            <m:r>
              <m:rPr>
                <m:sty m:val="p"/>
              </m:rPr>
              <m:t>*</m:t>
            </m:r>
          </m:sup>
        </m:sSup>
      </m:oMath>
      <w:r>
        <w:rPr>
          <w:i/>
          <w:iCs/>
        </w:rPr>
        <w:t xml:space="preserve">. Blue points (above the line) are samples where aggregation is adaptive at the framework’s threshold criterion. Gray points are below. The fraction above the line is</w:t>
      </w:r>
      <w:r>
        <w:rPr>
          <w:i/>
          <w:iCs/>
        </w:rP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r>
          <m:rPr>
            <m:sty m:val="p"/>
          </m:rPr>
          <m:t>=</m:t>
        </m:r>
        <m:r>
          <m:t>0.36</m:t>
        </m:r>
      </m:oMath>
      <w:r>
        <w:rPr>
          <w:i/>
          <w:iCs/>
        </w:rPr>
        <w:t xml:space="preserve"> </w:t>
      </w:r>
      <w:r>
        <w:rPr>
          <w:i/>
          <w:iCs/>
        </w:rPr>
        <w:t xml:space="preserve">at this MC seed (0.33-0.36 across seeds; the §6.2 prose reports the lower-bound seed result of 0.33). (B) Marginal posterior on</w:t>
      </w:r>
      <w:r>
        <w:rPr>
          <w:i/>
          <w:iCs/>
        </w:rPr>
        <w:t xml:space="preserve"> </w:t>
      </w:r>
      <m:oMath>
        <m:sSub>
          <m:e>
            <m:r>
              <m:t>σ</m:t>
            </m:r>
          </m:e>
          <m:sub>
            <m:r>
              <m:t>e</m:t>
            </m:r>
            <m:r>
              <m:t>f</m:t>
            </m:r>
            <m:r>
              <m:t>f</m:t>
            </m:r>
          </m:sub>
        </m:sSub>
        <m:r>
          <m:rPr>
            <m:sty m:val="p"/>
          </m:rPr>
          <m:t>−</m:t>
        </m:r>
        <m:sSup>
          <m:e>
            <m:r>
              <m:t>σ</m:t>
            </m:r>
          </m:e>
          <m:sup>
            <m:r>
              <m:rPr>
                <m:sty m:val="p"/>
              </m:rPr>
              <m:t>*</m:t>
            </m:r>
          </m:sup>
        </m:sSup>
      </m:oMath>
      <w:r>
        <w:rPr>
          <w:i/>
          <w:iCs/>
        </w:rPr>
        <w:t xml:space="preserve"> </w:t>
      </w:r>
      <w:r>
        <w:rPr>
          <w:i/>
          <w:iCs/>
        </w:rPr>
        <w:t xml:space="preserve">(blue) overlaid against the priors-only baseline at fixed default parameters (gray). Adding parameter-set uncertainty broadens the marginal moderately and raises</w:t>
      </w:r>
      <w:r>
        <w:rPr>
          <w:i/>
          <w:iCs/>
        </w:rPr>
        <w:t xml:space="preserve"> </w:t>
      </w:r>
      <m:oMath>
        <m:r>
          <m:t>P</m:t>
        </m:r>
      </m:oMath>
      <w:r>
        <w:rPr>
          <w:i/>
          <w:iCs/>
        </w:rPr>
        <w:t xml:space="preserve"> </w:t>
      </w:r>
      <w:r>
        <w:rPr>
          <w:i/>
          <w:iCs/>
        </w:rPr>
        <w:t xml:space="preserve">from 0.26 (priors only) to 0.36 (joint), confirming that the parameter-set conditioning caveat is real but bounded. Red dashed line at zero. (C) Per-parameter posterior 95% CI conditional on the above-threshold subset (blue bars) vs the full</w:t>
      </w:r>
      <w:r>
        <w:rPr>
          <w:i/>
          <w:iCs/>
        </w:rPr>
        <w:t xml:space="preserve"> </w:t>
      </w:r>
      <m:oMath>
        <m:r>
          <m:rPr>
            <m:sty m:val="p"/>
          </m:rPr>
          <m:t>±</m:t>
        </m:r>
        <m:r>
          <m:t>50</m:t>
        </m:r>
        <m:r>
          <m:rPr>
            <m:sty m:val="p"/>
          </m:rPr>
          <m:t>%</m:t>
        </m:r>
      </m:oMath>
      <w:r>
        <w:rPr>
          <w:i/>
          <w:iCs/>
        </w:rPr>
        <w:t xml:space="preserve"> </w:t>
      </w:r>
      <w:r>
        <w:rPr>
          <w:i/>
          <w:iCs/>
        </w:rPr>
        <w:t xml:space="preserve">prior support (gray bars). White circles mark posterior medians. Red crosses mark default values. None of the parameters is strongly constrained to a sub-region of its prior support by the conditioning, indicating that the framework’s threshold-proximity claim is not driven by extreme values of any single parameter. Generated by</w:t>
      </w:r>
      <w:r>
        <w:rPr>
          <w:i/>
          <w:iCs/>
        </w:rPr>
        <w:t xml:space="preserve"> </w:t>
      </w:r>
      <w:r>
        <w:rPr>
          <w:rStyle w:val="VerbatimChar"/>
          <w:i/>
          <w:iCs/>
        </w:rPr>
        <w:t xml:space="preserve">scripts/figure_generation/create_figure_joint_mc_diagnostic.py</w:t>
      </w:r>
      <w:r>
        <w:rPr>
          <w:i/>
          <w:iCs/>
        </w:rPr>
        <w:t xml:space="preserve">.</w:t>
      </w:r>
    </w:p>
    <w:p>
      <w:pPr>
        <w:pStyle w:val="BodyText"/>
      </w:pPr>
      <w:r>
        <w:rPr>
          <w:b/>
          <w:bCs/>
        </w:rPr>
        <w:t xml:space="preserve">Network-density coupling strength</w:t>
      </w:r>
      <w:r>
        <w:rPr>
          <w:b/>
          <w:bCs/>
        </w:rPr>
        <w:t xml:space="preserve"> </w:t>
      </w:r>
      <m:oMath>
        <m:sSub>
          <m:e>
            <m:r>
              <m:t>β</m:t>
            </m:r>
          </m:e>
          <m:sub>
            <m:r>
              <m:rPr>
                <m:nor/>
                <m:sty m:val="p"/>
              </m:rPr>
              <m:t>net</m:t>
            </m:r>
          </m:sub>
        </m:sSub>
      </m:oMath>
      <w:r>
        <w:rPr>
          <w:b/>
          <w:bCs/>
        </w:rPr>
        <w:t xml:space="preserve"> </w:t>
      </w:r>
      <w:r>
        <w:rPr>
          <w:b/>
          <w:bCs/>
        </w:rPr>
        <w:t xml:space="preserve">(added per peer-review feedback).</w:t>
      </w:r>
      <w:r>
        <w:t xml:space="preserve"> </w:t>
      </w:r>
      <w:r>
        <w:t xml:space="preserve">The network-density coupling parameter</w:t>
      </w:r>
      <w:r>
        <w:t xml:space="preserve"> </w:t>
      </w:r>
      <m:oMath>
        <m:sSub>
          <m:e>
            <m:r>
              <m:t>β</m:t>
            </m:r>
          </m:e>
          <m:sub>
            <m:r>
              <m:rPr>
                <m:nor/>
                <m:sty m:val="p"/>
              </m:rPr>
              <m:t>net</m:t>
            </m:r>
          </m:sub>
        </m:sSub>
      </m:oMath>
      <w:r>
        <w:t xml:space="preserve"> </w:t>
      </w:r>
      <w:r>
        <w:t xml:space="preserve">governs the strength with which realized network density</w:t>
      </w:r>
      <w:r>
        <w:t xml:space="preserve"> </w:t>
      </w:r>
      <m:oMath>
        <m:r>
          <m:t>ρ</m:t>
        </m:r>
      </m:oMath>
      <w:r>
        <w:t xml:space="preserve"> </w:t>
      </w:r>
      <w:r>
        <w:t xml:space="preserve">augments the gathering-site</w:t>
      </w:r>
      <w:r>
        <w:t xml:space="preserve"> </w:t>
      </w:r>
      <m:oMath>
        <m:r>
          <m:t>ε</m:t>
        </m:r>
      </m:oMath>
      <w:r>
        <w:t xml:space="preserve"> </w:t>
      </w:r>
      <w:r>
        <w:t xml:space="preserve">(</w:t>
      </w:r>
      <m:oMath>
        <m:sSub>
          <m:e>
            <m:r>
              <m:t>ε</m:t>
            </m:r>
          </m:e>
          <m:sub>
            <m:r>
              <m:rPr>
                <m:nor/>
                <m:sty m:val="p"/>
              </m:rPr>
              <m:t>eff</m:t>
            </m:r>
          </m:sub>
        </m:sSub>
        <m:r>
          <m:rPr>
            <m:sty m:val="p"/>
          </m:rPr>
          <m:t>=</m:t>
        </m:r>
        <m:r>
          <m:t>ε</m:t>
        </m:r>
        <m:r>
          <m:rPr>
            <m:sty m:val="p"/>
          </m:rPr>
          <m:t>+</m:t>
        </m:r>
        <m:r>
          <m:rPr>
            <m:sty m:val="p"/>
          </m:rPr>
          <m:t>(</m:t>
        </m:r>
        <m:r>
          <m:t>1</m:t>
        </m:r>
        <m:r>
          <m:rPr>
            <m:sty m:val="p"/>
          </m:rPr>
          <m:t>−</m:t>
        </m:r>
        <m:r>
          <m:t>ε</m:t>
        </m:r>
        <m:r>
          <m:rPr>
            <m:sty m:val="p"/>
          </m:rPr>
          <m:t>)</m:t>
        </m:r>
        <m:r>
          <m:rPr>
            <m:sty m:val="p"/>
          </m:rPr>
          <m:t>⋅</m:t>
        </m:r>
        <m:sSub>
          <m:e>
            <m:r>
              <m:t>β</m:t>
            </m:r>
          </m:e>
          <m:sub>
            <m:r>
              <m:rPr>
                <m:nor/>
                <m:sty m:val="p"/>
              </m:rPr>
              <m:t>net</m:t>
            </m:r>
          </m:sub>
        </m:sSub>
        <m:r>
          <m:rPr>
            <m:sty m:val="p"/>
          </m:rPr>
          <m:t>⋅</m:t>
        </m:r>
        <m:r>
          <m:t>ρ</m:t>
        </m:r>
      </m:oMath>
      <w:r>
        <w:t xml:space="preserve">; §S1.6). It does not appear directly in the OAT tornado above because the OAT plot is generated against the analytical</w:t>
      </w:r>
      <w:r>
        <w:t xml:space="preserve"> </w:t>
      </w:r>
      <w:r>
        <w:rPr>
          <w:rStyle w:val="VerbatimChar"/>
        </w:rPr>
        <w:t xml:space="preserve">critical_threshold</w:t>
      </w:r>
      <w:r>
        <w:t xml:space="preserve"> </w:t>
      </w:r>
      <w:r>
        <w:t xml:space="preserve">function, which takes</w:t>
      </w:r>
      <w:r>
        <w:t xml:space="preserve"> </w:t>
      </w:r>
      <m:oMath>
        <m:r>
          <m:t>ε</m:t>
        </m:r>
      </m:oMath>
      <w:r>
        <w:t xml:space="preserve"> </w:t>
      </w:r>
      <w:r>
        <w:t xml:space="preserve">as input.</w:t>
      </w:r>
      <w:r>
        <w:t xml:space="preserve"> </w:t>
      </w:r>
      <m:oMath>
        <m:sSub>
          <m:e>
            <m:r>
              <m:t>β</m:t>
            </m:r>
          </m:e>
          <m:sub>
            <m:r>
              <m:rPr>
                <m:nor/>
                <m:sty m:val="p"/>
              </m:rPr>
              <m:t>net</m:t>
            </m:r>
          </m:sub>
        </m:sSub>
      </m:oMath>
      <w:r>
        <w:t xml:space="preserve"> </w:t>
      </w:r>
      <w:r>
        <w:t xml:space="preserve">enters in the ABM through its modulation of the effective</w:t>
      </w:r>
      <w:r>
        <w:t xml:space="preserve"> </w:t>
      </w:r>
      <m:oMath>
        <m:r>
          <m:t>ε</m:t>
        </m:r>
      </m:oMath>
      <w:r>
        <w:t xml:space="preserve"> </w:t>
      </w:r>
      <w:r>
        <w:t xml:space="preserve">at runtime. To make the</w:t>
      </w:r>
      <w:r>
        <w:t xml:space="preserve"> </w:t>
      </w:r>
      <m:oMath>
        <m:sSub>
          <m:e>
            <m:r>
              <m:t>β</m:t>
            </m:r>
          </m:e>
          <m:sub>
            <m:r>
              <m:rPr>
                <m:nor/>
                <m:sty m:val="p"/>
              </m:rPr>
              <m:t>net</m:t>
            </m:r>
          </m:sub>
        </m:sSub>
      </m:oMath>
      <w:r>
        <w:t xml:space="preserve"> </w:t>
      </w:r>
      <w:r>
        <w:t xml:space="preserve">sensitivity transparent, we compute the analytical</w:t>
      </w:r>
      <w:r>
        <w:t xml:space="preserve"> </w:t>
      </w:r>
      <m:oMath>
        <m:sSup>
          <m:e>
            <m:r>
              <m:t>σ</m:t>
            </m:r>
          </m:e>
          <m:sup>
            <m:r>
              <m:rPr>
                <m:sty m:val="p"/>
              </m:rPr>
              <m:t>*</m:t>
            </m:r>
          </m:sup>
        </m:sSup>
      </m:oMath>
      <w:r>
        <w:t xml:space="preserve"> </w:t>
      </w:r>
      <w:r>
        <w:t xml:space="preserve">at the equivalent</w:t>
      </w:r>
      <w:r>
        <w:t xml:space="preserve"> </w:t>
      </w:r>
      <m:oMath>
        <m:sSub>
          <m:e>
            <m:r>
              <m:t>ε</m:t>
            </m:r>
          </m:e>
          <m:sub>
            <m:r>
              <m:rPr>
                <m:nor/>
                <m:sty m:val="p"/>
              </m:rPr>
              <m:t>eff</m:t>
            </m:r>
          </m:sub>
        </m:sSub>
      </m:oMath>
      <w:r>
        <w:t xml:space="preserve"> </w:t>
      </w:r>
      <w:r>
        <w:t xml:space="preserve">values for</w:t>
      </w:r>
      <w:r>
        <w:t xml:space="preserve"> </w:t>
      </w:r>
      <m:oMath>
        <m:r>
          <m:t>ρ</m:t>
        </m:r>
        <m:r>
          <m:rPr>
            <m:sty m:val="p"/>
          </m:rPr>
          <m:t>=</m:t>
        </m:r>
        <m:r>
          <m:t>1</m:t>
        </m:r>
      </m:oMath>
      <w:r>
        <w:t xml:space="preserve"> </w:t>
      </w:r>
      <w:r>
        <w:t xml:space="preserve">(fully connected, the worst case for</w:t>
      </w:r>
      <w:r>
        <w:t xml:space="preserve"> </w:t>
      </w:r>
      <m:oMath>
        <m:sSub>
          <m:e>
            <m:r>
              <m:t>β</m:t>
            </m:r>
          </m:e>
          <m:sub>
            <m:r>
              <m:rPr>
                <m:nor/>
                <m:sty m:val="p"/>
              </m:rPr>
              <m:t>net</m:t>
            </m:r>
          </m:sub>
        </m:sSub>
      </m:oMath>
      <w:r>
        <w:t xml:space="preserve"> </w:t>
      </w:r>
      <w:r>
        <w:t xml:space="preserve">influence). Across</w:t>
      </w:r>
      <w:r>
        <w:t xml:space="preserve"> </w:t>
      </w:r>
      <m:oMath>
        <m:sSub>
          <m:e>
            <m:r>
              <m:t>β</m:t>
            </m:r>
          </m:e>
          <m:sub>
            <m:r>
              <m:rPr>
                <m:nor/>
                <m:sty m:val="p"/>
              </m:rPr>
              <m:t>net</m:t>
            </m:r>
          </m:sub>
        </m:sSub>
        <m:r>
          <m:rPr>
            <m:sty m:val="p"/>
          </m:rPr>
          <m:t>∈</m:t>
        </m:r>
        <m:r>
          <m:rPr>
            <m:sty m:val="p"/>
          </m:rPr>
          <m:t>{</m:t>
        </m:r>
        <m:r>
          <m:t>0</m:t>
        </m:r>
        <m:r>
          <m:rPr>
            <m:sty m:val="p"/>
          </m:rPr>
          <m:t>,</m:t>
        </m:r>
        <m:r>
          <m:t>0.25</m:t>
        </m:r>
        <m:r>
          <m:rPr>
            <m:sty m:val="p"/>
          </m:rPr>
          <m:t>,</m:t>
        </m:r>
        <m:r>
          <m:t>0.5</m:t>
        </m:r>
        <m:r>
          <m:rPr>
            <m:sty m:val="p"/>
          </m:rPr>
          <m:t>,</m:t>
        </m:r>
        <m:r>
          <m:t>0.75</m:t>
        </m:r>
        <m:r>
          <m:rPr>
            <m:sty m:val="p"/>
          </m:rPr>
          <m:t>,</m:t>
        </m:r>
        <m:r>
          <m:t>1.0</m:t>
        </m:r>
        <m:r>
          <m:rPr>
            <m:sty m:val="p"/>
          </m:rPr>
          <m:t>}</m:t>
        </m:r>
      </m:oMath>
      <w:r>
        <w:t xml:space="preserve">, the</w:t>
      </w:r>
      <w:r>
        <w:t xml:space="preserve"> </w:t>
      </w:r>
      <m:oMath>
        <m:sSup>
          <m:e>
            <m:r>
              <m:t>σ</m:t>
            </m:r>
          </m:e>
          <m:sup>
            <m:r>
              <m:rPr>
                <m:sty m:val="p"/>
              </m:rPr>
              <m:t>*</m:t>
            </m:r>
          </m:sup>
        </m:sSup>
      </m:oMath>
      <w:r>
        <w:t xml:space="preserve"> </w:t>
      </w:r>
      <w:r>
        <w:t xml:space="preserve">values are</w:t>
      </w:r>
      <w:r>
        <w:t xml:space="preserve"> </w:t>
      </w:r>
      <m:oMath>
        <m:r>
          <m:rPr>
            <m:sty m:val="p"/>
          </m:rPr>
          <m:t>{</m:t>
        </m:r>
        <m:r>
          <m:t>0.40</m:t>
        </m:r>
        <m:r>
          <m:rPr>
            <m:sty m:val="p"/>
          </m:rPr>
          <m:t>,</m:t>
        </m:r>
        <m:r>
          <m:t>0.35</m:t>
        </m:r>
        <m:r>
          <m:rPr>
            <m:sty m:val="p"/>
          </m:rPr>
          <m:t>,</m:t>
        </m:r>
        <m:r>
          <m:t>0.31</m:t>
        </m:r>
        <m:r>
          <m:rPr>
            <m:sty m:val="p"/>
          </m:rPr>
          <m:t>,</m:t>
        </m:r>
        <m:r>
          <m:t>0.28</m:t>
        </m:r>
        <m:r>
          <m:rPr>
            <m:sty m:val="p"/>
          </m:rPr>
          <m:t>,</m:t>
        </m:r>
        <m:r>
          <m:t>0.26</m:t>
        </m:r>
        <m:r>
          <m:rPr>
            <m:sty m:val="p"/>
          </m:rPr>
          <m:t>}</m:t>
        </m:r>
      </m:oMath>
      <w:r>
        <w:t xml:space="preserve">, a swing of about 0.14 from</w:t>
      </w:r>
      <w:r>
        <w:t xml:space="preserve"> </w:t>
      </w:r>
      <m:oMath>
        <m:sSub>
          <m:e>
            <m:r>
              <m:t>β</m:t>
            </m:r>
          </m:e>
          <m:sub>
            <m:r>
              <m:rPr>
                <m:nor/>
                <m:sty m:val="p"/>
              </m:rPr>
              <m:t>net</m:t>
            </m:r>
          </m:sub>
        </m:sSub>
        <m:r>
          <m:rPr>
            <m:sty m:val="p"/>
          </m:rPr>
          <m:t>=</m:t>
        </m:r>
        <m:r>
          <m:t>0</m:t>
        </m:r>
      </m:oMath>
      <w:r>
        <w:t xml:space="preserve"> </w:t>
      </w:r>
      <w:r>
        <w:t xml:space="preserve">(no network-density coupling) to</w:t>
      </w:r>
      <w:r>
        <w:t xml:space="preserve"> </w:t>
      </w:r>
      <m:oMath>
        <m:sSub>
          <m:e>
            <m:r>
              <m:t>β</m:t>
            </m:r>
          </m:e>
          <m:sub>
            <m:r>
              <m:rPr>
                <m:nor/>
                <m:sty m:val="p"/>
              </m:rPr>
              <m:t>net</m:t>
            </m:r>
          </m:sub>
        </m:sSub>
        <m:r>
          <m:rPr>
            <m:sty m:val="p"/>
          </m:rPr>
          <m:t>=</m:t>
        </m:r>
        <m:r>
          <m:t>1</m:t>
        </m:r>
      </m:oMath>
      <w:r>
        <w:t xml:space="preserve"> </w:t>
      </w:r>
      <w:r>
        <w:t xml:space="preserve">(maximal coupling). The canonical</w:t>
      </w:r>
      <w:r>
        <w:t xml:space="preserve"> </w:t>
      </w:r>
      <m:oMath>
        <m:sSub>
          <m:e>
            <m:r>
              <m:t>β</m:t>
            </m:r>
          </m:e>
          <m:sub>
            <m:r>
              <m:rPr>
                <m:nor/>
                <m:sty m:val="p"/>
              </m:rPr>
              <m:t>net</m:t>
            </m:r>
          </m:sub>
        </m:sSub>
        <m:r>
          <m:rPr>
            <m:sty m:val="p"/>
          </m:rPr>
          <m:t>=</m:t>
        </m:r>
        <m:r>
          <m:t>0.5</m:t>
        </m:r>
      </m:oMath>
      <w:r>
        <w:t xml:space="preserve"> </w:t>
      </w:r>
      <w:r>
        <w:t xml:space="preserve">used throughout this paper sits in the middle of this range and produces a threshold of</w:t>
      </w:r>
      <w:r>
        <w:t xml:space="preserve"> </w:t>
      </w:r>
      <m:oMath>
        <m:sSup>
          <m:e>
            <m:r>
              <m:t>σ</m:t>
            </m:r>
          </m:e>
          <m:sup>
            <m:r>
              <m:rPr>
                <m:sty m:val="p"/>
              </m:rPr>
              <m:t>*</m:t>
            </m:r>
          </m:sup>
        </m:sSup>
        <m:r>
          <m:rPr>
            <m:sty m:val="p"/>
          </m:rPr>
          <m:t>=</m:t>
        </m:r>
        <m:r>
          <m:t>0.31</m:t>
        </m:r>
      </m:oMath>
      <w:r>
        <w:t xml:space="preserve"> </w:t>
      </w:r>
      <w:r>
        <w:t xml:space="preserve">at fully connected</w:t>
      </w:r>
      <w:r>
        <w:t xml:space="preserve"> </w:t>
      </w:r>
      <m:oMath>
        <m:r>
          <m:t>ρ</m:t>
        </m:r>
      </m:oMath>
      <w:r>
        <w:t xml:space="preserve">. In practice, realized</w:t>
      </w:r>
      <w:r>
        <w:t xml:space="preserve"> </w:t>
      </w:r>
      <m:oMath>
        <m:r>
          <m:t>ρ</m:t>
        </m:r>
      </m:oMath>
      <w:r>
        <w:t xml:space="preserve"> </w:t>
      </w:r>
      <w:r>
        <w:t xml:space="preserve">in the simulated PP scenario is in the 0.2-0.5 range rather than at 1.0, so the actual ABM threshold sits between the</w:t>
      </w:r>
      <w:r>
        <w:t xml:space="preserve"> </w:t>
      </w:r>
      <m:oMath>
        <m:sSub>
          <m:e>
            <m:r>
              <m:t>β</m:t>
            </m:r>
          </m:e>
          <m:sub>
            <m:r>
              <m:rPr>
                <m:nor/>
                <m:sty m:val="p"/>
              </m:rPr>
              <m:t>net</m:t>
            </m:r>
          </m:sub>
        </m:sSub>
        <m:r>
          <m:rPr>
            <m:sty m:val="p"/>
          </m:rPr>
          <m:t>=</m:t>
        </m:r>
        <m:r>
          <m:t>0</m:t>
        </m:r>
      </m:oMath>
      <w:r>
        <w:t xml:space="preserve"> </w:t>
      </w:r>
      <w:r>
        <w:t xml:space="preserve">analytical</w:t>
      </w:r>
      <w:r>
        <w:t xml:space="preserve"> </w:t>
      </w:r>
      <m:oMath>
        <m:sSup>
          <m:e>
            <m:r>
              <m:t>σ</m:t>
            </m:r>
          </m:e>
          <m:sup>
            <m:r>
              <m:rPr>
                <m:sty m:val="p"/>
              </m:rPr>
              <m:t>*</m:t>
            </m:r>
          </m:sup>
        </m:sSup>
      </m:oMath>
      <w:r>
        <w:t xml:space="preserve"> </w:t>
      </w:r>
      <w:r>
        <w:t xml:space="preserve">of 0.40 and the worst-case fully-connected value, consistent with the realized-</w:t>
      </w:r>
      <m:oMath>
        <m:sSubSup>
          <m:e>
            <m:r>
              <m:t>σ</m:t>
            </m:r>
          </m:e>
          <m:sub>
            <m:r>
              <m:rPr>
                <m:nor/>
                <m:sty m:val="p"/>
              </m:rPr>
              <m:t>eff</m:t>
            </m:r>
          </m:sub>
          <m:sup>
            <m:r>
              <m:rPr>
                <m:sty m:val="p"/>
              </m:rPr>
              <m:t>*</m:t>
            </m:r>
          </m:sup>
        </m:sSubSup>
        <m:r>
          <m:rPr>
            <m:sty m:val="p"/>
          </m:rPr>
          <m:t>≈</m:t>
        </m:r>
        <m:r>
          <m:t>0.41</m:t>
        </m:r>
      </m:oMath>
      <w:r>
        <w:t xml:space="preserve">-</w:t>
      </w:r>
      <m:oMath>
        <m:r>
          <m:t>0.42</m:t>
        </m:r>
      </m:oMath>
      <w:r>
        <w:t xml:space="preserve"> </w:t>
      </w:r>
      <w:r>
        <w:t xml:space="preserve">reported in §4.3 and Table S7.1. The qualitative phase-transition signal is robust to</w:t>
      </w:r>
      <w:r>
        <w:t xml:space="preserve"> </w:t>
      </w:r>
      <m:oMath>
        <m:sSub>
          <m:e>
            <m:r>
              <m:t>β</m:t>
            </m:r>
          </m:e>
          <m:sub>
            <m:r>
              <m:rPr>
                <m:nor/>
                <m:sty m:val="p"/>
              </m:rPr>
              <m:t>net</m:t>
            </m:r>
          </m:sub>
        </m:sSub>
      </m:oMath>
      <w:r>
        <w:t xml:space="preserve"> </w:t>
      </w:r>
      <w:r>
        <w:t xml:space="preserve">choice across the full</w:t>
      </w:r>
      <w:r>
        <w:t xml:space="preserve"> </w:t>
      </w:r>
      <m:oMath>
        <m:r>
          <m:rPr>
            <m:sty m:val="p"/>
          </m:rPr>
          <m:t>[</m:t>
        </m:r>
        <m:r>
          <m:t>0</m:t>
        </m:r>
        <m:r>
          <m:rPr>
            <m:sty m:val="p"/>
          </m:rPr>
          <m:t>,</m:t>
        </m:r>
        <m:r>
          <m:t>1</m:t>
        </m:r>
        <m:r>
          <m:rPr>
            <m:sty m:val="p"/>
          </m:rPr>
          <m:t>]</m:t>
        </m:r>
      </m:oMath>
      <w:r>
        <w:t xml:space="preserve"> </w:t>
      </w:r>
      <w:r>
        <w:t xml:space="preserve">range. A smaller</w:t>
      </w:r>
      <w:r>
        <w:t xml:space="preserve"> </w:t>
      </w:r>
      <m:oMath>
        <m:sSub>
          <m:e>
            <m:r>
              <m:t>β</m:t>
            </m:r>
          </m:e>
          <m:sub>
            <m:r>
              <m:rPr>
                <m:nor/>
                <m:sty m:val="p"/>
              </m:rPr>
              <m:t>net</m:t>
            </m:r>
          </m:sub>
        </m:sSub>
      </m:oMath>
      <w:r>
        <w:t xml:space="preserve"> </w:t>
      </w:r>
      <w:r>
        <w:t xml:space="preserve">shifts the analytical threshold up. A larger one shifts it down. Neither reverses the threshold-crossing structure of the framework’s predictions.</w:t>
      </w:r>
    </w:p>
    <w:p>
      <w:pPr>
        <w:pStyle w:val="BodyText"/>
      </w:pPr>
      <w:r>
        <w:rPr>
          <w:b/>
          <w:bCs/>
        </w:rPr>
        <w:t xml:space="preserve">Convergence diagnostics under perturbed draws.</w:t>
      </w:r>
      <w:r>
        <w:t xml:space="preserve"> </w:t>
      </w:r>
      <w:r>
        <w:t xml:space="preserve">The</w:t>
      </w:r>
      <w:r>
        <w:t xml:space="preserve"> </w:t>
      </w:r>
      <m:oMath>
        <m:sSup>
          <m:e>
            <m:r>
              <m:t>σ</m:t>
            </m:r>
          </m:e>
          <m:sup>
            <m:r>
              <m:rPr>
                <m:sty m:val="p"/>
              </m:rPr>
              <m:t>*</m:t>
            </m:r>
          </m:sup>
        </m:sSup>
      </m:oMath>
      <w:r>
        <w:t xml:space="preserve"> </w:t>
      </w:r>
      <w:r>
        <w:t xml:space="preserve">computation at each Monte Carlo sample uses Brent’s-method root-finding applied to the lambda-sigma fixed-point equilibrium. The fixed-point iteration converges in 18 steps at default parameters. We verified that all 1,000 joint MC samples reached convergence within tolerance (</w:t>
      </w:r>
      <m:oMath>
        <m:r>
          <m:rPr>
            <m:sty m:val="p"/>
          </m:rPr>
          <m:t>∥</m:t>
        </m:r>
        <m:r>
          <m:rPr>
            <m:sty m:val="p"/>
          </m:rPr>
          <m:t>Δ</m:t>
        </m:r>
        <m:r>
          <m:t>λ</m:t>
        </m:r>
        <m:r>
          <m:rPr>
            <m:sty m:val="p"/>
          </m:rPr>
          <m:t>∥</m:t>
        </m:r>
        <m:r>
          <m:rPr>
            <m:sty m:val="p"/>
          </m:rPr>
          <m:t>&lt;</m:t>
        </m:r>
        <m:sSup>
          <m:e>
            <m:r>
              <m:t>10</m:t>
            </m:r>
          </m:e>
          <m:sup>
            <m:r>
              <m:rPr>
                <m:sty m:val="p"/>
              </m:rPr>
              <m:t>−</m:t>
            </m:r>
            <m:r>
              <m:t>6</m:t>
            </m:r>
          </m:sup>
        </m:sSup>
      </m:oMath>
      <w:r>
        <w:t xml:space="preserve">) within the iteration cap of 100 steps. Mean iteration count across the joint MC was 18.4 (SD 2.1, max 23). No sample failed to converge. Brent’s method bracketed a sign change in</w:t>
      </w:r>
      <w:r>
        <w:t xml:space="preserve"> </w:t>
      </w:r>
      <m:oMath>
        <m:sSub>
          <m:e>
            <m:r>
              <m:t>W</m:t>
            </m:r>
          </m:e>
          <m:sub>
            <m:r>
              <m:t>a</m:t>
            </m:r>
            <m:r>
              <m:t>g</m:t>
            </m:r>
            <m:r>
              <m:t>g</m:t>
            </m:r>
          </m:sub>
        </m:sSub>
        <m:r>
          <m:rPr>
            <m:sty m:val="p"/>
          </m:rPr>
          <m:t>(</m:t>
        </m:r>
        <m:r>
          <m:t>σ</m:t>
        </m:r>
        <m:r>
          <m:rPr>
            <m:sty m:val="p"/>
          </m:rPr>
          <m:t>)</m:t>
        </m:r>
        <m:r>
          <m:rPr>
            <m:sty m:val="p"/>
          </m:rPr>
          <m:t>−</m:t>
        </m:r>
        <m:sSub>
          <m:e>
            <m:r>
              <m:t>W</m:t>
            </m:r>
          </m:e>
          <m:sub>
            <m:r>
              <m:t>i</m:t>
            </m:r>
            <m:r>
              <m:t>n</m:t>
            </m:r>
            <m:r>
              <m:t>d</m:t>
            </m:r>
          </m:sub>
        </m:sSub>
        <m:r>
          <m:rPr>
            <m:sty m:val="p"/>
          </m:rPr>
          <m:t>(</m:t>
        </m:r>
        <m:r>
          <m:t>σ</m:t>
        </m:r>
        <m:r>
          <m:rPr>
            <m:sty m:val="p"/>
          </m:rPr>
          <m:t>)</m:t>
        </m:r>
      </m:oMath>
      <w:r>
        <w:t xml:space="preserve"> </w:t>
      </w:r>
      <w:r>
        <w:t xml:space="preserve">for all 1,000 samples and returned</w:t>
      </w:r>
      <w:r>
        <w:t xml:space="preserve"> </w:t>
      </w:r>
      <m:oMath>
        <m:sSup>
          <m:e>
            <m:r>
              <m:t>σ</m:t>
            </m:r>
          </m:e>
          <m:sup>
            <m:r>
              <m:rPr>
                <m:sty m:val="p"/>
              </m:rPr>
              <m:t>*</m:t>
            </m:r>
          </m:sup>
        </m:sSup>
      </m:oMath>
      <w:r>
        <w:t xml:space="preserve"> </w:t>
      </w:r>
      <w:r>
        <w:t xml:space="preserve">to within</w:t>
      </w:r>
      <w:r>
        <w:t xml:space="preserve"> </w:t>
      </w:r>
      <m:oMath>
        <m:sSup>
          <m:e>
            <m:r>
              <m:t>10</m:t>
            </m:r>
          </m:e>
          <m:sup>
            <m:r>
              <m:rPr>
                <m:sty m:val="p"/>
              </m:rPr>
              <m:t>−</m:t>
            </m:r>
            <m:r>
              <m:t>4</m:t>
            </m:r>
          </m:sup>
        </m:sSup>
      </m:oMath>
      <w:r>
        <w:t xml:space="preserve"> </w:t>
      </w:r>
      <w:r>
        <w:t xml:space="preserve">in</w:t>
      </w:r>
      <w:r>
        <w:t xml:space="preserve"> </w:t>
      </w:r>
      <m:oMath>
        <m:r>
          <m:t>σ</m:t>
        </m:r>
      </m:oMath>
      <w:r>
        <w:t xml:space="preserve"> </w:t>
      </w:r>
      <w:r>
        <w:t xml:space="preserve">space. Across the OAT swings (parameter perturbed to</w:t>
      </w:r>
      <w:r>
        <w:t xml:space="preserve"> </w:t>
      </w:r>
      <m:oMath>
        <m:r>
          <m:rPr>
            <m:sty m:val="p"/>
          </m:rPr>
          <m:t>±</m:t>
        </m:r>
        <m:r>
          <m:t>50</m:t>
        </m:r>
        <m:r>
          <m:rPr>
            <m:sty m:val="p"/>
          </m:rPr>
          <m:t>%</m:t>
        </m:r>
      </m:oMath>
      <w:r>
        <w:t xml:space="preserve">, all others held at default), the same fixed-point convergence holds: mean iteration count 17.6 (SD 1.8, max 22) across 26 parameter</w:t>
      </w:r>
      <w:r>
        <w:t xml:space="preserve"> </w:t>
      </w:r>
      <m:oMath>
        <m:r>
          <m:rPr>
            <m:sty m:val="p"/>
          </m:rPr>
          <m:t>×</m:t>
        </m:r>
      </m:oMath>
      <w:r>
        <w:t xml:space="preserve"> </w:t>
      </w:r>
      <w:r>
        <w:t xml:space="preserve">direction combinations, all within tolerance. The §6.2 joint posterior and the §S3.1 OAT swings are therefore not driven by non-convergence at the parameter extremes.</w:t>
      </w:r>
    </w:p>
    <w:bookmarkEnd w:id="30"/>
    <w:bookmarkStart w:id="31" w:name="s3.2-aggregation-size"/>
    <w:p>
      <w:pPr>
        <w:pStyle w:val="Heading3"/>
      </w:pPr>
      <w:r>
        <w:t xml:space="preserve">S3.2 Aggregation size</w:t>
      </w:r>
    </w:p>
    <w:p>
      <w:pPr>
        <w:pStyle w:val="FirstParagraph"/>
      </w:pPr>
      <w:r>
        <w:t xml:space="preserve">The critical threshold drops sharply with aggregation size, from</w:t>
      </w:r>
      <w:r>
        <w:t xml:space="preserve"> </w:t>
      </w:r>
      <m:oMath>
        <m:sSup>
          <m:e>
            <m:r>
              <m:t>σ</m:t>
            </m:r>
          </m:e>
          <m:sup>
            <m:r>
              <m:rPr>
                <m:sty m:val="p"/>
              </m:rPr>
              <m:t>*</m:t>
            </m:r>
          </m:sup>
        </m:sSup>
        <m:r>
          <m:rPr>
            <m:sty m:val="p"/>
          </m:rPr>
          <m:t>≈</m:t>
        </m:r>
        <m:r>
          <m:t>0.55</m:t>
        </m:r>
      </m:oMath>
      <w:r>
        <w:t xml:space="preserve"> </w:t>
      </w:r>
      <w:r>
        <w:t xml:space="preserve">at</w:t>
      </w:r>
      <w:r>
        <w:t xml:space="preserve"> </w:t>
      </w:r>
      <m:oMath>
        <m:r>
          <m:t>n</m:t>
        </m:r>
        <m:r>
          <m:rPr>
            <m:sty m:val="p"/>
          </m:rPr>
          <m:t>=</m:t>
        </m:r>
        <m:r>
          <m:t>10</m:t>
        </m:r>
      </m:oMath>
      <w:r>
        <w:t xml:space="preserve"> </w:t>
      </w:r>
      <w:r>
        <w:t xml:space="preserve">to</w:t>
      </w:r>
      <w:r>
        <w:t xml:space="preserve"> </w:t>
      </w:r>
      <m:oMath>
        <m:sSup>
          <m:e>
            <m:r>
              <m:t>σ</m:t>
            </m:r>
          </m:e>
          <m:sup>
            <m:r>
              <m:rPr>
                <m:sty m:val="p"/>
              </m:rPr>
              <m:t>*</m:t>
            </m:r>
          </m:sup>
        </m:sSup>
        <m:r>
          <m:rPr>
            <m:sty m:val="p"/>
          </m:rPr>
          <m:t>≈</m:t>
        </m:r>
        <m:r>
          <m:t>0.40</m:t>
        </m:r>
      </m:oMath>
      <w:r>
        <w:t xml:space="preserve"> </w:t>
      </w:r>
      <w:r>
        <w:t xml:space="preserve">at</w:t>
      </w:r>
      <w:r>
        <w:t xml:space="preserve"> </w:t>
      </w:r>
      <m:oMath>
        <m:r>
          <m:t>n</m:t>
        </m:r>
        <m:r>
          <m:rPr>
            <m:sty m:val="p"/>
          </m:rPr>
          <m:t>=</m:t>
        </m:r>
        <m:r>
          <m:t>25</m:t>
        </m:r>
      </m:oMath>
      <w:r>
        <w:t xml:space="preserve"> </w:t>
      </w:r>
      <w:r>
        <w:t xml:space="preserve">(Poverty Point ecotone advantage). Below</w:t>
      </w:r>
      <w:r>
        <w:t xml:space="preserve"> </w:t>
      </w:r>
      <m:oMath>
        <m:r>
          <m:t>n</m:t>
        </m:r>
        <m:r>
          <m:rPr>
            <m:sty m:val="p"/>
          </m:rPr>
          <m:t>=</m:t>
        </m:r>
        <m:r>
          <m:t>15</m:t>
        </m:r>
      </m:oMath>
      <w:r>
        <w:t xml:space="preserve">, even high uncertainty fails to make signaling adaptive, because cooperation benefits are insufficient to offset costs.</w:t>
      </w:r>
    </w:p>
    <w:bookmarkEnd w:id="31"/>
    <w:bookmarkStart w:id="32" w:name="s3.3-signaling-cost"/>
    <w:p>
      <w:pPr>
        <w:pStyle w:val="Heading3"/>
      </w:pPr>
      <w:r>
        <w:t xml:space="preserve">S3.3 Signaling cost</w:t>
      </w:r>
    </w:p>
    <w:p>
      <w:pPr>
        <w:pStyle w:val="FirstParagraph"/>
      </w:pPr>
      <w:r>
        <w:t xml:space="preserve">At low costs (</w:t>
      </w:r>
      <m:oMath>
        <m:sSub>
          <m:e>
            <m:r>
              <m:t>C</m:t>
            </m:r>
          </m:e>
          <m:sub>
            <m:r>
              <m:t>s</m:t>
            </m:r>
            <m:r>
              <m:t>i</m:t>
            </m:r>
            <m:r>
              <m:t>g</m:t>
            </m:r>
            <m:r>
              <m:t>n</m:t>
            </m:r>
            <m:r>
              <m:t>a</m:t>
            </m:r>
            <m:r>
              <m:t>l</m:t>
            </m:r>
          </m:sub>
        </m:sSub>
        <m:r>
          <m:rPr>
            <m:sty m:val="p"/>
          </m:rPr>
          <m:t>&lt;</m:t>
        </m:r>
        <m:r>
          <m:t>0.10</m:t>
        </m:r>
      </m:oMath>
      <w:r>
        <w:t xml:space="preserve">), aggregation becomes adaptive under mild uncertainty (</w:t>
      </w:r>
      <m:oMath>
        <m:sSup>
          <m:e>
            <m:r>
              <m:t>σ</m:t>
            </m:r>
          </m:e>
          <m:sup>
            <m:r>
              <m:rPr>
                <m:sty m:val="p"/>
              </m:rPr>
              <m:t>*</m:t>
            </m:r>
          </m:sup>
        </m:sSup>
        <m:r>
          <m:rPr>
            <m:sty m:val="p"/>
          </m:rPr>
          <m:t>&lt;</m:t>
        </m:r>
        <m:r>
          <m:t>0.45</m:t>
        </m:r>
      </m:oMath>
      <w:r>
        <w:t xml:space="preserve">). At high costs (</w:t>
      </w:r>
      <m:oMath>
        <m:r>
          <m:rPr>
            <m:sty m:val="p"/>
          </m:rPr>
          <m:t>&gt;</m:t>
        </m:r>
        <m:r>
          <m:t>0.30</m:t>
        </m:r>
      </m:oMath>
      <w:r>
        <w:t xml:space="preserve">), the threshold rises above 0.70. Sites or periods with reduced monument investment relative to Poverty Point may reflect either lower environmental uncertainty or higher signaling costs.</w:t>
      </w:r>
    </w:p>
    <w:bookmarkEnd w:id="32"/>
    <w:bookmarkStart w:id="33" w:name="s3.4-disease-costs"/>
    <w:p>
      <w:pPr>
        <w:pStyle w:val="Heading3"/>
      </w:pPr>
      <w:r>
        <w:t xml:space="preserve">S3.4 Disease costs</w:t>
      </w:r>
    </w:p>
    <w:p>
      <w:pPr>
        <w:pStyle w:val="FirstParagraph"/>
      </w:pPr>
      <w:r>
        <w:t xml:space="preserve">Adding a 5-10% disease cost to aggregation raises</w:t>
      </w:r>
      <w:r>
        <w:t xml:space="preserve"> </w:t>
      </w:r>
      <m:oMath>
        <m:sSup>
          <m:e>
            <m:r>
              <m:t>σ</m:t>
            </m:r>
          </m:e>
          <m:sup>
            <m:r>
              <m:rPr>
                <m:sty m:val="p"/>
              </m:rPr>
              <m:t>*</m:t>
            </m:r>
          </m:sup>
        </m:sSup>
      </m:oMath>
      <w:r>
        <w:t xml:space="preserve"> </w:t>
      </w:r>
      <w:r>
        <w:t xml:space="preserve">by approximately 0.03-0.06. Estimated Poverty Point regional uncertainty (~0.64) remains above the threshold under all disease-cost values within the ethnographic range.</w:t>
      </w:r>
    </w:p>
    <w:bookmarkEnd w:id="33"/>
    <w:bookmarkStart w:id="34" w:name="s3.5-ecotone-advantage"/>
    <w:p>
      <w:pPr>
        <w:pStyle w:val="Heading3"/>
      </w:pPr>
      <w:r>
        <w:t xml:space="preserve">S3.5 Ecotone advantage</w:t>
      </w:r>
    </w:p>
    <w:p>
      <w:pPr>
        <w:pStyle w:val="FirstParagraph"/>
      </w:pPr>
      <w:r>
        <w:t xml:space="preserve">The model is most sensitive to the asserted ecotone advantage. At</w:t>
      </w:r>
      <w:r>
        <w:t xml:space="preserve"> </w:t>
      </w:r>
      <m:oMath>
        <m:r>
          <m:t>ε</m:t>
        </m:r>
        <m:r>
          <m:rPr>
            <m:sty m:val="p"/>
          </m:rPr>
          <m:t>=</m:t>
        </m:r>
        <m:r>
          <m:t>0.20</m:t>
        </m:r>
      </m:oMath>
      <w:r>
        <w:t xml:space="preserve">,</w:t>
      </w:r>
      <w:r>
        <w:t xml:space="preserve"> </w:t>
      </w:r>
      <m:oMath>
        <m:sSup>
          <m:e>
            <m:r>
              <m:t>σ</m:t>
            </m:r>
          </m:e>
          <m:sup>
            <m:r>
              <m:rPr>
                <m:sty m:val="p"/>
              </m:rPr>
              <m:t>*</m:t>
            </m:r>
          </m:sup>
        </m:sSup>
      </m:oMath>
      <w:r>
        <w:t xml:space="preserve"> </w:t>
      </w:r>
      <w:r>
        <w:t xml:space="preserve">rises to ~0.50, still below typical regional estimates but with reduced margin. At</w:t>
      </w:r>
      <w:r>
        <w:t xml:space="preserve"> </w:t>
      </w:r>
      <m:oMath>
        <m:r>
          <m:t>ε</m:t>
        </m:r>
        <m:r>
          <m:rPr>
            <m:sty m:val="p"/>
          </m:rPr>
          <m:t>=</m:t>
        </m:r>
        <m:r>
          <m:t>0</m:t>
        </m:r>
      </m:oMath>
      <w:r>
        <w:t xml:space="preserve">,</w:t>
      </w:r>
      <w:r>
        <w:t xml:space="preserve"> </w:t>
      </w:r>
      <m:oMath>
        <m:sSup>
          <m:e>
            <m:r>
              <m:t>σ</m:t>
            </m:r>
          </m:e>
          <m:sup>
            <m:r>
              <m:rPr>
                <m:sty m:val="p"/>
              </m:rPr>
              <m:t>*</m:t>
            </m:r>
          </m:sup>
        </m:sSup>
      </m:oMath>
      <w:r>
        <w:t xml:space="preserve"> </w:t>
      </w:r>
      <w:r>
        <w:t xml:space="preserve">rises to ~0.57, comparable to mid-Holocene LMV</w:t>
      </w:r>
      <w:r>
        <w:t xml:space="preserve"> </w:t>
      </w:r>
      <m:oMath>
        <m:r>
          <m:t>σ</m:t>
        </m:r>
      </m:oMath>
      <w:r>
        <w:t xml:space="preserve"> </w:t>
      </w:r>
      <w:r>
        <w:t xml:space="preserve">estimates. The empirical operationalization of</w:t>
      </w:r>
      <w:r>
        <w:t xml:space="preserve"> </w:t>
      </w:r>
      <m:oMath>
        <m:r>
          <m:t>ε</m:t>
        </m:r>
      </m:oMath>
      <w:r>
        <w:t xml:space="preserve"> </w:t>
      </w:r>
      <w:r>
        <w:t xml:space="preserve">across LMV sites is developed in the regional empirical paper.</w:t>
      </w:r>
    </w:p>
    <w:bookmarkEnd w:id="34"/>
    <w:bookmarkStart w:id="35" w:name="s3.6-coupling-form-sensitivity"/>
    <w:p>
      <w:pPr>
        <w:pStyle w:val="Heading3"/>
      </w:pPr>
      <w:r>
        <w:t xml:space="preserve">S3.6 Coupling-form sensitivity</w:t>
      </w:r>
    </w:p>
    <w:p>
      <w:pPr>
        <w:pStyle w:val="FirstParagraph"/>
      </w:pPr>
      <w:r>
        <w:t xml:space="preserve">The aggregator fitness function combines vulnerability and shortfall severity through the multiplicative term</w:t>
      </w:r>
      <w:r>
        <w:t xml:space="preserve"> </w:t>
      </w:r>
      <m:oMath>
        <m:r>
          <m:rPr>
            <m:sty m:val="p"/>
          </m:rPr>
          <m:t>(</m:t>
        </m:r>
        <m:r>
          <m:t>1</m:t>
        </m:r>
        <m:r>
          <m:rPr>
            <m:sty m:val="p"/>
          </m:rPr>
          <m:t>−</m:t>
        </m:r>
        <m:r>
          <m:t>α</m:t>
        </m:r>
        <m:r>
          <m:rPr>
            <m:sty m:val="p"/>
          </m:rPr>
          <m:t>(</m:t>
        </m:r>
        <m:sSub>
          <m:e>
            <m:r>
              <m:t>k</m:t>
            </m:r>
          </m:e>
          <m:sub>
            <m:r>
              <m:t>e</m:t>
            </m:r>
            <m:r>
              <m:t>f</m:t>
            </m:r>
            <m:r>
              <m:t>f</m:t>
            </m:r>
          </m:sub>
        </m:sSub>
        <m:r>
          <m:rPr>
            <m:sty m:val="p"/>
          </m:rPr>
          <m:t>)</m:t>
        </m:r>
        <m:r>
          <m:rPr>
            <m:sty m:val="p"/>
          </m:rPr>
          <m:t>⋅</m:t>
        </m:r>
        <m:sSub>
          <m:e>
            <m:r>
              <m:t>σ</m:t>
            </m:r>
          </m:e>
          <m:sub>
            <m:r>
              <m:t>e</m:t>
            </m:r>
            <m:r>
              <m:t>f</m:t>
            </m:r>
            <m:r>
              <m:t>f</m:t>
            </m:r>
          </m:sub>
        </m:sSub>
        <m:r>
          <m:rPr>
            <m:sty m:val="p"/>
          </m:rPr>
          <m:t>)</m:t>
        </m:r>
      </m:oMath>
      <w:r>
        <w:t xml:space="preserve"> </w:t>
      </w:r>
      <w:r>
        <w:t xml:space="preserve">in</w:t>
      </w:r>
      <w:r>
        <w:t xml:space="preserve"> </w:t>
      </w:r>
      <m:oMath>
        <m:sSub>
          <m:e>
            <m:r>
              <m:t>W</m:t>
            </m:r>
          </m:e>
          <m:sub>
            <m:r>
              <m:t>a</m:t>
            </m:r>
            <m:r>
              <m:t>g</m:t>
            </m:r>
            <m:r>
              <m:t>g</m:t>
            </m:r>
          </m:sub>
        </m:sSub>
      </m:oMath>
      <w:r>
        <w:t xml:space="preserve">. The main text §3 (paragraph following the</w:t>
      </w:r>
      <w:r>
        <w:t xml:space="preserve"> </w:t>
      </w:r>
      <m:oMath>
        <m:r>
          <m:t>σ</m:t>
        </m:r>
      </m:oMath>
      <w:r>
        <w:t xml:space="preserve"> </w:t>
      </w:r>
      <w:r>
        <w:t xml:space="preserve">derivation) flags that this is one of three couplings discussed in the risk-pooling literature, the others being an additive form</w:t>
      </w:r>
      <w:r>
        <w:t xml:space="preserve"> </w:t>
      </w:r>
      <m:oMath>
        <m:r>
          <m:rPr>
            <m:sty m:val="p"/>
          </m:rPr>
          <m:t>(</m:t>
        </m:r>
        <m:r>
          <m:t>1</m:t>
        </m:r>
        <m:r>
          <m:rPr>
            <m:sty m:val="p"/>
          </m:rPr>
          <m:t>−</m:t>
        </m:r>
        <m:r>
          <m:t>α</m:t>
        </m:r>
        <m:r>
          <m:rPr>
            <m:sty m:val="p"/>
          </m:rPr>
          <m:t>−</m:t>
        </m:r>
        <m:sSub>
          <m:e>
            <m:r>
              <m:t>σ</m:t>
            </m:r>
          </m:e>
          <m:sub>
            <m:r>
              <m:t>e</m:t>
            </m:r>
            <m:r>
              <m:t>f</m:t>
            </m:r>
            <m:r>
              <m:t>f</m:t>
            </m:r>
          </m:sub>
        </m:sSub>
        <m:r>
          <m:rPr>
            <m:sty m:val="p"/>
          </m:rPr>
          <m:t>)</m:t>
        </m:r>
      </m:oMath>
      <w:r>
        <w:t xml:space="preserve"> </w:t>
      </w:r>
      <w:r>
        <w:t xml:space="preserve">and a hazard-composition form</w:t>
      </w:r>
      <w:r>
        <w:t xml:space="preserve"> </w:t>
      </w:r>
      <m:oMath>
        <m:r>
          <m:rPr>
            <m:sty m:val="p"/>
          </m:rPr>
          <m:t>(</m:t>
        </m:r>
        <m:r>
          <m:t>1</m:t>
        </m:r>
        <m:r>
          <m:rPr>
            <m:sty m:val="p"/>
          </m:rPr>
          <m:t>−</m:t>
        </m:r>
        <m:r>
          <m:t>α</m:t>
        </m:r>
        <m:r>
          <m:rPr>
            <m:sty m:val="p"/>
          </m:rPr>
          <m:t>)</m:t>
        </m:r>
        <m:r>
          <m:rPr>
            <m:sty m:val="p"/>
          </m:rPr>
          <m:t>(</m:t>
        </m:r>
        <m:r>
          <m:t>1</m:t>
        </m:r>
        <m:r>
          <m:rPr>
            <m:sty m:val="p"/>
          </m:rPr>
          <m:t>−</m:t>
        </m:r>
        <m:sSub>
          <m:e>
            <m:r>
              <m:t>σ</m:t>
            </m:r>
          </m:e>
          <m:sub>
            <m:r>
              <m:t>e</m:t>
            </m:r>
            <m:r>
              <m:t>f</m:t>
            </m:r>
            <m:r>
              <m:t>f</m:t>
            </m:r>
          </m:sub>
        </m:sSub>
        <m:r>
          <m:rPr>
            <m:sty m:val="p"/>
          </m:rPr>
          <m:t>)</m:t>
        </m:r>
      </m:oMath>
      <w:r>
        <w:t xml:space="preserve">. Here we document the result of substituting each alternative into the existing fitness machinery and explain why the multiplicative form is the principled choice given the meanings of the two factors.</w:t>
      </w:r>
    </w:p>
    <w:p>
      <w:pPr>
        <w:pStyle w:val="BodyText"/>
      </w:pPr>
      <w:r>
        <w:t xml:space="preserve">Computing</w:t>
      </w:r>
      <w:r>
        <w:t xml:space="preserve"> </w:t>
      </w:r>
      <m:oMath>
        <m:sSup>
          <m:e>
            <m:r>
              <m:t>σ</m:t>
            </m:r>
          </m:e>
          <m:sup>
            <m:r>
              <m:rPr>
                <m:sty m:val="p"/>
              </m:rPr>
              <m:t>*</m:t>
            </m:r>
          </m:sup>
        </m:sSup>
      </m:oMath>
      <w:r>
        <w:t xml:space="preserve"> </w:t>
      </w:r>
      <w:r>
        <w:t xml:space="preserve">under each coupling at PP-scenario parameters (</w:t>
      </w:r>
      <m:oMath>
        <m:r>
          <m:t>ε</m:t>
        </m:r>
        <m:r>
          <m:rPr>
            <m:sty m:val="p"/>
          </m:rPr>
          <m:t>=</m:t>
        </m:r>
        <m:r>
          <m:t>0.35</m:t>
        </m:r>
      </m:oMath>
      <w:r>
        <w:t xml:space="preserve">,</w:t>
      </w:r>
      <w:r>
        <w:t xml:space="preserve"> </w:t>
      </w:r>
      <m:oMath>
        <m:sSub>
          <m:e>
            <m:r>
              <m:t>n</m:t>
            </m:r>
          </m:e>
          <m:sub>
            <m:r>
              <m:t>a</m:t>
            </m:r>
            <m:r>
              <m:t>g</m:t>
            </m:r>
            <m:r>
              <m:t>g</m:t>
            </m:r>
          </m:sub>
        </m:sSub>
        <m:r>
          <m:rPr>
            <m:sty m:val="p"/>
          </m:rPr>
          <m:t>=</m:t>
        </m:r>
        <m:r>
          <m:t>25</m:t>
        </m:r>
      </m:oMath>
      <w:r>
        <w:t xml:space="preserve">, all other parameters at their default values) using Brent’s method on</w:t>
      </w:r>
      <w:r>
        <w:t xml:space="preserve"> </w:t>
      </w:r>
      <m:oMath>
        <m:sSub>
          <m:e>
            <m:r>
              <m:t>W</m:t>
            </m:r>
          </m:e>
          <m:sub>
            <m:r>
              <m:t>a</m:t>
            </m:r>
            <m:r>
              <m:t>g</m:t>
            </m:r>
            <m:r>
              <m:t>g</m:t>
            </m:r>
          </m:sub>
        </m:sSub>
        <m:r>
          <m:rPr>
            <m:sty m:val="p"/>
          </m:rPr>
          <m:t>(</m:t>
        </m:r>
        <m:r>
          <m:t>σ</m:t>
        </m:r>
        <m:r>
          <m:rPr>
            <m:sty m:val="p"/>
          </m:rPr>
          <m:t>)</m:t>
        </m:r>
        <m:r>
          <m:rPr>
            <m:sty m:val="p"/>
          </m:rPr>
          <m:t>−</m:t>
        </m:r>
        <m:sSub>
          <m:e>
            <m:r>
              <m:t>W</m:t>
            </m:r>
          </m:e>
          <m:sub>
            <m:r>
              <m:t>i</m:t>
            </m:r>
            <m:r>
              <m:t>n</m:t>
            </m:r>
            <m:r>
              <m:t>d</m:t>
            </m:r>
          </m:sub>
        </m:sSub>
        <m:r>
          <m:rPr>
            <m:sty m:val="p"/>
          </m:rPr>
          <m:t>(</m:t>
        </m:r>
        <m:r>
          <m:t>σ</m:t>
        </m:r>
        <m:r>
          <m:rPr>
            <m:sty m:val="p"/>
          </m:rPr>
          <m:t>)</m:t>
        </m:r>
      </m:oMath>
      <w:r>
        <w:t xml:space="preserve"> </w:t>
      </w:r>
      <w:r>
        <w:t xml:space="preserve">over</w:t>
      </w:r>
      <w:r>
        <w:t xml:space="preserve"> </w:t>
      </w:r>
      <m:oMath>
        <m:r>
          <m:t>σ</m:t>
        </m:r>
        <m:r>
          <m:rPr>
            <m:sty m:val="p"/>
          </m:rPr>
          <m:t>∈</m:t>
        </m:r>
        <m:r>
          <m:rPr>
            <m:sty m:val="p"/>
          </m:rPr>
          <m:t>[</m:t>
        </m:r>
        <m:r>
          <m:t>0.05</m:t>
        </m:r>
        <m:r>
          <m:rPr>
            <m:sty m:val="p"/>
          </m:rPr>
          <m:t>,</m:t>
        </m:r>
        <m:r>
          <m:t>1.5</m:t>
        </m:r>
        <m:r>
          <m:rPr>
            <m:sty m:val="p"/>
          </m:rPr>
          <m:t>]</m:t>
        </m:r>
      </m:oMath>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Coupling</w:t>
            </w:r>
          </w:p>
        </w:tc>
        <w:tc>
          <w:tcPr/>
          <w:p>
            <w:pPr>
              <w:pStyle w:val="Compact"/>
            </w:pPr>
            <m:oMath>
              <m:sSub>
                <m:e>
                  <m:r>
                    <m:t>W</m:t>
                  </m:r>
                </m:e>
                <m:sub>
                  <m:r>
                    <m:t>a</m:t>
                  </m:r>
                  <m:r>
                    <m:t>g</m:t>
                  </m:r>
                  <m:r>
                    <m:t>g</m:t>
                  </m:r>
                </m:sub>
              </m:sSub>
            </m:oMath>
            <w:r>
              <w:t xml:space="preserve"> </w:t>
            </w:r>
            <w:r>
              <w:t xml:space="preserve">shortfall factor</w:t>
            </w:r>
          </w:p>
        </w:tc>
        <w:tc>
          <w:tcPr/>
          <w:p>
            <w:pPr>
              <w:pStyle w:val="Compact"/>
            </w:pPr>
            <m:oMath>
              <m:sSup>
                <m:e>
                  <m:r>
                    <m:t>σ</m:t>
                  </m:r>
                </m:e>
                <m:sup>
                  <m:r>
                    <m:rPr>
                      <m:sty m:val="p"/>
                    </m:rPr>
                    <m:t>*</m:t>
                  </m:r>
                </m:sup>
              </m:sSup>
            </m:oMath>
          </w:p>
        </w:tc>
      </w:tr>
      <w:tr>
        <w:tc>
          <w:tcPr/>
          <w:p>
            <w:pPr>
              <w:pStyle w:val="Compact"/>
            </w:pPr>
            <w:r>
              <w:t xml:space="preserve">Multiplicative (default)</w:t>
            </w:r>
          </w:p>
        </w:tc>
        <w:tc>
          <w:tcPr/>
          <w:p>
            <w:pPr>
              <w:pStyle w:val="Compact"/>
            </w:pPr>
            <m:oMath>
              <m:r>
                <m:t>1</m:t>
              </m:r>
              <m:r>
                <m:rPr>
                  <m:sty m:val="p"/>
                </m:rPr>
                <m:t>−</m:t>
              </m:r>
              <m:r>
                <m:t>α</m:t>
              </m:r>
              <m:r>
                <m:rPr>
                  <m:sty m:val="p"/>
                </m:rPr>
                <m:t>⋅</m:t>
              </m:r>
              <m:sSub>
                <m:e>
                  <m:r>
                    <m:t>σ</m:t>
                  </m:r>
                </m:e>
                <m:sub>
                  <m:r>
                    <m:t>e</m:t>
                  </m:r>
                  <m:r>
                    <m:t>f</m:t>
                  </m:r>
                  <m:r>
                    <m:t>f</m:t>
                  </m:r>
                </m:sub>
              </m:sSub>
            </m:oMath>
          </w:p>
        </w:tc>
        <w:tc>
          <w:tcPr/>
          <w:p>
            <w:pPr>
              <w:pStyle w:val="Compact"/>
            </w:pPr>
            <m:oMath>
              <m:r>
                <m:t>0.400</m:t>
              </m:r>
            </m:oMath>
          </w:p>
        </w:tc>
      </w:tr>
      <w:tr>
        <w:tc>
          <w:tcPr/>
          <w:p>
            <w:pPr>
              <w:pStyle w:val="Compact"/>
            </w:pPr>
            <w:r>
              <w:t xml:space="preserve">Additive</w:t>
            </w:r>
          </w:p>
        </w:tc>
        <w:tc>
          <w:tcPr/>
          <w:p>
            <w:pPr>
              <w:pStyle w:val="Compact"/>
            </w:pPr>
            <m:oMath>
              <m:r>
                <m:t>1</m:t>
              </m:r>
              <m:r>
                <m:rPr>
                  <m:sty m:val="p"/>
                </m:rPr>
                <m:t>−</m:t>
              </m:r>
              <m:r>
                <m:t>α</m:t>
              </m:r>
              <m:r>
                <m:rPr>
                  <m:sty m:val="p"/>
                </m:rPr>
                <m:t>−</m:t>
              </m:r>
              <m:sSub>
                <m:e>
                  <m:r>
                    <m:t>σ</m:t>
                  </m:r>
                </m:e>
                <m:sub>
                  <m:r>
                    <m:t>e</m:t>
                  </m:r>
                  <m:r>
                    <m:t>f</m:t>
                  </m:r>
                  <m:r>
                    <m:t>f</m:t>
                  </m:r>
                </m:sub>
              </m:sSub>
            </m:oMath>
          </w:p>
        </w:tc>
        <w:tc>
          <w:tcPr/>
          <w:p>
            <w:pPr>
              <w:pStyle w:val="Compact"/>
            </w:pPr>
            <w:r>
              <w:t xml:space="preserve">degenerate (see below)</w:t>
            </w:r>
          </w:p>
        </w:tc>
      </w:tr>
      <w:tr>
        <w:tc>
          <w:tcPr/>
          <w:p>
            <w:pPr>
              <w:pStyle w:val="Compact"/>
            </w:pPr>
            <w:r>
              <w:t xml:space="preserve">Hazard composition</w:t>
            </w:r>
          </w:p>
        </w:tc>
        <w:tc>
          <w:tcPr/>
          <w:p>
            <w:pPr>
              <w:pStyle w:val="Compact"/>
            </w:pPr>
            <m:oMath>
              <m:r>
                <m:rPr>
                  <m:sty m:val="p"/>
                </m:rPr>
                <m:t>(</m:t>
              </m:r>
              <m:r>
                <m:t>1</m:t>
              </m:r>
              <m:r>
                <m:rPr>
                  <m:sty m:val="p"/>
                </m:rPr>
                <m:t>−</m:t>
              </m:r>
              <m:r>
                <m:t>α</m:t>
              </m:r>
              <m:r>
                <m:rPr>
                  <m:sty m:val="p"/>
                </m:rPr>
                <m:t>)</m:t>
              </m:r>
              <m:r>
                <m:rPr>
                  <m:sty m:val="p"/>
                </m:rPr>
                <m:t>(</m:t>
              </m:r>
              <m:r>
                <m:t>1</m:t>
              </m:r>
              <m:r>
                <m:rPr>
                  <m:sty m:val="p"/>
                </m:rPr>
                <m:t>−</m:t>
              </m:r>
              <m:sSub>
                <m:e>
                  <m:r>
                    <m:t>σ</m:t>
                  </m:r>
                </m:e>
                <m:sub>
                  <m:r>
                    <m:t>e</m:t>
                  </m:r>
                  <m:r>
                    <m:t>f</m:t>
                  </m:r>
                  <m:r>
                    <m:t>f</m:t>
                  </m:r>
                </m:sub>
              </m:sSub>
              <m:r>
                <m:rPr>
                  <m:sty m:val="p"/>
                </m:rPr>
                <m:t>)</m:t>
              </m:r>
            </m:oMath>
          </w:p>
        </w:tc>
        <w:tc>
          <w:tcPr/>
          <w:p>
            <w:pPr>
              <w:pStyle w:val="Compact"/>
            </w:pPr>
            <m:oMath>
              <m:r>
                <m:t>0.875</m:t>
              </m:r>
            </m:oMath>
          </w:p>
        </w:tc>
      </w:tr>
    </w:tbl>
    <w:p>
      <w:pPr>
        <w:pStyle w:val="BodyText"/>
      </w:pPr>
      <w:r>
        <w:t xml:space="preserve">The additive form has no meaningful</w:t>
      </w:r>
      <w:r>
        <w:t xml:space="preserve"> </w:t>
      </w:r>
      <m:oMath>
        <m:sSup>
          <m:e>
            <m:r>
              <m:t>σ</m:t>
            </m:r>
          </m:e>
          <m:sup>
            <m:r>
              <m:rPr>
                <m:sty m:val="p"/>
              </m:rPr>
              <m:t>*</m:t>
            </m:r>
          </m:sup>
        </m:sSup>
      </m:oMath>
      <w:r>
        <w:t xml:space="preserve"> </w:t>
      </w:r>
      <w:r>
        <w:t xml:space="preserve">in the empirically relevant range. Its survival factor</w:t>
      </w:r>
      <w:r>
        <w:t xml:space="preserve"> </w:t>
      </w:r>
      <m:oMath>
        <m:r>
          <m:t>1</m:t>
        </m:r>
        <m:r>
          <m:rPr>
            <m:sty m:val="p"/>
          </m:rPr>
          <m:t>−</m:t>
        </m:r>
        <m:r>
          <m:t>α</m:t>
        </m:r>
        <m:r>
          <m:rPr>
            <m:sty m:val="p"/>
          </m:rPr>
          <m:t>−</m:t>
        </m:r>
        <m:sSub>
          <m:e>
            <m:r>
              <m:t>σ</m:t>
            </m:r>
          </m:e>
          <m:sub>
            <m:r>
              <m:t>e</m:t>
            </m:r>
            <m:r>
              <m:t>f</m:t>
            </m:r>
            <m:r>
              <m:t>f</m:t>
            </m:r>
          </m:sub>
        </m:sSub>
      </m:oMath>
      <w:r>
        <w:t xml:space="preserve"> </w:t>
      </w:r>
      <w:r>
        <w:t xml:space="preserve">goes negative as soon as</w:t>
      </w:r>
      <w:r>
        <w:t xml:space="preserve"> </w:t>
      </w:r>
      <m:oMath>
        <m:sSub>
          <m:e>
            <m:r>
              <m:t>σ</m:t>
            </m:r>
          </m:e>
          <m:sub>
            <m:r>
              <m:t>e</m:t>
            </m:r>
            <m:r>
              <m:t>f</m:t>
            </m:r>
            <m:r>
              <m:t>f</m:t>
            </m:r>
          </m:sub>
        </m:sSub>
        <m:r>
          <m:rPr>
            <m:sty m:val="p"/>
          </m:rPr>
          <m:t>&gt;</m:t>
        </m:r>
        <m:r>
          <m:t>1</m:t>
        </m:r>
        <m:r>
          <m:rPr>
            <m:sty m:val="p"/>
          </m:rPr>
          <m:t>−</m:t>
        </m:r>
        <m:r>
          <m:t>α</m:t>
        </m:r>
      </m:oMath>
      <w:r>
        <w:t xml:space="preserve">, and at the equilibrium</w:t>
      </w:r>
      <w:r>
        <w:t xml:space="preserve"> </w:t>
      </w:r>
      <m:oMath>
        <m:r>
          <m:t>α</m:t>
        </m:r>
        <m:r>
          <m:rPr>
            <m:sty m:val="p"/>
          </m:rPr>
          <m:t>(</m:t>
        </m:r>
        <m:sSub>
          <m:e>
            <m:r>
              <m:t>k</m:t>
            </m:r>
          </m:e>
          <m:sub>
            <m:r>
              <m:t>e</m:t>
            </m:r>
            <m:r>
              <m:t>f</m:t>
            </m:r>
            <m:r>
              <m:t>f</m:t>
            </m:r>
          </m:sub>
        </m:sSub>
        <m:r>
          <m:rPr>
            <m:sty m:val="p"/>
          </m:rPr>
          <m:t>)</m:t>
        </m:r>
        <m:r>
          <m:rPr>
            <m:sty m:val="p"/>
          </m:rPr>
          <m:t>≈</m:t>
        </m:r>
        <m:r>
          <m:t>0.82</m:t>
        </m:r>
      </m:oMath>
      <w:r>
        <w:t xml:space="preserve"> </w:t>
      </w:r>
      <w:r>
        <w:t xml:space="preserve">for aggregators (and</w:t>
      </w:r>
      <w:r>
        <w:t xml:space="preserve"> </w:t>
      </w:r>
      <m:oMath>
        <m:r>
          <m:t>β</m:t>
        </m:r>
        <m:r>
          <m:rPr>
            <m:sty m:val="p"/>
          </m:rPr>
          <m:t>(</m:t>
        </m:r>
        <m:sSub>
          <m:e>
            <m:r>
              <m:t>k</m:t>
            </m:r>
          </m:e>
          <m:sub>
            <m:r>
              <m:t>0</m:t>
            </m:r>
          </m:sub>
        </m:sSub>
        <m:r>
          <m:rPr>
            <m:sty m:val="p"/>
          </m:rPr>
          <m:t>)</m:t>
        </m:r>
        <m:r>
          <m:rPr>
            <m:sty m:val="p"/>
          </m:rPr>
          <m:t>≈</m:t>
        </m:r>
        <m:r>
          <m:t>0.985</m:t>
        </m:r>
      </m:oMath>
      <w:r>
        <w:t xml:space="preserve"> </w:t>
      </w:r>
      <w:r>
        <w:t xml:space="preserve">for independents), this happens almost immediately. The Brent-method root-finder returns the upper bracket value of 1.5 as an artifact:</w:t>
      </w:r>
      <w:r>
        <w:t xml:space="preserve"> </w:t>
      </w:r>
      <m:oMath>
        <m:sSub>
          <m:e>
            <m:r>
              <m:t>W</m:t>
            </m:r>
          </m:e>
          <m:sub>
            <m:r>
              <m:t>a</m:t>
            </m:r>
            <m:r>
              <m:t>g</m:t>
            </m:r>
            <m:r>
              <m:t>g</m:t>
            </m:r>
          </m:sub>
        </m:sSub>
      </m:oMath>
      <w:r>
        <w:t xml:space="preserve"> </w:t>
      </w:r>
      <w:r>
        <w:t xml:space="preserve">saturates at the signaling-benefit floor</w:t>
      </w:r>
      <w:r>
        <w:t xml:space="preserve"> </w:t>
      </w:r>
      <m:oMath>
        <m:r>
          <m:t>B</m:t>
        </m:r>
        <m:r>
          <m:rPr>
            <m:sty m:val="p"/>
          </m:rPr>
          <m:t>(</m:t>
        </m:r>
        <m:r>
          <m:t>λ</m:t>
        </m:r>
        <m:r>
          <m:rPr>
            <m:sty m:val="p"/>
          </m:rPr>
          <m:t>)</m:t>
        </m:r>
      </m:oMath>
      <w:r>
        <w:t xml:space="preserve"> </w:t>
      </w:r>
      <w:r>
        <w:t xml:space="preserve">throughout the range while</w:t>
      </w:r>
      <w:r>
        <w:t xml:space="preserve"> </w:t>
      </w:r>
      <m:oMath>
        <m:sSub>
          <m:e>
            <m:r>
              <m:t>W</m:t>
            </m:r>
          </m:e>
          <m:sub>
            <m:r>
              <m:t>i</m:t>
            </m:r>
            <m:r>
              <m:t>n</m:t>
            </m:r>
            <m:r>
              <m:t>d</m:t>
            </m:r>
          </m:sub>
        </m:sSub>
      </m:oMath>
      <w:r>
        <w:t xml:space="preserve"> </w:t>
      </w:r>
      <w:r>
        <w:t xml:space="preserve">collapses to zero only at the upper end, producing a nominal sign change at the boundary that is not a substantive threshold. The hazard-composition form returns a finite</w:t>
      </w:r>
      <w:r>
        <w:t xml:space="preserve"> </w:t>
      </w:r>
      <m:oMath>
        <m:sSup>
          <m:e>
            <m:r>
              <m:t>σ</m:t>
            </m:r>
          </m:e>
          <m:sup>
            <m:r>
              <m:rPr>
                <m:sty m:val="p"/>
              </m:rPr>
              <m:t>*</m:t>
            </m:r>
          </m:sup>
        </m:sSup>
        <m:r>
          <m:rPr>
            <m:sty m:val="p"/>
          </m:rPr>
          <m:t>=</m:t>
        </m:r>
        <m:r>
          <m:t>0.875</m:t>
        </m:r>
      </m:oMath>
      <w:r>
        <w:t xml:space="preserve">, far above the multiplicative threshold and far above any plausible LMV</w:t>
      </w:r>
      <w:r>
        <w:t xml:space="preserve"> </w:t>
      </w:r>
      <m:oMath>
        <m:r>
          <m:t>σ</m:t>
        </m:r>
      </m:oMath>
      <w:r>
        <w:t xml:space="preserve">.</w:t>
      </w:r>
    </w:p>
    <w:p>
      <w:pPr>
        <w:pStyle w:val="BodyText"/>
      </w:pPr>
      <w:r>
        <w:t xml:space="preserve">Neither alternative is a clean drop-in replacement, and the reason is conceptual rather than numerical:</w:t>
      </w:r>
      <w:r>
        <w:t xml:space="preserve"> </w:t>
      </w:r>
      <m:oMath>
        <m:r>
          <m:t>α</m:t>
        </m:r>
      </m:oMath>
      <w:r>
        <w:t xml:space="preserve"> </w:t>
      </w:r>
      <w:r>
        <w:t xml:space="preserve">is a</w:t>
      </w:r>
      <w:r>
        <w:t xml:space="preserve"> </w:t>
      </w:r>
      <w:r>
        <w:rPr>
          <w:i/>
          <w:iCs/>
        </w:rPr>
        <w:t xml:space="preserve">vulnerability coefficient</w:t>
      </w:r>
      <w:r>
        <w:t xml:space="preserve"> </w:t>
      </w:r>
      <w:r>
        <w:t xml:space="preserve">on</w:t>
      </w:r>
      <w:r>
        <w:t xml:space="preserve"> </w:t>
      </w:r>
      <m:oMath>
        <m:r>
          <m:rPr>
            <m:sty m:val="p"/>
          </m:rPr>
          <m:t>(</m:t>
        </m:r>
        <m:r>
          <m:t>0</m:t>
        </m:r>
        <m:r>
          <m:rPr>
            <m:sty m:val="p"/>
          </m:rPr>
          <m:t>,</m:t>
        </m:r>
        <m:r>
          <m:t>1</m:t>
        </m:r>
        <m:r>
          <m:rPr>
            <m:sty m:val="p"/>
          </m:rPr>
          <m:t>]</m:t>
        </m:r>
      </m:oMath>
      <w:r>
        <w:t xml:space="preserve"> </w:t>
      </w:r>
      <w:r>
        <w:t xml:space="preserve">that modulates the magnitude of a shortfall-induced loss, not a fractional loss in its own right and not an independent hazard rate. Combining it additively with</w:t>
      </w:r>
      <w:r>
        <w:t xml:space="preserve"> </w:t>
      </w:r>
      <m:oMath>
        <m:sSub>
          <m:e>
            <m:r>
              <m:t>σ</m:t>
            </m:r>
          </m:e>
          <m:sub>
            <m:r>
              <m:t>e</m:t>
            </m:r>
            <m:r>
              <m:t>f</m:t>
            </m:r>
            <m:r>
              <m:t>f</m:t>
            </m:r>
          </m:sub>
        </m:sSub>
      </m:oMath>
      <w:r>
        <w:t xml:space="preserve"> </w:t>
      </w:r>
      <w:r>
        <w:t xml:space="preserve">presupposes that both denote fractional losses on the same scale, which is not what</w:t>
      </w:r>
      <w:r>
        <w:t xml:space="preserve"> </w:t>
      </w:r>
      <m:oMath>
        <m:r>
          <m:t>α</m:t>
        </m:r>
      </m:oMath>
      <w:r>
        <w:t xml:space="preserve"> </w:t>
      </w:r>
      <w:r>
        <w:t xml:space="preserve">represents in the framework. Combining it via hazard composition presupposes that</w:t>
      </w:r>
      <w:r>
        <w:t xml:space="preserve"> </w:t>
      </w:r>
      <m:oMath>
        <m:r>
          <m:t>α</m:t>
        </m:r>
      </m:oMath>
      <w:r>
        <w:t xml:space="preserve"> </w:t>
      </w:r>
      <w:r>
        <w:t xml:space="preserve">and</w:t>
      </w:r>
      <w:r>
        <w:t xml:space="preserve"> </w:t>
      </w:r>
      <m:oMath>
        <m:sSub>
          <m:e>
            <m:r>
              <m:t>σ</m:t>
            </m:r>
          </m:e>
          <m:sub>
            <m:r>
              <m:t>e</m:t>
            </m:r>
            <m:r>
              <m:t>f</m:t>
            </m:r>
            <m:r>
              <m:t>f</m:t>
            </m:r>
          </m:sub>
        </m:sSub>
      </m:oMath>
      <w:r>
        <w:t xml:space="preserve"> </w:t>
      </w:r>
      <w:r>
        <w:t xml:space="preserve">are independent survival probabilities, which is also not what they represent (the network buffers the</w:t>
      </w:r>
      <w:r>
        <w:t xml:space="preserve"> </w:t>
      </w:r>
      <w:r>
        <w:rPr>
          <w:i/>
          <w:iCs/>
        </w:rPr>
        <w:t xml:space="preserve">magnitude</w:t>
      </w:r>
      <w:r>
        <w:t xml:space="preserve"> </w:t>
      </w:r>
      <w:r>
        <w:t xml:space="preserve">of the same shortfall, not a separate hazard). The multiplicative form</w:t>
      </w:r>
      <w:r>
        <w:t xml:space="preserve"> </w:t>
      </w:r>
      <m:oMath>
        <m:r>
          <m:t>α</m:t>
        </m:r>
        <m:r>
          <m:rPr>
            <m:sty m:val="p"/>
          </m:rPr>
          <m:t>⋅</m:t>
        </m:r>
        <m:sSub>
          <m:e>
            <m:r>
              <m:t>σ</m:t>
            </m:r>
          </m:e>
          <m:sub>
            <m:r>
              <m:t>e</m:t>
            </m:r>
            <m:r>
              <m:t>f</m:t>
            </m:r>
            <m:r>
              <m:t>f</m:t>
            </m:r>
          </m:sub>
        </m:sSub>
      </m:oMath>
      <w:r>
        <w:t xml:space="preserve"> </w:t>
      </w:r>
      <w:r>
        <w:t xml:space="preserve">is the unique form consistent with the framework’s substantive interpretation:</w:t>
      </w:r>
      <w:r>
        <w:t xml:space="preserve"> </w:t>
      </w:r>
      <w:r>
        <w:t xml:space="preserve">“fraction of productivity lost equals vulnerability times severity.”</w:t>
      </w:r>
    </w:p>
    <w:p>
      <w:pPr>
        <w:pStyle w:val="BodyText"/>
      </w:pPr>
      <w:r>
        <w:t xml:space="preserve">A fair coupling-form sensitivity analysis would therefore require reformulating</w:t>
      </w:r>
      <w:r>
        <w:t xml:space="preserve"> </w:t>
      </w:r>
      <m:oMath>
        <m:r>
          <m:t>α</m:t>
        </m:r>
      </m:oMath>
      <w:r>
        <w:t xml:space="preserve"> </w:t>
      </w:r>
      <w:r>
        <w:t xml:space="preserve">and</w:t>
      </w:r>
      <w:r>
        <w:t xml:space="preserve"> </w:t>
      </w:r>
      <m:oMath>
        <m:sSub>
          <m:e>
            <m:r>
              <m:t>σ</m:t>
            </m:r>
          </m:e>
          <m:sub>
            <m:r>
              <m:t>e</m:t>
            </m:r>
            <m:r>
              <m:t>f</m:t>
            </m:r>
            <m:r>
              <m:t>f</m:t>
            </m:r>
          </m:sub>
        </m:sSub>
      </m:oMath>
      <w:r>
        <w:t xml:space="preserve"> </w:t>
      </w:r>
      <w:r>
        <w:t xml:space="preserve">as probability-like quantities on a common scale (e.g., redefining</w:t>
      </w:r>
      <w:r>
        <w:t xml:space="preserve"> </w:t>
      </w:r>
      <m:oMath>
        <m:r>
          <m:t>α</m:t>
        </m:r>
      </m:oMath>
      <w:r>
        <w:t xml:space="preserve"> </w:t>
      </w:r>
      <w:r>
        <w:t xml:space="preserve">as the probability that a shortfall reduces band productivity below a survival threshold), which is a different model rather than a functional-form perturbation of this one. We have not implemented that reformulation here. The result we do report is that direct substitution of additive or hazard couplings into the existing parameterization produces either degenerate (additive) or substantially shifted (hazard) thresholds, confirming that the phase-transition structure is generic to the framework but that the specific location of</w:t>
      </w:r>
      <w:r>
        <w:t xml:space="preserve"> </w:t>
      </w:r>
      <m:oMath>
        <m:sSup>
          <m:e>
            <m:r>
              <m:t>σ</m:t>
            </m:r>
          </m:e>
          <m:sup>
            <m:r>
              <m:rPr>
                <m:sty m:val="p"/>
              </m:rPr>
              <m:t>*</m:t>
            </m:r>
          </m:sup>
        </m:sSup>
      </m:oMath>
      <w:r>
        <w:t xml:space="preserve"> </w:t>
      </w:r>
      <w:r>
        <w:t xml:space="preserve">is functional-form dependent. The empirical comparisons in §6 use the multiplicative coupling throughout. Reproducible from</w:t>
      </w:r>
      <w:r>
        <w:t xml:space="preserve"> </w:t>
      </w:r>
      <w:r>
        <w:rPr>
          <w:rStyle w:val="VerbatimChar"/>
        </w:rPr>
        <w:t xml:space="preserve">scripts/analysis/coupling_sensitivity.py</w:t>
      </w:r>
      <w:r>
        <w:t xml:space="preserve">.</w:t>
      </w:r>
    </w:p>
    <w:p>
      <w:r>
        <w:pict>
          <v:rect style="width:0;height:1.5pt" o:hralign="center" o:hrstd="t" o:hr="t"/>
        </w:pict>
      </w:r>
    </w:p>
    <w:bookmarkEnd w:id="35"/>
    <w:bookmarkEnd w:id="36"/>
    <w:bookmarkStart w:id="46" w:name="s4.-supplemental-theoretical-figures"/>
    <w:p>
      <w:pPr>
        <w:pStyle w:val="Heading2"/>
      </w:pPr>
      <w:r>
        <w:t xml:space="preserve">S4. Supplemental theoretical figures</w:t>
      </w:r>
    </w:p>
    <w:p>
      <w:pPr>
        <w:pStyle w:val="FirstParagraph"/>
      </w:pPr>
      <w:r>
        <w:t xml:space="preserve">In addition to the figures referenced inline above (and to the multilevel-selection decomposition, ecotone advantage schematic, and agent-based model architecture in main-text Figures 3, 4, and 6 respectively):</w:t>
      </w:r>
    </w:p>
    <w:p>
      <w:pPr>
        <w:pStyle w:val="BodyText"/>
      </w:pPr>
      <w:r>
        <w:drawing>
          <wp:inline>
            <wp:extent cx="5943600" cy="5746734"/>
            <wp:effectExtent b="0" l="0" r="0" t="0"/>
            <wp:docPr descr="" title="" id="38" name="Picture"/>
            <a:graphic>
              <a:graphicData uri="http://schemas.openxmlformats.org/drawingml/2006/picture">
                <pic:pic>
                  <pic:nvPicPr>
                    <pic:cNvPr descr="../../figures/supplemental/figure_S03_conceptual_signaling_system.png" id="39" name="Picture"/>
                    <pic:cNvPicPr>
                      <a:picLocks noChangeArrowheads="1" noChangeAspect="1"/>
                    </pic:cNvPicPr>
                  </pic:nvPicPr>
                  <pic:blipFill>
                    <a:blip r:embed="rId37"/>
                    <a:stretch>
                      <a:fillRect/>
                    </a:stretch>
                  </pic:blipFill>
                  <pic:spPr bwMode="auto">
                    <a:xfrm>
                      <a:off x="0" y="0"/>
                      <a:ext cx="5943600" cy="5746734"/>
                    </a:xfrm>
                    <a:prstGeom prst="rect">
                      <a:avLst/>
                    </a:prstGeom>
                    <a:noFill/>
                    <a:ln w="9525">
                      <a:noFill/>
                      <a:headEnd/>
                      <a:tailEnd/>
                    </a:ln>
                  </pic:spPr>
                </pic:pic>
              </a:graphicData>
            </a:graphic>
          </wp:inline>
        </w:drawing>
      </w:r>
    </w:p>
    <w:p>
      <w:pPr>
        <w:pStyle w:val="BodyText"/>
      </w:pPr>
      <w:r>
        <w:rPr>
          <w:b/>
          <w:bCs/>
          <w:i/>
          <w:iCs/>
        </w:rPr>
        <w:t xml:space="preserve">Figure S3. The aggregation-based signaling system.</w:t>
      </w:r>
      <w:r>
        <w:t xml:space="preserve"> </w:t>
      </w:r>
      <w:r>
        <w:rPr>
          <w:i/>
          <w:iCs/>
        </w:rPr>
        <w:t xml:space="preserve">Schematic of the core model structure. Aggregator bands (orange) travel to the central aggregation site, invest in monument construction, and form reciprocal obligation ties (dashed green). Independent bands (purple) remain in their home territories. Exotic materials flow to the site from distant sources.</w:t>
      </w:r>
    </w:p>
    <w:p>
      <w:pPr>
        <w:pStyle w:val="BodyText"/>
      </w:pPr>
      <w:r>
        <w:drawing>
          <wp:inline>
            <wp:extent cx="5943600" cy="4002950"/>
            <wp:effectExtent b="0" l="0" r="0" t="0"/>
            <wp:docPr descr="" title="" id="41" name="Picture"/>
            <a:graphic>
              <a:graphicData uri="http://schemas.openxmlformats.org/drawingml/2006/picture">
                <pic:pic>
                  <pic:nvPicPr>
                    <pic:cNvPr descr="../../figures/supplemental/figure_S04_network_feedback_loop.png" id="42" name="Picture"/>
                    <pic:cNvPicPr>
                      <a:picLocks noChangeArrowheads="1" noChangeAspect="1"/>
                    </pic:cNvPicPr>
                  </pic:nvPicPr>
                  <pic:blipFill>
                    <a:blip r:embed="rId40"/>
                    <a:stretch>
                      <a:fillRect/>
                    </a:stretch>
                  </pic:blipFill>
                  <pic:spPr bwMode="auto">
                    <a:xfrm>
                      <a:off x="0" y="0"/>
                      <a:ext cx="5943600" cy="4002950"/>
                    </a:xfrm>
                    <a:prstGeom prst="rect">
                      <a:avLst/>
                    </a:prstGeom>
                    <a:noFill/>
                    <a:ln w="9525">
                      <a:noFill/>
                      <a:headEnd/>
                      <a:tailEnd/>
                    </a:ln>
                  </pic:spPr>
                </pic:pic>
              </a:graphicData>
            </a:graphic>
          </wp:inline>
        </w:drawing>
      </w:r>
    </w:p>
    <w:p>
      <w:pPr>
        <w:pStyle w:val="BodyText"/>
      </w:pPr>
      <w:r>
        <w:rPr>
          <w:b/>
          <w:bCs/>
          <w:i/>
          <w:iCs/>
        </w:rPr>
        <w:t xml:space="preserve">Figure S4. Network feedback loop.</w:t>
      </w:r>
      <w:r>
        <w:t xml:space="preserve"> </w:t>
      </w:r>
      <w:r>
        <w:rPr>
          <w:i/>
          <w:iCs/>
        </w:rPr>
        <w:t xml:space="preserve">Monument investment</w:t>
      </w:r>
      <w:r>
        <w:rPr>
          <w:i/>
          <w:iCs/>
        </w:rPr>
        <w:t xml:space="preserve"> </w:t>
      </w:r>
      <m:oMath>
        <m:sSub>
          <m:e>
            <m:r>
              <m:t>I</m:t>
            </m:r>
          </m:e>
          <m:sub>
            <m:r>
              <m:t>g</m:t>
            </m:r>
          </m:sub>
        </m:sSub>
      </m:oMath>
      <w:r>
        <w:rPr>
          <w:i/>
          <w:iCs/>
        </w:rPr>
        <w:t xml:space="preserve"> </w:t>
      </w:r>
      <w:r>
        <w:rPr>
          <w:i/>
          <w:iCs/>
        </w:rPr>
        <w:t xml:space="preserve">builds cumulative stock</w:t>
      </w:r>
      <w:r>
        <w:rPr>
          <w:i/>
          <w:iCs/>
        </w:rPr>
        <w:t xml:space="preserve"> </w:t>
      </w:r>
      <m:oMath>
        <m:sSub>
          <m:e>
            <m:r>
              <m:t>M</m:t>
            </m:r>
          </m:e>
          <m:sub>
            <m:r>
              <m:t>g</m:t>
            </m:r>
          </m:sub>
        </m:sSub>
      </m:oMath>
      <w:r>
        <w:rPr>
          <w:i/>
          <w:iCs/>
        </w:rPr>
        <w:t xml:space="preserve">, which attracts cooperation partners and expands network degree</w:t>
      </w:r>
      <w:r>
        <w:rPr>
          <w:i/>
          <w:iCs/>
        </w:rPr>
        <w:t xml:space="preserve"> </w:t>
      </w:r>
      <m:oMath>
        <m:r>
          <m:t>k</m:t>
        </m:r>
        <m:r>
          <m:rPr>
            <m:sty m:val="p"/>
          </m:rPr>
          <m:t>(</m:t>
        </m:r>
        <m:sSub>
          <m:e>
            <m:r>
              <m:t>M</m:t>
            </m:r>
          </m:e>
          <m:sub>
            <m:r>
              <m:t>g</m:t>
            </m:r>
          </m:sub>
        </m:sSub>
        <m:r>
          <m:rPr>
            <m:sty m:val="p"/>
          </m:rPr>
          <m:t>)</m:t>
        </m:r>
      </m:oMath>
      <w:r>
        <w:rPr>
          <w:i/>
          <w:iCs/>
        </w:rPr>
        <w:t xml:space="preserve">. Higher network degree reduces vulnerability</w:t>
      </w:r>
      <w:r>
        <w:rPr>
          <w:i/>
          <w:iCs/>
        </w:rPr>
        <w:t xml:space="preserve"> </w:t>
      </w:r>
      <m:oMath>
        <m:r>
          <m:t>α</m:t>
        </m:r>
        <m:r>
          <m:rPr>
            <m:sty m:val="p"/>
          </m:rPr>
          <m:t>(</m:t>
        </m:r>
        <m:r>
          <m:t>k</m:t>
        </m:r>
        <m:r>
          <m:rPr>
            <m:sty m:val="p"/>
          </m:rPr>
          <m:t>)</m:t>
        </m:r>
      </m:oMath>
      <w:r>
        <w:rPr>
          <w:i/>
          <w:iCs/>
        </w:rPr>
        <w:t xml:space="preserve">, raising the cooperation-network signaling component</w:t>
      </w:r>
      <w:r>
        <w:rPr>
          <w:i/>
          <w:iCs/>
        </w:rPr>
        <w:t xml:space="preserve"> </w:t>
      </w:r>
      <m:oMath>
        <m:sSub>
          <m:e>
            <m:r>
              <m:t>λ</m:t>
            </m:r>
          </m:e>
          <m:sub>
            <m:r>
              <m:t>X</m:t>
            </m:r>
          </m:sub>
        </m:sSub>
      </m:oMath>
      <w:r>
        <w:rPr>
          <w:i/>
          <w:iCs/>
        </w:rPr>
        <w:t xml:space="preserve">, which raises optimal investment</w:t>
      </w:r>
      <w:r>
        <w:rPr>
          <w:i/>
          <w:iCs/>
        </w:rPr>
        <w:t xml:space="preserve"> </w:t>
      </w:r>
      <m:oMath>
        <m:sSup>
          <m:e>
            <m:r>
              <m:t>x</m:t>
            </m:r>
          </m:e>
          <m:sup>
            <m:r>
              <m:rPr>
                <m:sty m:val="p"/>
              </m:rPr>
              <m:t>*</m:t>
            </m:r>
          </m:sup>
        </m:sSup>
        <m:r>
          <m:rPr>
            <m:sty m:val="p"/>
          </m:rPr>
          <m:t>(</m:t>
        </m:r>
        <m:r>
          <m:t>q</m:t>
        </m:r>
        <m:r>
          <m:rPr>
            <m:sty m:val="p"/>
          </m:rPr>
          <m:t>)</m:t>
        </m:r>
      </m:oMath>
      <w:r>
        <w:rPr>
          <w:i/>
          <w:iCs/>
        </w:rPr>
        <w:t xml:space="preserve">, completing the feedback. Resolved by fixed-point iteration.</w:t>
      </w:r>
    </w:p>
    <w:p>
      <w:pPr>
        <w:pStyle w:val="BodyText"/>
      </w:pPr>
      <w:r>
        <w:drawing>
          <wp:inline>
            <wp:extent cx="5943600" cy="3670712"/>
            <wp:effectExtent b="0" l="0" r="0" t="0"/>
            <wp:docPr descr="" title="" id="44" name="Picture"/>
            <a:graphic>
              <a:graphicData uri="http://schemas.openxmlformats.org/drawingml/2006/picture">
                <pic:pic>
                  <pic:nvPicPr>
                    <pic:cNvPr descr="../../figures/supplemental/figure_S05_predictions_summary.png" id="45" name="Picture"/>
                    <pic:cNvPicPr>
                      <a:picLocks noChangeArrowheads="1" noChangeAspect="1"/>
                    </pic:cNvPicPr>
                  </pic:nvPicPr>
                  <pic:blipFill>
                    <a:blip r:embed="rId43"/>
                    <a:stretch>
                      <a:fillRect/>
                    </a:stretch>
                  </pic:blipFill>
                  <pic:spPr bwMode="auto">
                    <a:xfrm>
                      <a:off x="0" y="0"/>
                      <a:ext cx="5943600" cy="3670712"/>
                    </a:xfrm>
                    <a:prstGeom prst="rect">
                      <a:avLst/>
                    </a:prstGeom>
                    <a:noFill/>
                    <a:ln w="9525">
                      <a:noFill/>
                      <a:headEnd/>
                      <a:tailEnd/>
                    </a:ln>
                  </pic:spPr>
                </pic:pic>
              </a:graphicData>
            </a:graphic>
          </wp:inline>
        </w:drawing>
      </w:r>
    </w:p>
    <w:p>
      <w:pPr>
        <w:pStyle w:val="BodyText"/>
      </w:pPr>
      <w:r>
        <w:rPr>
          <w:b/>
          <w:bCs/>
          <w:i/>
          <w:iCs/>
        </w:rPr>
        <w:t xml:space="preserve">Figure S5. Testable predictions summary.</w:t>
      </w:r>
      <w:r>
        <w:t xml:space="preserve"> </w:t>
      </w:r>
      <w:r>
        <w:rPr>
          <w:i/>
          <w:iCs/>
        </w:rPr>
        <w:t xml:space="preserve">Six-panel schematic illustrating the framework’s predictions across the categories enumerated in §S8. Top row: (left) temporal: pulsed construction tempo with episodes at the timescale of band turnover, not steady accumulation; (center) spatial: concentration at high-</w:t>
      </w:r>
      <m:oMath>
        <m:r>
          <m:t>ε</m:t>
        </m:r>
      </m:oMath>
      <w:r>
        <w:rPr>
          <w:i/>
          <w:iCs/>
        </w:rPr>
        <w:t xml:space="preserve"> </w:t>
      </w:r>
      <w:r>
        <w:rPr>
          <w:i/>
          <w:iCs/>
        </w:rPr>
        <w:t xml:space="preserve">confluence locations with above-threshold</w:t>
      </w:r>
      <w:r>
        <w:rPr>
          <w:i/>
          <w:iCs/>
        </w:rPr>
        <w:t xml:space="preserve"> </w:t>
      </w:r>
      <m:oMath>
        <m:r>
          <m:t>σ</m:t>
        </m:r>
      </m:oMath>
      <w:r>
        <w:rPr>
          <w:i/>
          <w:iCs/>
        </w:rPr>
        <w:t xml:space="preserve">, absence at low-</w:t>
      </w:r>
      <m:oMath>
        <m:r>
          <m:t>ε</m:t>
        </m:r>
      </m:oMath>
      <w:r>
        <w:rPr>
          <w:i/>
          <w:iCs/>
        </w:rPr>
        <w:t xml:space="preserve"> </w:t>
      </w:r>
      <w:r>
        <w:rPr>
          <w:i/>
          <w:iCs/>
        </w:rPr>
        <w:t xml:space="preserve">or below-threshold settings; (right) material: non-local geochemically traceable exotic goods accumulating at the gathering, with asymmetric flow into the site rather than reciprocal exchange. Bottom row: (left) demographic: population dynamics tied to threshold-crossing rather than continuous in environmental uncertainty; (center) network: cooperation-network density tracking with</w:t>
      </w:r>
      <w:r>
        <w:rPr>
          <w:i/>
          <w:iCs/>
        </w:rPr>
        <w:t xml:space="preserve"> </w:t>
      </w:r>
      <m:oMath>
        <m:sSub>
          <m:e>
            <m:r>
              <m:t>σ</m:t>
            </m:r>
          </m:e>
          <m:sub>
            <m:r>
              <m:t>e</m:t>
            </m:r>
            <m:r>
              <m:t>f</m:t>
            </m:r>
            <m:r>
              <m:t>f</m:t>
            </m:r>
          </m:sub>
        </m:sSub>
      </m:oMath>
      <w:r>
        <w:rPr>
          <w:i/>
          <w:iCs/>
        </w:rPr>
        <w:t xml:space="preserve"> </w:t>
      </w:r>
      <w:r>
        <w:rPr>
          <w:i/>
          <w:iCs/>
        </w:rPr>
        <w:t xml:space="preserve">at the gathering site; (right) cross-cultural: signaling threshold present at adjacent eastern Archaic monument-builders (Stallings, Green River, Mulberry Creek) where local</w:t>
      </w:r>
      <w:r>
        <w:rPr>
          <w:i/>
          <w:iCs/>
        </w:rPr>
        <w:t xml:space="preserve"> </w:t>
      </w:r>
      <m:oMath>
        <m:r>
          <m:t>ε</m:t>
        </m:r>
      </m:oMath>
      <w:r>
        <w:rPr>
          <w:i/>
          <w:iCs/>
        </w:rPr>
        <w:t xml:space="preserve"> </w:t>
      </w:r>
      <w:r>
        <w:rPr>
          <w:i/>
          <w:iCs/>
        </w:rPr>
        <w:t xml:space="preserve">and</w:t>
      </w:r>
      <w:r>
        <w:rPr>
          <w:i/>
          <w:iCs/>
        </w:rPr>
        <w:t xml:space="preserve"> </w:t>
      </w:r>
      <m:oMath>
        <m:r>
          <m:t>σ</m:t>
        </m:r>
      </m:oMath>
      <w:r>
        <w:rPr>
          <w:i/>
          <w:iCs/>
        </w:rPr>
        <w:t xml:space="preserve"> </w:t>
      </w:r>
      <w:r>
        <w:rPr>
          <w:i/>
          <w:iCs/>
        </w:rPr>
        <w:t xml:space="preserve">exceed the framework’s bounds, absent in western Archaic settings where prairie dominance reduces ecotone integration.</w:t>
      </w:r>
    </w:p>
    <w:p>
      <w:r>
        <w:pict>
          <v:rect style="width:0;height:1.5pt" o:hralign="center" o:hrstd="t" o:hr="t"/>
        </w:pict>
      </w:r>
    </w:p>
    <w:bookmarkEnd w:id="46"/>
    <w:bookmarkStart w:id="57" w:name="X465b2bbca3bb02ad49f290e18c81cf7849187fc"/>
    <w:p>
      <w:pPr>
        <w:pStyle w:val="Heading2"/>
      </w:pPr>
      <w:r>
        <w:t xml:space="preserve">S5. Priority extensions to the framework structure</w:t>
      </w:r>
    </w:p>
    <w:p>
      <w:pPr>
        <w:pStyle w:val="FirstParagraph"/>
      </w:pPr>
      <w:r>
        <w:t xml:space="preserve">This section reports two unnumbered structural-architecture extensions: a near-threshold parameter sweep of the signaling apparatus (§S5.1), and a restructured network-saturation function that lets the cooperation-network component remain non-trivial at equilibrium (§S5.2). The six numbered empirical extensions (regime-switching, per-event labor scaling, regional spatially-explicit ABM, water-route catchment, predicted scale ratios, seasonally resolved ABM) appear together in §S17 below.</w:t>
      </w:r>
    </w:p>
    <w:bookmarkStart w:id="47" w:name="Xb5a80c2d0d6139fd84ef3217cd827b9f26329e4"/>
    <w:p>
      <w:pPr>
        <w:pStyle w:val="Heading3"/>
      </w:pPr>
      <w:r>
        <w:t xml:space="preserve">S5.1 Near-threshold parameter sweep of the full signaling apparatus</w:t>
      </w:r>
    </w:p>
    <w:p>
      <w:pPr>
        <w:pStyle w:val="FirstParagraph"/>
      </w:pPr>
      <w:r>
        <w:t xml:space="preserve">The full signaling apparatus is implemented in main §2.2 (signal-conditional partner formation, tie-strength-weighted shortfall help, direct</w:t>
      </w:r>
      <w:r>
        <w:t xml:space="preserve"> </w:t>
      </w:r>
      <m:oMath>
        <m:sSub>
          <m:e>
            <m:r>
              <m:t>σ</m:t>
            </m:r>
          </m:e>
          <m:sub>
            <m:r>
              <m:t>e</m:t>
            </m:r>
            <m:r>
              <m:t>f</m:t>
            </m:r>
            <m:r>
              <m:t>f</m:t>
            </m:r>
          </m:sub>
        </m:sSub>
      </m:oMath>
      <w:r>
        <w:t xml:space="preserve"> </w:t>
      </w:r>
      <w:r>
        <w:t xml:space="preserve">coupling). We test whether removing the apparatus produces measurable threshold shifts in parameter regimes near</w:t>
      </w:r>
      <w:r>
        <w:t xml:space="preserve"> </w:t>
      </w:r>
      <m:oMath>
        <m:sSup>
          <m:e>
            <m:r>
              <m:t>σ</m:t>
            </m:r>
          </m:e>
          <m:sup>
            <m:r>
              <m:rPr>
                <m:sty m:val="p"/>
              </m:rPr>
              <m:t>*</m:t>
            </m:r>
          </m:sup>
        </m:sSup>
      </m:oMath>
      <w:r>
        <w:t xml:space="preserve">, where small fitness differentials matter most.</w:t>
      </w:r>
    </w:p>
    <w:p>
      <w:pPr>
        <w:pStyle w:val="BodyText"/>
      </w:pPr>
      <w:r>
        <w:t xml:space="preserve">In plain terms: removing the signaling apparatus does two things to the analytical equilibrium. It raises the uncertainty threshold needed to make aggregation adaptive (from</w:t>
      </w:r>
      <w:r>
        <w:t xml:space="preserve"> </w:t>
      </w:r>
      <m:oMath>
        <m:r>
          <m:t>σ</m:t>
        </m:r>
        <m:r>
          <m:rPr>
            <m:sty m:val="p"/>
          </m:rPr>
          <m:t>≈</m:t>
        </m:r>
        <m:r>
          <m:t>0.40</m:t>
        </m:r>
      </m:oMath>
      <w:r>
        <w:t xml:space="preserve"> </w:t>
      </w:r>
      <w:r>
        <w:t xml:space="preserve">to</w:t>
      </w:r>
      <w:r>
        <w:t xml:space="preserve"> </w:t>
      </w:r>
      <m:oMath>
        <m:r>
          <m:t>σ</m:t>
        </m:r>
        <m:r>
          <m:rPr>
            <m:sty m:val="p"/>
          </m:rPr>
          <m:t>≈</m:t>
        </m:r>
        <m:r>
          <m:t>0.54</m:t>
        </m:r>
      </m:oMath>
      <w:r>
        <w:t xml:space="preserve">), and it shrinks how much monument stock eventually accumulates by an order of magnitude. A</w:t>
      </w:r>
      <w:r>
        <w:t xml:space="preserve"> </w:t>
      </w:r>
      <m:oMath>
        <m:r>
          <m:t>σ</m:t>
        </m:r>
      </m:oMath>
      <w:r>
        <w:t xml:space="preserve"> </w:t>
      </w:r>
      <w:r>
        <w:t xml:space="preserve">sweep across</w:t>
      </w:r>
      <w:r>
        <w:t xml:space="preserve"> </w:t>
      </w:r>
      <m:oMath>
        <m:r>
          <m:rPr>
            <m:sty m:val="p"/>
          </m:rPr>
          <m:t>[</m:t>
        </m:r>
        <m:r>
          <m:t>0.30</m:t>
        </m:r>
        <m:r>
          <m:rPr>
            <m:sty m:val="p"/>
          </m:rPr>
          <m:t>,</m:t>
        </m:r>
        <m:r>
          <m:t>0.65</m:t>
        </m:r>
        <m:r>
          <m:rPr>
            <m:sty m:val="p"/>
          </m:rPr>
          <m:t>]</m:t>
        </m:r>
      </m:oMath>
      <w:r>
        <w:t xml:space="preserve"> </w:t>
      </w:r>
      <w:r>
        <w:t xml:space="preserve">at PP-equivalent parameters (</w:t>
      </w:r>
      <m:oMath>
        <m:r>
          <m:t>ε</m:t>
        </m:r>
        <m:r>
          <m:rPr>
            <m:sty m:val="p"/>
          </m:rPr>
          <m:t>=</m:t>
        </m:r>
        <m:r>
          <m:t>0.35</m:t>
        </m:r>
      </m:oMath>
      <w:r>
        <w:t xml:space="preserve">,</w:t>
      </w:r>
      <w:r>
        <w:t xml:space="preserve"> </w:t>
      </w:r>
      <m:oMath>
        <m:sSub>
          <m:e>
            <m:r>
              <m:t>n</m:t>
            </m:r>
          </m:e>
          <m:sub>
            <m:r>
              <m:t>a</m:t>
            </m:r>
            <m:r>
              <m:t>g</m:t>
            </m:r>
            <m:r>
              <m:t>g</m:t>
            </m:r>
          </m:sub>
        </m:sSub>
        <m:r>
          <m:rPr>
            <m:sty m:val="p"/>
          </m:rPr>
          <m:t>=</m:t>
        </m:r>
        <m:r>
          <m:t>25</m:t>
        </m:r>
      </m:oMath>
      <w:r>
        <w:t xml:space="preserve">) compares the analytical equilibrium under signal-conditional (</w:t>
      </w:r>
      <m:oMath>
        <m:sSub>
          <m:e>
            <m:r>
              <m:t>λ</m:t>
            </m:r>
          </m:e>
          <m:sub>
            <m:r>
              <m:t>W</m:t>
            </m:r>
          </m:sub>
        </m:sSub>
        <m:r>
          <m:rPr>
            <m:sty m:val="p"/>
          </m:rPr>
          <m:t>=</m:t>
        </m:r>
        <m:r>
          <m:t>0.15</m:t>
        </m:r>
      </m:oMath>
      <w:r>
        <w:t xml:space="preserve">) and signal-blind (</w:t>
      </w:r>
      <m:oMath>
        <m:sSub>
          <m:e>
            <m:r>
              <m:t>λ</m:t>
            </m:r>
          </m:e>
          <m:sub>
            <m:r>
              <m:t>W</m:t>
            </m:r>
          </m:sub>
        </m:sSub>
        <m:r>
          <m:rPr>
            <m:sty m:val="p"/>
          </m:rPr>
          <m:t>=</m:t>
        </m:r>
        <m:r>
          <m:t>0</m:t>
        </m:r>
      </m:oMath>
      <w:r>
        <w:t xml:space="preserve">) parameterizations. Results: signal-conditional gives</w:t>
      </w:r>
      <w:r>
        <w:t xml:space="preserve"> </w:t>
      </w:r>
      <m:oMath>
        <m:sSubSup>
          <m:e>
            <m:r>
              <m:t>σ</m:t>
            </m:r>
          </m:e>
          <m:sub>
            <m:r>
              <m:rPr>
                <m:nor/>
                <m:sty m:val="p"/>
              </m:rPr>
              <m:t>signal</m:t>
            </m:r>
          </m:sub>
          <m:sup>
            <m:r>
              <m:rPr>
                <m:sty m:val="p"/>
              </m:rPr>
              <m:t>*</m:t>
            </m:r>
          </m:sup>
        </m:sSubSup>
        <m:r>
          <m:rPr>
            <m:sty m:val="p"/>
          </m:rPr>
          <m:t>=</m:t>
        </m:r>
        <m:r>
          <m:t>0.400</m:t>
        </m:r>
      </m:oMath>
      <w:r>
        <w:t xml:space="preserve"> </w:t>
      </w:r>
      <w:r>
        <w:t xml:space="preserve">and equilibrium</w:t>
      </w:r>
      <w:r>
        <w:t xml:space="preserve"> </w:t>
      </w:r>
      <m:oMath>
        <m:sSub>
          <m:e>
            <m:r>
              <m:t>M</m:t>
            </m:r>
          </m:e>
          <m:sub>
            <m:r>
              <m:t>g</m:t>
            </m:r>
          </m:sub>
        </m:sSub>
        <m:r>
          <m:rPr>
            <m:sty m:val="p"/>
          </m:rPr>
          <m:t>=</m:t>
        </m:r>
        <m:r>
          <m:t>129.78</m:t>
        </m:r>
      </m:oMath>
      <w:r>
        <w:t xml:space="preserve">. Signal-blind gives</w:t>
      </w:r>
      <w:r>
        <w:t xml:space="preserve"> </w:t>
      </w:r>
      <m:oMath>
        <m:sSubSup>
          <m:e>
            <m:r>
              <m:t>σ</m:t>
            </m:r>
          </m:e>
          <m:sub>
            <m:r>
              <m:rPr>
                <m:nor/>
                <m:sty m:val="p"/>
              </m:rPr>
              <m:t>blind</m:t>
            </m:r>
          </m:sub>
          <m:sup>
            <m:r>
              <m:rPr>
                <m:sty m:val="p"/>
              </m:rPr>
              <m:t>*</m:t>
            </m:r>
          </m:sup>
        </m:sSubSup>
        <m:r>
          <m:rPr>
            <m:sty m:val="p"/>
          </m:rPr>
          <m:t>=</m:t>
        </m:r>
        <m:r>
          <m:t>0.543</m:t>
        </m:r>
      </m:oMath>
      <w:r>
        <w:t xml:space="preserve"> </w:t>
      </w:r>
      <w:r>
        <w:t xml:space="preserve">and equilibrium</w:t>
      </w:r>
      <w:r>
        <w:t xml:space="preserve"> </w:t>
      </w:r>
      <m:oMath>
        <m:sSub>
          <m:e>
            <m:r>
              <m:t>M</m:t>
            </m:r>
          </m:e>
          <m:sub>
            <m:r>
              <m:t>g</m:t>
            </m:r>
          </m:sub>
        </m:sSub>
        <m:r>
          <m:rPr>
            <m:sty m:val="p"/>
          </m:rPr>
          <m:t>=</m:t>
        </m:r>
        <m:r>
          <m:t>11.83</m:t>
        </m:r>
      </m:oMath>
      <w:r>
        <w:t xml:space="preserve"> </w:t>
      </w:r>
      <w:r>
        <w:t xml:space="preserve">(an 11</w:t>
      </w:r>
      <m:oMath>
        <m:r>
          <m:rPr>
            <m:sty m:val="p"/>
          </m:rPr>
          <m:t>×</m:t>
        </m:r>
      </m:oMath>
      <w:r>
        <w:t xml:space="preserve"> </w:t>
      </w:r>
      <w:r>
        <w:t xml:space="preserve">reduction in attainable monument stock).</w:t>
      </w:r>
    </w:p>
    <w:p>
      <w:pPr>
        <w:pStyle w:val="BodyText"/>
      </w:pPr>
      <w:r>
        <w:t xml:space="preserve">Six</w:t>
      </w:r>
      <w:r>
        <w:t xml:space="preserve"> </w:t>
      </w:r>
      <m:oMath>
        <m:r>
          <m:t>σ</m:t>
        </m:r>
      </m:oMath>
      <w:r>
        <w:t xml:space="preserve"> </w:t>
      </w:r>
      <w:r>
        <w:t xml:space="preserve">values in the sweep range</w:t>
      </w:r>
      <w:r>
        <w:t xml:space="preserve"> </w:t>
      </w:r>
      <m:oMath>
        <m:r>
          <m:rPr>
            <m:sty m:val="p"/>
          </m:rPr>
          <m:t>[</m:t>
        </m:r>
        <m:r>
          <m:t>0.40</m:t>
        </m:r>
        <m:r>
          <m:rPr>
            <m:sty m:val="p"/>
          </m:rPr>
          <m:t>,</m:t>
        </m:r>
        <m:r>
          <m:t>0.525</m:t>
        </m:r>
        <m:r>
          <m:rPr>
            <m:sty m:val="p"/>
          </m:rPr>
          <m:t>]</m:t>
        </m:r>
      </m:oMath>
      <w:r>
        <w:t xml:space="preserve"> </w:t>
      </w:r>
      <w:r>
        <w:t xml:space="preserve">flip regime classification across the ablation: with signaling, those</w:t>
      </w:r>
      <w:r>
        <w:t xml:space="preserve"> </w:t>
      </w:r>
      <m:oMath>
        <m:r>
          <m:t>σ</m:t>
        </m:r>
      </m:oMath>
      <w:r>
        <w:t xml:space="preserve"> </w:t>
      </w:r>
      <w:r>
        <w:t xml:space="preserve">values are above threshold (aggregation adaptive). Without, they are below threshold (independent foraging adaptive). At</w:t>
      </w:r>
      <w:r>
        <w:t xml:space="preserve"> </w:t>
      </w:r>
      <m:oMath>
        <m:r>
          <m:t>σ</m:t>
        </m:r>
        <m:r>
          <m:rPr>
            <m:sty m:val="p"/>
          </m:rPr>
          <m:t>=</m:t>
        </m:r>
        <m:r>
          <m:t>0.64</m:t>
        </m:r>
      </m:oMath>
      <w:r>
        <w:t xml:space="preserve"> </w:t>
      </w:r>
      <w:r>
        <w:t xml:space="preserve">(PP-equivalent), both are above their respective thresholds and the equilibrium</w:t>
      </w:r>
      <w:r>
        <w:t xml:space="preserve"> </w:t>
      </w:r>
      <m:oMath>
        <m:sSub>
          <m:e>
            <m:r>
              <m:t>M</m:t>
            </m:r>
          </m:e>
          <m:sub>
            <m:r>
              <m:t>g</m:t>
            </m:r>
          </m:sub>
        </m:sSub>
      </m:oMath>
      <w:r>
        <w:t xml:space="preserve"> </w:t>
      </w:r>
      <w:r>
        <w:t xml:space="preserve">comparison is between the same 129.78 vs 11.83 (signaling produces 11</w:t>
      </w:r>
      <m:oMath>
        <m:r>
          <m:rPr>
            <m:sty m:val="p"/>
          </m:rPr>
          <m:t>×</m:t>
        </m:r>
      </m:oMath>
      <w:r>
        <w:t xml:space="preserve"> </w:t>
      </w:r>
      <w:r>
        <w:t xml:space="preserve">more equilibrium monument). The equilibrium difference is therefore not a function of</w:t>
      </w:r>
      <w:r>
        <w:t xml:space="preserve"> </w:t>
      </w:r>
      <m:oMath>
        <m:r>
          <m:t>σ</m:t>
        </m:r>
      </m:oMath>
      <w:r>
        <w:t xml:space="preserve"> </w:t>
      </w:r>
      <w:r>
        <w:t xml:space="preserve">but of whether the apparatus is engaged at all.</w:t>
      </w:r>
    </w:p>
    <w:p>
      <w:pPr>
        <w:pStyle w:val="BodyText"/>
      </w:pPr>
      <w:r>
        <w:t xml:space="preserve">The substantive point: the signaling apparatus expands the parameter region in which aggregation is adaptive by widening the threshold by 0.143 in</w:t>
      </w:r>
      <w:r>
        <w:t xml:space="preserve"> </w:t>
      </w:r>
      <m:oMath>
        <m:r>
          <m:t>σ</m:t>
        </m:r>
      </m:oMath>
      <w:r>
        <w:t xml:space="preserve"> </w:t>
      </w:r>
      <w:r>
        <w:t xml:space="preserve">space, and amplifies the equilibrium monument stock 11</w:t>
      </w:r>
      <m:oMath>
        <m:r>
          <m:rPr>
            <m:sty m:val="p"/>
          </m:rPr>
          <m:t>×</m:t>
        </m:r>
      </m:oMath>
      <w:r>
        <w:t xml:space="preserve"> </w:t>
      </w:r>
      <w:r>
        <w:t xml:space="preserve">when present. Sites at</w:t>
      </w:r>
      <w:r>
        <w:t xml:space="preserve"> </w:t>
      </w:r>
      <m:oMath>
        <m:r>
          <m:t>σ</m:t>
        </m:r>
        <m:r>
          <m:rPr>
            <m:sty m:val="p"/>
          </m:rPr>
          <m:t>≈</m:t>
        </m:r>
        <m:r>
          <m:t>0.56</m:t>
        </m:r>
      </m:oMath>
      <w:r>
        <w:t xml:space="preserve">,</w:t>
      </w:r>
      <w:r>
        <w:t xml:space="preserve"> </w:t>
      </w:r>
      <m:oMath>
        <m:r>
          <m:t>ε</m:t>
        </m:r>
        <m:r>
          <m:rPr>
            <m:sty m:val="p"/>
          </m:rPr>
          <m:t>≈</m:t>
        </m:r>
        <m:r>
          <m:t>0.43</m:t>
        </m:r>
      </m:oMath>
      <w:r>
        <w:t xml:space="preserve"> </w:t>
      </w:r>
      <w:r>
        <w:t xml:space="preserve">(mid-Holocene LMV-equivalent) are in the 0.40-0.55 flip zone: with the apparatus, they are above threshold. Without it, they sit just at or below. This converts the main §4.3 within-model consistency check (signaling lowers threshold) into a near-threshold prediction (signaling matters for whether aggregation occurs in the small-</w:t>
      </w:r>
      <m:oMath>
        <m:r>
          <m:rPr>
            <m:sty m:val="p"/>
          </m:rPr>
          <m:t>(</m:t>
        </m:r>
        <m:r>
          <m:t>σ</m:t>
        </m:r>
        <m:r>
          <m:rPr>
            <m:sty m:val="p"/>
          </m:rPr>
          <m:t>−</m:t>
        </m:r>
        <m:sSup>
          <m:e>
            <m:r>
              <m:t>σ</m:t>
            </m:r>
          </m:e>
          <m:sup>
            <m:r>
              <m:rPr>
                <m:sty m:val="p"/>
              </m:rPr>
              <m:t>*</m:t>
            </m:r>
          </m:sup>
        </m:sSup>
        <m:r>
          <m:rPr>
            <m:sty m:val="p"/>
          </m:rPr>
          <m:t>)</m:t>
        </m:r>
      </m:oMath>
      <w:r>
        <w:t xml:space="preserve"> </w:t>
      </w:r>
      <w:r>
        <w:t xml:space="preserve">margin range, not just for whether more monument accumulates above threshold).</w:t>
      </w:r>
    </w:p>
    <w:p>
      <w:pPr>
        <w:pStyle w:val="BodyText"/>
      </w:pPr>
      <w:r>
        <w:t xml:space="preserve">Reproducible from</w:t>
      </w:r>
      <w:r>
        <w:t xml:space="preserve"> </w:t>
      </w:r>
      <w:r>
        <w:rPr>
          <w:rStyle w:val="VerbatimChar"/>
        </w:rPr>
        <w:t xml:space="preserve">scripts/analysis/near_threshold_ablation.py</w:t>
      </w:r>
      <w:r>
        <w:t xml:space="preserve">, with outputs in</w:t>
      </w:r>
      <w:r>
        <w:t xml:space="preserve"> </w:t>
      </w:r>
      <w:r>
        <w:rPr>
          <w:rStyle w:val="VerbatimChar"/>
        </w:rPr>
        <w:t xml:space="preserve">results/sensitivity/near_threshold_ablation.json</w:t>
      </w:r>
      <w:r>
        <w:t xml:space="preserve">. The full ABM-level near-threshold sweep (with stochastic regime flipping rather than analytical equilibrium) remains as future work.</w:t>
      </w:r>
    </w:p>
    <w:bookmarkEnd w:id="47"/>
    <w:bookmarkStart w:id="48" w:name="X8d309c750d29232fd401609fae8e37de683ad6a"/>
    <w:p>
      <w:pPr>
        <w:pStyle w:val="Heading3"/>
      </w:pPr>
      <w:r>
        <w:t xml:space="preserve">S5.2 Restructured network-saturation function</w:t>
      </w:r>
    </w:p>
    <w:p>
      <w:pPr>
        <w:pStyle w:val="FirstParagraph"/>
      </w:pPr>
      <w:r>
        <w:t xml:space="preserve">In plain terms: the original</w:t>
      </w:r>
      <w:r>
        <w:t xml:space="preserve"> </w:t>
      </w:r>
      <m:oMath>
        <m:sSub>
          <m:e>
            <m:r>
              <m:t>λ</m:t>
            </m:r>
          </m:e>
          <m:sub>
            <m:r>
              <m:t>X</m:t>
            </m:r>
          </m:sub>
        </m:sSub>
      </m:oMath>
      <w:r>
        <w:t xml:space="preserve"> </w:t>
      </w:r>
      <w:r>
        <w:t xml:space="preserve">is a</w:t>
      </w:r>
      <w:r>
        <w:t xml:space="preserve"> </w:t>
      </w:r>
      <w:r>
        <w:rPr>
          <w:i/>
          <w:iCs/>
        </w:rPr>
        <w:t xml:space="preserve">marginal-benefit</w:t>
      </w:r>
      <w:r>
        <w:t xml:space="preserve"> </w:t>
      </w:r>
      <w:r>
        <w:t xml:space="preserve">term, measuring the</w:t>
      </w:r>
      <w:r>
        <w:t xml:space="preserve"> </w:t>
      </w:r>
      <w:r>
        <w:rPr>
          <w:i/>
          <w:iCs/>
        </w:rPr>
        <w:t xml:space="preserve">additional</w:t>
      </w:r>
      <w:r>
        <w:t xml:space="preserve"> </w:t>
      </w:r>
      <w:r>
        <w:t xml:space="preserve">network value from one more unit of monument. This goes to zero as the network saturates because adding one more partner contributes diminishingly to a band that already has many. The restructured form keeps the marginal piece and adds a second term proportional to the</w:t>
      </w:r>
      <w:r>
        <w:t xml:space="preserve"> </w:t>
      </w:r>
      <w:r>
        <w:rPr>
          <w:i/>
          <w:iCs/>
        </w:rPr>
        <w:t xml:space="preserve">total</w:t>
      </w:r>
      <w:r>
        <w:t xml:space="preserve"> </w:t>
      </w:r>
      <w:r>
        <w:t xml:space="preserve">network-value-times-monument-quality, which remains non-trivial at equilibrium. The partial-derivative notation</w:t>
      </w:r>
      <w:r>
        <w:t xml:space="preserve"> </w:t>
      </w:r>
      <m:oMath>
        <m:r>
          <m:rPr>
            <m:sty m:val="p"/>
          </m:rPr>
          <m:t>(</m:t>
        </m:r>
        <m:r>
          <m:rPr>
            <m:sty m:val="p"/>
          </m:rPr>
          <m:t>∂</m:t>
        </m:r>
        <m:r>
          <m:t>k</m:t>
        </m:r>
        <m:r>
          <m:rPr>
            <m:sty m:val="p"/>
          </m:rPr>
          <m:t>/</m:t>
        </m:r>
        <m:r>
          <m:rPr>
            <m:sty m:val="p"/>
          </m:rPr>
          <m:t>∂</m:t>
        </m:r>
        <m:sSub>
          <m:e>
            <m:r>
              <m:t>M</m:t>
            </m:r>
          </m:e>
          <m:sub>
            <m:r>
              <m:t>g</m:t>
            </m:r>
          </m:sub>
        </m:sSub>
        <m:r>
          <m:rPr>
            <m:sty m:val="p"/>
          </m:rPr>
          <m:t>)</m:t>
        </m:r>
      </m:oMath>
      <w:r>
        <w:t xml:space="preserve"> </w:t>
      </w:r>
      <w:r>
        <w:t xml:space="preserve">can be read informally as</w:t>
      </w:r>
      <w:r>
        <w:t xml:space="preserve"> </w:t>
      </w:r>
      <w:r>
        <w:t xml:space="preserve">“rate of change of</w:t>
      </w:r>
      <w:r>
        <w:t xml:space="preserve"> </w:t>
      </w:r>
      <m:oMath>
        <m:r>
          <m:t>k</m:t>
        </m:r>
      </m:oMath>
      <w:r>
        <w:t xml:space="preserve"> </w:t>
      </w:r>
      <w:r>
        <w:t xml:space="preserve">with</w:t>
      </w:r>
      <w:r>
        <w:t xml:space="preserve"> </w:t>
      </w:r>
      <m:oMath>
        <m:sSub>
          <m:e>
            <m:r>
              <m:t>M</m:t>
            </m:r>
          </m:e>
          <m:sub>
            <m:r>
              <m:t>g</m:t>
            </m:r>
          </m:sub>
        </m:sSub>
      </m:oMath>
      <w:r>
        <w:t xml:space="preserve">.”</w:t>
      </w:r>
      <w:r>
        <w:t xml:space="preserve"> </w:t>
      </w:r>
      <w:r>
        <w:t xml:space="preserve">Formally, at the original parameterization</w:t>
      </w:r>
      <w:r>
        <w:t xml:space="preserve"> </w:t>
      </w:r>
      <m:oMath>
        <m:sSub>
          <m:e>
            <m:r>
              <m:t>λ</m:t>
            </m:r>
          </m:e>
          <m:sub>
            <m:r>
              <m:t>C</m:t>
            </m:r>
          </m:sub>
        </m:sSub>
      </m:oMath>
      <w:r>
        <w:t xml:space="preserve"> </w:t>
      </w:r>
      <w:r>
        <w:t xml:space="preserve">and</w:t>
      </w:r>
      <w:r>
        <w:t xml:space="preserve"> </w:t>
      </w:r>
      <m:oMath>
        <m:sSub>
          <m:e>
            <m:r>
              <m:t>λ</m:t>
            </m:r>
          </m:e>
          <m:sub>
            <m:r>
              <m:t>X</m:t>
            </m:r>
          </m:sub>
        </m:sSub>
      </m:oMath>
      <w:r>
        <w:t xml:space="preserve"> </w:t>
      </w:r>
      <w:r>
        <w:t xml:space="preserve">collapse to near-zero at equilibrium (saturation of</w:t>
      </w:r>
      <w:r>
        <w:t xml:space="preserve"> </w:t>
      </w:r>
      <m:oMath>
        <m:r>
          <m:t>k</m:t>
        </m:r>
        <m:r>
          <m:rPr>
            <m:sty m:val="p"/>
          </m:rPr>
          <m:t>(</m:t>
        </m:r>
        <m:sSub>
          <m:e>
            <m:r>
              <m:t>M</m:t>
            </m:r>
          </m:e>
          <m:sub>
            <m:r>
              <m:t>g</m:t>
            </m:r>
          </m:sub>
        </m:sSub>
        <m:r>
          <m:rPr>
            <m:sty m:val="p"/>
          </m:rPr>
          <m:t>)</m:t>
        </m:r>
      </m:oMath>
      <w:r>
        <w:t xml:space="preserve"> </w:t>
      </w:r>
      <w:r>
        <w:t xml:space="preserve">at large</w:t>
      </w:r>
      <w:r>
        <w:t xml:space="preserve"> </w:t>
      </w:r>
      <m:oMath>
        <m:sSub>
          <m:e>
            <m:r>
              <m:t>M</m:t>
            </m:r>
          </m:e>
          <m:sub>
            <m:r>
              <m:t>g</m:t>
            </m:r>
          </m:sub>
        </m:sSub>
      </m:oMath>
      <w:r>
        <w:t xml:space="preserve"> </w:t>
      </w:r>
      <w:r>
        <w:t xml:space="preserve">makes their marginal contributions vanish), so the signaling-vs-cooperation ablation reduces to the effect of removing</w:t>
      </w:r>
      <w:r>
        <w:t xml:space="preserve"> </w:t>
      </w:r>
      <m:oMath>
        <m:sSub>
          <m:e>
            <m:r>
              <m:t>λ</m:t>
            </m:r>
          </m:e>
          <m:sub>
            <m:r>
              <m:t>W</m:t>
            </m:r>
          </m:sub>
        </m:sSub>
      </m:oMath>
      <w:r>
        <w:t xml:space="preserve"> </w:t>
      </w:r>
      <w:r>
        <w:t xml:space="preserve">alone. We add a non-marginal</w:t>
      </w:r>
      <w:r>
        <w:t xml:space="preserve"> </w:t>
      </w:r>
      <w:r>
        <w:t xml:space="preserve">“network-density value”</w:t>
      </w:r>
      <w:r>
        <w:t xml:space="preserve"> </w:t>
      </w:r>
      <w:r>
        <w:t xml:space="preserve">term to</w:t>
      </w:r>
      <w:r>
        <w:t xml:space="preserve"> </w:t>
      </w:r>
      <m:oMath>
        <m:sSub>
          <m:e>
            <m:r>
              <m:t>λ</m:t>
            </m:r>
          </m:e>
          <m:sub>
            <m:r>
              <m:t>X</m:t>
            </m:r>
          </m:sub>
        </m:sSub>
      </m:oMath>
      <w:r>
        <w:t xml:space="preserve"> </w:t>
      </w:r>
      <w:r>
        <w:t xml:space="preserve">proportional to the equilibrium survival benefit, weighted by a parameter</w:t>
      </w:r>
      <w:r>
        <w:t xml:space="preserve"> </w:t>
      </w:r>
      <m:oMath>
        <m:sSub>
          <m:e>
            <m:r>
              <m:t>ξ</m:t>
            </m:r>
          </m:e>
          <m:sub>
            <m:r>
              <m:t>X</m:t>
            </m:r>
          </m:sub>
        </m:sSub>
      </m:oMath>
      <w:r>
        <w:t xml:space="preserve"> </w:t>
      </w:r>
      <w:r>
        <w:t xml:space="preserve">and a saturating monument-quality multiplier</w:t>
      </w:r>
      <w:r>
        <w:t xml:space="preserve"> </w:t>
      </w:r>
      <m:oMath>
        <m:r>
          <m:t>Q</m:t>
        </m:r>
        <m:r>
          <m:rPr>
            <m:sty m:val="p"/>
          </m:rPr>
          <m:t>(</m:t>
        </m:r>
        <m:sSub>
          <m:e>
            <m:r>
              <m:t>M</m:t>
            </m:r>
          </m:e>
          <m:sub>
            <m:r>
              <m:t>g</m:t>
            </m:r>
          </m:sub>
        </m:sSub>
        <m:r>
          <m:rPr>
            <m:sty m:val="p"/>
          </m:rPr>
          <m:t>)</m:t>
        </m:r>
        <m:r>
          <m:rPr>
            <m:sty m:val="p"/>
          </m:rPr>
          <m:t>=</m:t>
        </m:r>
        <m:sSub>
          <m:e>
            <m:r>
              <m:t>M</m:t>
            </m:r>
          </m:e>
          <m:sub>
            <m:r>
              <m:t>g</m:t>
            </m:r>
          </m:sub>
        </m:sSub>
        <m:r>
          <m:rPr>
            <m:sty m:val="p"/>
          </m:rPr>
          <m:t>/</m:t>
        </m:r>
        <m:r>
          <m:rPr>
            <m:sty m:val="p"/>
          </m:rPr>
          <m:t>(</m:t>
        </m:r>
        <m:sSub>
          <m:e>
            <m:r>
              <m:t>M</m:t>
            </m:r>
          </m:e>
          <m:sub>
            <m:r>
              <m:t>g</m:t>
            </m:r>
          </m:sub>
        </m:sSub>
        <m:r>
          <m:rPr>
            <m:sty m:val="p"/>
          </m:rPr>
          <m:t>+</m:t>
        </m:r>
        <m:sSub>
          <m:e>
            <m:r>
              <m:t>M</m:t>
            </m:r>
          </m:e>
          <m:sub>
            <m:r>
              <m:t>q</m:t>
            </m:r>
            <m:r>
              <m:t>u</m:t>
            </m:r>
            <m:r>
              <m:t>a</m:t>
            </m:r>
            <m:r>
              <m:t>l</m:t>
            </m:r>
            <m:r>
              <m:t>i</m:t>
            </m:r>
            <m:r>
              <m:t>t</m:t>
            </m:r>
            <m:r>
              <m:t>y</m:t>
            </m:r>
          </m:sub>
        </m:sSub>
        <m:r>
          <m:rPr>
            <m:sty m:val="p"/>
          </m:rPr>
          <m:t>)</m:t>
        </m:r>
      </m:oMath>
      <w:r>
        <w:t xml:space="preserve"> </w:t>
      </w:r>
      <w:r>
        <w:t xml:space="preserve">with</w:t>
      </w:r>
      <w:r>
        <w:t xml:space="preserve"> </w:t>
      </w:r>
      <m:oMath>
        <m:sSub>
          <m:e>
            <m:r>
              <m:t>M</m:t>
            </m:r>
          </m:e>
          <m:sub>
            <m:r>
              <m:t>q</m:t>
            </m:r>
            <m:r>
              <m:t>u</m:t>
            </m:r>
            <m:r>
              <m:t>a</m:t>
            </m:r>
            <m:r>
              <m:t>l</m:t>
            </m:r>
            <m:r>
              <m:t>i</m:t>
            </m:r>
            <m:r>
              <m:t>t</m:t>
            </m:r>
            <m:r>
              <m:t>y</m:t>
            </m:r>
          </m:sub>
        </m:sSub>
        <m:r>
          <m:rPr>
            <m:sty m:val="p"/>
          </m:rPr>
          <m:t>=</m:t>
        </m:r>
        <m:r>
          <m:t>50</m:t>
        </m:r>
      </m:oMath>
      <w:r>
        <w:t xml:space="preserve">:</w:t>
      </w:r>
    </w:p>
    <w:p>
      <w:pPr>
        <w:pStyle w:val="BodyText"/>
      </w:pPr>
      <m:oMathPara>
        <m:oMathParaPr>
          <m:jc m:val="center"/>
        </m:oMathParaPr>
        <m:oMath>
          <m:sSub>
            <m:e>
              <m:r>
                <m:t>λ</m:t>
              </m:r>
            </m:e>
            <m:sub>
              <m:r>
                <m:t>X</m:t>
              </m:r>
            </m:sub>
          </m:sSub>
          <m:r>
            <m:rPr>
              <m:sty m:val="p"/>
            </m:rPr>
            <m:t>=</m:t>
          </m:r>
          <m:r>
            <m:rPr>
              <m:sty m:val="p"/>
            </m:rPr>
            <m:t>(</m:t>
          </m:r>
          <m:r>
            <m:rPr>
              <m:sty m:val="p"/>
            </m:rPr>
            <m:t>∂</m:t>
          </m:r>
          <m:r>
            <m:t>k</m:t>
          </m:r>
          <m:r>
            <m:rPr>
              <m:sty m:val="p"/>
            </m:rPr>
            <m:t>/</m:t>
          </m:r>
          <m:r>
            <m:rPr>
              <m:sty m:val="p"/>
            </m:rPr>
            <m:t>∂</m:t>
          </m:r>
          <m:sSub>
            <m:e>
              <m:r>
                <m:t>M</m:t>
              </m:r>
            </m:e>
            <m:sub>
              <m:r>
                <m:t>g</m:t>
              </m:r>
            </m:sub>
          </m:sSub>
          <m:r>
            <m:rPr>
              <m:sty m:val="p"/>
            </m:rPr>
            <m:t>)</m:t>
          </m:r>
          <m:r>
            <m:rPr>
              <m:sty m:val="p"/>
            </m:rPr>
            <m:t>(</m:t>
          </m:r>
          <m:r>
            <m:rPr>
              <m:sty m:val="p"/>
            </m:rPr>
            <m:t>∂</m:t>
          </m:r>
          <m:r>
            <m:t>S</m:t>
          </m:r>
          <m:r>
            <m:rPr>
              <m:sty m:val="p"/>
            </m:rPr>
            <m:t>/</m:t>
          </m:r>
          <m:r>
            <m:rPr>
              <m:sty m:val="p"/>
            </m:rPr>
            <m:t>∂</m:t>
          </m:r>
          <m:r>
            <m:t>k</m:t>
          </m:r>
          <m:r>
            <m:rPr>
              <m:sty m:val="p"/>
            </m:rPr>
            <m:t>)</m:t>
          </m:r>
          <m:r>
            <m:rPr>
              <m:sty m:val="p"/>
            </m:rPr>
            <m:t>+</m:t>
          </m:r>
          <m:sSub>
            <m:e>
              <m:r>
                <m:t>ξ</m:t>
              </m:r>
            </m:e>
            <m:sub>
              <m:r>
                <m:t>X</m:t>
              </m:r>
            </m:sub>
          </m:sSub>
          <m:r>
            <m:rPr>
              <m:sty m:val="p"/>
            </m:rPr>
            <m:t>⋅</m:t>
          </m:r>
          <m:r>
            <m:t>S</m:t>
          </m:r>
          <m:r>
            <m:rPr>
              <m:sty m:val="p"/>
            </m:rPr>
            <m:t>(</m:t>
          </m:r>
          <m:r>
            <m:t>k</m:t>
          </m:r>
          <m:r>
            <m:rPr>
              <m:sty m:val="p"/>
            </m:rPr>
            <m:t>,</m:t>
          </m:r>
          <m:r>
            <m:t>σ</m:t>
          </m:r>
          <m:r>
            <m:rPr>
              <m:sty m:val="p"/>
            </m:rPr>
            <m:t>)</m:t>
          </m:r>
          <m:r>
            <m:rPr>
              <m:sty m:val="p"/>
            </m:rPr>
            <m:t>⋅</m:t>
          </m:r>
          <m:r>
            <m:t>Q</m:t>
          </m:r>
          <m:r>
            <m:rPr>
              <m:sty m:val="p"/>
            </m:rPr>
            <m:t>(</m:t>
          </m:r>
          <m:sSub>
            <m:e>
              <m:r>
                <m:t>M</m:t>
              </m:r>
            </m:e>
            <m:sub>
              <m:r>
                <m:t>g</m:t>
              </m:r>
            </m:sub>
          </m:sSub>
          <m:r>
            <m:rPr>
              <m:sty m:val="p"/>
            </m:rPr>
            <m:t>)</m:t>
          </m:r>
        </m:oMath>
      </m:oMathPara>
    </w:p>
    <w:p>
      <w:pPr>
        <w:pStyle w:val="FirstParagraph"/>
      </w:pPr>
      <w:r>
        <w:t xml:space="preserve">At</w:t>
      </w:r>
      <w:r>
        <w:t xml:space="preserve"> </w:t>
      </w:r>
      <m:oMath>
        <m:sSub>
          <m:e>
            <m:r>
              <m:t>ξ</m:t>
            </m:r>
          </m:e>
          <m:sub>
            <m:r>
              <m:t>X</m:t>
            </m:r>
          </m:sub>
        </m:sSub>
        <m:r>
          <m:rPr>
            <m:sty m:val="p"/>
          </m:rPr>
          <m:t>=</m:t>
        </m:r>
        <m:r>
          <m:t>0</m:t>
        </m:r>
      </m:oMath>
      <w:r>
        <w:t xml:space="preserve"> </w:t>
      </w:r>
      <w:r>
        <w:t xml:space="preserve">(default), this reduces to the original saturating form. At</w:t>
      </w:r>
      <w:r>
        <w:t xml:space="preserve"> </w:t>
      </w:r>
      <m:oMath>
        <m:sSub>
          <m:e>
            <m:r>
              <m:t>ξ</m:t>
            </m:r>
          </m:e>
          <m:sub>
            <m:r>
              <m:t>X</m:t>
            </m:r>
          </m:sub>
        </m:sSub>
        <m:r>
          <m:rPr>
            <m:sty m:val="p"/>
          </m:rPr>
          <m:t>=</m:t>
        </m:r>
        <m:r>
          <m:t>0.5</m:t>
        </m:r>
      </m:oMath>
      <w:r>
        <w:t xml:space="preserve">, the non-marginal term contributes</w:t>
      </w:r>
      <w:r>
        <w:t xml:space="preserve"> </w:t>
      </w:r>
      <m:oMath>
        <m:r>
          <m:rPr>
            <m:sty m:val="p"/>
          </m:rPr>
          <m:t>∼</m:t>
        </m:r>
        <m:r>
          <m:t>0.03</m:t>
        </m:r>
      </m:oMath>
      <w:r>
        <w:t xml:space="preserve"> </w:t>
      </w:r>
      <w:r>
        <w:t xml:space="preserve">at equilibrium, giving</w:t>
      </w:r>
      <w:r>
        <w:t xml:space="preserve"> </w:t>
      </w:r>
      <m:oMath>
        <m:sSub>
          <m:e>
            <m:r>
              <m:t>λ</m:t>
            </m:r>
          </m:e>
          <m:sub>
            <m:r>
              <m:t>X</m:t>
            </m:r>
          </m:sub>
        </m:sSub>
        <m:r>
          <m:rPr>
            <m:sty m:val="p"/>
          </m:rPr>
          <m:t>(</m:t>
        </m:r>
        <m:sSub>
          <m:e>
            <m:r>
              <m:t>M</m:t>
            </m:r>
          </m:e>
          <m:sub>
            <m:sSub>
              <m:e>
                <m:r>
                  <m:t>g</m:t>
                </m:r>
              </m:e>
              <m:sub>
                <m:r>
                  <m:t>e</m:t>
                </m:r>
                <m:r>
                  <m:t>q</m:t>
                </m:r>
              </m:sub>
            </m:sSub>
          </m:sub>
        </m:sSub>
        <m:r>
          <m:rPr>
            <m:sty m:val="p"/>
          </m:rPr>
          <m:t>)</m:t>
        </m:r>
        <m:r>
          <m:rPr>
            <m:sty m:val="p"/>
          </m:rPr>
          <m:t>=</m:t>
        </m:r>
        <m:r>
          <m:t>0.033</m:t>
        </m:r>
      </m:oMath>
      <w:r>
        <w:t xml:space="preserve"> </w:t>
      </w:r>
      <w:r>
        <w:t xml:space="preserve">vs the original</w:t>
      </w:r>
      <w:r>
        <w:t xml:space="preserve"> </w:t>
      </w:r>
      <m:oMath>
        <m:r>
          <m:rPr>
            <m:sty m:val="p"/>
          </m:rPr>
          <m:t>∼</m:t>
        </m:r>
        <m:r>
          <m:t>0.000</m:t>
        </m:r>
      </m:oMath>
      <w:r>
        <w:t xml:space="preserve">. Sweeping</w:t>
      </w:r>
      <w:r>
        <w:t xml:space="preserve"> </w:t>
      </w:r>
      <m:oMath>
        <m:sSub>
          <m:e>
            <m:r>
              <m:t>ξ</m:t>
            </m:r>
          </m:e>
          <m:sub>
            <m:r>
              <m:t>X</m:t>
            </m:r>
          </m:sub>
        </m:sSub>
        <m:r>
          <m:rPr>
            <m:sty m:val="p"/>
          </m:rPr>
          <m:t>∈</m:t>
        </m:r>
        <m:r>
          <m:rPr>
            <m:sty m:val="p"/>
          </m:rPr>
          <m:t>{</m:t>
        </m:r>
        <m:r>
          <m:t>0</m:t>
        </m:r>
        <m:r>
          <m:rPr>
            <m:sty m:val="p"/>
          </m:rPr>
          <m:t>,</m:t>
        </m:r>
        <m:r>
          <m:t>0.25</m:t>
        </m:r>
        <m:r>
          <m:rPr>
            <m:sty m:val="p"/>
          </m:rPr>
          <m:t>,</m:t>
        </m:r>
        <m:r>
          <m:t>0.50</m:t>
        </m:r>
        <m:r>
          <m:rPr>
            <m:sty m:val="p"/>
          </m:rPr>
          <m:t>}</m:t>
        </m:r>
      </m:oMath>
      <w:r>
        <w:t xml:space="preserve"> </w:t>
      </w:r>
      <w:r>
        <w:t xml:space="preserve">at PP-equivalent parameters: the threshold shift from full apparatus to signal-blind (</w:t>
      </w:r>
      <m:oMath>
        <m:sSub>
          <m:e>
            <m:r>
              <m:t>λ</m:t>
            </m:r>
          </m:e>
          <m:sub>
            <m:r>
              <m:t>W</m:t>
            </m:r>
          </m:sub>
        </m:sSub>
        <m:r>
          <m:rPr>
            <m:sty m:val="p"/>
          </m:rPr>
          <m:t>=</m:t>
        </m:r>
        <m:r>
          <m:t>0</m:t>
        </m:r>
      </m:oMath>
      <w:r>
        <w:t xml:space="preserve">) ablation is +36.0%, +36.8%, +37.2% respectively, essentially unchanged. The qualitative result (signaling lowers the threshold by ~36%) is robust to the structural change.</w:t>
      </w:r>
    </w:p>
    <w:p>
      <w:pPr>
        <w:pStyle w:val="BodyText"/>
      </w:pPr>
      <w:r>
        <w:t xml:space="preserve">What the restructured formulation provides is</w:t>
      </w:r>
      <w:r>
        <w:t xml:space="preserve"> </w:t>
      </w:r>
      <w:r>
        <w:rPr>
          <w:i/>
          <w:iCs/>
        </w:rPr>
        <w:t xml:space="preserve">interpretive</w:t>
      </w:r>
      <w:r>
        <w:t xml:space="preserve">: under</w:t>
      </w:r>
      <w:r>
        <w:t xml:space="preserve"> </w:t>
      </w:r>
      <m:oMath>
        <m:sSub>
          <m:e>
            <m:r>
              <m:t>ξ</m:t>
            </m:r>
          </m:e>
          <m:sub>
            <m:r>
              <m:t>X</m:t>
            </m:r>
          </m:sub>
        </m:sSub>
        <m:r>
          <m:rPr>
            <m:sty m:val="p"/>
          </m:rPr>
          <m:t>=</m:t>
        </m:r>
        <m:r>
          <m:t>0.5</m:t>
        </m:r>
      </m:oMath>
      <w:r>
        <w:t xml:space="preserve">, the ablation removes</w:t>
      </w:r>
      <w:r>
        <w:t xml:space="preserve"> </w:t>
      </w:r>
      <m:oMath>
        <m:sSub>
          <m:e>
            <m:r>
              <m:t>λ</m:t>
            </m:r>
          </m:e>
          <m:sub>
            <m:r>
              <m:t>W</m:t>
            </m:r>
          </m:sub>
        </m:sSub>
      </m:oMath>
      <w:r>
        <w:t xml:space="preserve"> </w:t>
      </w:r>
      <w:r>
        <w:t xml:space="preserve">from a system in which</w:t>
      </w:r>
      <w:r>
        <w:t xml:space="preserve"> </w:t>
      </w:r>
      <m:oMath>
        <m:sSub>
          <m:e>
            <m:r>
              <m:t>λ</m:t>
            </m:r>
          </m:e>
          <m:sub>
            <m:r>
              <m:t>X</m:t>
            </m:r>
          </m:sub>
        </m:sSub>
        <m:r>
          <m:rPr>
            <m:sty m:val="p"/>
          </m:rPr>
          <m:t>=</m:t>
        </m:r>
        <m:r>
          <m:t>0.032</m:t>
        </m:r>
      </m:oMath>
      <w:r>
        <w:t xml:space="preserve"> </w:t>
      </w:r>
      <w:r>
        <w:t xml:space="preserve">is also doing real cooperation-network work (the residual</w:t>
      </w:r>
      <w:r>
        <w:t xml:space="preserve"> </w:t>
      </w:r>
      <m:oMath>
        <m:sSub>
          <m:e>
            <m:r>
              <m:t>λ</m:t>
            </m:r>
          </m:e>
          <m:sub>
            <m:r>
              <m:t>X</m:t>
            </m:r>
          </m:sub>
        </m:sSub>
      </m:oMath>
      <w:r>
        <w:t xml:space="preserve"> </w:t>
      </w:r>
      <w:r>
        <w:t xml:space="preserve">with the apparatus removed is itself non-trivial). The signaling-vs-cooperation discrimination is therefore genuine: removing within-group prestige signaling (</w:t>
      </w:r>
      <m:oMath>
        <m:sSub>
          <m:e>
            <m:r>
              <m:t>λ</m:t>
            </m:r>
          </m:e>
          <m:sub>
            <m:r>
              <m:t>W</m:t>
            </m:r>
          </m:sub>
        </m:sSub>
      </m:oMath>
      <w:r>
        <w:t xml:space="preserve">) shifts the threshold by ~37% even when cooperation-network signaling (</w:t>
      </w:r>
      <m:oMath>
        <m:sSub>
          <m:e>
            <m:r>
              <m:t>λ</m:t>
            </m:r>
          </m:e>
          <m:sub>
            <m:r>
              <m:t>X</m:t>
            </m:r>
          </m:sub>
        </m:sSub>
      </m:oMath>
      <w:r>
        <w:t xml:space="preserve">) provides 0.032 of residual incentive.</w:t>
      </w:r>
    </w:p>
    <w:p>
      <w:pPr>
        <w:pStyle w:val="BodyText"/>
      </w:pPr>
      <w:r>
        <w:t xml:space="preserve">The choice of</w:t>
      </w:r>
      <w:r>
        <w:t xml:space="preserve"> </w:t>
      </w:r>
      <m:oMath>
        <m:sSub>
          <m:e>
            <m:r>
              <m:t>ξ</m:t>
            </m:r>
          </m:e>
          <m:sub>
            <m:r>
              <m:t>X</m:t>
            </m:r>
          </m:sub>
        </m:sSub>
        <m:r>
          <m:rPr>
            <m:sty m:val="p"/>
          </m:rPr>
          <m:t>=</m:t>
        </m:r>
        <m:r>
          <m:t>0.5</m:t>
        </m:r>
      </m:oMath>
      <w:r>
        <w:t xml:space="preserve"> </w:t>
      </w:r>
      <w:r>
        <w:t xml:space="preserve">as a defensible upper bound is informed by the Bliege Bird and Smith (2005) framework where signal quality multiplies per-partnership value. Further empirical grounding via ethnographic data on signal-quality-mediated partner choice premia would tighten the parameter. Reproducible from</w:t>
      </w:r>
      <w:r>
        <w:t xml:space="preserve"> </w:t>
      </w:r>
      <w:r>
        <w:rPr>
          <w:rStyle w:val="VerbatimChar"/>
        </w:rPr>
        <w:t xml:space="preserve">scripts/analysis/restructured_saturation_test.py</w:t>
      </w:r>
      <w:r>
        <w:t xml:space="preserve">, with outputs in</w:t>
      </w:r>
      <w:r>
        <w:t xml:space="preserve"> </w:t>
      </w:r>
      <w:r>
        <w:rPr>
          <w:rStyle w:val="VerbatimChar"/>
        </w:rPr>
        <w:t xml:space="preserve">results/sensitivity/restructured_saturation_test.json</w:t>
      </w:r>
      <w:r>
        <w:t xml:space="preserve">.</w:t>
      </w:r>
    </w:p>
    <w:bookmarkEnd w:id="48"/>
    <w:bookmarkStart w:id="52" w:name="s5.4-factorial-component-ablation"/>
    <w:p>
      <w:pPr>
        <w:pStyle w:val="Heading3"/>
      </w:pPr>
      <w:r>
        <w:t xml:space="preserve">S5.4 Factorial component ablation</w:t>
      </w:r>
    </w:p>
    <w:p>
      <w:pPr>
        <w:pStyle w:val="FirstParagraph"/>
      </w:pPr>
      <w:r>
        <w:t xml:space="preserve">R3’s review (round-6) requested a deeper ablation than the §4.3 signal-conditional-vs-random partner comparison: turn each signaling/buffering component off individually and in factorial combination to isolate which components actually drive the threshold-crossing. We ran a</w:t>
      </w:r>
      <w:r>
        <w:t xml:space="preserve"> </w:t>
      </w:r>
      <m:oMath>
        <m:sSup>
          <m:e>
            <m:r>
              <m:t>2</m:t>
            </m:r>
          </m:e>
          <m:sup>
            <m:r>
              <m:t>4</m:t>
            </m:r>
          </m:sup>
        </m:sSup>
        <m:r>
          <m:rPr>
            <m:sty m:val="p"/>
          </m:rPr>
          <m:t>=</m:t>
        </m:r>
        <m:r>
          <m:t>16</m:t>
        </m:r>
      </m:oMath>
      <w:r>
        <w:t xml:space="preserve">-cell factorial across the four components, with 8 stochastic replicates per cell at sigma-effective target 0.40, just above the analytical threshold. The four components are</w:t>
      </w:r>
      <w:r>
        <w:t xml:space="preserve"> </w:t>
      </w:r>
      <m:oMath>
        <m:sSub>
          <m:e>
            <m:r>
              <m:t>λ</m:t>
            </m:r>
          </m:e>
          <m:sub>
            <m:r>
              <m:t>W</m:t>
            </m:r>
          </m:sub>
        </m:sSub>
      </m:oMath>
      <w:r>
        <w:t xml:space="preserve"> </w:t>
      </w:r>
      <w:r>
        <w:t xml:space="preserve">(within-group reward),</w:t>
      </w:r>
      <w:r>
        <w:t xml:space="preserve"> </w:t>
      </w:r>
      <m:oMath>
        <m:sSub>
          <m:e>
            <m:r>
              <m:t>λ</m:t>
            </m:r>
          </m:e>
          <m:sub>
            <m:r>
              <m:t>C</m:t>
            </m:r>
          </m:sub>
        </m:sSub>
      </m:oMath>
      <w:r>
        <w:t xml:space="preserve"> </w:t>
      </w:r>
      <w:r>
        <w:t xml:space="preserve">(conflict deterrence),</w:t>
      </w:r>
      <w:r>
        <w:t xml:space="preserve"> </w:t>
      </w:r>
      <m:oMath>
        <m:sSub>
          <m:e>
            <m:r>
              <m:t>λ</m:t>
            </m:r>
          </m:e>
          <m:sub>
            <m:r>
              <m:t>X</m:t>
            </m:r>
          </m:sub>
        </m:sSub>
      </m:oMath>
      <w:r>
        <w:t xml:space="preserve"> </w:t>
      </w:r>
      <w:r>
        <w:t xml:space="preserve">(cooperation-network value), and</w:t>
      </w:r>
      <w:r>
        <w:t xml:space="preserve"> </w:t>
      </w:r>
      <m:oMath>
        <m:r>
          <m:t>ε</m:t>
        </m:r>
      </m:oMath>
      <w:r>
        <w:t xml:space="preserve"> </w:t>
      </w:r>
      <w:r>
        <w:t xml:space="preserve">(ecotone buffer). A component is</w:t>
      </w:r>
      <w:r>
        <w:t xml:space="preserve"> </w:t>
      </w:r>
      <w:r>
        <w:t xml:space="preserve">“on”</w:t>
      </w:r>
      <w:r>
        <w:t xml:space="preserve"> </w:t>
      </w:r>
      <w:r>
        <w:t xml:space="preserve">at its canonical PP-scenario value (0.15, 0.10, 0.15, 0.35 respectively) and</w:t>
      </w:r>
      <w:r>
        <w:t xml:space="preserve"> </w:t>
      </w:r>
      <w:r>
        <w:t xml:space="preserve">“off”</w:t>
      </w:r>
      <w:r>
        <w:t xml:space="preserve"> </w:t>
      </w:r>
      <w:r>
        <w:t xml:space="preserve">at zero.</w:t>
      </w:r>
    </w:p>
    <w:p>
      <w:pPr>
        <w:pStyle w:val="BodyText"/>
      </w:pPr>
      <w:r>
        <w:t xml:space="preserve">The result is clean (Figure S6). Per-cell mean dominance partitions into four bands: cells with</w:t>
      </w:r>
      <w:r>
        <w:t xml:space="preserve"> </w:t>
      </w:r>
      <m:oMath>
        <m:r>
          <m:t>ε</m:t>
        </m:r>
      </m:oMath>
      <w:r>
        <w:t xml:space="preserve"> </w:t>
      </w:r>
      <w:r>
        <w:t xml:space="preserve">off plus</w:t>
      </w:r>
      <w:r>
        <w:t xml:space="preserve"> </w:t>
      </w:r>
      <m:oMath>
        <m:sSub>
          <m:e>
            <m:r>
              <m:t>λ</m:t>
            </m:r>
          </m:e>
          <m:sub>
            <m:r>
              <m:t>W</m:t>
            </m:r>
          </m:sub>
        </m:sSub>
      </m:oMath>
      <w:r>
        <w:t xml:space="preserve"> </w:t>
      </w:r>
      <w:r>
        <w:t xml:space="preserve">off are deeply independent (mean dominance</w:t>
      </w:r>
      <w:r>
        <w:t xml:space="preserve"> </w:t>
      </w:r>
      <m:oMath>
        <m:r>
          <m:rPr>
            <m:sty m:val="p"/>
          </m:rPr>
          <m:t>≈</m:t>
        </m:r>
        <m:r>
          <m:rPr>
            <m:sty m:val="p"/>
          </m:rPr>
          <m:t>−</m:t>
        </m:r>
        <m:r>
          <m:t>0.72</m:t>
        </m:r>
      </m:oMath>
      <w:r>
        <w:t xml:space="preserve"> </w:t>
      </w:r>
      <w:r>
        <w:t xml:space="preserve">across all four such cells); cells with</w:t>
      </w:r>
      <w:r>
        <w:t xml:space="preserve"> </w:t>
      </w:r>
      <m:oMath>
        <m:r>
          <m:t>ε</m:t>
        </m:r>
      </m:oMath>
      <w:r>
        <w:t xml:space="preserve"> </w:t>
      </w:r>
      <w:r>
        <w:t xml:space="preserve">off but</w:t>
      </w:r>
      <w:r>
        <w:t xml:space="preserve"> </w:t>
      </w:r>
      <m:oMath>
        <m:sSub>
          <m:e>
            <m:r>
              <m:t>λ</m:t>
            </m:r>
          </m:e>
          <m:sub>
            <m:r>
              <m:t>W</m:t>
            </m:r>
          </m:sub>
        </m:sSub>
      </m:oMath>
      <w:r>
        <w:t xml:space="preserve"> </w:t>
      </w:r>
      <w:r>
        <w:t xml:space="preserve">on are still independent but less so (</w:t>
      </w:r>
      <m:oMath>
        <m:r>
          <m:rPr>
            <m:sty m:val="p"/>
          </m:rPr>
          <m:t>≈</m:t>
        </m:r>
        <m:r>
          <m:rPr>
            <m:sty m:val="p"/>
          </m:rPr>
          <m:t>−</m:t>
        </m:r>
        <m:r>
          <m:t>0.43</m:t>
        </m:r>
      </m:oMath>
      <w:r>
        <w:t xml:space="preserve">); cells with</w:t>
      </w:r>
      <w:r>
        <w:t xml:space="preserve"> </w:t>
      </w:r>
      <m:oMath>
        <m:r>
          <m:t>ε</m:t>
        </m:r>
      </m:oMath>
      <w:r>
        <w:t xml:space="preserve"> </w:t>
      </w:r>
      <w:r>
        <w:t xml:space="preserve">on but</w:t>
      </w:r>
      <w:r>
        <w:t xml:space="preserve"> </w:t>
      </w:r>
      <m:oMath>
        <m:sSub>
          <m:e>
            <m:r>
              <m:t>λ</m:t>
            </m:r>
          </m:e>
          <m:sub>
            <m:r>
              <m:t>W</m:t>
            </m:r>
          </m:sub>
        </m:sSub>
      </m:oMath>
      <w:r>
        <w:t xml:space="preserve"> </w:t>
      </w:r>
      <w:r>
        <w:t xml:space="preserve">off are moderately aggregator (</w:t>
      </w:r>
      <m:oMath>
        <m:r>
          <m:rPr>
            <m:sty m:val="p"/>
          </m:rPr>
          <m:t>≈</m:t>
        </m:r>
        <m:r>
          <m:rPr>
            <m:sty m:val="p"/>
          </m:rPr>
          <m:t>+</m:t>
        </m:r>
        <m:r>
          <m:t>0.25</m:t>
        </m:r>
      </m:oMath>
      <w:r>
        <w:t xml:space="preserve">); and cells with</w:t>
      </w:r>
      <w:r>
        <w:t xml:space="preserve"> </w:t>
      </w:r>
      <m:oMath>
        <m:r>
          <m:t>ε</m:t>
        </m:r>
      </m:oMath>
      <w:r>
        <w:t xml:space="preserve"> </w:t>
      </w:r>
      <w:r>
        <w:t xml:space="preserve">on and</w:t>
      </w:r>
      <w:r>
        <w:t xml:space="preserve"> </w:t>
      </w:r>
      <m:oMath>
        <m:sSub>
          <m:e>
            <m:r>
              <m:t>λ</m:t>
            </m:r>
          </m:e>
          <m:sub>
            <m:r>
              <m:t>W</m:t>
            </m:r>
          </m:sub>
        </m:sSub>
      </m:oMath>
      <w:r>
        <w:t xml:space="preserve"> </w:t>
      </w:r>
      <w:r>
        <w:t xml:space="preserve">on are strongly aggregator (</w:t>
      </w:r>
      <m:oMath>
        <m:r>
          <m:rPr>
            <m:sty m:val="p"/>
          </m:rPr>
          <m:t>≈</m:t>
        </m:r>
        <m:r>
          <m:rPr>
            <m:sty m:val="p"/>
          </m:rPr>
          <m:t>+</m:t>
        </m:r>
        <m:r>
          <m:t>0.61</m:t>
        </m:r>
      </m:oMath>
      <w:r>
        <w:t xml:space="preserve">). The</w:t>
      </w:r>
      <w:r>
        <w:t xml:space="preserve"> </w:t>
      </w:r>
      <m:oMath>
        <m:sSub>
          <m:e>
            <m:r>
              <m:t>λ</m:t>
            </m:r>
          </m:e>
          <m:sub>
            <m:r>
              <m:t>C</m:t>
            </m:r>
          </m:sub>
        </m:sSub>
      </m:oMath>
      <w:r>
        <w:t xml:space="preserve"> </w:t>
      </w:r>
      <w:r>
        <w:t xml:space="preserve">and</w:t>
      </w:r>
      <w:r>
        <w:t xml:space="preserve"> </w:t>
      </w:r>
      <m:oMath>
        <m:sSub>
          <m:e>
            <m:r>
              <m:t>λ</m:t>
            </m:r>
          </m:e>
          <m:sub>
            <m:r>
              <m:t>X</m:t>
            </m:r>
          </m:sub>
        </m:sSub>
      </m:oMath>
      <w:r>
        <w:t xml:space="preserve"> </w:t>
      </w:r>
      <w:r>
        <w:t xml:space="preserve">components make no detectable difference at any combination of</w:t>
      </w:r>
      <w:r>
        <w:t xml:space="preserve"> </w:t>
      </w:r>
      <m:oMath>
        <m:sSub>
          <m:e>
            <m:r>
              <m:t>λ</m:t>
            </m:r>
          </m:e>
          <m:sub>
            <m:r>
              <m:t>W</m:t>
            </m:r>
          </m:sub>
        </m:sSub>
      </m:oMath>
      <w:r>
        <w:t xml:space="preserve"> </w:t>
      </w:r>
      <w:r>
        <w:t xml:space="preserve">and</w:t>
      </w:r>
      <w:r>
        <w:t xml:space="preserve"> </w:t>
      </w:r>
      <m:oMath>
        <m:r>
          <m:t>ε</m:t>
        </m:r>
      </m:oMath>
      <w:r>
        <w:t xml:space="preserve"> </w:t>
      </w:r>
      <w:r>
        <w:t xml:space="preserve">states. The main-effect summary makes this concrete: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Symbol</w:t>
            </w:r>
          </w:p>
        </w:tc>
        <w:tc>
          <w:tcPr/>
          <w:p>
            <w:pPr>
              <w:pStyle w:val="Compact"/>
            </w:pPr>
            <w:r>
              <w:t xml:space="preserve">Main effect (mean dominance ON minus OFF)</w:t>
            </w:r>
          </w:p>
        </w:tc>
      </w:tr>
      <w:tr>
        <w:tc>
          <w:tcPr/>
          <w:p>
            <w:pPr>
              <w:pStyle w:val="Compact"/>
            </w:pPr>
            <w:r>
              <w:t xml:space="preserve">Within-group reward</w:t>
            </w:r>
          </w:p>
        </w:tc>
        <w:tc>
          <w:tcPr/>
          <w:p>
            <w:pPr>
              <w:pStyle w:val="Compact"/>
            </w:pPr>
            <m:oMath>
              <m:sSub>
                <m:e>
                  <m:r>
                    <m:t>λ</m:t>
                  </m:r>
                </m:e>
                <m:sub>
                  <m:r>
                    <m:t>W</m:t>
                  </m:r>
                </m:sub>
              </m:sSub>
            </m:oMath>
          </w:p>
        </w:tc>
        <w:tc>
          <w:tcPr/>
          <w:p>
            <w:pPr>
              <w:pStyle w:val="Compact"/>
            </w:pPr>
            <m:oMath>
              <m:r>
                <m:rPr>
                  <m:sty m:val="p"/>
                </m:rPr>
                <m:t>+</m:t>
              </m:r>
              <m:r>
                <m:t>0.323</m:t>
              </m:r>
            </m:oMath>
          </w:p>
        </w:tc>
      </w:tr>
      <w:tr>
        <w:tc>
          <w:tcPr/>
          <w:p>
            <w:pPr>
              <w:pStyle w:val="Compact"/>
            </w:pPr>
            <w:r>
              <w:t xml:space="preserve">Conflict deterrence</w:t>
            </w:r>
          </w:p>
        </w:tc>
        <w:tc>
          <w:tcPr/>
          <w:p>
            <w:pPr>
              <w:pStyle w:val="Compact"/>
            </w:pPr>
            <m:oMath>
              <m:sSub>
                <m:e>
                  <m:r>
                    <m:t>λ</m:t>
                  </m:r>
                </m:e>
                <m:sub>
                  <m:r>
                    <m:t>C</m:t>
                  </m:r>
                </m:sub>
              </m:sSub>
            </m:oMath>
          </w:p>
        </w:tc>
        <w:tc>
          <w:tcPr/>
          <w:p>
            <w:pPr>
              <w:pStyle w:val="Compact"/>
            </w:pPr>
            <m:oMath>
              <m:r>
                <m:rPr>
                  <m:sty m:val="p"/>
                </m:rPr>
                <m:t>−</m:t>
              </m:r>
              <m:r>
                <m:t>0.012</m:t>
              </m:r>
            </m:oMath>
          </w:p>
        </w:tc>
      </w:tr>
      <w:tr>
        <w:tc>
          <w:tcPr/>
          <w:p>
            <w:pPr>
              <w:pStyle w:val="Compact"/>
            </w:pPr>
            <w:r>
              <w:t xml:space="preserve">Cooperation-network value</w:t>
            </w:r>
          </w:p>
        </w:tc>
        <w:tc>
          <w:tcPr/>
          <w:p>
            <w:pPr>
              <w:pStyle w:val="Compact"/>
            </w:pPr>
            <m:oMath>
              <m:sSub>
                <m:e>
                  <m:r>
                    <m:t>λ</m:t>
                  </m:r>
                </m:e>
                <m:sub>
                  <m:r>
                    <m:t>X</m:t>
                  </m:r>
                </m:sub>
              </m:sSub>
            </m:oMath>
          </w:p>
        </w:tc>
        <w:tc>
          <w:tcPr/>
          <w:p>
            <w:pPr>
              <w:pStyle w:val="Compact"/>
            </w:pPr>
            <m:oMath>
              <m:r>
                <m:rPr>
                  <m:sty m:val="p"/>
                </m:rPr>
                <m:t>+</m:t>
              </m:r>
              <m:r>
                <m:t>0.011</m:t>
              </m:r>
            </m:oMath>
          </w:p>
        </w:tc>
      </w:tr>
      <w:tr>
        <w:tc>
          <w:tcPr/>
          <w:p>
            <w:pPr>
              <w:pStyle w:val="Compact"/>
            </w:pPr>
            <w:r>
              <w:t xml:space="preserve">Ecotone buffer</w:t>
            </w:r>
          </w:p>
        </w:tc>
        <w:tc>
          <w:tcPr/>
          <w:p>
            <w:pPr>
              <w:pStyle w:val="Compact"/>
            </w:pPr>
            <m:oMath>
              <m:r>
                <m:t>ε</m:t>
              </m:r>
            </m:oMath>
          </w:p>
        </w:tc>
        <w:tc>
          <w:tcPr/>
          <w:p>
            <w:pPr>
              <w:pStyle w:val="Compact"/>
            </w:pPr>
            <m:oMath>
              <m:r>
                <m:rPr>
                  <m:sty m:val="p"/>
                </m:rPr>
                <m:t>+</m:t>
              </m:r>
              <m:r>
                <m:t>1.003</m:t>
              </m:r>
            </m:oMath>
          </w:p>
        </w:tc>
      </w:tr>
    </w:tbl>
    <w:p>
      <w:pPr>
        <w:pStyle w:val="BodyText"/>
      </w:pPr>
      <w:r>
        <w:t xml:space="preserve">The headline finding is that</w:t>
      </w:r>
      <w:r>
        <w:t xml:space="preserve"> </w:t>
      </w:r>
      <w:r>
        <w:rPr>
          <w:i/>
          <w:iCs/>
        </w:rPr>
        <w:t xml:space="preserve">ecotone access</w:t>
      </w:r>
      <w:r>
        <w:t xml:space="preserve"> </w:t>
      </w:r>
      <w:r>
        <w:t xml:space="preserve">and</w:t>
      </w:r>
      <w:r>
        <w:t xml:space="preserve"> </w:t>
      </w:r>
      <w:r>
        <w:rPr>
          <w:i/>
          <w:iCs/>
        </w:rPr>
        <w:t xml:space="preserve">within-group reward</w:t>
      </w:r>
      <w:r>
        <w:t xml:space="preserve"> </w:t>
      </w:r>
      <w:r>
        <w:t xml:space="preserve">are the two components that drive the threshold-crossing structure. The conflict-deterrence and cooperation-network-value components make no detectable contribution at the PP-scenario parameterization. This is consistent with the §S3.1 OAT sensitivity result:</w:t>
      </w:r>
      <w:r>
        <w:t xml:space="preserve"> </w:t>
      </w:r>
      <m:oMath>
        <m:sSub>
          <m:e>
            <m:r>
              <m:t>λ</m:t>
            </m:r>
          </m:e>
          <m:sub>
            <m:r>
              <m:t>C</m:t>
            </m:r>
          </m:sub>
        </m:sSub>
      </m:oMath>
      <w:r>
        <w:t xml:space="preserve"> </w:t>
      </w:r>
      <w:r>
        <w:t xml:space="preserve">and</w:t>
      </w:r>
      <w:r>
        <w:t xml:space="preserve"> </w:t>
      </w:r>
      <m:oMath>
        <m:sSub>
          <m:e>
            <m:r>
              <m:t>λ</m:t>
            </m:r>
          </m:e>
          <m:sub>
            <m:r>
              <m:t>X</m:t>
            </m:r>
          </m:sub>
        </m:sSub>
      </m:oMath>
      <w:r>
        <w:t xml:space="preserve"> </w:t>
      </w:r>
      <w:r>
        <w:t xml:space="preserve">have zero direct sensitivity in the OAT tornado because they are endogenously determined at the lambda-sigma fixed point, and the factorial confirms that endogenization extends to the full ABM dynamic (turning them off entirely produces no detectable change in the population trajectory at this parameterization). The framework’s two operative components at PP-scenario parameters are</w:t>
      </w:r>
      <w:r>
        <w:t xml:space="preserve"> </w:t>
      </w:r>
      <m:oMath>
        <m:r>
          <m:t>ε</m:t>
        </m:r>
      </m:oMath>
      <w:r>
        <w:t xml:space="preserve"> </w:t>
      </w:r>
      <w:r>
        <w:t xml:space="preserve">(which sets whether the threshold is crossed) and</w:t>
      </w:r>
      <w:r>
        <w:t xml:space="preserve"> </w:t>
      </w:r>
      <m:oMath>
        <m:sSub>
          <m:e>
            <m:r>
              <m:t>λ</m:t>
            </m:r>
          </m:e>
          <m:sub>
            <m:r>
              <m:t>W</m:t>
            </m:r>
          </m:sub>
        </m:sSub>
      </m:oMath>
      <w:r>
        <w:t xml:space="preserve"> </w:t>
      </w:r>
      <w:r>
        <w:t xml:space="preserve">(which sets how far above the threshold the system equilibrates).</w:t>
      </w:r>
      <w:r>
        <w:t xml:space="preserve"> </w:t>
      </w:r>
      <m:oMath>
        <m:sSub>
          <m:e>
            <m:r>
              <m:t>λ</m:t>
            </m:r>
          </m:e>
          <m:sub>
            <m:r>
              <m:t>C</m:t>
            </m:r>
          </m:sub>
        </m:sSub>
      </m:oMath>
      <w:r>
        <w:t xml:space="preserve"> </w:t>
      </w:r>
      <w:r>
        <w:t xml:space="preserve">and</w:t>
      </w:r>
      <w:r>
        <w:t xml:space="preserve"> </w:t>
      </w:r>
      <m:oMath>
        <m:sSub>
          <m:e>
            <m:r>
              <m:t>λ</m:t>
            </m:r>
          </m:e>
          <m:sub>
            <m:r>
              <m:t>X</m:t>
            </m:r>
          </m:sub>
        </m:sSub>
      </m:oMath>
      <w:r>
        <w:t xml:space="preserve"> </w:t>
      </w:r>
      <w:r>
        <w:t xml:space="preserve">are present in the model architecture but doing no observable work at these parameter values. A different parameterization (e.g., earlier in the analytical fixed-point iteration before</w:t>
      </w:r>
      <w:r>
        <w:t xml:space="preserve"> </w:t>
      </w:r>
      <m:oMath>
        <m:sSub>
          <m:e>
            <m:r>
              <m:t>M</m:t>
            </m:r>
          </m:e>
          <m:sub>
            <m:r>
              <m:t>g</m:t>
            </m:r>
          </m:sub>
        </m:sSub>
      </m:oMath>
      <w:r>
        <w:t xml:space="preserve"> </w:t>
      </w:r>
      <w:r>
        <w:t xml:space="preserve">saturates the network function) would presumably give them more weight. At the PP equilibrium they are silent.</w:t>
      </w:r>
    </w:p>
    <w:p>
      <w:pPr>
        <w:pStyle w:val="BodyText"/>
      </w:pPr>
      <w:r>
        <w:t xml:space="preserve">This factorial ablation is the deeper version of the §4.3 signal-conditional vs random-partner comparison. The §4.3 result (</w:t>
      </w:r>
      <m:oMath>
        <m:r>
          <m:rPr>
            <m:sty m:val="p"/>
          </m:rPr>
          <m:t>−</m:t>
        </m:r>
        <m:r>
          <m:t>0.002</m:t>
        </m:r>
      </m:oMath>
      <w:r>
        <w:t xml:space="preserve"> </w:t>
      </w:r>
      <w:r>
        <w:t xml:space="preserve">shift in realized</w:t>
      </w:r>
      <w:r>
        <w:t xml:space="preserve"> </w:t>
      </w:r>
      <m:oMath>
        <m:sSub>
          <m:e>
            <m:r>
              <m:t>σ</m:t>
            </m:r>
          </m:e>
          <m:sub>
            <m:r>
              <m:t>e</m:t>
            </m:r>
            <m:r>
              <m:t>f</m:t>
            </m:r>
            <m:r>
              <m:t>f</m:t>
            </m:r>
          </m:sub>
        </m:sSub>
      </m:oMath>
      <w:r>
        <w:t xml:space="preserve"> </w:t>
      </w:r>
      <w:r>
        <w:t xml:space="preserve">at the threshold) tested whether</w:t>
      </w:r>
      <w:r>
        <w:t xml:space="preserve"> </w:t>
      </w:r>
      <w:r>
        <w:rPr>
          <w:i/>
          <w:iCs/>
        </w:rPr>
        <w:t xml:space="preserve">weighted partner choice</w:t>
      </w:r>
      <w:r>
        <w:t xml:space="preserve"> </w:t>
      </w:r>
      <w:r>
        <w:t xml:space="preserve">matters when network cooperation is preserved, and found that it does not: the threshold does not shift. The §S5.4 factorial here tests whether each</w:t>
      </w:r>
      <w:r>
        <w:t xml:space="preserve"> </w:t>
      </w:r>
      <w:r>
        <w:rPr>
          <w:i/>
          <w:iCs/>
        </w:rPr>
        <w:t xml:space="preserve">component</w:t>
      </w:r>
      <w:r>
        <w:t xml:space="preserve"> </w:t>
      </w:r>
      <w:r>
        <w:t xml:space="preserve">matters, with everything else held constant. Here,</w:t>
      </w:r>
      <w:r>
        <w:t xml:space="preserve"> </w:t>
      </w:r>
      <m:oMath>
        <m:r>
          <m:t>ε</m:t>
        </m:r>
      </m:oMath>
      <w:r>
        <w:t xml:space="preserve"> </w:t>
      </w:r>
      <w:r>
        <w:t xml:space="preserve">and</w:t>
      </w:r>
      <w:r>
        <w:t xml:space="preserve"> </w:t>
      </w:r>
      <m:oMath>
        <m:sSub>
          <m:e>
            <m:r>
              <m:t>λ</m:t>
            </m:r>
          </m:e>
          <m:sub>
            <m:r>
              <m:t>W</m:t>
            </m:r>
          </m:sub>
        </m:sSub>
      </m:oMath>
      <w:r>
        <w:t xml:space="preserve"> </w:t>
      </w:r>
      <w:r>
        <w:t xml:space="preserve">matter substantially while the other two do not at PP-scenario parameters. The two results together give a more complete picture of which model components are doing the work and which are present but not currently engaged.</w:t>
      </w:r>
    </w:p>
    <w:p>
      <w:pPr>
        <w:pStyle w:val="BodyText"/>
      </w:pPr>
      <w:r>
        <w:drawing>
          <wp:inline>
            <wp:extent cx="5943600" cy="2488018"/>
            <wp:effectExtent b="0" l="0" r="0" t="0"/>
            <wp:docPr descr="" title="" id="50" name="Picture"/>
            <a:graphic>
              <a:graphicData uri="http://schemas.openxmlformats.org/drawingml/2006/picture">
                <pic:pic>
                  <pic:nvPicPr>
                    <pic:cNvPr descr="../../figures/supplemental/figure_S06_factorial_ablation.png" id="51" name="Picture"/>
                    <pic:cNvPicPr>
                      <a:picLocks noChangeArrowheads="1" noChangeAspect="1"/>
                    </pic:cNvPicPr>
                  </pic:nvPicPr>
                  <pic:blipFill>
                    <a:blip r:embed="rId49"/>
                    <a:stretch>
                      <a:fillRect/>
                    </a:stretch>
                  </pic:blipFill>
                  <pic:spPr bwMode="auto">
                    <a:xfrm>
                      <a:off x="0" y="0"/>
                      <a:ext cx="5943600" cy="2488018"/>
                    </a:xfrm>
                    <a:prstGeom prst="rect">
                      <a:avLst/>
                    </a:prstGeom>
                    <a:noFill/>
                    <a:ln w="9525">
                      <a:noFill/>
                      <a:headEnd/>
                      <a:tailEnd/>
                    </a:ln>
                  </pic:spPr>
                </pic:pic>
              </a:graphicData>
            </a:graphic>
          </wp:inline>
        </w:drawing>
      </w:r>
    </w:p>
    <w:p>
      <w:pPr>
        <w:pStyle w:val="BodyText"/>
      </w:pPr>
      <w:r>
        <w:rPr>
          <w:b/>
          <w:bCs/>
          <w:i/>
          <w:iCs/>
        </w:rPr>
        <w:t xml:space="preserve">Figure S6. Factorial component ablation.</w:t>
      </w:r>
      <w:r>
        <w:t xml:space="preserve"> </w:t>
      </w:r>
      <w:r>
        <w:rPr>
          <w:i/>
          <w:iCs/>
        </w:rPr>
        <w:t xml:space="preserve">Per-cell mean dominance (mean ± 1 SD across 8 stochastic replicates) for the 16-cell factorial across</w:t>
      </w:r>
      <w:r>
        <w:t xml:space="preserve"> </w:t>
      </w:r>
      <m:oMath>
        <m:sSub>
          <m:e>
            <m:r>
              <m:t>λ</m:t>
            </m:r>
          </m:e>
          <m:sub>
            <m:r>
              <m:t>W</m:t>
            </m:r>
          </m:sub>
        </m:sSub>
      </m:oMath>
      <w:r>
        <w:rPr>
          <w:i/>
          <w:iCs/>
        </w:rPr>
        <w:t xml:space="preserve">,</w:t>
      </w:r>
      <w:r>
        <w:t xml:space="preserve"> </w:t>
      </w:r>
      <m:oMath>
        <m:sSub>
          <m:e>
            <m:r>
              <m:t>λ</m:t>
            </m:r>
          </m:e>
          <m:sub>
            <m:r>
              <m:t>C</m:t>
            </m:r>
          </m:sub>
        </m:sSub>
      </m:oMath>
      <w:r>
        <w:rPr>
          <w:i/>
          <w:iCs/>
        </w:rPr>
        <w:t xml:space="preserve">,</w:t>
      </w:r>
      <w:r>
        <w:t xml:space="preserve"> </w:t>
      </w:r>
      <m:oMath>
        <m:sSub>
          <m:e>
            <m:r>
              <m:t>λ</m:t>
            </m:r>
          </m:e>
          <m:sub>
            <m:r>
              <m:t>X</m:t>
            </m:r>
          </m:sub>
        </m:sSub>
      </m:oMath>
      <w:r>
        <w:rPr>
          <w:i/>
          <w:iCs/>
        </w:rPr>
        <w:t xml:space="preserve">, and</w:t>
      </w:r>
      <w:r>
        <w:t xml:space="preserve"> </w:t>
      </w:r>
      <m:oMath>
        <m:r>
          <m:t>ε</m:t>
        </m:r>
      </m:oMath>
      <w:r>
        <w:t xml:space="preserve"> </w:t>
      </w:r>
      <w:r>
        <w:rPr>
          <w:i/>
          <w:iCs/>
        </w:rPr>
        <w:t xml:space="preserve">(uppercase = component on at PP-scenario value; lowercase = off at zero). Cells are color-coded by</w:t>
      </w:r>
      <w:r>
        <w:t xml:space="preserve"> </w:t>
      </w:r>
      <m:oMath>
        <m:r>
          <m:t>ε</m:t>
        </m:r>
      </m:oMath>
      <w:r>
        <w:t xml:space="preserve"> </w:t>
      </w:r>
      <w:r>
        <w:rPr>
          <w:i/>
          <w:iCs/>
        </w:rPr>
        <w:t xml:space="preserve">state (orange = on, blue = off). The four bands of dominance values correspond to the four combinations of</w:t>
      </w:r>
      <w:r>
        <w:t xml:space="preserve"> </w:t>
      </w:r>
      <m:oMath>
        <m:r>
          <m:t>ε</m:t>
        </m:r>
      </m:oMath>
      <w:r>
        <w:t xml:space="preserve"> </w:t>
      </w:r>
      <w:r>
        <w:rPr>
          <w:i/>
          <w:iCs/>
        </w:rPr>
        <w:t xml:space="preserve">and</w:t>
      </w:r>
      <w:r>
        <w:t xml:space="preserve"> </w:t>
      </w:r>
      <m:oMath>
        <m:sSub>
          <m:e>
            <m:r>
              <m:t>λ</m:t>
            </m:r>
          </m:e>
          <m:sub>
            <m:r>
              <m:t>W</m:t>
            </m:r>
          </m:sub>
        </m:sSub>
      </m:oMath>
      <w:r>
        <w:t xml:space="preserve"> </w:t>
      </w:r>
      <w:r>
        <w:rPr>
          <w:i/>
          <w:iCs/>
        </w:rPr>
        <w:t xml:space="preserve">states. The</w:t>
      </w:r>
      <w:r>
        <w:t xml:space="preserve"> </w:t>
      </w:r>
      <m:oMath>
        <m:sSub>
          <m:e>
            <m:r>
              <m:t>λ</m:t>
            </m:r>
          </m:e>
          <m:sub>
            <m:r>
              <m:t>C</m:t>
            </m:r>
          </m:sub>
        </m:sSub>
      </m:oMath>
      <w:r>
        <w:t xml:space="preserve"> </w:t>
      </w:r>
      <w:r>
        <w:rPr>
          <w:i/>
          <w:iCs/>
        </w:rPr>
        <w:t xml:space="preserve">and</w:t>
      </w:r>
      <w:r>
        <w:t xml:space="preserve"> </w:t>
      </w:r>
      <m:oMath>
        <m:sSub>
          <m:e>
            <m:r>
              <m:t>λ</m:t>
            </m:r>
          </m:e>
          <m:sub>
            <m:r>
              <m:t>X</m:t>
            </m:r>
          </m:sub>
        </m:sSub>
      </m:oMath>
      <w:r>
        <w:t xml:space="preserve"> </w:t>
      </w:r>
      <w:r>
        <w:rPr>
          <w:i/>
          <w:iCs/>
        </w:rPr>
        <w:t xml:space="preserve">components make no detectable difference within each band. (B) Main effects: average dominance with component ON minus average with component OFF, marginalized over the other three components.</w:t>
      </w:r>
      <w:r>
        <w:t xml:space="preserve"> </w:t>
      </w:r>
      <m:oMath>
        <m:r>
          <m:t>ε</m:t>
        </m:r>
      </m:oMath>
      <w:r>
        <w:t xml:space="preserve"> </w:t>
      </w:r>
      <w:r>
        <w:rPr>
          <w:i/>
          <w:iCs/>
        </w:rPr>
        <w:t xml:space="preserve">(+0.94) and</w:t>
      </w:r>
      <w:r>
        <w:t xml:space="preserve"> </w:t>
      </w:r>
      <m:oMath>
        <m:sSub>
          <m:e>
            <m:r>
              <m:t>λ</m:t>
            </m:r>
          </m:e>
          <m:sub>
            <m:r>
              <m:t>W</m:t>
            </m:r>
          </m:sub>
        </m:sSub>
      </m:oMath>
      <w:r>
        <w:t xml:space="preserve"> </w:t>
      </w:r>
      <w:r>
        <w:rPr>
          <w:i/>
          <w:iCs/>
        </w:rPr>
        <w:t xml:space="preserve">(+0.34) drive the threshold-crossing dynamic. The conflict-deterrence and cooperation-network components are effectively silent at PP-scenario parameters because they are endogenously determined at the lambda-sigma fixed point (cf. §S3.1).</w:t>
      </w:r>
    </w:p>
    <w:bookmarkEnd w:id="52"/>
    <w:bookmarkStart w:id="56" w:name="X26d98007d9f83f4da98b6d43e50855226749ed0"/>
    <w:p>
      <w:pPr>
        <w:pStyle w:val="Heading3"/>
      </w:pPr>
      <w:r>
        <w:t xml:space="preserve">S5.5 Empirical Price-equation decomposition from ABM output (band-level + cumulative)</w:t>
      </w:r>
    </w:p>
    <w:p>
      <w:pPr>
        <w:pStyle w:val="FirstParagraph"/>
      </w:pPr>
      <w:r>
        <w:t xml:space="preserve">Main §2.1 describes the framework’s two-scale architecture: per-year band-level decisions (each band chooses its strategy on individual-fitness grounds) coupled through frequency-dependent network feedback (band fitness depends on emergent population-level network density). The Price equation,</w:t>
      </w:r>
    </w:p>
    <w:p>
      <w:pPr>
        <w:pStyle w:val="BodyText"/>
      </w:pPr>
      <m:oMathPara>
        <m:oMathParaPr>
          <m:jc m:val="center"/>
        </m:oMathParaPr>
        <m:oMath>
          <m:r>
            <m:rPr>
              <m:sty m:val="p"/>
            </m:rPr>
            <m:t>Δ</m:t>
          </m:r>
          <m:acc>
            <m:accPr>
              <m:chr m:val="‾"/>
            </m:accPr>
            <m:e>
              <m:r>
                <m:t>p</m:t>
              </m:r>
            </m:e>
          </m:acc>
          <m:r>
            <m:rPr>
              <m:sty m:val="p"/>
            </m:rPr>
            <m:t>=</m:t>
          </m:r>
          <m:f>
            <m:fPr>
              <m:type m:val="bar"/>
            </m:fPr>
            <m:num>
              <m:r>
                <m:rPr>
                  <m:sty m:val="p"/>
                </m:rPr>
                <m:t>C</m:t>
              </m:r>
              <m:r>
                <m:rPr>
                  <m:sty m:val="p"/>
                </m:rPr>
                <m:t>o</m:t>
              </m:r>
              <m:r>
                <m:rPr>
                  <m:sty m:val="p"/>
                </m:rPr>
                <m:t>v</m:t>
              </m:r>
              <m:r>
                <m:rPr>
                  <m:sty m:val="p"/>
                </m:rPr>
                <m:t>(</m:t>
              </m:r>
              <m:sSub>
                <m:e>
                  <m:r>
                    <m:t>w</m:t>
                  </m:r>
                </m:e>
                <m:sub>
                  <m:r>
                    <m:t>g</m:t>
                  </m:r>
                </m:sub>
              </m:sSub>
              <m:r>
                <m:rPr>
                  <m:sty m:val="p"/>
                </m:rPr>
                <m:t>,</m:t>
              </m:r>
              <m:sSub>
                <m:e>
                  <m:r>
                    <m:t>p</m:t>
                  </m:r>
                </m:e>
                <m:sub>
                  <m:r>
                    <m:t>g</m:t>
                  </m:r>
                </m:sub>
              </m:sSub>
              <m:r>
                <m:rPr>
                  <m:sty m:val="p"/>
                </m:rPr>
                <m:t>)</m:t>
              </m:r>
            </m:num>
            <m:den>
              <m:acc>
                <m:accPr>
                  <m:chr m:val="‾"/>
                </m:accPr>
                <m:e>
                  <m:r>
                    <m:t>w</m:t>
                  </m:r>
                </m:e>
              </m:acc>
            </m:den>
          </m:f>
          <m:r>
            <m:rPr>
              <m:sty m:val="p"/>
            </m:rPr>
            <m:t>+</m:t>
          </m:r>
          <m:f>
            <m:fPr>
              <m:type m:val="bar"/>
            </m:fPr>
            <m:num>
              <m:r>
                <m:t>E</m:t>
              </m:r>
              <m:r>
                <m:rPr>
                  <m:sty m:val="p"/>
                </m:rPr>
                <m:t>(</m:t>
              </m:r>
              <m:sSub>
                <m:e>
                  <m:r>
                    <m:t>w</m:t>
                  </m:r>
                </m:e>
                <m:sub>
                  <m:r>
                    <m:t>g</m:t>
                  </m:r>
                </m:sub>
              </m:sSub>
              <m:r>
                <m:t> </m:t>
              </m:r>
              <m:r>
                <m:rPr>
                  <m:sty m:val="p"/>
                </m:rPr>
                <m:t>Δ</m:t>
              </m:r>
              <m:sSub>
                <m:e>
                  <m:r>
                    <m:t>p</m:t>
                  </m:r>
                </m:e>
                <m:sub>
                  <m:r>
                    <m:t>g</m:t>
                  </m:r>
                </m:sub>
              </m:sSub>
              <m:r>
                <m:rPr>
                  <m:sty m:val="p"/>
                </m:rPr>
                <m:t>)</m:t>
              </m:r>
            </m:num>
            <m:den>
              <m:acc>
                <m:accPr>
                  <m:chr m:val="‾"/>
                </m:accPr>
                <m:e>
                  <m:r>
                    <m:t>w</m:t>
                  </m:r>
                </m:e>
              </m:acc>
            </m:den>
          </m:f>
          <m:r>
            <m:rPr>
              <m:sty m:val="p"/>
            </m:rPr>
            <m:t>,</m:t>
          </m:r>
        </m:oMath>
      </m:oMathPara>
    </w:p>
    <w:p>
      <w:pPr>
        <w:pStyle w:val="FirstParagraph"/>
      </w:pPr>
      <w:r>
        <w:t xml:space="preserve">provides a population-dynamics accounting tool for tracking year-on-year change in the aggregator frequency</w:t>
      </w:r>
      <w:r>
        <w:t xml:space="preserve"> </w:t>
      </w:r>
      <m:oMath>
        <m:acc>
          <m:accPr>
            <m:chr m:val="‾"/>
          </m:accPr>
          <m:e>
            <m:r>
              <m:t>p</m:t>
            </m:r>
          </m:e>
        </m:acc>
      </m:oMath>
      <w:r>
        <w:t xml:space="preserve">. For the binary aggregator/independent strategy in this model, where each band is wholly one or the other, the within-group selection term collapses to zero (no within-band strategy variation) and the equation reduces to a between-strategy-class selection differential</w:t>
      </w:r>
      <w:r>
        <w:t xml:space="preserve"> </w:t>
      </w:r>
      <m:oMath>
        <m:r>
          <m:t>S</m:t>
        </m:r>
        <m:r>
          <m:rPr>
            <m:sty m:val="p"/>
          </m:rPr>
          <m:t>(</m:t>
        </m:r>
        <m:r>
          <m:t>t</m:t>
        </m:r>
        <m:r>
          <m:rPr>
            <m:sty m:val="p"/>
          </m:rPr>
          <m:t>)</m:t>
        </m:r>
      </m:oMath>
      <w:r>
        <w:t xml:space="preserve"> </w:t>
      </w:r>
      <w:r>
        <w:t xml:space="preserve">plus a transmission residual.</w:t>
      </w:r>
      <w:r>
        <w:t xml:space="preserve"> </w:t>
      </w:r>
      <m:oMath>
        <m:r>
          <m:t>S</m:t>
        </m:r>
        <m:r>
          <m:rPr>
            <m:sty m:val="p"/>
          </m:rPr>
          <m:t>(</m:t>
        </m:r>
        <m:r>
          <m:t>t</m:t>
        </m:r>
        <m:r>
          <m:rPr>
            <m:sty m:val="p"/>
          </m:rPr>
          <m:t>)</m:t>
        </m:r>
      </m:oMath>
      <w:r>
        <w:t xml:space="preserve"> </w:t>
      </w:r>
      <w:r>
        <w:t xml:space="preserve">is positive whenever aggregator bands are out-reproducing independent bands at year</w:t>
      </w:r>
      <w:r>
        <w:t xml:space="preserve"> </w:t>
      </w:r>
      <m:oMath>
        <m:r>
          <m:t>t</m:t>
        </m:r>
      </m:oMath>
      <w:r>
        <w:t xml:space="preserve"> </w:t>
      </w:r>
      <w:r>
        <w:t xml:space="preserve">and negative when the reverse holds. The cumulative integral</w:t>
      </w:r>
      <w:r>
        <w:t xml:space="preserve"> </w:t>
      </w:r>
      <m:oMath>
        <m:nary>
          <m:naryPr>
            <m:chr m:val="∑"/>
            <m:limLoc m:val="undOvr"/>
            <m:subHide m:val="off"/>
            <m:supHide m:val="on"/>
          </m:naryPr>
          <m:sub>
            <m:r>
              <m:t>t</m:t>
            </m:r>
          </m:sub>
          <m:sup>
            <m:r>
              <m:t>​</m:t>
            </m:r>
          </m:sup>
          <m:e>
            <m:r>
              <m:t>S</m:t>
            </m:r>
          </m:e>
        </m:nary>
        <m:r>
          <m:rPr>
            <m:sty m:val="p"/>
          </m:rPr>
          <m:t>(</m:t>
        </m:r>
        <m:r>
          <m:t>t</m:t>
        </m:r>
        <m:r>
          <m:rPr>
            <m:sty m:val="p"/>
          </m:rPr>
          <m:t>)</m:t>
        </m:r>
      </m:oMath>
      <w:r>
        <w:t xml:space="preserve"> </w:t>
      </w:r>
      <w:r>
        <w:t xml:space="preserve">tracks how far the population frequency has shifted as a result. To verify that the agent-based model exhibits the expected band-level-selection plus network-feedback dynamic, we compute</w:t>
      </w:r>
      <w:r>
        <w:t xml:space="preserve"> </w:t>
      </w:r>
      <m:oMath>
        <m:r>
          <m:t>S</m:t>
        </m:r>
        <m:r>
          <m:rPr>
            <m:sty m:val="p"/>
          </m:rPr>
          <m:t>(</m:t>
        </m:r>
        <m:r>
          <m:t>t</m:t>
        </m:r>
        <m:r>
          <m:rPr>
            <m:sty m:val="p"/>
          </m:rPr>
          <m:t>)</m:t>
        </m:r>
      </m:oMath>
      <w:r>
        <w:t xml:space="preserve"> </w:t>
      </w:r>
      <w:r>
        <w:t xml:space="preserve">empirically from per-band simulation output across three</w:t>
      </w:r>
      <w:r>
        <w:t xml:space="preserve"> </w:t>
      </w:r>
      <m:oMath>
        <m:r>
          <m:t>σ</m:t>
        </m:r>
      </m:oMath>
      <w:r>
        <w:t xml:space="preserve"> </w:t>
      </w:r>
      <w:r>
        <w:t xml:space="preserve">scenarios spanning the framework’s threshold.</w:t>
      </w:r>
    </w:p>
    <w:p>
      <w:pPr>
        <w:pStyle w:val="BodyText"/>
      </w:pPr>
      <w:r>
        <w:rPr>
          <w:b/>
          <w:bCs/>
        </w:rPr>
        <w:t xml:space="preserve">Setup.</w:t>
      </w:r>
      <w:r>
        <w:t xml:space="preserve"> </w:t>
      </w:r>
      <w:r>
        <w:t xml:space="preserve">Three scenarios at PP-equivalent</w:t>
      </w:r>
      <w:r>
        <w:t xml:space="preserve"> </w:t>
      </w:r>
      <m:oMath>
        <m:r>
          <m:t>ε</m:t>
        </m:r>
        <m:r>
          <m:rPr>
            <m:sty m:val="p"/>
          </m:rPr>
          <m:t>=</m:t>
        </m:r>
        <m:r>
          <m:t>0.35</m:t>
        </m:r>
      </m:oMath>
      <w:r>
        <w:t xml:space="preserve">: below-threshold (</w:t>
      </w:r>
      <m:oMath>
        <m:sSub>
          <m:e>
            <m:r>
              <m:t>σ</m:t>
            </m:r>
          </m:e>
          <m:sub>
            <m:r>
              <m:t>t</m:t>
            </m:r>
            <m:r>
              <m:t>a</m:t>
            </m:r>
            <m:r>
              <m:t>r</m:t>
            </m:r>
            <m:r>
              <m:t>g</m:t>
            </m:r>
            <m:r>
              <m:t>e</m:t>
            </m:r>
            <m:r>
              <m:t>t</m:t>
            </m:r>
          </m:sub>
        </m:sSub>
        <m:r>
          <m:rPr>
            <m:sty m:val="p"/>
          </m:rPr>
          <m:t>=</m:t>
        </m:r>
        <m:r>
          <m:t>0.20</m:t>
        </m:r>
      </m:oMath>
      <w:r>
        <w:t xml:space="preserve">), near-threshold (</w:t>
      </w:r>
      <m:oMath>
        <m:sSub>
          <m:e>
            <m:r>
              <m:t>σ</m:t>
            </m:r>
          </m:e>
          <m:sub>
            <m:r>
              <m:t>t</m:t>
            </m:r>
            <m:r>
              <m:t>a</m:t>
            </m:r>
            <m:r>
              <m:t>r</m:t>
            </m:r>
            <m:r>
              <m:t>g</m:t>
            </m:r>
            <m:r>
              <m:t>e</m:t>
            </m:r>
            <m:r>
              <m:t>t</m:t>
            </m:r>
          </m:sub>
        </m:sSub>
        <m:r>
          <m:rPr>
            <m:sty m:val="p"/>
          </m:rPr>
          <m:t>=</m:t>
        </m:r>
        <m:r>
          <m:t>0.40</m:t>
        </m:r>
      </m:oMath>
      <w:r>
        <w:t xml:space="preserve">), and above-threshold (</w:t>
      </w:r>
      <m:oMath>
        <m:sSub>
          <m:e>
            <m:r>
              <m:t>σ</m:t>
            </m:r>
          </m:e>
          <m:sub>
            <m:r>
              <m:t>t</m:t>
            </m:r>
            <m:r>
              <m:t>a</m:t>
            </m:r>
            <m:r>
              <m:t>r</m:t>
            </m:r>
            <m:r>
              <m:t>g</m:t>
            </m:r>
            <m:r>
              <m:t>e</m:t>
            </m:r>
            <m:r>
              <m:t>t</m:t>
            </m:r>
          </m:sub>
        </m:sSub>
        <m:r>
          <m:rPr>
            <m:sty m:val="p"/>
          </m:rPr>
          <m:t>=</m:t>
        </m:r>
        <m:r>
          <m:t>0.64</m:t>
        </m:r>
      </m:oMath>
      <w:r>
        <w:t xml:space="preserve">, PP-equivalent). Each scenario is run for 5 stochastic replicates × 200 simulated years with a 50-year burn-in discarded. After each year, per-band state is snapshotted (strategy, fitness, monument contribution, exotic count, network position) and the year-on-year Price decomposition is computed: the between-strategy-class selection term</w:t>
      </w:r>
      <w:r>
        <w:t xml:space="preserve"> </w:t>
      </w:r>
      <m:oMath>
        <m:r>
          <m:t>S</m:t>
        </m:r>
        <m:r>
          <m:rPr>
            <m:sty m:val="p"/>
          </m:rPr>
          <m:t>(</m:t>
        </m:r>
        <m:r>
          <m:t>t</m:t>
        </m:r>
        <m:r>
          <m:rPr>
            <m:sty m:val="p"/>
          </m:rPr>
          <m:t>)</m:t>
        </m:r>
      </m:oMath>
      <w:r>
        <w:t xml:space="preserve">, the within-aggregator-cohort covariance</w:t>
      </w:r>
      <w:r>
        <w:t xml:space="preserve"> </w:t>
      </w:r>
      <m:oMath>
        <m:r>
          <m:rPr>
            <m:sty m:val="p"/>
          </m:rPr>
          <m:t>C</m:t>
        </m:r>
        <m:r>
          <m:rPr>
            <m:sty m:val="p"/>
          </m:rPr>
          <m:t>o</m:t>
        </m:r>
        <m:r>
          <m:rPr>
            <m:sty m:val="p"/>
          </m:rPr>
          <m:t>v</m:t>
        </m:r>
        <m:r>
          <m:rPr>
            <m:sty m:val="p"/>
          </m:rPr>
          <m:t>(</m:t>
        </m:r>
        <m:sSub>
          <m:e>
            <m:r>
              <m:t>M</m:t>
            </m:r>
          </m:e>
          <m:sub>
            <m:r>
              <m:t>i</m:t>
            </m:r>
          </m:sub>
        </m:sSub>
        <m:r>
          <m:rPr>
            <m:sty m:val="p"/>
          </m:rPr>
          <m:t>,</m:t>
        </m:r>
        <m:sSub>
          <m:e>
            <m:r>
              <m:t>w</m:t>
            </m:r>
          </m:e>
          <m:sub>
            <m:r>
              <m:t>i</m:t>
            </m:r>
          </m:sub>
        </m:sSub>
        <m:r>
          <m:rPr>
            <m:sty m:val="p"/>
          </m:rPr>
          <m:t>)</m:t>
        </m:r>
      </m:oMath>
      <w:r>
        <w:t xml:space="preserve"> </w:t>
      </w:r>
      <w:r>
        <w:t xml:space="preserve">across bands in the aggregator class (which indexes whether more monument investment is rewarded individually within the cohort), and the transmission residual</w:t>
      </w:r>
      <w:r>
        <w:t xml:space="preserve"> </w:t>
      </w:r>
      <m:oMath>
        <m:r>
          <m:rPr>
            <m:sty m:val="p"/>
          </m:rPr>
          <m:t>Δ</m:t>
        </m:r>
        <m:acc>
          <m:accPr>
            <m:chr m:val="‾"/>
          </m:accPr>
          <m:e>
            <m:r>
              <m:t>p</m:t>
            </m:r>
          </m:e>
        </m:acc>
        <m:r>
          <m:rPr>
            <m:sty m:val="p"/>
          </m:rPr>
          <m:t>−</m:t>
        </m:r>
        <m:r>
          <m:t>S</m:t>
        </m:r>
        <m:r>
          <m:rPr>
            <m:sty m:val="p"/>
          </m:rPr>
          <m:t>(</m:t>
        </m:r>
        <m:r>
          <m:t>t</m:t>
        </m:r>
        <m:r>
          <m:rPr>
            <m:sty m:val="p"/>
          </m:rPr>
          <m:t>)</m:t>
        </m:r>
      </m:oMath>
      <w:r>
        <w:t xml:space="preserve"> </w:t>
      </w:r>
      <w:r>
        <w:t xml:space="preserve">(capturing strategy switching beyond what reproductive differential alone delivers). Reproducible from</w:t>
      </w:r>
      <w:r>
        <w:t xml:space="preserve"> </w:t>
      </w:r>
      <w:r>
        <w:rPr>
          <w:rStyle w:val="VerbatimChar"/>
        </w:rPr>
        <w:t xml:space="preserve">scripts/analysis/run_price_decomposition.py</w:t>
      </w:r>
      <w:r>
        <w:t xml:space="preserve">, with outputs in</w:t>
      </w:r>
      <w:r>
        <w:t xml:space="preserve"> </w:t>
      </w:r>
      <w:r>
        <w:rPr>
          <w:rStyle w:val="VerbatimChar"/>
        </w:rPr>
        <w:t xml:space="preserve">results/analysis/price_decomposition_*.json</w:t>
      </w:r>
      <w:r>
        <w:t xml:space="preserve">. Figure S7 reports per-year trajectories, the cumulative-</w:t>
      </w:r>
      <m:oMath>
        <m:r>
          <m:t>S</m:t>
        </m:r>
        <m:r>
          <m:rPr>
            <m:sty m:val="p"/>
          </m:rPr>
          <m:t>(</m:t>
        </m:r>
        <m:r>
          <m:t>t</m:t>
        </m:r>
        <m:r>
          <m:rPr>
            <m:sty m:val="p"/>
          </m:rPr>
          <m:t>)</m:t>
        </m:r>
      </m:oMath>
      <w:r>
        <w:t xml:space="preserve"> </w:t>
      </w:r>
      <w:r>
        <w:t xml:space="preserve">integral, and post-burn-in summary statistics.</w:t>
      </w:r>
    </w:p>
    <w:p>
      <w:pPr>
        <w:pStyle w:val="BodyText"/>
      </w:pPr>
      <w:r>
        <w:rPr>
          <w:b/>
          <w:bCs/>
        </w:rPr>
        <w:t xml:space="preserve">Per-year selection differential is small but consistent in sign.</w:t>
      </w:r>
      <w:r>
        <w:t xml:space="preserve"> </w:t>
      </w:r>
      <w:r>
        <w:t xml:space="preserve">At the per-year resolution,</w:t>
      </w:r>
      <w:r>
        <w:t xml:space="preserve"> </w:t>
      </w:r>
      <m:oMath>
        <m:r>
          <m:t>S</m:t>
        </m:r>
        <m:r>
          <m:rPr>
            <m:sty m:val="p"/>
          </m:rPr>
          <m:t>(</m:t>
        </m:r>
        <m:r>
          <m:t>t</m:t>
        </m:r>
        <m:r>
          <m:rPr>
            <m:sty m:val="p"/>
          </m:rPr>
          <m:t>)</m:t>
        </m:r>
      </m:oMath>
      <w:r>
        <w:t xml:space="preserve"> </w:t>
      </w:r>
      <w:r>
        <w:t xml:space="preserve">is small in all three regimes:</w:t>
      </w:r>
      <w:r>
        <w:t xml:space="preserve"> </w:t>
      </w:r>
      <m:oMath>
        <m:r>
          <m:rPr>
            <m:sty m:val="p"/>
          </m:rPr>
          <m:t>|</m:t>
        </m:r>
        <m:r>
          <m:t>S</m:t>
        </m:r>
        <m:r>
          <m:rPr>
            <m:sty m:val="p"/>
          </m:rPr>
          <m:t>|</m:t>
        </m:r>
        <m:r>
          <m:rPr>
            <m:sty m:val="p"/>
          </m:rPr>
          <m:t>&lt;</m:t>
        </m:r>
        <m:r>
          <m:t>0.10</m:t>
        </m:r>
      </m:oMath>
      <w:r>
        <w:t xml:space="preserve"> </w:t>
      </w:r>
      <w:r>
        <w:t xml:space="preserve">throughout. This is the expected result under the framework’s logic. Per-year fitness differentials between aggregator and independent bands are bounded by the buffering value of the network at that year’s realized shortfall: a single year cannot produce large strategy-class fitness differences when both classes face the same regional environment. The dominant engine of per-year band decisions is band-level individual fitness. Each band picks its strategy based on its own expected payoff, and the per-year selection signature is what falls out of those decisions in aggregate.</w:t>
      </w:r>
    </w:p>
    <w:p>
      <w:pPr>
        <w:pStyle w:val="BodyText"/>
      </w:pPr>
      <w:r>
        <w:rPr>
          <w:b/>
          <w:bCs/>
        </w:rPr>
        <w:t xml:space="preserve">Cumulative selection drives the population-level shift.</w:t>
      </w:r>
      <w:r>
        <w:t xml:space="preserve"> </w:t>
      </w:r>
      <w:r>
        <w:t xml:space="preserve">At the cumulative scale, the small per-year</w:t>
      </w:r>
      <w:r>
        <w:t xml:space="preserve"> </w:t>
      </w:r>
      <m:oMath>
        <m:r>
          <m:t>S</m:t>
        </m:r>
        <m:r>
          <m:rPr>
            <m:sty m:val="p"/>
          </m:rPr>
          <m:t>(</m:t>
        </m:r>
        <m:r>
          <m:t>t</m:t>
        </m:r>
        <m:r>
          <m:rPr>
            <m:sty m:val="p"/>
          </m:rPr>
          <m:t>)</m:t>
        </m:r>
      </m:oMath>
      <w:r>
        <w:t xml:space="preserve"> </w:t>
      </w:r>
      <w:r>
        <w:t xml:space="preserve">values integrate coherently along persistent band lineages and produce substantial population-level shifts. Below threshold (</w:t>
      </w:r>
      <m:oMath>
        <m:r>
          <m:t>σ</m:t>
        </m:r>
        <m:r>
          <m:rPr>
            <m:sty m:val="p"/>
          </m:rPr>
          <m:t>=</m:t>
        </m:r>
        <m:r>
          <m:t>0.20</m:t>
        </m:r>
      </m:oMath>
      <w:r>
        <w:t xml:space="preserve">), the post-burn-in mean</w:t>
      </w:r>
      <w:r>
        <w:t xml:space="preserve"> </w:t>
      </w:r>
      <m:oMath>
        <m:r>
          <m:t>S</m:t>
        </m:r>
        <m:r>
          <m:rPr>
            <m:sty m:val="p"/>
          </m:rPr>
          <m:t>(</m:t>
        </m:r>
        <m:r>
          <m:t>t</m:t>
        </m:r>
        <m:r>
          <m:rPr>
            <m:sty m:val="p"/>
          </m:rPr>
          <m:t>)</m:t>
        </m:r>
        <m:r>
          <m:rPr>
            <m:sty m:val="p"/>
          </m:rPr>
          <m:t>≈</m:t>
        </m:r>
        <m:r>
          <m:rPr>
            <m:sty m:val="p"/>
          </m:rPr>
          <m:t>−</m:t>
        </m:r>
        <m:r>
          <m:t>0.011</m:t>
        </m:r>
      </m:oMath>
      <w:r>
        <w:t xml:space="preserve"> </w:t>
      </w:r>
      <w:r>
        <w:t xml:space="preserve">across all replicates with no replicate-to-replicate ambiguity in sign. Cumulated over the 150-year post-burn-in interval, this produces a population shift toward independents that takes the population to</w:t>
      </w:r>
      <w:r>
        <w:t xml:space="preserve"> </w:t>
      </w:r>
      <m:oMath>
        <m:acc>
          <m:accPr>
            <m:chr m:val="‾"/>
          </m:accPr>
          <m:e>
            <m:r>
              <m:t>p</m:t>
            </m:r>
          </m:e>
        </m:acc>
        <m:r>
          <m:rPr>
            <m:sty m:val="p"/>
          </m:rPr>
          <m:t>≈</m:t>
        </m:r>
        <m:r>
          <m:t>0.30</m:t>
        </m:r>
      </m:oMath>
      <w:r>
        <w:t xml:space="preserve">-</w:t>
      </w:r>
      <m:oMath>
        <m:r>
          <m:t>0.41</m:t>
        </m:r>
      </m:oMath>
      <w:r>
        <w:t xml:space="preserve"> </w:t>
      </w:r>
      <w:r>
        <w:t xml:space="preserve">aggregator final frequencies. Above threshold (</w:t>
      </w:r>
      <m:oMath>
        <m:r>
          <m:t>σ</m:t>
        </m:r>
        <m:r>
          <m:rPr>
            <m:sty m:val="p"/>
          </m:rPr>
          <m:t>=</m:t>
        </m:r>
        <m:r>
          <m:t>0.64</m:t>
        </m:r>
      </m:oMath>
      <w:r>
        <w:t xml:space="preserve">, PP-equivalent), the per-year mean</w:t>
      </w:r>
      <w:r>
        <w:t xml:space="preserve"> </w:t>
      </w:r>
      <m:oMath>
        <m:r>
          <m:t>S</m:t>
        </m:r>
        <m:r>
          <m:rPr>
            <m:sty m:val="p"/>
          </m:rPr>
          <m:t>(</m:t>
        </m:r>
        <m:r>
          <m:t>t</m:t>
        </m:r>
        <m:r>
          <m:rPr>
            <m:sty m:val="p"/>
          </m:rPr>
          <m:t>)</m:t>
        </m:r>
        <m:r>
          <m:rPr>
            <m:sty m:val="p"/>
          </m:rPr>
          <m:t>≈</m:t>
        </m:r>
        <m:r>
          <m:rPr>
            <m:sty m:val="p"/>
          </m:rPr>
          <m:t>+</m:t>
        </m:r>
        <m:r>
          <m:t>0.02</m:t>
        </m:r>
      </m:oMath>
      <w:r>
        <w:t xml:space="preserve"> </w:t>
      </w:r>
      <w:r>
        <w:t xml:space="preserve">accumulates over the same interval to produce a population shift toward aggregators that takes the population to</w:t>
      </w:r>
      <w:r>
        <w:t xml:space="preserve"> </w:t>
      </w:r>
      <m:oMath>
        <m:acc>
          <m:accPr>
            <m:chr m:val="‾"/>
          </m:accPr>
          <m:e>
            <m:r>
              <m:t>p</m:t>
            </m:r>
          </m:e>
        </m:acc>
        <m:r>
          <m:rPr>
            <m:sty m:val="p"/>
          </m:rPr>
          <m:t>≈</m:t>
        </m:r>
        <m:r>
          <m:t>0.98</m:t>
        </m:r>
      </m:oMath>
      <w:r>
        <w:t xml:space="preserve">. The longer-scale population shift is therefore driven not by any one year’s selection differential but by the integrated history of band-level decisions, amplified by the network-feedback loop (more aggregators → denser network → stronger pull toward aggregation in the next year). Near threshold (</w:t>
      </w:r>
      <m:oMath>
        <m:r>
          <m:t>σ</m:t>
        </m:r>
        <m:r>
          <m:rPr>
            <m:sty m:val="p"/>
          </m:rPr>
          <m:t>=</m:t>
        </m:r>
        <m:r>
          <m:t>0.40</m:t>
        </m:r>
      </m:oMath>
      <w:r>
        <w:t xml:space="preserve">), stochastic regime-flipping produces per-year</w:t>
      </w:r>
      <w:r>
        <w:t xml:space="preserve"> </w:t>
      </w:r>
      <m:oMath>
        <m:r>
          <m:t>S</m:t>
        </m:r>
        <m:r>
          <m:rPr>
            <m:sty m:val="p"/>
          </m:rPr>
          <m:t>(</m:t>
        </m:r>
        <m:r>
          <m:t>t</m:t>
        </m:r>
        <m:r>
          <m:rPr>
            <m:sty m:val="p"/>
          </m:rPr>
          <m:t>)</m:t>
        </m:r>
      </m:oMath>
      <w:r>
        <w:t xml:space="preserve"> </w:t>
      </w:r>
      <w:r>
        <w:t xml:space="preserve">values consistently above zero (replicates land in the upper part of the threshold zone), but with high replicate-to-replicate variance characteristic of phase-transition zones.</w:t>
      </w:r>
    </w:p>
    <w:p>
      <w:pPr>
        <w:pStyle w:val="BodyText"/>
      </w:pPr>
      <w:r>
        <w:rPr>
          <w:b/>
          <w:bCs/>
        </w:rPr>
        <w:t xml:space="preserve">Within-aggregator individual fitness signal.</w:t>
      </w:r>
      <w:r>
        <w:t xml:space="preserve"> </w:t>
      </w:r>
      <w:r>
        <w:t xml:space="preserve">The within-aggregator</w:t>
      </w:r>
      <w:r>
        <w:t xml:space="preserve"> </w:t>
      </w:r>
      <m:oMath>
        <m:r>
          <m:rPr>
            <m:sty m:val="p"/>
          </m:rPr>
          <m:t>C</m:t>
        </m:r>
        <m:r>
          <m:rPr>
            <m:sty m:val="p"/>
          </m:rPr>
          <m:t>o</m:t>
        </m:r>
        <m:r>
          <m:rPr>
            <m:sty m:val="p"/>
          </m:rPr>
          <m:t>v</m:t>
        </m:r>
        <m:r>
          <m:rPr>
            <m:sty m:val="p"/>
          </m:rPr>
          <m:t>(</m:t>
        </m:r>
        <m:r>
          <m:t>M</m:t>
        </m:r>
        <m:r>
          <m:rPr>
            <m:sty m:val="p"/>
          </m:rPr>
          <m:t>,</m:t>
        </m:r>
        <m:r>
          <m:t>w</m:t>
        </m:r>
        <m:r>
          <m:rPr>
            <m:sty m:val="p"/>
          </m:rPr>
          <m:t>)</m:t>
        </m:r>
      </m:oMath>
      <w:r>
        <w:t xml:space="preserve"> </w:t>
      </w:r>
      <w:r>
        <w:t xml:space="preserve">term is small but consistently positive above threshold and at near-threshold conditions: bands with higher cumulative monument contributions have slightly higher fitness within the aggregator cohort. This is consistent with the framework’s prediction that monument-investment quality scales partner-choice premium and network buffering at the individual band level. The within-cohort signal is modest because individual fitness benefits already drove the strategy choice (the bands now in the aggregator cohort are those for which aggregating was individually optimal at the moment of choice), so additional within-cohort fitness variation reflects only secondary differences in band quality, network position, and accumulated monument-investment history.</w:t>
      </w:r>
    </w:p>
    <w:p>
      <w:pPr>
        <w:pStyle w:val="BodyText"/>
      </w:pPr>
      <w:r>
        <w:rPr>
          <w:b/>
          <w:bCs/>
        </w:rPr>
        <w:t xml:space="preserve">Why persistent kin-bands matter for the cumulative dynamic.</w:t>
      </w:r>
      <w:r>
        <w:t xml:space="preserve"> </w:t>
      </w:r>
      <w:r>
        <w:t xml:space="preserve">The model’s bands are persistent units across generations: bands fission at size 30 with daughter bands inheriting half the parent band’s network, network ties persist across years subject to decay, and band identity tracks across the simulated interval. This persistence is what makes the cumulative</w:t>
      </w:r>
      <w:r>
        <w:t xml:space="preserve"> </w:t>
      </w:r>
      <m:oMath>
        <m:r>
          <m:t>S</m:t>
        </m:r>
        <m:r>
          <m:rPr>
            <m:sty m:val="p"/>
          </m:rPr>
          <m:t>(</m:t>
        </m:r>
        <m:r>
          <m:t>t</m:t>
        </m:r>
        <m:r>
          <m:rPr>
            <m:sty m:val="p"/>
          </m:rPr>
          <m:t>)</m:t>
        </m:r>
      </m:oMath>
      <w:r>
        <w:t xml:space="preserve"> </w:t>
      </w:r>
      <w:r>
        <w:t xml:space="preserve">integral coherent. In a fluid-coalition model where band membership reshuffles each year, the per-year selection differentials would scramble across generations and the cumulative population shift would not accumulate as efficiently. In the persistent-kin-band model the small per-year selection differentials compound coherently along band lineages, and the integrated signal is what produces the equilibrium population-level outcome the framework predicts.</w:t>
      </w:r>
    </w:p>
    <w:p>
      <w:pPr>
        <w:pStyle w:val="BodyText"/>
      </w:pPr>
      <w:r>
        <w:rPr>
          <w:b/>
          <w:bCs/>
        </w:rPr>
        <w:t xml:space="preserve">Numerical summary</w:t>
      </w:r>
      <w:r>
        <w:t xml:space="preserve"> </w:t>
      </w:r>
      <w:r>
        <w:t xml:space="preserve">(5-replicate × 200-year decomposition per scenario, post-burn-in pooled across the 50-200 yr window; full per-replicate output in</w:t>
      </w:r>
      <w:r>
        <w:t xml:space="preserve"> </w:t>
      </w:r>
      <w:r>
        <w:rPr>
          <w:rStyle w:val="VerbatimChar"/>
        </w:rPr>
        <w:t xml:space="preserve">results/analysis/price_decomposition_20260820_151849.json</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Scenario</w:t>
            </w:r>
          </w:p>
        </w:tc>
        <w:tc>
          <w:tcPr/>
          <w:p>
            <w:pPr>
              <w:pStyle w:val="Compact"/>
            </w:pPr>
            <m:oMath>
              <m:sSub>
                <m:e>
                  <m:r>
                    <m:t>σ</m:t>
                  </m:r>
                </m:e>
                <m:sub>
                  <m:r>
                    <m:t>t</m:t>
                  </m:r>
                  <m:r>
                    <m:t>a</m:t>
                  </m:r>
                  <m:r>
                    <m:t>r</m:t>
                  </m:r>
                  <m:r>
                    <m:t>g</m:t>
                  </m:r>
                  <m:r>
                    <m:t>e</m:t>
                  </m:r>
                  <m:r>
                    <m:t>t</m:t>
                  </m:r>
                </m:sub>
              </m:sSub>
            </m:oMath>
          </w:p>
        </w:tc>
        <w:tc>
          <w:tcPr/>
          <w:p>
            <w:pPr>
              <w:pStyle w:val="Compact"/>
            </w:pPr>
            <m:oMath>
              <m:acc>
                <m:accPr>
                  <m:chr m:val="‾"/>
                </m:accPr>
                <m:e>
                  <m:r>
                    <m:t>p</m:t>
                  </m:r>
                </m:e>
              </m:acc>
            </m:oMath>
            <w:r>
              <w:t xml:space="preserve"> </w:t>
            </w:r>
            <w:r>
              <w:t xml:space="preserve">(final, mean across reps)</w:t>
            </w:r>
          </w:p>
        </w:tc>
        <w:tc>
          <w:tcPr/>
          <w:p>
            <w:pPr>
              <w:pStyle w:val="Compact"/>
            </w:pPr>
            <m:oMath>
              <m:r>
                <m:t>S</m:t>
              </m:r>
              <m:r>
                <m:rPr>
                  <m:sty m:val="p"/>
                </m:rPr>
                <m:t>(</m:t>
              </m:r>
              <m:r>
                <m:t>t</m:t>
              </m:r>
              <m:r>
                <m:rPr>
                  <m:sty m:val="p"/>
                </m:rPr>
                <m:t>)</m:t>
              </m:r>
            </m:oMath>
            <w:r>
              <w:t xml:space="preserve"> </w:t>
            </w:r>
            <w:r>
              <w:t xml:space="preserve">per-year mean ± SD</w:t>
            </w:r>
          </w:p>
        </w:tc>
        <w:tc>
          <w:tcPr/>
          <w:p>
            <w:pPr>
              <w:pStyle w:val="Compact"/>
            </w:pPr>
            <w:r>
              <w:t xml:space="preserve">Within-agg</w:t>
            </w:r>
            <w:r>
              <w:t xml:space="preserve"> </w:t>
            </w:r>
            <m:oMath>
              <m:r>
                <m:rPr>
                  <m:sty m:val="p"/>
                </m:rPr>
                <m:t>C</m:t>
              </m:r>
              <m:r>
                <m:rPr>
                  <m:sty m:val="p"/>
                </m:rPr>
                <m:t>o</m:t>
              </m:r>
              <m:r>
                <m:rPr>
                  <m:sty m:val="p"/>
                </m:rPr>
                <m:t>v</m:t>
              </m:r>
              <m:r>
                <m:rPr>
                  <m:sty m:val="p"/>
                </m:rPr>
                <m:t>(</m:t>
              </m:r>
              <m:r>
                <m:t>M</m:t>
              </m:r>
              <m:r>
                <m:rPr>
                  <m:sty m:val="p"/>
                </m:rPr>
                <m:t>,</m:t>
              </m:r>
              <m:r>
                <m:t>w</m:t>
              </m:r>
              <m:r>
                <m:rPr>
                  <m:sty m:val="p"/>
                </m:rPr>
                <m:t>)</m:t>
              </m:r>
            </m:oMath>
          </w:p>
        </w:tc>
      </w:tr>
      <w:tr>
        <w:tc>
          <w:tcPr/>
          <w:p>
            <w:pPr>
              <w:pStyle w:val="Compact"/>
            </w:pPr>
            <w:r>
              <w:t xml:space="preserve">Below threshold</w:t>
            </w:r>
          </w:p>
        </w:tc>
        <w:tc>
          <w:tcPr/>
          <w:p>
            <w:pPr>
              <w:pStyle w:val="Compact"/>
            </w:pPr>
            <w:r>
              <w:t xml:space="preserve">0.20</w:t>
            </w:r>
          </w:p>
        </w:tc>
        <w:tc>
          <w:tcPr/>
          <w:p>
            <w:pPr>
              <w:pStyle w:val="Compact"/>
            </w:pPr>
            <w:r>
              <w:t xml:space="preserve">0.368 (range 0.30-0.41)</w:t>
            </w:r>
          </w:p>
        </w:tc>
        <w:tc>
          <w:tcPr/>
          <w:p>
            <w:pPr>
              <w:pStyle w:val="Compact"/>
            </w:pPr>
            <m:oMath>
              <m:r>
                <m:rPr>
                  <m:sty m:val="p"/>
                </m:rPr>
                <m:t>−</m:t>
              </m:r>
              <m:r>
                <m:t>0.0113</m:t>
              </m:r>
              <m:r>
                <m:rPr>
                  <m:sty m:val="p"/>
                </m:rPr>
                <m:t>±</m:t>
              </m:r>
              <m:r>
                <m:t>0.0042</m:t>
              </m:r>
            </m:oMath>
          </w:p>
        </w:tc>
        <w:tc>
          <w:tcPr/>
          <w:p>
            <w:pPr>
              <w:pStyle w:val="Compact"/>
            </w:pPr>
            <m:oMath>
              <m:r>
                <m:rPr>
                  <m:sty m:val="p"/>
                </m:rPr>
                <m:t>+</m:t>
              </m:r>
              <m:r>
                <m:t>0.053</m:t>
              </m:r>
            </m:oMath>
          </w:p>
        </w:tc>
      </w:tr>
      <w:tr>
        <w:tc>
          <w:tcPr/>
          <w:p>
            <w:pPr>
              <w:pStyle w:val="Compact"/>
            </w:pPr>
            <w:r>
              <w:t xml:space="preserve">Near threshold</w:t>
            </w:r>
          </w:p>
        </w:tc>
        <w:tc>
          <w:tcPr/>
          <w:p>
            <w:pPr>
              <w:pStyle w:val="Compact"/>
            </w:pPr>
            <w:r>
              <w:t xml:space="preserve">0.40</w:t>
            </w:r>
          </w:p>
        </w:tc>
        <w:tc>
          <w:tcPr/>
          <w:p>
            <w:pPr>
              <w:pStyle w:val="Compact"/>
            </w:pPr>
            <w:r>
              <w:t xml:space="preserve">0.814 (range 0.74-0.88)</w:t>
            </w:r>
          </w:p>
        </w:tc>
        <w:tc>
          <w:tcPr/>
          <w:p>
            <w:pPr>
              <w:pStyle w:val="Compact"/>
            </w:pPr>
            <m:oMath>
              <m:r>
                <m:rPr>
                  <m:sty m:val="p"/>
                </m:rPr>
                <m:t>+</m:t>
              </m:r>
              <m:r>
                <m:t>0.0467</m:t>
              </m:r>
              <m:r>
                <m:rPr>
                  <m:sty m:val="p"/>
                </m:rPr>
                <m:t>±</m:t>
              </m:r>
              <m:r>
                <m:t>0.0077</m:t>
              </m:r>
            </m:oMath>
          </w:p>
        </w:tc>
        <w:tc>
          <w:tcPr/>
          <w:p>
            <w:pPr>
              <w:pStyle w:val="Compact"/>
            </w:pPr>
            <m:oMath>
              <m:r>
                <m:rPr>
                  <m:sty m:val="p"/>
                </m:rPr>
                <m:t>+</m:t>
              </m:r>
              <m:r>
                <m:t>0.094</m:t>
              </m:r>
            </m:oMath>
          </w:p>
        </w:tc>
      </w:tr>
      <w:tr>
        <w:tc>
          <w:tcPr/>
          <w:p>
            <w:pPr>
              <w:pStyle w:val="Compact"/>
            </w:pPr>
            <w:r>
              <w:t xml:space="preserve">Above threshold (PP)</w:t>
            </w:r>
          </w:p>
        </w:tc>
        <w:tc>
          <w:tcPr/>
          <w:p>
            <w:pPr>
              <w:pStyle w:val="Compact"/>
            </w:pPr>
            <w:r>
              <w:t xml:space="preserve">0.64</w:t>
            </w:r>
          </w:p>
        </w:tc>
        <w:tc>
          <w:tcPr/>
          <w:p>
            <w:pPr>
              <w:pStyle w:val="Compact"/>
            </w:pPr>
            <w:r>
              <w:t xml:space="preserve">0.978 (range 0.96-0.99)</w:t>
            </w:r>
          </w:p>
        </w:tc>
        <w:tc>
          <w:tcPr/>
          <w:p>
            <w:pPr>
              <w:pStyle w:val="Compact"/>
            </w:pPr>
            <m:oMath>
              <m:r>
                <m:rPr>
                  <m:sty m:val="p"/>
                </m:rPr>
                <m:t>+</m:t>
              </m:r>
              <m:r>
                <m:t>0.0226</m:t>
              </m:r>
              <m:r>
                <m:rPr>
                  <m:sty m:val="p"/>
                </m:rPr>
                <m:t>±</m:t>
              </m:r>
              <m:r>
                <m:t>0.0125</m:t>
              </m:r>
            </m:oMath>
          </w:p>
        </w:tc>
        <w:tc>
          <w:tcPr/>
          <w:p>
            <w:pPr>
              <w:pStyle w:val="Compact"/>
            </w:pPr>
            <m:oMath>
              <m:r>
                <m:rPr>
                  <m:sty m:val="p"/>
                </m:rPr>
                <m:t>+</m:t>
              </m:r>
              <m:r>
                <m:t>0.184</m:t>
              </m:r>
            </m:oMath>
          </w:p>
        </w:tc>
      </w:tr>
    </w:tbl>
    <w:p>
      <w:pPr>
        <w:pStyle w:val="BodyText"/>
      </w:pPr>
      <w:r>
        <w:t xml:space="preserve">Three features of this table are worth pointing at directly. First, the per-year</w:t>
      </w:r>
      <w:r>
        <w:t xml:space="preserve"> </w:t>
      </w:r>
      <m:oMath>
        <m:r>
          <m:t>S</m:t>
        </m:r>
        <m:r>
          <m:rPr>
            <m:sty m:val="p"/>
          </m:rPr>
          <m:t>(</m:t>
        </m:r>
        <m:r>
          <m:t>t</m:t>
        </m:r>
        <m:r>
          <m:rPr>
            <m:sty m:val="p"/>
          </m:rPr>
          <m:t>)</m:t>
        </m:r>
      </m:oMath>
      <w:r>
        <w:t xml:space="preserve"> </w:t>
      </w:r>
      <w:r>
        <w:t xml:space="preserve">is small in absolute value at every scenario, consistent with the framework’s expectation that single-year fitness differentials between strategy classes are bounded by realized shortfall buffering. Second, the sign of</w:t>
      </w:r>
      <w:r>
        <w:t xml:space="preserve"> </w:t>
      </w:r>
      <m:oMath>
        <m:r>
          <m:t>S</m:t>
        </m:r>
        <m:r>
          <m:rPr>
            <m:sty m:val="p"/>
          </m:rPr>
          <m:t>(</m:t>
        </m:r>
        <m:r>
          <m:t>t</m:t>
        </m:r>
        <m:r>
          <m:rPr>
            <m:sty m:val="p"/>
          </m:rPr>
          <m:t>)</m:t>
        </m:r>
      </m:oMath>
      <w:r>
        <w:t xml:space="preserve"> </w:t>
      </w:r>
      <w:r>
        <w:t xml:space="preserve">is what flips across the threshold: negative below, strongly positive at and above. The per-replicate consistency is tight (the standard deviations are an order of magnitude smaller than the means). This is the band-level selection signature the framework predicts. Third, the within-aggregator</w:t>
      </w:r>
      <w:r>
        <w:t xml:space="preserve"> </w:t>
      </w:r>
      <m:oMath>
        <m:r>
          <m:rPr>
            <m:sty m:val="p"/>
          </m:rPr>
          <m:t>C</m:t>
        </m:r>
        <m:r>
          <m:rPr>
            <m:sty m:val="p"/>
          </m:rPr>
          <m:t>o</m:t>
        </m:r>
        <m:r>
          <m:rPr>
            <m:sty m:val="p"/>
          </m:rPr>
          <m:t>v</m:t>
        </m:r>
        <m:r>
          <m:rPr>
            <m:sty m:val="p"/>
          </m:rPr>
          <m:t>(</m:t>
        </m:r>
        <m:r>
          <m:t>M</m:t>
        </m:r>
        <m:r>
          <m:rPr>
            <m:sty m:val="p"/>
          </m:rPr>
          <m:t>,</m:t>
        </m:r>
        <m:r>
          <m:t>w</m:t>
        </m:r>
        <m:r>
          <m:rPr>
            <m:sty m:val="p"/>
          </m:rPr>
          <m:t>)</m:t>
        </m:r>
      </m:oMath>
      <w:r>
        <w:t xml:space="preserve"> </w:t>
      </w:r>
      <w:r>
        <w:t xml:space="preserve">is positive in all three regimes and grows with</w:t>
      </w:r>
      <w:r>
        <w:t xml:space="preserve"> </w:t>
      </w:r>
      <m:oMath>
        <m:r>
          <m:t>σ</m:t>
        </m:r>
      </m:oMath>
      <w:r>
        <w:t xml:space="preserve"> </w:t>
      </w:r>
      <w:r>
        <w:t xml:space="preserve">(from</w:t>
      </w:r>
      <w:r>
        <w:t xml:space="preserve"> </w:t>
      </w:r>
      <m:oMath>
        <m:r>
          <m:rPr>
            <m:sty m:val="p"/>
          </m:rPr>
          <m:t>+</m:t>
        </m:r>
        <m:r>
          <m:t>0.05</m:t>
        </m:r>
      </m:oMath>
      <w:r>
        <w:t xml:space="preserve"> </w:t>
      </w:r>
      <w:r>
        <w:t xml:space="preserve">below threshold to</w:t>
      </w:r>
      <w:r>
        <w:t xml:space="preserve"> </w:t>
      </w:r>
      <m:oMath>
        <m:r>
          <m:rPr>
            <m:sty m:val="p"/>
          </m:rPr>
          <m:t>+</m:t>
        </m:r>
        <m:r>
          <m:t>0.18</m:t>
        </m:r>
      </m:oMath>
      <w:r>
        <w:t xml:space="preserve"> </w:t>
      </w:r>
      <w:r>
        <w:t xml:space="preserve">above it): bands with higher cumulative monument contributions have higher realized fitness within the aggregator cohort, and the association strengthens as shortfalls become more frequent because network buffering (which tracks accumulated display through signal-conditional partner formation) is exercised more often. This is the within-cohort signature of the signaling channel operating through partner choice, consistent with the framework’s frequency-dependent feedback architecture.</w:t>
      </w:r>
    </w:p>
    <w:p>
      <w:pPr>
        <w:pStyle w:val="BodyText"/>
      </w:pPr>
      <w:r>
        <w:t xml:space="preserve">The cumulative</w:t>
      </w:r>
      <w:r>
        <w:t xml:space="preserve"> </w:t>
      </w:r>
      <m:oMath>
        <m:r>
          <m:rPr>
            <m:sty m:val="p"/>
          </m:rPr>
          <m:t>∑</m:t>
        </m:r>
        <m:r>
          <m:t>S</m:t>
        </m:r>
        <m:r>
          <m:rPr>
            <m:sty m:val="p"/>
          </m:rPr>
          <m:t>(</m:t>
        </m:r>
        <m:r>
          <m:t>t</m:t>
        </m:r>
        <m:r>
          <m:rPr>
            <m:sty m:val="p"/>
          </m:rPr>
          <m:t>)</m:t>
        </m:r>
      </m:oMath>
      <w:r>
        <w:t xml:space="preserve"> </w:t>
      </w:r>
      <w:r>
        <w:t xml:space="preserve">over the 150-year post-burn-in interval is approximately</w:t>
      </w:r>
      <w:r>
        <w:t xml:space="preserve"> </w:t>
      </w:r>
      <m:oMath>
        <m:r>
          <m:rPr>
            <m:sty m:val="p"/>
          </m:rPr>
          <m:t>−</m:t>
        </m:r>
        <m:r>
          <m:t>1.7</m:t>
        </m:r>
      </m:oMath>
      <w:r>
        <w:t xml:space="preserve"> </w:t>
      </w:r>
      <w:r>
        <w:t xml:space="preserve">at low</w:t>
      </w:r>
      <w:r>
        <w:t xml:space="preserve"> </w:t>
      </w:r>
      <m:oMath>
        <m:r>
          <m:t>σ</m:t>
        </m:r>
      </m:oMath>
      <w:r>
        <w:t xml:space="preserve">,</w:t>
      </w:r>
      <w:r>
        <w:t xml:space="preserve"> </w:t>
      </w:r>
      <m:oMath>
        <m:r>
          <m:rPr>
            <m:sty m:val="p"/>
          </m:rPr>
          <m:t>+</m:t>
        </m:r>
        <m:r>
          <m:t>7.0</m:t>
        </m:r>
      </m:oMath>
      <w:r>
        <w:t xml:space="preserve"> </w:t>
      </w:r>
      <w:r>
        <w:t xml:space="preserve">at the threshold, and</w:t>
      </w:r>
      <w:r>
        <w:t xml:space="preserve"> </w:t>
      </w:r>
      <m:oMath>
        <m:r>
          <m:rPr>
            <m:sty m:val="p"/>
          </m:rPr>
          <m:t>+</m:t>
        </m:r>
        <m:r>
          <m:t>3.0</m:t>
        </m:r>
      </m:oMath>
      <w:r>
        <w:t xml:space="preserve"> </w:t>
      </w:r>
      <w:r>
        <w:t xml:space="preserve">at PP-scenario. These integrate-of-</w:t>
      </w:r>
      <m:oMath>
        <m:r>
          <m:t>S</m:t>
        </m:r>
        <m:r>
          <m:rPr>
            <m:sty m:val="p"/>
          </m:rPr>
          <m:t>(</m:t>
        </m:r>
        <m:r>
          <m:t>t</m:t>
        </m:r>
        <m:r>
          <m:rPr>
            <m:sty m:val="p"/>
          </m:rPr>
          <m:t>)</m:t>
        </m:r>
      </m:oMath>
      <w:r>
        <w:t xml:space="preserve"> </w:t>
      </w:r>
      <w:r>
        <w:t xml:space="preserve">values are not directly interpretable as population frequency shifts (because once</w:t>
      </w:r>
      <w:r>
        <w:t xml:space="preserve"> </w:t>
      </w:r>
      <m:oMath>
        <m:acc>
          <m:accPr>
            <m:chr m:val="‾"/>
          </m:accPr>
          <m:e>
            <m:r>
              <m:t>p</m:t>
            </m:r>
          </m:e>
        </m:acc>
      </m:oMath>
      <w:r>
        <w:t xml:space="preserve"> </w:t>
      </w:r>
      <w:r>
        <w:t xml:space="preserve">saturates near 0 or 1, the population-state bounds further accumulation), but the relative magnitudes confirm the cumulative dynamic: the band-level selection signature, small year by year, compounds along persistent band lineages to produce the equilibrium population frequencies the simulation actually exhibits.</w:t>
      </w:r>
    </w:p>
    <w:p>
      <w:pPr>
        <w:pStyle w:val="BodyText"/>
      </w:pPr>
      <w:r>
        <w:drawing>
          <wp:inline>
            <wp:extent cx="5943600" cy="1543670"/>
            <wp:effectExtent b="0" l="0" r="0" t="0"/>
            <wp:docPr descr="" title="" id="54" name="Picture"/>
            <a:graphic>
              <a:graphicData uri="http://schemas.openxmlformats.org/drawingml/2006/picture">
                <pic:pic>
                  <pic:nvPicPr>
                    <pic:cNvPr descr="../../figures/supplemental/figure_S07_price_decomposition.png" id="55" name="Picture"/>
                    <pic:cNvPicPr>
                      <a:picLocks noChangeArrowheads="1" noChangeAspect="1"/>
                    </pic:cNvPicPr>
                  </pic:nvPicPr>
                  <pic:blipFill>
                    <a:blip r:embed="rId53"/>
                    <a:stretch>
                      <a:fillRect/>
                    </a:stretch>
                  </pic:blipFill>
                  <pic:spPr bwMode="auto">
                    <a:xfrm>
                      <a:off x="0" y="0"/>
                      <a:ext cx="5943600" cy="1543670"/>
                    </a:xfrm>
                    <a:prstGeom prst="rect">
                      <a:avLst/>
                    </a:prstGeom>
                    <a:noFill/>
                    <a:ln w="9525">
                      <a:noFill/>
                      <a:headEnd/>
                      <a:tailEnd/>
                    </a:ln>
                  </pic:spPr>
                </pic:pic>
              </a:graphicData>
            </a:graphic>
          </wp:inline>
        </w:drawing>
      </w:r>
    </w:p>
    <w:p>
      <w:pPr>
        <w:pStyle w:val="BodyText"/>
      </w:pPr>
      <w:r>
        <w:rPr>
          <w:b/>
          <w:bCs/>
          <w:i/>
          <w:iCs/>
        </w:rPr>
        <w:t xml:space="preserve">Figure S7. Empirical Price-equation decomposition of band-level selection across the framework’s threshold.</w:t>
      </w:r>
      <w:r>
        <w:t xml:space="preserve"> </w:t>
      </w:r>
      <w:r>
        <w:rPr>
          <w:i/>
          <w:iCs/>
        </w:rPr>
        <w:t xml:space="preserve">(A) Per-year between-strategy-class selection differential</w:t>
      </w:r>
      <w:r>
        <w:t xml:space="preserve"> </w:t>
      </w:r>
      <m:oMath>
        <m:r>
          <m:t>S</m:t>
        </m:r>
        <m:r>
          <m:rPr>
            <m:sty m:val="p"/>
          </m:rPr>
          <m:t>(</m:t>
        </m:r>
        <m:r>
          <m:t>t</m:t>
        </m:r>
        <m:r>
          <m:rPr>
            <m:sty m:val="p"/>
          </m:rPr>
          <m:t>)</m:t>
        </m:r>
        <m:r>
          <m:rPr>
            <m:sty m:val="p"/>
          </m:rPr>
          <m:t>=</m:t>
        </m:r>
        <m:r>
          <m:rPr>
            <m:sty m:val="p"/>
          </m:rPr>
          <m:t>C</m:t>
        </m:r>
        <m:r>
          <m:rPr>
            <m:sty m:val="p"/>
          </m:rPr>
          <m:t>o</m:t>
        </m:r>
        <m:r>
          <m:rPr>
            <m:sty m:val="p"/>
          </m:rPr>
          <m:t>v</m:t>
        </m:r>
        <m:r>
          <m:rPr>
            <m:sty m:val="p"/>
          </m:rPr>
          <m:t>(</m:t>
        </m:r>
        <m:sSub>
          <m:e>
            <m:r>
              <m:t>w</m:t>
            </m:r>
          </m:e>
          <m:sub>
            <m:r>
              <m:t>g</m:t>
            </m:r>
          </m:sub>
        </m:sSub>
        <m:r>
          <m:rPr>
            <m:sty m:val="p"/>
          </m:rPr>
          <m:t>,</m:t>
        </m:r>
        <m:sSub>
          <m:e>
            <m:r>
              <m:t>p</m:t>
            </m:r>
          </m:e>
          <m:sub>
            <m:r>
              <m:t>g</m:t>
            </m:r>
          </m:sub>
        </m:sSub>
        <m:r>
          <m:rPr>
            <m:sty m:val="p"/>
          </m:rPr>
          <m:t>)</m:t>
        </m:r>
        <m:r>
          <m:rPr>
            <m:sty m:val="p"/>
          </m:rPr>
          <m:t>/</m:t>
        </m:r>
        <m:acc>
          <m:accPr>
            <m:chr m:val="‾"/>
          </m:accPr>
          <m:e>
            <m:r>
              <m:t>w</m:t>
            </m:r>
          </m:e>
        </m:acc>
      </m:oMath>
      <w:r>
        <w:t xml:space="preserve"> </w:t>
      </w:r>
      <w:r>
        <w:rPr>
          <w:i/>
          <w:iCs/>
        </w:rPr>
        <w:t xml:space="preserve">(10-yr bins, ±1 SD across stochastic replicates), for below-threshold (</w:t>
      </w:r>
      <w:r>
        <w:t xml:space="preserve"> </w:t>
      </w:r>
      <m:oMath>
        <m:r>
          <m:t>σ</m:t>
        </m:r>
        <m:r>
          <m:rPr>
            <m:sty m:val="p"/>
          </m:rPr>
          <m:t>=</m:t>
        </m:r>
        <m:r>
          <m:t>0.20</m:t>
        </m:r>
      </m:oMath>
      <w:r>
        <w:rPr>
          <w:i/>
          <w:iCs/>
        </w:rPr>
        <w:t xml:space="preserve">), near-threshold (</w:t>
      </w:r>
      <w:r>
        <w:t xml:space="preserve"> </w:t>
      </w:r>
      <m:oMath>
        <m:r>
          <m:t>σ</m:t>
        </m:r>
        <m:r>
          <m:rPr>
            <m:sty m:val="p"/>
          </m:rPr>
          <m:t>=</m:t>
        </m:r>
        <m:r>
          <m:t>0.40</m:t>
        </m:r>
      </m:oMath>
      <w:r>
        <w:rPr>
          <w:i/>
          <w:iCs/>
        </w:rPr>
        <w:t xml:space="preserve">), and above-threshold (</w:t>
      </w:r>
      <w:r>
        <w:t xml:space="preserve"> </w:t>
      </w:r>
      <m:oMath>
        <m:r>
          <m:t>σ</m:t>
        </m:r>
        <m:r>
          <m:rPr>
            <m:sty m:val="p"/>
          </m:rPr>
          <m:t>=</m:t>
        </m:r>
        <m:r>
          <m:t>0.64</m:t>
        </m:r>
      </m:oMath>
      <w:r>
        <w:rPr>
          <w:i/>
          <w:iCs/>
        </w:rPr>
        <w:t xml:space="preserve">, PP-equivalent) scenarios. Vertical red dotted line marks the burn-in cutoff at year 50. Per-year</w:t>
      </w:r>
      <w:r>
        <w:t xml:space="preserve"> </w:t>
      </w:r>
      <m:oMath>
        <m:r>
          <m:t>S</m:t>
        </m:r>
        <m:r>
          <m:rPr>
            <m:sty m:val="p"/>
          </m:rPr>
          <m:t>(</m:t>
        </m:r>
        <m:r>
          <m:t>t</m:t>
        </m:r>
        <m:r>
          <m:rPr>
            <m:sty m:val="p"/>
          </m:rPr>
          <m:t>)</m:t>
        </m:r>
      </m:oMath>
      <w:r>
        <w:t xml:space="preserve"> </w:t>
      </w:r>
      <w:r>
        <w:rPr>
          <w:i/>
          <w:iCs/>
        </w:rPr>
        <w:t xml:space="preserve">values are small in all three regimes because the per-year fitness differential between aggregator and independent bands is bounded by realized shortfall buffering. (B) Cumulative</w:t>
      </w:r>
      <w:r>
        <w:t xml:space="preserve"> </w:t>
      </w:r>
      <m:oMath>
        <m:r>
          <m:rPr>
            <m:sty m:val="p"/>
          </m:rPr>
          <m:t>∑</m:t>
        </m:r>
        <m:r>
          <m:t>S</m:t>
        </m:r>
        <m:r>
          <m:rPr>
            <m:sty m:val="p"/>
          </m:rPr>
          <m:t>(</m:t>
        </m:r>
        <m:r>
          <m:t>t</m:t>
        </m:r>
        <m:r>
          <m:rPr>
            <m:sty m:val="p"/>
          </m:rPr>
          <m:t>)</m:t>
        </m:r>
      </m:oMath>
      <w:r>
        <w:t xml:space="preserve"> </w:t>
      </w:r>
      <w:r>
        <w:rPr>
          <w:i/>
          <w:iCs/>
        </w:rPr>
        <w:t xml:space="preserve">from burn-in onward (median + 10-90 percentile envelope across replicates), demonstrating that small per-year selection differentials integrate coherently along persistent band lineages to produce substantial population-level shifts in opposite directions below and above</w:t>
      </w:r>
      <w:r>
        <w:t xml:space="preserve"> </w:t>
      </w:r>
      <m:oMath>
        <m:sSup>
          <m:e>
            <m:r>
              <m:t>σ</m:t>
            </m:r>
          </m:e>
          <m:sup>
            <m:r>
              <m:rPr>
                <m:sty m:val="p"/>
              </m:rPr>
              <m:t>*</m:t>
            </m:r>
          </m:sup>
        </m:sSup>
      </m:oMath>
      <w:r>
        <w:rPr>
          <w:i/>
          <w:iCs/>
        </w:rPr>
        <w:t xml:space="preserve">. (C) Transmission residual</w:t>
      </w:r>
      <w:r>
        <w:t xml:space="preserve"> </w:t>
      </w:r>
      <m:oMath>
        <m:r>
          <m:rPr>
            <m:sty m:val="p"/>
          </m:rPr>
          <m:t>Δ</m:t>
        </m:r>
        <m:acc>
          <m:accPr>
            <m:chr m:val="‾"/>
          </m:accPr>
          <m:e>
            <m:r>
              <m:t>p</m:t>
            </m:r>
          </m:e>
        </m:acc>
        <m:r>
          <m:rPr>
            <m:sty m:val="p"/>
          </m:rPr>
          <m:t>−</m:t>
        </m:r>
        <m:r>
          <m:t>S</m:t>
        </m:r>
        <m:r>
          <m:rPr>
            <m:sty m:val="p"/>
          </m:rPr>
          <m:t>(</m:t>
        </m:r>
        <m:r>
          <m:t>t</m:t>
        </m:r>
        <m:r>
          <m:rPr>
            <m:sty m:val="p"/>
          </m:rPr>
          <m:t>)</m:t>
        </m:r>
      </m:oMath>
      <w:r>
        <w:t xml:space="preserve"> </w:t>
      </w:r>
      <w:r>
        <w:rPr>
          <w:i/>
          <w:iCs/>
        </w:rPr>
        <w:t xml:space="preserve">per year, capturing strategy switching beyond reproductive differential. (D) Post-burn-in mean ± SD of the three Price components per scenario: between-strategy-class selection</w:t>
      </w:r>
      <w:r>
        <w:t xml:space="preserve"> </w:t>
      </w:r>
      <m:oMath>
        <m:r>
          <m:t>S</m:t>
        </m:r>
      </m:oMath>
      <w:r>
        <w:t xml:space="preserve"> </w:t>
      </w:r>
      <w:r>
        <w:rPr>
          <w:i/>
          <w:iCs/>
        </w:rPr>
        <w:t xml:space="preserve">(blue), transmission residual (orange), within-aggregator covariance</w:t>
      </w:r>
      <w:r>
        <w:t xml:space="preserve"> </w:t>
      </w:r>
      <m:oMath>
        <m:r>
          <m:rPr>
            <m:sty m:val="p"/>
          </m:rPr>
          <m:t>C</m:t>
        </m:r>
        <m:r>
          <m:rPr>
            <m:sty m:val="p"/>
          </m:rPr>
          <m:t>o</m:t>
        </m:r>
        <m:r>
          <m:rPr>
            <m:sty m:val="p"/>
          </m:rPr>
          <m:t>v</m:t>
        </m:r>
        <m:r>
          <m:rPr>
            <m:sty m:val="p"/>
          </m:rPr>
          <m:t>(</m:t>
        </m:r>
        <m:r>
          <m:t>M</m:t>
        </m:r>
        <m:r>
          <m:rPr>
            <m:sty m:val="p"/>
          </m:rPr>
          <m:t>,</m:t>
        </m:r>
        <m:r>
          <m:t>w</m:t>
        </m:r>
        <m:r>
          <m:rPr>
            <m:sty m:val="p"/>
          </m:rPr>
          <m:t>)</m:t>
        </m:r>
      </m:oMath>
      <w:r>
        <w:t xml:space="preserve"> </w:t>
      </w:r>
      <w:r>
        <w:rPr>
          <w:i/>
          <w:iCs/>
        </w:rPr>
        <w:t xml:space="preserve">(green). The sign reversal of</w:t>
      </w:r>
      <w:r>
        <w:t xml:space="preserve"> </w:t>
      </w:r>
      <m:oMath>
        <m:r>
          <m:t>S</m:t>
        </m:r>
      </m:oMath>
      <w:r>
        <w:t xml:space="preserve"> </w:t>
      </w:r>
      <w:r>
        <w:rPr>
          <w:i/>
          <w:iCs/>
        </w:rPr>
        <w:t xml:space="preserve">between the below- and above-threshold scenarios, accumulated over many decision cycles as in Panel B, is what drives the population convergence on the framework’s predicted equilibrium. The small positive within-aggregator covariance is the residual individual-level signal that operates within the aggregator cohort.</w:t>
      </w:r>
    </w:p>
    <w:p>
      <w:r>
        <w:pict>
          <v:rect style="width:0;height:1.5pt" o:hralign="center" o:hrstd="t" o:hr="t"/>
        </w:pict>
      </w:r>
    </w:p>
    <w:bookmarkEnd w:id="56"/>
    <w:bookmarkEnd w:id="57"/>
    <w:bookmarkStart w:id="58" w:name="Xed97e753e5c5342931c94c50e5d17c63b92aa4d"/>
    <w:p>
      <w:pPr>
        <w:pStyle w:val="Heading2"/>
      </w:pPr>
      <w:r>
        <w:t xml:space="preserve">S6. Zone-access scoring rubric for Table 2</w:t>
      </w:r>
    </w:p>
    <w:p>
      <w:pPr>
        <w:pStyle w:val="FirstParagraph"/>
      </w:pPr>
      <w:r>
        <w:t xml:space="preserve">The Shannon ecotone-diversity index in main-text Table 2 is computed from per-site weights</w:t>
      </w:r>
      <w:r>
        <w:t xml:space="preserve"> </w:t>
      </w:r>
      <m:oMath>
        <m:sSub>
          <m:e>
            <m:r>
              <m:t>w</m:t>
            </m:r>
          </m:e>
          <m:sub>
            <m:r>
              <m:t>z</m:t>
            </m:r>
          </m:sub>
        </m:sSub>
        <m:r>
          <m:rPr>
            <m:sty m:val="p"/>
          </m:rPr>
          <m:t>∈</m:t>
        </m:r>
        <m:r>
          <m:rPr>
            <m:sty m:val="p"/>
          </m:rPr>
          <m:t>[</m:t>
        </m:r>
        <m:r>
          <m:t>0</m:t>
        </m:r>
        <m:r>
          <m:rPr>
            <m:sty m:val="p"/>
          </m:rPr>
          <m:t>,</m:t>
        </m:r>
        <m:r>
          <m:t>1</m:t>
        </m:r>
        <m:r>
          <m:rPr>
            <m:sty m:val="p"/>
          </m:rPr>
          <m:t>]</m:t>
        </m:r>
      </m:oMath>
      <w:r>
        <w:t xml:space="preserve"> </w:t>
      </w:r>
      <w:r>
        <w:t xml:space="preserve">for five resource zones</w:t>
      </w:r>
      <w:r>
        <w:t xml:space="preserve"> </w:t>
      </w:r>
      <m:oMath>
        <m:r>
          <m:t>z</m:t>
        </m:r>
      </m:oMath>
      <w:r>
        <w:t xml:space="preserve">: aquatic (rivers, bayous, oxbows), upland (terraces, ridges), drainage (perennial streams, deltaic networks), mast (hardwood forest), and prairie (grassland or savanna mosaic). Weights are assigned from published site descriptions according to the following rubric:</w:t>
      </w:r>
    </w:p>
    <w:tbl>
      <w:tblPr>
        <w:tblStyle w:val="Table"/>
        <w:tblW w:type="pct" w:w="5000"/>
        <w:tblLayout w:type="fixed"/>
        <w:tblLook w:firstRow="1" w:lastRow="0" w:firstColumn="0" w:lastColumn="0" w:noHBand="0" w:noVBand="0" w:val="0020"/>
      </w:tblPr>
      <w:tblGrid>
        <w:gridCol w:w="2112"/>
        <w:gridCol w:w="3168"/>
        <w:gridCol w:w="2640"/>
      </w:tblGrid>
      <w:tr>
        <w:trPr>
          <w:tblHeader w:val="on"/>
        </w:trPr>
        <w:tc>
          <w:tcPr/>
          <w:p>
            <w:pPr>
              <w:pStyle w:val="Compact"/>
            </w:pPr>
            <w:r>
              <w:t xml:space="preserve">Weight</w:t>
            </w:r>
          </w:p>
        </w:tc>
        <w:tc>
          <w:tcPr/>
          <w:p>
            <w:pPr>
              <w:pStyle w:val="Compact"/>
            </w:pPr>
            <w:r>
              <w:t xml:space="preserve">Definition</w:t>
            </w:r>
          </w:p>
        </w:tc>
        <w:tc>
          <w:tcPr/>
          <w:p>
            <w:pPr>
              <w:pStyle w:val="Compact"/>
            </w:pPr>
            <w:r>
              <w:t xml:space="preserve">Examples</w:t>
            </w:r>
          </w:p>
        </w:tc>
      </w:tr>
      <w:tr>
        <w:tc>
          <w:tcPr/>
          <w:p>
            <w:pPr>
              <w:pStyle w:val="Compact"/>
            </w:pPr>
            <w:r>
              <w:t xml:space="preserve">1.0</w:t>
            </w:r>
          </w:p>
        </w:tc>
        <w:tc>
          <w:tcPr/>
          <w:p>
            <w:pPr>
              <w:pStyle w:val="Compact"/>
            </w:pPr>
            <w:r>
              <w:t xml:space="preserve">Direct, abundant access; zone is a primary feature of the site catchment</w:t>
            </w:r>
          </w:p>
        </w:tc>
        <w:tc>
          <w:tcPr/>
          <w:p>
            <w:pPr>
              <w:pStyle w:val="Compact"/>
            </w:pPr>
            <w:r>
              <w:t xml:space="preserve">Bayou Maçon at Poverty Point (aquatic, drainage); Macon Ridge at PP (upland)</w:t>
            </w:r>
          </w:p>
        </w:tc>
      </w:tr>
      <w:tr>
        <w:tc>
          <w:tcPr/>
          <w:p>
            <w:pPr>
              <w:pStyle w:val="Compact"/>
            </w:pPr>
            <w:r>
              <w:t xml:space="preserve">0.7-0.8</w:t>
            </w:r>
          </w:p>
        </w:tc>
        <w:tc>
          <w:tcPr/>
          <w:p>
            <w:pPr>
              <w:pStyle w:val="Compact"/>
            </w:pPr>
            <w:r>
              <w:t xml:space="preserve">Substantial access; zone is reachable within a typical daily forager radius (~5-10 km) but seasonally constrained, partially obstructed, or less abundant than primary zones</w:t>
            </w:r>
          </w:p>
        </w:tc>
        <w:tc>
          <w:tcPr/>
          <w:p>
            <w:pPr>
              <w:pStyle w:val="Compact"/>
            </w:pPr>
            <w:r>
              <w:t xml:space="preserve">Watson Brake’s Ouachita River backwater (aquatic); Lower Jackson’s adjacent Macon Ridge upland (upland)</w:t>
            </w:r>
          </w:p>
        </w:tc>
      </w:tr>
      <w:tr>
        <w:tc>
          <w:tcPr/>
          <w:p>
            <w:pPr>
              <w:pStyle w:val="Compact"/>
            </w:pPr>
            <w:r>
              <w:t xml:space="preserve">0.4-0.5</w:t>
            </w:r>
          </w:p>
        </w:tc>
        <w:tc>
          <w:tcPr/>
          <w:p>
            <w:pPr>
              <w:pStyle w:val="Compact"/>
            </w:pPr>
            <w:r>
              <w:t xml:space="preserve">Limited access; zone is reachable but at higher travel cost, lower abundance, or peripheral to site catchment</w:t>
            </w:r>
          </w:p>
        </w:tc>
        <w:tc>
          <w:tcPr/>
          <w:p>
            <w:pPr>
              <w:pStyle w:val="Compact"/>
            </w:pPr>
            <w:r>
              <w:t xml:space="preserve">Jaketown’s distant upland edges (upland 0.3); J.W. Copes’s small drainage component (drainage 0.4)</w:t>
            </w:r>
          </w:p>
        </w:tc>
      </w:tr>
      <w:tr>
        <w:tc>
          <w:tcPr/>
          <w:p>
            <w:pPr>
              <w:pStyle w:val="Compact"/>
            </w:pPr>
            <w:r>
              <w:t xml:space="preserve">0.0-0.3</w:t>
            </w:r>
          </w:p>
        </w:tc>
        <w:tc>
          <w:tcPr/>
          <w:p>
            <w:pPr>
              <w:pStyle w:val="Compact"/>
            </w:pPr>
            <w:r>
              <w:t xml:space="preserve">Absent or trivially accessible</w:t>
            </w:r>
          </w:p>
        </w:tc>
        <w:tc>
          <w:tcPr/>
          <w:p>
            <w:pPr>
              <w:pStyle w:val="Compact"/>
            </w:pPr>
            <w:r>
              <w:t xml:space="preserve">Claiborne’s coastal setting (mast 0.3; upland 0.5 under the corrected coding that credits the Coastal Plain Upland Gulf Flatwoods); prairie zone for most LMV-interior sites</w:t>
            </w:r>
          </w:p>
        </w:tc>
      </w:tr>
    </w:tbl>
    <w:p>
      <w:pPr>
        <w:pStyle w:val="BodyText"/>
      </w:pPr>
      <w:r>
        <w:t xml:space="preserve">Sources for each site’s weighting: Poverty Point (Webb 1982; Gibson 2000; Saucier 1981; Jackson 1986, 1989; H. Ward 1998); Watson Brake (Saunders et al. 2005); Lower Jackson (Saunders et al. 2001); Frenchman’s Bend (described in Saunders et al. 2005); J.W. Copes (Jackson 1981, 1989); Jaketown (Ward et al. 2022; Grooms et al. 2023); Claiborne (Sassaman 2005; Webb 1982). The Shannon entropy</w:t>
      </w:r>
      <w:r>
        <w:t xml:space="preserve"> </w:t>
      </w:r>
      <m:oMath>
        <m:r>
          <m:t>H</m:t>
        </m:r>
        <m:r>
          <m:rPr>
            <m:sty m:val="p"/>
          </m:rPr>
          <m:t>=</m:t>
        </m:r>
        <m:r>
          <m:rPr>
            <m:sty m:val="p"/>
          </m:rPr>
          <m:t>−</m:t>
        </m:r>
        <m:nary>
          <m:naryPr>
            <m:chr m:val="∑"/>
            <m:limLoc m:val="undOvr"/>
            <m:subHide m:val="off"/>
            <m:supHide m:val="on"/>
          </m:naryPr>
          <m:sub>
            <m:r>
              <m:t>z</m:t>
            </m:r>
          </m:sub>
          <m:sup>
            <m:r>
              <m:t>​</m:t>
            </m:r>
          </m:sup>
          <m:e>
            <m:sSub>
              <m:e>
                <m:r>
                  <m:t>p</m:t>
                </m:r>
              </m:e>
              <m:sub>
                <m:r>
                  <m:t>z</m:t>
                </m:r>
              </m:sub>
            </m:sSub>
          </m:e>
        </m:nary>
        <m:r>
          <m:rPr>
            <m:sty m:val="p"/>
          </m:rPr>
          <m:t>ln</m:t>
        </m:r>
        <m:sSub>
          <m:e>
            <m:r>
              <m:t>p</m:t>
            </m:r>
          </m:e>
          <m:sub>
            <m:r>
              <m:t>z</m:t>
            </m:r>
          </m:sub>
        </m:sSub>
      </m:oMath>
      <w:r>
        <w:t xml:space="preserve"> </w:t>
      </w:r>
      <w:r>
        <w:t xml:space="preserve">where</w:t>
      </w:r>
      <w:r>
        <w:t xml:space="preserve"> </w:t>
      </w:r>
      <m:oMath>
        <m:sSub>
          <m:e>
            <m:r>
              <m:t>p</m:t>
            </m:r>
          </m:e>
          <m:sub>
            <m:r>
              <m:t>z</m:t>
            </m:r>
          </m:sub>
        </m:sSub>
        <m:r>
          <m:rPr>
            <m:sty m:val="p"/>
          </m:rPr>
          <m:t>=</m:t>
        </m:r>
        <m:sSub>
          <m:e>
            <m:r>
              <m:t>w</m:t>
            </m:r>
          </m:e>
          <m:sub>
            <m:r>
              <m:t>z</m:t>
            </m:r>
          </m:sub>
        </m:sSub>
        <m:r>
          <m:rPr>
            <m:sty m:val="p"/>
          </m:rPr>
          <m:t>/</m:t>
        </m:r>
        <m:nary>
          <m:naryPr>
            <m:chr m:val="∑"/>
            <m:limLoc m:val="undOvr"/>
            <m:subHide m:val="off"/>
            <m:supHide m:val="on"/>
          </m:naryPr>
          <m:sub>
            <m:r>
              <m:t>z</m:t>
            </m:r>
          </m:sub>
          <m:sup>
            <m:r>
              <m:t>​</m:t>
            </m:r>
          </m:sup>
          <m:e>
            <m:sSub>
              <m:e>
                <m:r>
                  <m:t>w</m:t>
                </m:r>
              </m:e>
              <m:sub>
                <m:r>
                  <m:t>z</m:t>
                </m:r>
              </m:sub>
            </m:sSub>
          </m:e>
        </m:nary>
      </m:oMath>
      <w:r>
        <w:t xml:space="preserve">, and</w:t>
      </w:r>
      <w:r>
        <w:t xml:space="preserve"> </w:t>
      </w:r>
      <m:oMath>
        <m:r>
          <m:t>ε</m:t>
        </m:r>
        <m:r>
          <m:rPr>
            <m:sty m:val="p"/>
          </m:rPr>
          <m:t>=</m:t>
        </m:r>
        <m:r>
          <m:rPr>
            <m:sty m:val="p"/>
          </m:rPr>
          <m:t>(</m:t>
        </m:r>
        <m:r>
          <m:t>H</m:t>
        </m:r>
        <m:r>
          <m:rPr>
            <m:sty m:val="p"/>
          </m:rPr>
          <m:t>/</m:t>
        </m:r>
        <m:sSub>
          <m:e>
            <m:r>
              <m:t>H</m:t>
            </m:r>
          </m:e>
          <m:sub>
            <m:r>
              <m:t>m</m:t>
            </m:r>
            <m:r>
              <m:t>a</m:t>
            </m:r>
            <m:r>
              <m:t>x</m:t>
            </m:r>
          </m:sub>
        </m:sSub>
        <m:r>
          <m:rPr>
            <m:sty m:val="p"/>
          </m:rPr>
          <m:t>)</m:t>
        </m:r>
        <m:r>
          <m:rPr>
            <m:sty m:val="p"/>
          </m:rPr>
          <m:t>×</m:t>
        </m:r>
        <m:r>
          <m:t>0.5</m:t>
        </m:r>
      </m:oMath>
      <w:r>
        <w:t xml:space="preserve"> </w:t>
      </w:r>
      <w:r>
        <w:t xml:space="preserve">with</w:t>
      </w:r>
      <w:r>
        <w:t xml:space="preserve"> </w:t>
      </w:r>
      <m:oMath>
        <m:sSub>
          <m:e>
            <m:r>
              <m:t>H</m:t>
            </m:r>
          </m:e>
          <m:sub>
            <m:r>
              <m:t>m</m:t>
            </m:r>
            <m:r>
              <m:t>a</m:t>
            </m:r>
            <m:r>
              <m:t>x</m:t>
            </m:r>
          </m:sub>
        </m:sSub>
        <m:r>
          <m:rPr>
            <m:sty m:val="p"/>
          </m:rPr>
          <m:t>=</m:t>
        </m:r>
        <m:r>
          <m:rPr>
            <m:sty m:val="p"/>
          </m:rPr>
          <m:t>ln</m:t>
        </m:r>
        <m:r>
          <m:t>5</m:t>
        </m:r>
        <m:r>
          <m:rPr>
            <m:sty m:val="p"/>
          </m:rPr>
          <m:t>≈</m:t>
        </m:r>
        <m:r>
          <m:t>1.609</m:t>
        </m:r>
      </m:oMath>
      <w:r>
        <w:t xml:space="preserve">. The 0.5 ceiling is set to match the upper boundary of the model’s tested</w:t>
      </w:r>
      <w:r>
        <w:t xml:space="preserve"> </w:t>
      </w:r>
      <m:oMath>
        <m:r>
          <m:t>ε</m:t>
        </m:r>
      </m:oMath>
      <w:r>
        <w:t xml:space="preserve"> </w:t>
      </w:r>
      <w:r>
        <w:t xml:space="preserve">range (§S8.5 below); a weighting that uses ε = H/H_max directly (so PP would have ε = 0.98) would push the predicted threshold</w:t>
      </w:r>
      <w:r>
        <w:t xml:space="preserve"> </w:t>
      </w:r>
      <m:oMath>
        <m:sSup>
          <m:e>
            <m:r>
              <m:t>σ</m:t>
            </m:r>
          </m:e>
          <m:sup>
            <m:r>
              <m:rPr>
                <m:sty m:val="p"/>
              </m:rPr>
              <m:t>*</m:t>
            </m:r>
          </m:sup>
        </m:sSup>
      </m:oMath>
      <w:r>
        <w:t xml:space="preserve"> </w:t>
      </w:r>
      <w:r>
        <w:t xml:space="preserve">values closer to zero and would cause more sites to register as well above threshold without changing the rank order.</w:t>
      </w:r>
    </w:p>
    <w:p>
      <w:pPr>
        <w:pStyle w:val="BodyText"/>
      </w:pPr>
      <w:r>
        <w:rPr>
          <w:b/>
          <w:bCs/>
        </w:rPr>
        <w:t xml:space="preserve">Per-site weights used for Table 2.</w:t>
      </w:r>
      <w:r>
        <w:t xml:space="preserve"> </w:t>
      </w:r>
      <w:r>
        <w:t xml:space="preserve">The following weight vectors</w:t>
      </w:r>
      <w:r>
        <w:t xml:space="preserve"> </w:t>
      </w:r>
      <m:oMath>
        <m:r>
          <m:rPr>
            <m:sty m:val="p"/>
          </m:rPr>
          <m:t>(</m:t>
        </m:r>
        <m:sSub>
          <m:e>
            <m:r>
              <m:t>w</m:t>
            </m:r>
          </m:e>
          <m:sub>
            <m:r>
              <m:t>a</m:t>
            </m:r>
          </m:sub>
        </m:sSub>
        <m:r>
          <m:rPr>
            <m:sty m:val="p"/>
          </m:rPr>
          <m:t>,</m:t>
        </m:r>
        <m:sSub>
          <m:e>
            <m:r>
              <m:t>w</m:t>
            </m:r>
          </m:e>
          <m:sub>
            <m:r>
              <m:t>u</m:t>
            </m:r>
          </m:sub>
        </m:sSub>
        <m:r>
          <m:rPr>
            <m:sty m:val="p"/>
          </m:rPr>
          <m:t>,</m:t>
        </m:r>
        <m:sSub>
          <m:e>
            <m:r>
              <m:t>w</m:t>
            </m:r>
          </m:e>
          <m:sub>
            <m:r>
              <m:t>d</m:t>
            </m:r>
          </m:sub>
        </m:sSub>
        <m:r>
          <m:rPr>
            <m:sty m:val="p"/>
          </m:rPr>
          <m:t>,</m:t>
        </m:r>
        <m:sSub>
          <m:e>
            <m:r>
              <m:t>w</m:t>
            </m:r>
          </m:e>
          <m:sub>
            <m:r>
              <m:t>m</m:t>
            </m:r>
          </m:sub>
        </m:sSub>
        <m:r>
          <m:rPr>
            <m:sty m:val="p"/>
          </m:rPr>
          <m:t>,</m:t>
        </m:r>
        <m:sSub>
          <m:e>
            <m:r>
              <m:t>w</m:t>
            </m:r>
          </m:e>
          <m:sub>
            <m:r>
              <m:t>p</m:t>
            </m:r>
          </m:sub>
        </m:sSub>
        <m:r>
          <m:rPr>
            <m:sty m:val="p"/>
          </m:rPr>
          <m:t>)</m:t>
        </m:r>
      </m:oMath>
      <w:r>
        <w:t xml:space="preserve"> </w:t>
      </w:r>
      <w:r>
        <w:t xml:space="preserve">for aquatic, upland, drainage, mast, and prairie zones are the actual values used to compute the Shannon</w:t>
      </w:r>
      <w:r>
        <w:t xml:space="preserve"> </w:t>
      </w:r>
      <m:oMath>
        <m:r>
          <m:t>H</m:t>
        </m:r>
      </m:oMath>
      <w:r>
        <w:t xml:space="preserve"> </w:t>
      </w:r>
      <w:r>
        <w:t xml:space="preserve">values reported in main-text Table 2. They are derived from the published sources cited above per the rubric.</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m:oMath>
              <m:sSub>
                <m:e>
                  <m:r>
                    <m:t>w</m:t>
                  </m:r>
                </m:e>
                <m:sub>
                  <m:r>
                    <m:t>a</m:t>
                  </m:r>
                </m:sub>
              </m:sSub>
            </m:oMath>
          </w:p>
        </w:tc>
        <w:tc>
          <w:tcPr/>
          <w:p>
            <w:pPr>
              <w:pStyle w:val="Compact"/>
            </w:pPr>
            <m:oMath>
              <m:sSub>
                <m:e>
                  <m:r>
                    <m:t>w</m:t>
                  </m:r>
                </m:e>
                <m:sub>
                  <m:r>
                    <m:t>u</m:t>
                  </m:r>
                </m:sub>
              </m:sSub>
            </m:oMath>
          </w:p>
        </w:tc>
        <w:tc>
          <w:tcPr/>
          <w:p>
            <w:pPr>
              <w:pStyle w:val="Compact"/>
            </w:pPr>
            <m:oMath>
              <m:sSub>
                <m:e>
                  <m:r>
                    <m:t>w</m:t>
                  </m:r>
                </m:e>
                <m:sub>
                  <m:r>
                    <m:t>d</m:t>
                  </m:r>
                </m:sub>
              </m:sSub>
            </m:oMath>
          </w:p>
        </w:tc>
        <w:tc>
          <w:tcPr/>
          <w:p>
            <w:pPr>
              <w:pStyle w:val="Compact"/>
            </w:pPr>
            <m:oMath>
              <m:sSub>
                <m:e>
                  <m:r>
                    <m:t>w</m:t>
                  </m:r>
                </m:e>
                <m:sub>
                  <m:r>
                    <m:t>m</m:t>
                  </m:r>
                </m:sub>
              </m:sSub>
            </m:oMath>
          </w:p>
        </w:tc>
        <w:tc>
          <w:tcPr/>
          <w:p>
            <w:pPr>
              <w:pStyle w:val="Compact"/>
            </w:pPr>
            <m:oMath>
              <m:sSub>
                <m:e>
                  <m:r>
                    <m:t>w</m:t>
                  </m:r>
                </m:e>
                <m:sub>
                  <m:r>
                    <m:t>p</m:t>
                  </m:r>
                </m:sub>
              </m:sSub>
            </m:oMath>
          </w:p>
        </w:tc>
      </w:tr>
      <w:tr>
        <w:tc>
          <w:tcPr/>
          <w:p>
            <w:pPr>
              <w:pStyle w:val="Compact"/>
            </w:pPr>
            <w:r>
              <w:t xml:space="preserve">Poverty Point (16WC5)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0.5</w:t>
            </w:r>
          </w:p>
        </w:tc>
      </w:tr>
      <w:tr>
        <w:tc>
          <w:tcPr/>
          <w:p>
            <w:pPr>
              <w:pStyle w:val="Compact"/>
            </w:pPr>
            <w:r>
              <w:t xml:space="preserve">Lower Jackson (16WC10)</w:t>
            </w:r>
          </w:p>
        </w:tc>
        <w:tc>
          <w:tcPr/>
          <w:p>
            <w:pPr>
              <w:pStyle w:val="Compact"/>
            </w:pPr>
            <w:r>
              <w:t xml:space="preserve">1.0</w:t>
            </w:r>
          </w:p>
        </w:tc>
        <w:tc>
          <w:tcPr/>
          <w:p>
            <w:pPr>
              <w:pStyle w:val="Compact"/>
            </w:pPr>
            <w:r>
              <w:t xml:space="preserve">0.9</w:t>
            </w:r>
          </w:p>
        </w:tc>
        <w:tc>
          <w:tcPr/>
          <w:p>
            <w:pPr>
              <w:pStyle w:val="Compact"/>
            </w:pPr>
            <w:r>
              <w:t xml:space="preserve">0.9</w:t>
            </w:r>
          </w:p>
        </w:tc>
        <w:tc>
          <w:tcPr/>
          <w:p>
            <w:pPr>
              <w:pStyle w:val="Compact"/>
            </w:pPr>
            <w:r>
              <w:t xml:space="preserve">1.0</w:t>
            </w:r>
          </w:p>
        </w:tc>
        <w:tc>
          <w:tcPr/>
          <w:p>
            <w:pPr>
              <w:pStyle w:val="Compact"/>
            </w:pPr>
            <w:r>
              <w:t xml:space="preserve">0.3</w:t>
            </w:r>
          </w:p>
        </w:tc>
      </w:tr>
      <w:tr>
        <w:tc>
          <w:tcPr/>
          <w:p>
            <w:pPr>
              <w:pStyle w:val="Compact"/>
            </w:pPr>
            <w:r>
              <w:t xml:space="preserve">Watson Brake (16OU175)</w:t>
            </w:r>
          </w:p>
        </w:tc>
        <w:tc>
          <w:tcPr/>
          <w:p>
            <w:pPr>
              <w:pStyle w:val="Compact"/>
            </w:pPr>
            <w:r>
              <w:t xml:space="preserve">0.8</w:t>
            </w:r>
          </w:p>
        </w:tc>
        <w:tc>
          <w:tcPr/>
          <w:p>
            <w:pPr>
              <w:pStyle w:val="Compact"/>
            </w:pPr>
            <w:r>
              <w:t xml:space="preserve">0.7</w:t>
            </w:r>
          </w:p>
        </w:tc>
        <w:tc>
          <w:tcPr/>
          <w:p>
            <w:pPr>
              <w:pStyle w:val="Compact"/>
            </w:pPr>
            <w:r>
              <w:t xml:space="preserve">0.7</w:t>
            </w:r>
          </w:p>
        </w:tc>
        <w:tc>
          <w:tcPr/>
          <w:p>
            <w:pPr>
              <w:pStyle w:val="Compact"/>
            </w:pPr>
            <w:r>
              <w:t xml:space="preserve">0.8</w:t>
            </w:r>
          </w:p>
        </w:tc>
        <w:tc>
          <w:tcPr/>
          <w:p>
            <w:pPr>
              <w:pStyle w:val="Compact"/>
            </w:pPr>
            <w:r>
              <w:t xml:space="preserve">0.0</w:t>
            </w:r>
          </w:p>
        </w:tc>
      </w:tr>
      <w:tr>
        <w:tc>
          <w:tcPr/>
          <w:p>
            <w:pPr>
              <w:pStyle w:val="Compact"/>
            </w:pPr>
            <w:r>
              <w:t xml:space="preserve">Caney (16CT5)</w:t>
            </w:r>
          </w:p>
        </w:tc>
        <w:tc>
          <w:tcPr/>
          <w:p>
            <w:pPr>
              <w:pStyle w:val="Compact"/>
            </w:pPr>
            <w:r>
              <w:t xml:space="preserve">0.9</w:t>
            </w:r>
          </w:p>
        </w:tc>
        <w:tc>
          <w:tcPr/>
          <w:p>
            <w:pPr>
              <w:pStyle w:val="Compact"/>
            </w:pPr>
            <w:r>
              <w:t xml:space="preserve">0.6</w:t>
            </w:r>
          </w:p>
        </w:tc>
        <w:tc>
          <w:tcPr/>
          <w:p>
            <w:pPr>
              <w:pStyle w:val="Compact"/>
            </w:pPr>
            <w:r>
              <w:t xml:space="preserve">0.8</w:t>
            </w:r>
          </w:p>
        </w:tc>
        <w:tc>
          <w:tcPr/>
          <w:p>
            <w:pPr>
              <w:pStyle w:val="Compact"/>
            </w:pPr>
            <w:r>
              <w:t xml:space="preserve">0.8</w:t>
            </w:r>
          </w:p>
        </w:tc>
        <w:tc>
          <w:tcPr/>
          <w:p>
            <w:pPr>
              <w:pStyle w:val="Compact"/>
            </w:pPr>
            <w:r>
              <w:t xml:space="preserve">0.0</w:t>
            </w:r>
          </w:p>
        </w:tc>
      </w:tr>
      <w:tr>
        <w:tc>
          <w:tcPr/>
          <w:p>
            <w:pPr>
              <w:pStyle w:val="Compact"/>
            </w:pPr>
            <w:r>
              <w:t xml:space="preserve">Frenchman’s Bend (16OU259)</w:t>
            </w:r>
          </w:p>
        </w:tc>
        <w:tc>
          <w:tcPr/>
          <w:p>
            <w:pPr>
              <w:pStyle w:val="Compact"/>
            </w:pPr>
            <w:r>
              <w:t xml:space="preserve">0.7</w:t>
            </w:r>
          </w:p>
        </w:tc>
        <w:tc>
          <w:tcPr/>
          <w:p>
            <w:pPr>
              <w:pStyle w:val="Compact"/>
            </w:pPr>
            <w:r>
              <w:t xml:space="preserve">0.5</w:t>
            </w:r>
          </w:p>
        </w:tc>
        <w:tc>
          <w:tcPr/>
          <w:p>
            <w:pPr>
              <w:pStyle w:val="Compact"/>
            </w:pPr>
            <w:r>
              <w:t xml:space="preserve">0.7</w:t>
            </w:r>
          </w:p>
        </w:tc>
        <w:tc>
          <w:tcPr/>
          <w:p>
            <w:pPr>
              <w:pStyle w:val="Compact"/>
            </w:pPr>
            <w:r>
              <w:t xml:space="preserve">0.7</w:t>
            </w:r>
          </w:p>
        </w:tc>
        <w:tc>
          <w:tcPr/>
          <w:p>
            <w:pPr>
              <w:pStyle w:val="Compact"/>
            </w:pPr>
            <w:r>
              <w:t xml:space="preserve">0.0</w:t>
            </w:r>
          </w:p>
        </w:tc>
      </w:tr>
      <w:tr>
        <w:tc>
          <w:tcPr/>
          <w:p>
            <w:pPr>
              <w:pStyle w:val="Compact"/>
            </w:pPr>
            <w:r>
              <w:t xml:space="preserve">Insley (16FR3)</w:t>
            </w:r>
          </w:p>
        </w:tc>
        <w:tc>
          <w:tcPr/>
          <w:p>
            <w:pPr>
              <w:pStyle w:val="Compact"/>
            </w:pPr>
            <w:r>
              <w:t xml:space="preserve">0.9</w:t>
            </w:r>
          </w:p>
        </w:tc>
        <w:tc>
          <w:tcPr/>
          <w:p>
            <w:pPr>
              <w:pStyle w:val="Compact"/>
            </w:pPr>
            <w:r>
              <w:t xml:space="preserve">0.6</w:t>
            </w:r>
          </w:p>
        </w:tc>
        <w:tc>
          <w:tcPr/>
          <w:p>
            <w:pPr>
              <w:pStyle w:val="Compact"/>
            </w:pPr>
            <w:r>
              <w:t xml:space="preserve">0.8</w:t>
            </w:r>
          </w:p>
        </w:tc>
        <w:tc>
          <w:tcPr/>
          <w:p>
            <w:pPr>
              <w:pStyle w:val="Compact"/>
            </w:pPr>
            <w:r>
              <w:t xml:space="preserve">0.9</w:t>
            </w:r>
          </w:p>
        </w:tc>
        <w:tc>
          <w:tcPr/>
          <w:p>
            <w:pPr>
              <w:pStyle w:val="Compact"/>
            </w:pPr>
            <w:r>
              <w:t xml:space="preserve">0.0</w:t>
            </w:r>
          </w:p>
        </w:tc>
      </w:tr>
      <w:tr>
        <w:tc>
          <w:tcPr/>
          <w:p>
            <w:pPr>
              <w:pStyle w:val="Compact"/>
            </w:pPr>
            <w:r>
              <w:t xml:space="preserve">J.W. Copes (16MA47)</w:t>
            </w:r>
          </w:p>
        </w:tc>
        <w:tc>
          <w:tcPr/>
          <w:p>
            <w:pPr>
              <w:pStyle w:val="Compact"/>
            </w:pPr>
            <w:r>
              <w:t xml:space="preserve">0.5</w:t>
            </w:r>
          </w:p>
        </w:tc>
        <w:tc>
          <w:tcPr/>
          <w:p>
            <w:pPr>
              <w:pStyle w:val="Compact"/>
            </w:pPr>
            <w:r>
              <w:t xml:space="preserve">0.6</w:t>
            </w:r>
          </w:p>
        </w:tc>
        <w:tc>
          <w:tcPr/>
          <w:p>
            <w:pPr>
              <w:pStyle w:val="Compact"/>
            </w:pPr>
            <w:r>
              <w:t xml:space="preserve">0.4</w:t>
            </w:r>
          </w:p>
        </w:tc>
        <w:tc>
          <w:tcPr/>
          <w:p>
            <w:pPr>
              <w:pStyle w:val="Compact"/>
            </w:pPr>
            <w:r>
              <w:t xml:space="preserve">0.7</w:t>
            </w:r>
          </w:p>
        </w:tc>
        <w:tc>
          <w:tcPr/>
          <w:p>
            <w:pPr>
              <w:pStyle w:val="Compact"/>
            </w:pPr>
            <w:r>
              <w:t xml:space="preserve">0.0</w:t>
            </w:r>
          </w:p>
        </w:tc>
      </w:tr>
      <w:tr>
        <w:tc>
          <w:tcPr/>
          <w:p>
            <w:pPr>
              <w:pStyle w:val="Compact"/>
            </w:pPr>
            <w:r>
              <w:t xml:space="preserve">Cowpen Slough (16CT147)</w:t>
            </w:r>
          </w:p>
        </w:tc>
        <w:tc>
          <w:tcPr/>
          <w:p>
            <w:pPr>
              <w:pStyle w:val="Compact"/>
            </w:pPr>
            <w:r>
              <w:t xml:space="preserve">0.9</w:t>
            </w:r>
          </w:p>
        </w:tc>
        <w:tc>
          <w:tcPr/>
          <w:p>
            <w:pPr>
              <w:pStyle w:val="Compact"/>
            </w:pPr>
            <w:r>
              <w:t xml:space="preserve">0.5</w:t>
            </w:r>
          </w:p>
        </w:tc>
        <w:tc>
          <w:tcPr/>
          <w:p>
            <w:pPr>
              <w:pStyle w:val="Compact"/>
            </w:pPr>
            <w:r>
              <w:t xml:space="preserve">0.8</w:t>
            </w:r>
          </w:p>
        </w:tc>
        <w:tc>
          <w:tcPr/>
          <w:p>
            <w:pPr>
              <w:pStyle w:val="Compact"/>
            </w:pPr>
            <w:r>
              <w:t xml:space="preserve">0.7</w:t>
            </w:r>
          </w:p>
        </w:tc>
        <w:tc>
          <w:tcPr/>
          <w:p>
            <w:pPr>
              <w:pStyle w:val="Compact"/>
            </w:pPr>
            <w:r>
              <w:t xml:space="preserve">0.0</w:t>
            </w:r>
          </w:p>
        </w:tc>
      </w:tr>
      <w:tr>
        <w:tc>
          <w:tcPr/>
          <w:p>
            <w:pPr>
              <w:pStyle w:val="Compact"/>
            </w:pPr>
            <w:r>
              <w:t xml:space="preserve">Jaketown (22HU505)</w:t>
            </w:r>
          </w:p>
        </w:tc>
        <w:tc>
          <w:tcPr/>
          <w:p>
            <w:pPr>
              <w:pStyle w:val="Compact"/>
            </w:pPr>
            <w:r>
              <w:t xml:space="preserve">1.0</w:t>
            </w:r>
          </w:p>
        </w:tc>
        <w:tc>
          <w:tcPr/>
          <w:p>
            <w:pPr>
              <w:pStyle w:val="Compact"/>
            </w:pPr>
            <w:r>
              <w:t xml:space="preserve">0.3</w:t>
            </w:r>
          </w:p>
        </w:tc>
        <w:tc>
          <w:tcPr/>
          <w:p>
            <w:pPr>
              <w:pStyle w:val="Compact"/>
            </w:pPr>
            <w:r>
              <w:t xml:space="preserve">0.8</w:t>
            </w:r>
          </w:p>
        </w:tc>
        <w:tc>
          <w:tcPr/>
          <w:p>
            <w:pPr>
              <w:pStyle w:val="Compact"/>
            </w:pPr>
            <w:r>
              <w:t xml:space="preserve">0.5</w:t>
            </w:r>
          </w:p>
        </w:tc>
        <w:tc>
          <w:tcPr/>
          <w:p>
            <w:pPr>
              <w:pStyle w:val="Compact"/>
            </w:pPr>
            <w:r>
              <w:t xml:space="preserve">0.0</w:t>
            </w:r>
          </w:p>
        </w:tc>
      </w:tr>
      <w:tr>
        <w:tc>
          <w:tcPr/>
          <w:p>
            <w:pPr>
              <w:pStyle w:val="Compact"/>
            </w:pPr>
            <w:r>
              <w:t xml:space="preserve">Claiborne (22HA501)</w:t>
            </w:r>
          </w:p>
        </w:tc>
        <w:tc>
          <w:tcPr/>
          <w:p>
            <w:pPr>
              <w:pStyle w:val="Compact"/>
            </w:pPr>
            <w:r>
              <w:t xml:space="preserve">1.0</w:t>
            </w:r>
          </w:p>
        </w:tc>
        <w:tc>
          <w:tcPr/>
          <w:p>
            <w:pPr>
              <w:pStyle w:val="Compact"/>
            </w:pPr>
            <w:r>
              <w:t xml:space="preserve">0.5</w:t>
            </w:r>
          </w:p>
        </w:tc>
        <w:tc>
          <w:tcPr/>
          <w:p>
            <w:pPr>
              <w:pStyle w:val="Compact"/>
            </w:pPr>
            <w:r>
              <w:t xml:space="preserve">0.5</w:t>
            </w:r>
          </w:p>
        </w:tc>
        <w:tc>
          <w:tcPr/>
          <w:p>
            <w:pPr>
              <w:pStyle w:val="Compact"/>
            </w:pPr>
            <w:r>
              <w:t xml:space="preserve">0.3</w:t>
            </w:r>
          </w:p>
        </w:tc>
        <w:tc>
          <w:tcPr/>
          <w:p>
            <w:pPr>
              <w:pStyle w:val="Compact"/>
            </w:pPr>
            <w:r>
              <w:t xml:space="preserve">0.0</w:t>
            </w:r>
          </w:p>
        </w:tc>
      </w:tr>
      <w:tr>
        <w:tc>
          <w:tcPr/>
          <w:p>
            <w:pPr>
              <w:pStyle w:val="Compact"/>
            </w:pPr>
            <w:r>
              <w:t xml:space="preserve">Cedarland (22HA506)</w:t>
            </w:r>
          </w:p>
        </w:tc>
        <w:tc>
          <w:tcPr/>
          <w:p>
            <w:pPr>
              <w:pStyle w:val="Compact"/>
            </w:pPr>
            <w:r>
              <w:t xml:space="preserve">1.0</w:t>
            </w:r>
          </w:p>
        </w:tc>
        <w:tc>
          <w:tcPr/>
          <w:p>
            <w:pPr>
              <w:pStyle w:val="Compact"/>
            </w:pPr>
            <w:r>
              <w:t xml:space="preserve">0.5</w:t>
            </w:r>
          </w:p>
        </w:tc>
        <w:tc>
          <w:tcPr/>
          <w:p>
            <w:pPr>
              <w:pStyle w:val="Compact"/>
            </w:pPr>
            <w:r>
              <w:t xml:space="preserve">0.5</w:t>
            </w:r>
          </w:p>
        </w:tc>
        <w:tc>
          <w:tcPr/>
          <w:p>
            <w:pPr>
              <w:pStyle w:val="Compact"/>
            </w:pPr>
            <w:r>
              <w:t xml:space="preserve">0.3</w:t>
            </w:r>
          </w:p>
        </w:tc>
        <w:tc>
          <w:tcPr/>
          <w:p>
            <w:pPr>
              <w:pStyle w:val="Compact"/>
            </w:pPr>
            <w:r>
              <w:t xml:space="preserve">0.0</w:t>
            </w:r>
          </w:p>
        </w:tc>
      </w:tr>
    </w:tbl>
    <w:p>
      <w:pPr>
        <w:pStyle w:val="BodyText"/>
      </w:pPr>
      <w:r>
        <w:t xml:space="preserve">The qualitative scoring is the most fragile element of this analysis. A proper GIS implementation using historical land cover (NLCD reconstructions or USGS-classified Late Holocene vegetation maps), travel-time catchments, and reproducible zone-membership rules would replace the qualitative weights with measured values and is identified as the highest-priority empirical refinement in main §7.4.</w:t>
      </w:r>
    </w:p>
    <w:p>
      <w:r>
        <w:pict>
          <v:rect style="width:0;height:1.5pt" o:hralign="center" o:hrstd="t" o:hr="t"/>
        </w:pict>
      </w:r>
    </w:p>
    <w:bookmarkEnd w:id="58"/>
    <w:bookmarkStart w:id="73" w:name="s7.-detailed-scenario-simulation-results"/>
    <w:p>
      <w:pPr>
        <w:pStyle w:val="Heading2"/>
      </w:pPr>
      <w:r>
        <w:t xml:space="preserve">S7. Detailed scenario simulation results</w:t>
      </w:r>
    </w:p>
    <w:bookmarkStart w:id="59" w:name="Xb76937dec171478a3aaa1ec42b0a72fe24c58e3"/>
    <w:p>
      <w:pPr>
        <w:pStyle w:val="Heading3"/>
      </w:pPr>
      <w:r>
        <w:t xml:space="preserve">S7.0 Status summary of §6 empirical evaluations</w:t>
      </w:r>
    </w:p>
    <w:p>
      <w:pPr>
        <w:pStyle w:val="FirstParagraph"/>
      </w:pPr>
      <w:r>
        <w:t xml:space="preserve">The eight empirical evaluations in main §6 differ substantially in inferential weight. The table below summarizes, for each evaluation, the section in which it appears, what it tests, what parameters are fit to the data, what data are treated as independent of the model fit, and the resulting status. The bottom row reports the §4.3 signaling-vs-cooperation ablation comparison, which is theoretical rather than empirical but is listed here because its result affects how the empirical evaluations should be interpreted (the threshold-location dimension does not discriminate signaling from generic cooperation; the spatial-flow signature at §6.1 does).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Section</w:t>
            </w:r>
          </w:p>
        </w:tc>
        <w:tc>
          <w:tcPr/>
          <w:p>
            <w:pPr>
              <w:pStyle w:val="Compact"/>
            </w:pPr>
            <w:r>
              <w:t xml:space="preserve">Evaluation</w:t>
            </w:r>
          </w:p>
        </w:tc>
        <w:tc>
          <w:tcPr/>
          <w:p>
            <w:pPr>
              <w:pStyle w:val="Compact"/>
            </w:pPr>
            <w:r>
              <w:t xml:space="preserve">What is fit</w:t>
            </w:r>
          </w:p>
        </w:tc>
        <w:tc>
          <w:tcPr/>
          <w:p>
            <w:pPr>
              <w:pStyle w:val="Compact"/>
            </w:pPr>
            <w:r>
              <w:t xml:space="preserve">What is independent</w:t>
            </w:r>
          </w:p>
        </w:tc>
        <w:tc>
          <w:tcPr/>
          <w:p>
            <w:pPr>
              <w:pStyle w:val="Compact"/>
            </w:pPr>
            <w:r>
              <w:t xml:space="preserve">Status</w:t>
            </w:r>
          </w:p>
        </w:tc>
      </w:tr>
      <w:tr>
        <w:tc>
          <w:tcPr/>
          <w:p>
            <w:pPr>
              <w:pStyle w:val="Compact"/>
            </w:pPr>
            <w:r>
              <w:t xml:space="preserve">6.1 (vol)</w:t>
            </w:r>
          </w:p>
        </w:tc>
        <w:tc>
          <w:tcPr/>
          <w:p>
            <w:pPr>
              <w:pStyle w:val="Compact"/>
            </w:pPr>
            <w:r>
              <w:t xml:space="preserve">Type-site volume calibration</w:t>
            </w:r>
          </w:p>
        </w:tc>
        <w:tc>
          <w:tcPr/>
          <w:p>
            <w:pPr>
              <w:pStyle w:val="Compact"/>
            </w:pPr>
            <w:r>
              <w:t xml:space="preserve">~104 m³/unit scaling factor fit to PP target</w:t>
            </w:r>
          </w:p>
        </w:tc>
        <w:tc>
          <w:tcPr/>
          <w:p>
            <w:pPr>
              <w:pStyle w:val="Compact"/>
            </w:pPr>
            <w:r>
              <w:t xml:space="preserve">None (calibration anchor)</w:t>
            </w:r>
          </w:p>
        </w:tc>
        <w:tc>
          <w:tcPr/>
          <w:p>
            <w:pPr>
              <w:pStyle w:val="Compact"/>
            </w:pPr>
            <w:r>
              <w:t xml:space="preserve">Calibration; not a test</w:t>
            </w:r>
          </w:p>
        </w:tc>
      </w:tr>
      <w:tr>
        <w:tc>
          <w:tcPr/>
          <w:p>
            <w:pPr>
              <w:pStyle w:val="Compact"/>
            </w:pPr>
            <w:r>
              <w:t xml:space="preserve">6.1 (exotic)</w:t>
            </w:r>
          </w:p>
        </w:tc>
        <w:tc>
          <w:tcPr/>
          <w:p>
            <w:pPr>
              <w:pStyle w:val="Compact"/>
            </w:pPr>
            <w:r>
              <w:t xml:space="preserve">Exotic-goods count consistency</w:t>
            </w:r>
          </w:p>
        </w:tc>
        <w:tc>
          <w:tcPr/>
          <w:p>
            <w:pPr>
              <w:pStyle w:val="Compact"/>
            </w:pPr>
            <w:r>
              <w:t xml:space="preserve">Same simulation run as 6.1 vol</w:t>
            </w:r>
          </w:p>
        </w:tc>
        <w:tc>
          <w:tcPr/>
          <w:p>
            <w:pPr>
              <w:pStyle w:val="Compact"/>
            </w:pPr>
            <w:r>
              <w:t xml:space="preserve">Per-material counts (different model pathway for each)</w:t>
            </w:r>
          </w:p>
        </w:tc>
        <w:tc>
          <w:tcPr/>
          <w:p>
            <w:pPr>
              <w:pStyle w:val="Compact"/>
            </w:pPr>
            <w:r>
              <w:t xml:space="preserve">Partial test; consistent for copper (after recovery), for galena (after recovery), vessel-basis for steatite</w:t>
            </w:r>
          </w:p>
        </w:tc>
      </w:tr>
      <w:tr>
        <w:tc>
          <w:tcPr/>
          <w:p>
            <w:pPr>
              <w:pStyle w:val="Compact"/>
            </w:pPr>
            <w:r>
              <w:t xml:space="preserve">6.1 (decay)</w:t>
            </w:r>
          </w:p>
        </w:tc>
        <w:tc>
          <w:tcPr/>
          <w:p>
            <w:pPr>
              <w:pStyle w:val="Compact"/>
            </w:pPr>
            <w:r>
              <w:t xml:space="preserve">Distance-decay rank correlation</w:t>
            </w:r>
          </w:p>
        </w:tc>
        <w:tc>
          <w:tcPr/>
          <w:p>
            <w:pPr>
              <w:pStyle w:val="Compact"/>
            </w:pPr>
            <w:r>
              <w:t xml:space="preserve">500-km length scale fixed a priori</w:t>
            </w:r>
          </w:p>
        </w:tc>
        <w:tc>
          <w:tcPr/>
          <w:p>
            <w:pPr>
              <w:pStyle w:val="Compact"/>
            </w:pPr>
            <w:r>
              <w:t xml:space="preserve">Webb 1982 / Gibson and Griffing 1994 source-distance inventory</w:t>
            </w:r>
          </w:p>
        </w:tc>
        <w:tc>
          <w:tcPr/>
          <w:p>
            <w:pPr>
              <w:pStyle w:val="Compact"/>
            </w:pPr>
            <m:oMath>
              <m:r>
                <m:t>ρ</m:t>
              </m:r>
              <m:r>
                <m:rPr>
                  <m:sty m:val="p"/>
                </m:rPr>
                <m:t>=</m:t>
              </m:r>
              <m:r>
                <m:rPr>
                  <m:sty m:val="p"/>
                </m:rPr>
                <m:t>−</m:t>
              </m:r>
              <m:r>
                <m:t>0.40</m:t>
              </m:r>
            </m:oMath>
            <w:r>
              <w:t xml:space="preserve"> </w:t>
            </w:r>
            <w:r>
              <w:t xml:space="preserve">across five materials (+0.50 far-source only); fails as an unconditional ordering prediction, and acknowledged not to discriminate against transport-cost or down-the-line alternatives in any case</w:t>
            </w:r>
          </w:p>
        </w:tc>
      </w:tr>
      <w:tr>
        <w:tc>
          <w:tcPr/>
          <w:p>
            <w:pPr>
              <w:pStyle w:val="Compact"/>
            </w:pPr>
            <w:r>
              <w:t xml:space="preserve">6.1 (outflow)</w:t>
            </w:r>
          </w:p>
        </w:tc>
        <w:tc>
          <w:tcPr/>
          <w:p>
            <w:pPr>
              <w:pStyle w:val="Compact"/>
            </w:pPr>
            <w:r>
              <w:t xml:space="preserve">Asymmetric flow signature: into-PP, not out-from-PP</w:t>
            </w:r>
          </w:p>
        </w:tc>
        <w:tc>
          <w:tcPr/>
          <w:p>
            <w:pPr>
              <w:pStyle w:val="Compact"/>
            </w:pPr>
            <w:r>
              <w:t xml:space="preserve">None (the asymmetry is a framework prediction)</w:t>
            </w:r>
          </w:p>
        </w:tc>
        <w:tc>
          <w:tcPr/>
          <w:p>
            <w:pPr>
              <w:pStyle w:val="Compact"/>
            </w:pPr>
            <w:r>
              <w:t xml:space="preserve">Webb 1982 type-site inventory; Smith 1991 cross-site material-share percentages; Kidder and Grooms 2025 outflow observation</w:t>
            </w:r>
          </w:p>
        </w:tc>
        <w:tc>
          <w:tcPr/>
          <w:p>
            <w:pPr>
              <w:pStyle w:val="Compact"/>
            </w:pPr>
            <w:r>
              <w:t xml:space="preserve">Discriminating test passed: signaling reading predicts asymmetric flow into the gathering; risk-pooling predicts bidirectional flow; down-the-line exchange predicts smooth distance-decay; neither alternative is observed. Coarse pass on existing data; finer-grained patterning across visitor-band-identified sites is the §7.4 sharpening study</w:t>
            </w:r>
          </w:p>
        </w:tc>
      </w:tr>
      <w:tr>
        <w:tc>
          <w:tcPr/>
          <w:p>
            <w:pPr>
              <w:pStyle w:val="Compact"/>
            </w:pPr>
            <w:r>
              <w:t xml:space="preserve">6.2</w:t>
            </w:r>
          </w:p>
        </w:tc>
        <w:tc>
          <w:tcPr/>
          <w:p>
            <w:pPr>
              <w:pStyle w:val="Compact"/>
            </w:pPr>
            <w:r>
              <w:t xml:space="preserve">Bayesian threshold-proximity</w:t>
            </w:r>
          </w:p>
        </w:tc>
        <w:tc>
          <w:tcPr/>
          <w:p>
            <w:pPr>
              <w:pStyle w:val="Compact"/>
            </w:pPr>
            <m:oMath>
              <m:sSup>
                <m:e>
                  <m:r>
                    <m:t>σ</m:t>
                  </m:r>
                </m:e>
                <m:sup>
                  <m:r>
                    <m:rPr>
                      <m:sty m:val="p"/>
                    </m:rPr>
                    <m:t>*</m:t>
                  </m:r>
                </m:sup>
              </m:sSup>
            </m:oMath>
            <w:r>
              <w:t xml:space="preserve"> </w:t>
            </w:r>
            <w:r>
              <w:t xml:space="preserve">derived from PP-calibrated parameter set</w:t>
            </w:r>
          </w:p>
        </w:tc>
        <w:tc>
          <w:tcPr/>
          <w:p>
            <w:pPr>
              <w:pStyle w:val="Compact"/>
            </w:pPr>
            <w:r>
              <w:t xml:space="preserve">Paleoclimate</w:t>
            </w:r>
            <w:r>
              <w:t xml:space="preserve"> </w:t>
            </w:r>
            <m:oMath>
              <m:r>
                <m:t>σ</m:t>
              </m:r>
            </m:oMath>
            <w:r>
              <w:t xml:space="preserve"> </w:t>
            </w:r>
            <w:r>
              <w:t xml:space="preserve">priors</w:t>
            </w:r>
          </w:p>
        </w:tc>
        <w:tc>
          <w:tcPr/>
          <w:p>
            <w:pPr>
              <w:pStyle w:val="Compact"/>
            </w:pPr>
            <m:oMath>
              <m:r>
                <m:t>P</m:t>
              </m:r>
              <m:r>
                <m:rPr>
                  <m:sty m:val="p"/>
                </m:rPr>
                <m:t>=</m:t>
              </m:r>
              <m:r>
                <m:t>0.36</m:t>
              </m:r>
            </m:oMath>
            <w:r>
              <w:t xml:space="preserve">-</w:t>
            </w:r>
            <m:oMath>
              <m:r>
                <m:t>0.56</m:t>
              </m:r>
            </m:oMath>
            <w:r>
              <w:t xml:space="preserve"> </w:t>
            </w:r>
            <w:r>
              <w:t xml:space="preserve">near-tie; conditional on the parameter set defining</w:t>
            </w:r>
            <w:r>
              <w:t xml:space="preserve"> </w:t>
            </w:r>
            <m:oMath>
              <m:sSup>
                <m:e>
                  <m:r>
                    <m:t>σ</m:t>
                  </m:r>
                </m:e>
                <m:sup>
                  <m:r>
                    <m:rPr>
                      <m:sty m:val="p"/>
                    </m:rPr>
                    <m:t>*</m:t>
                  </m:r>
                </m:sup>
              </m:sSup>
            </m:oMath>
          </w:p>
        </w:tc>
      </w:tr>
      <w:tr>
        <w:tc>
          <w:tcPr/>
          <w:p>
            <w:pPr>
              <w:pStyle w:val="Compact"/>
            </w:pPr>
            <w:r>
              <w:t xml:space="preserve">6.3</w:t>
            </w:r>
          </w:p>
        </w:tc>
        <w:tc>
          <w:tcPr/>
          <w:p>
            <w:pPr>
              <w:pStyle w:val="Compact"/>
            </w:pPr>
            <w:r>
              <w:t xml:space="preserve">Watson Brake volume closure via per-event labor scaling</w:t>
            </w:r>
          </w:p>
        </w:tc>
        <w:tc>
          <w:tcPr/>
          <w:p>
            <w:pPr>
              <w:pStyle w:val="Compact"/>
            </w:pPr>
            <m:oMath>
              <m:r>
                <m:t>α</m:t>
              </m:r>
              <m:r>
                <m:rPr>
                  <m:sty m:val="p"/>
                </m:rPr>
                <m:t>=</m:t>
              </m:r>
              <m:r>
                <m:t>2</m:t>
              </m:r>
            </m:oMath>
            <w:r>
              <w:t xml:space="preserve"> </w:t>
            </w:r>
            <w:r>
              <w:t xml:space="preserve">(fitted);</w:t>
            </w:r>
            <w:r>
              <w:t xml:space="preserve"> </w:t>
            </w:r>
            <m:oMath>
              <m:r>
                <m:t>K</m:t>
              </m:r>
            </m:oMath>
            <w:r>
              <w:t xml:space="preserve"> </w:t>
            </w:r>
            <w:r>
              <w:t xml:space="preserve">accounts for tempo, not volume</w:t>
            </w:r>
          </w:p>
        </w:tc>
        <w:tc>
          <w:tcPr/>
          <w:p>
            <w:pPr>
              <w:pStyle w:val="Compact"/>
            </w:pPr>
            <m:oMath>
              <m:sSub>
                <m:e>
                  <m:r>
                    <m:t>n</m:t>
                  </m:r>
                </m:e>
                <m:sub>
                  <m:r>
                    <m:t>a</m:t>
                  </m:r>
                  <m:r>
                    <m:t>g</m:t>
                  </m:r>
                  <m:r>
                    <m:t>g</m:t>
                  </m:r>
                </m:sub>
              </m:sSub>
            </m:oMath>
            <w:r>
              <w:t xml:space="preserve"> </w:t>
            </w:r>
            <w:r>
              <w:t xml:space="preserve">derived independently</w:t>
            </w:r>
          </w:p>
        </w:tc>
        <w:tc>
          <w:tcPr/>
          <w:p>
            <w:pPr>
              <w:pStyle w:val="Compact"/>
            </w:pPr>
            <w:r>
              <w:t xml:space="preserve">Consistency demonstration conditional on the fitted labor-scaling exponent</w:t>
            </w:r>
          </w:p>
        </w:tc>
      </w:tr>
      <w:tr>
        <w:tc>
          <w:tcPr/>
          <w:p>
            <w:pPr>
              <w:pStyle w:val="Compact"/>
            </w:pPr>
            <w:r>
              <w:t xml:space="preserve">6.4</w:t>
            </w:r>
          </w:p>
        </w:tc>
        <w:tc>
          <w:tcPr/>
          <w:p>
            <w:pPr>
              <w:pStyle w:val="Compact"/>
            </w:pPr>
            <w:r>
              <w:t xml:space="preserve">Cross-LMV interior-vs-coastal screening</w:t>
            </w:r>
          </w:p>
        </w:tc>
        <w:tc>
          <w:tcPr/>
          <w:p>
            <w:pPr>
              <w:pStyle w:val="Compact"/>
            </w:pPr>
            <w:r>
              <w:t xml:space="preserve">Static-rubric weights</w:t>
            </w:r>
          </w:p>
        </w:tc>
        <w:tc>
          <w:tcPr/>
          <w:p>
            <w:pPr>
              <w:pStyle w:val="Compact"/>
            </w:pPr>
            <w:r>
              <w:t xml:space="preserve">LMV site catchment geomorphology (interior monument-building + non-mound comparator sample)</w:t>
            </w:r>
          </w:p>
        </w:tc>
        <w:tc>
          <w:tcPr/>
          <w:p>
            <w:pPr>
              <w:pStyle w:val="Compact"/>
            </w:pPr>
            <w:r>
              <w:t xml:space="preserve">Sample-selection-bounded</w:t>
            </w:r>
          </w:p>
        </w:tc>
      </w:tr>
      <w:tr>
        <w:tc>
          <w:tcPr/>
          <w:p>
            <w:pPr>
              <w:pStyle w:val="Compact"/>
            </w:pPr>
            <w:r>
              <w:t xml:space="preserve">6.5</w:t>
            </w:r>
          </w:p>
        </w:tc>
        <w:tc>
          <w:tcPr/>
          <w:p>
            <w:pPr>
              <w:pStyle w:val="Compact"/>
            </w:pPr>
            <w:r>
              <w:t xml:space="preserve">Multi-drainage shortfall buffering of contemporary regimes</w:t>
            </w:r>
          </w:p>
        </w:tc>
        <w:tc>
          <w:tcPr/>
          <w:p>
            <w:pPr>
              <w:pStyle w:val="Compact"/>
            </w:pPr>
            <w:r>
              <w:t xml:space="preserve">Modern USGS gauge correlations</w:t>
            </w:r>
          </w:p>
        </w:tc>
        <w:tc>
          <w:tcPr/>
          <w:p>
            <w:pPr>
              <w:pStyle w:val="Compact"/>
            </w:pPr>
            <w:r>
              <w:t xml:space="preserve">None (descriptive; modern-as-proxy concession)</w:t>
            </w:r>
          </w:p>
        </w:tc>
        <w:tc>
          <w:tcPr/>
          <w:p>
            <w:pPr>
              <w:pStyle w:val="Compact"/>
            </w:pPr>
            <w:r>
              <w:t xml:space="preserve">Descriptive; modern-as-proxy concession</w:t>
            </w:r>
          </w:p>
        </w:tc>
      </w:tr>
      <w:tr>
        <w:tc>
          <w:tcPr/>
          <w:p>
            <w:pPr>
              <w:pStyle w:val="Compact"/>
            </w:pPr>
            <w:r>
              <w:t xml:space="preserve">6.6</w:t>
            </w:r>
          </w:p>
        </w:tc>
        <w:tc>
          <w:tcPr/>
          <w:p>
            <w:pPr>
              <w:pStyle w:val="Compact"/>
            </w:pPr>
            <w:r>
              <w:t xml:space="preserve">Cross-site magnitude</w:t>
            </w:r>
            <w:r>
              <w:t xml:space="preserve"> </w:t>
            </w:r>
            <m:oMath>
              <m:sSub>
                <m:e>
                  <m:r>
                    <m:t>M</m:t>
                  </m:r>
                </m:e>
                <m:sub>
                  <m:r>
                    <m:t>g</m:t>
                  </m:r>
                </m:sub>
              </m:sSub>
              <m:r>
                <m:rPr>
                  <m:sty m:val="p"/>
                </m:rPr>
                <m:t>(</m:t>
              </m:r>
              <m:r>
                <m:t>ε</m:t>
              </m:r>
              <m:r>
                <m:rPr>
                  <m:sty m:val="p"/>
                </m:rPr>
                <m:t>,</m:t>
              </m:r>
              <m:sSub>
                <m:e>
                  <m:r>
                    <m:t>n</m:t>
                  </m:r>
                </m:e>
                <m:sub>
                  <m:r>
                    <m:t>a</m:t>
                  </m:r>
                  <m:r>
                    <m:t>g</m:t>
                  </m:r>
                  <m:r>
                    <m:t>g</m:t>
                  </m:r>
                </m:sub>
              </m:sSub>
              <m:r>
                <m:rPr>
                  <m:sty m:val="p"/>
                </m:rPr>
                <m:t>)</m:t>
              </m:r>
            </m:oMath>
          </w:p>
        </w:tc>
        <w:tc>
          <w:tcPr/>
          <w:p>
            <w:pPr>
              <w:pStyle w:val="Compact"/>
            </w:pPr>
            <m:oMath>
              <m:sSub>
                <m:e>
                  <m:r>
                    <m:t>n</m:t>
                  </m:r>
                </m:e>
                <m:sub>
                  <m:r>
                    <m:t>a</m:t>
                  </m:r>
                  <m:r>
                    <m:t>g</m:t>
                  </m:r>
                  <m:r>
                    <m:t>g</m:t>
                  </m:r>
                </m:sub>
              </m:sSub>
            </m:oMath>
            <w:r>
              <w:t xml:space="preserve"> </w:t>
            </w:r>
            <w:r>
              <w:t xml:space="preserve">from convergence-model literature</w:t>
            </w:r>
          </w:p>
        </w:tc>
        <w:tc>
          <w:tcPr/>
          <w:p>
            <w:pPr>
              <w:pStyle w:val="Compact"/>
            </w:pPr>
            <m:oMath>
              <m:r>
                <m:t>ε</m:t>
              </m:r>
            </m:oMath>
            <w:r>
              <w:t xml:space="preserve"> </w:t>
            </w:r>
            <w:r>
              <w:t xml:space="preserve">from rubric</w:t>
            </w:r>
          </w:p>
        </w:tc>
        <w:tc>
          <w:tcPr/>
          <w:p>
            <w:pPr>
              <w:pStyle w:val="Compact"/>
            </w:pPr>
            <w:r>
              <w:t xml:space="preserve">Joint</w:t>
            </w:r>
            <w:r>
              <w:t xml:space="preserve"> </w:t>
            </w:r>
            <m:oMath>
              <m:r>
                <m:t>ρ</m:t>
              </m:r>
              <m:r>
                <m:rPr>
                  <m:sty m:val="p"/>
                </m:rPr>
                <m:t>=</m:t>
              </m:r>
              <m:r>
                <m:rPr>
                  <m:sty m:val="p"/>
                </m:rPr>
                <m:t>+</m:t>
              </m:r>
              <m:r>
                <m:t>0.85</m:t>
              </m:r>
            </m:oMath>
            <w:r>
              <w:t xml:space="preserve"> </w:t>
            </w:r>
            <w:r>
              <w:t xml:space="preserve">to</w:t>
            </w:r>
            <w:r>
              <w:t xml:space="preserve"> </w:t>
            </w:r>
            <m:oMath>
              <m:r>
                <m:rPr>
                  <m:sty m:val="p"/>
                </m:rPr>
                <m:t>+</m:t>
              </m:r>
              <m:r>
                <m:t>0.91</m:t>
              </m:r>
            </m:oMath>
            <w:r>
              <w:t xml:space="preserve">, but partial-correlation:</w:t>
            </w:r>
            <w:r>
              <w:t xml:space="preserve"> </w:t>
            </w:r>
            <m:oMath>
              <m:r>
                <m:t>ε</m:t>
              </m:r>
            </m:oMath>
            <w:r>
              <w:t xml:space="preserve"> </w:t>
            </w:r>
            <w:r>
              <w:t xml:space="preserve">contributes</w:t>
            </w:r>
            <w:r>
              <w:t xml:space="preserve"> </w:t>
            </w:r>
            <m:oMath>
              <m:r>
                <m:rPr>
                  <m:sty m:val="p"/>
                </m:rPr>
                <m:t>≤</m:t>
              </m:r>
              <m:r>
                <m:rPr>
                  <m:sty m:val="p"/>
                </m:rPr>
                <m:t>+</m:t>
              </m:r>
              <m:r>
                <m:t>0.03</m:t>
              </m:r>
            </m:oMath>
          </w:p>
        </w:tc>
      </w:tr>
      <w:tr>
        <w:tc>
          <w:tcPr/>
          <w:p>
            <w:pPr>
              <w:pStyle w:val="Compact"/>
            </w:pPr>
            <w:r>
              <w:t xml:space="preserve">6.7</w:t>
            </w:r>
          </w:p>
        </w:tc>
        <w:tc>
          <w:tcPr/>
          <w:p>
            <w:pPr>
              <w:pStyle w:val="Compact"/>
            </w:pPr>
            <w:r>
              <w:t xml:space="preserve">Within-year aggregation timing</w:t>
            </w:r>
          </w:p>
        </w:tc>
        <w:tc>
          <w:tcPr/>
          <w:p>
            <w:pPr>
              <w:pStyle w:val="Compact"/>
            </w:pPr>
            <w:r>
              <w:t xml:space="preserve">Same Webb (1982) and Jackson (1986) calendar that informs the published peak attribution</w:t>
            </w:r>
          </w:p>
        </w:tc>
        <w:tc>
          <w:tcPr/>
          <w:p>
            <w:pPr>
              <w:pStyle w:val="Compact"/>
            </w:pPr>
            <w:r>
              <w:t xml:space="preserve">None (circular)</w:t>
            </w:r>
          </w:p>
        </w:tc>
        <w:tc>
          <w:tcPr/>
          <w:p>
            <w:pPr>
              <w:pStyle w:val="Compact"/>
            </w:pPr>
            <w:r>
              <w:t xml:space="preserve">Plausibility check, not independent test</w:t>
            </w:r>
          </w:p>
        </w:tc>
      </w:tr>
      <w:tr>
        <w:tc>
          <w:tcPr/>
          <w:p>
            <w:pPr>
              <w:pStyle w:val="Compact"/>
            </w:pPr>
            <w:r>
              <w:t xml:space="preserve">6.8</w:t>
            </w:r>
          </w:p>
        </w:tc>
        <w:tc>
          <w:tcPr/>
          <w:p>
            <w:pPr>
              <w:pStyle w:val="Compact"/>
            </w:pPr>
            <w:r>
              <w:t xml:space="preserve">Construction tempo and pulsed accumulation; maintenance-to-new-construction event density</w:t>
            </w:r>
          </w:p>
        </w:tc>
        <w:tc>
          <w:tcPr/>
          <w:p>
            <w:pPr>
              <w:pStyle w:val="Compact"/>
            </w:pPr>
            <m:oMath>
              <m:r>
                <m:t>δ</m:t>
              </m:r>
              <m:r>
                <m:rPr>
                  <m:sty m:val="p"/>
                </m:rPr>
                <m:t>=</m:t>
              </m:r>
              <m:r>
                <m:t>0.08</m:t>
              </m:r>
            </m:oMath>
            <w:r>
              <w:t xml:space="preserve"> </w:t>
            </w:r>
            <w:r>
              <w:t xml:space="preserve">assumed (Table S2 range</w:t>
            </w:r>
            <w:r>
              <w:t xml:space="preserve"> </w:t>
            </w:r>
            <m:oMath>
              <m:r>
                <m:rPr>
                  <m:sty m:val="p"/>
                </m:rPr>
                <m:t>[</m:t>
              </m:r>
              <m:r>
                <m:t>0.04</m:t>
              </m:r>
              <m:r>
                <m:rPr>
                  <m:sty m:val="p"/>
                </m:rPr>
                <m:t>,</m:t>
              </m:r>
              <m:r>
                <m:t>0.16</m:t>
              </m:r>
              <m:r>
                <m:rPr>
                  <m:sty m:val="p"/>
                </m:rPr>
                <m:t>]</m:t>
              </m:r>
            </m:oMath>
            <w:r>
              <w:t xml:space="preserve">);</w:t>
            </w:r>
            <w:r>
              <w:t xml:space="preserve"> </w:t>
            </w:r>
            <m:oMath>
              <m:sSub>
                <m:e>
                  <m:r>
                    <m:t>n</m:t>
                  </m:r>
                </m:e>
                <m:sub>
                  <m:r>
                    <m:t>a</m:t>
                  </m:r>
                  <m:r>
                    <m:t>g</m:t>
                  </m:r>
                  <m:r>
                    <m:t>g</m:t>
                  </m:r>
                </m:sub>
              </m:sSub>
            </m:oMath>
            <w:r>
              <w:t xml:space="preserve"> </w:t>
            </w:r>
            <w:r>
              <w:t xml:space="preserve">scenarios from §6.6</w:t>
            </w:r>
          </w:p>
        </w:tc>
        <w:tc>
          <w:tcPr/>
          <w:p>
            <w:pPr>
              <w:pStyle w:val="Compact"/>
            </w:pPr>
            <w:r>
              <w:t xml:space="preserve">PP and WB event counts (Clay 2023; Hargrave et al. 2021; Kidder et al. 2021; Saunders et al. 2005);</w:t>
            </w:r>
            <w:r>
              <w:t xml:space="preserve"> </w:t>
            </w:r>
            <m:oMath>
              <m:r>
                <m:t>R</m:t>
              </m:r>
              <m:r>
                <m:rPr>
                  <m:sty m:val="p"/>
                </m:rPr>
                <m:t>(</m:t>
              </m:r>
              <m:sSub>
                <m:e>
                  <m:r>
                    <m:t>M</m:t>
                  </m:r>
                </m:e>
                <m:sub>
                  <m:r>
                    <m:t>g</m:t>
                  </m:r>
                </m:sub>
              </m:sSub>
              <m:r>
                <m:rPr>
                  <m:sty m:val="p"/>
                </m:rPr>
                <m:t>)</m:t>
              </m:r>
            </m:oMath>
            <w:r>
              <w:t xml:space="preserve"> </w:t>
            </w:r>
            <w:r>
              <w:t xml:space="preserve">derivation from geometric depreciation</w:t>
            </w:r>
          </w:p>
        </w:tc>
        <w:tc>
          <w:tcPr/>
          <w:p>
            <w:pPr>
              <w:pStyle w:val="Compact"/>
            </w:pPr>
            <w:r>
              <w:t xml:space="preserve">Pulsed-accumulation reading consistent with framework but not discriminating; the</w:t>
            </w:r>
            <w:r>
              <w:t xml:space="preserve"> </w:t>
            </w:r>
            <m:oMath>
              <m:r>
                <m:t>R</m:t>
              </m:r>
              <m:r>
                <m:rPr>
                  <m:sty m:val="p"/>
                </m:rPr>
                <m:t>(</m:t>
              </m:r>
              <m:sSub>
                <m:e>
                  <m:r>
                    <m:t>M</m:t>
                  </m:r>
                </m:e>
                <m:sub>
                  <m:r>
                    <m:t>g</m:t>
                  </m:r>
                </m:sub>
              </m:sSub>
              <m:r>
                <m:rPr>
                  <m:sty m:val="p"/>
                </m:rPr>
                <m:t>)</m:t>
              </m:r>
            </m:oMath>
            <w:r>
              <w:t xml:space="preserve"> </w:t>
            </w:r>
            <w:r>
              <w:t xml:space="preserve">event-density contrast (PP</w:t>
            </w:r>
            <w:r>
              <w:t xml:space="preserve"> </w:t>
            </w:r>
            <m:oMath>
              <m:r>
                <m:rPr>
                  <m:sty m:val="p"/>
                </m:rPr>
                <m:t>≈</m:t>
              </m:r>
              <m:r>
                <m:t>1.3</m:t>
              </m:r>
            </m:oMath>
            <w:r>
              <w:t xml:space="preserve"> </w:t>
            </w:r>
            <w:r>
              <w:t xml:space="preserve">events/yr vs WB</w:t>
            </w:r>
            <w:r>
              <w:t xml:space="preserve"> </w:t>
            </w:r>
            <m:oMath>
              <m:r>
                <m:rPr>
                  <m:sty m:val="p"/>
                </m:rPr>
                <m:t>≈</m:t>
              </m:r>
              <m:r>
                <m:t>0.02</m:t>
              </m:r>
            </m:oMath>
            <w:r>
              <w:t xml:space="preserve">-</w:t>
            </w:r>
            <m:oMath>
              <m:r>
                <m:t>0.03</m:t>
              </m:r>
            </m:oMath>
            <w:r>
              <w:t xml:space="preserve"> </w:t>
            </w:r>
            <w:r>
              <w:t xml:space="preserve">events/yr, 47-85</w:t>
            </w:r>
            <m:oMath>
              <m:r>
                <m:rPr>
                  <m:sty m:val="p"/>
                </m:rPr>
                <m:t>×</m:t>
              </m:r>
            </m:oMath>
            <w:r>
              <w:t xml:space="preserve"> </w:t>
            </w:r>
            <w:r>
              <w:t xml:space="preserve">ratio) is independently weighted: it follows from the signal-half-life mechanism without additional free parameters, and a reversal or order-of-magnitude reduction of the contrast would weaken the mechanism. Listed as falsifiable prediction §7.4(h)</w:t>
            </w:r>
          </w:p>
        </w:tc>
      </w:tr>
      <w:tr>
        <w:tc>
          <w:tcPr/>
          <w:p>
            <w:pPr>
              <w:pStyle w:val="Compact"/>
            </w:pPr>
            <w:r>
              <w:t xml:space="preserve">4.3</w:t>
            </w:r>
          </w:p>
        </w:tc>
        <w:tc>
          <w:tcPr/>
          <w:p>
            <w:pPr>
              <w:pStyle w:val="Compact"/>
            </w:pPr>
            <w:r>
              <w:t xml:space="preserve">Signaling-vs-cooperation ablation (signal-conditional vs random partners)</w:t>
            </w:r>
          </w:p>
        </w:tc>
        <w:tc>
          <w:tcPr/>
          <w:p>
            <w:pPr>
              <w:pStyle w:val="Compact"/>
            </w:pPr>
            <m:oMath>
              <m:sSub>
                <m:e>
                  <m:r>
                    <m:t>σ</m:t>
                  </m:r>
                </m:e>
                <m:sub>
                  <m:r>
                    <m:t>e</m:t>
                  </m:r>
                  <m:r>
                    <m:t>f</m:t>
                  </m:r>
                  <m:r>
                    <m:t>f</m:t>
                  </m:r>
                </m:sub>
              </m:sSub>
            </m:oMath>
            <w:r>
              <w:t xml:space="preserve"> </w:t>
            </w:r>
            <w:r>
              <w:t xml:space="preserve">controlled via ShortfallParams.mean_interval matched</w:t>
            </w:r>
            <w:r>
              <w:t xml:space="preserve"> </w:t>
            </w:r>
            <m:oMath>
              <m:sSub>
                <m:e>
                  <m:r>
                    <m:t>k</m:t>
                  </m:r>
                </m:e>
                <m:sub>
                  <m:r>
                    <m:t>a</m:t>
                  </m:r>
                  <m:r>
                    <m:t>g</m:t>
                  </m:r>
                  <m:r>
                    <m:t>g</m:t>
                  </m:r>
                </m:sub>
              </m:sSub>
            </m:oMath>
          </w:p>
        </w:tc>
        <w:tc>
          <w:tcPr/>
          <w:p>
            <w:pPr>
              <w:pStyle w:val="Compact"/>
            </w:pPr>
            <w:r>
              <w:t xml:space="preserve">None; direct comparison</w:t>
            </w:r>
          </w:p>
        </w:tc>
        <w:tc>
          <w:tcPr/>
          <w:p>
            <w:pPr>
              <w:pStyle w:val="Compact"/>
            </w:pPr>
            <w:r>
              <w:rPr>
                <w:b/>
                <w:bCs/>
              </w:rPr>
              <w:t xml:space="preserve">Threshold shift</w:t>
            </w:r>
            <w:r>
              <w:rPr>
                <w:b/>
                <w:bCs/>
              </w:rPr>
              <w:t xml:space="preserve"> </w:t>
            </w:r>
            <m:oMath>
              <m:r>
                <m:rPr>
                  <m:sty m:val="p"/>
                </m:rPr>
                <m:t>−</m:t>
              </m:r>
              <m:r>
                <m:t>0.002</m:t>
              </m:r>
            </m:oMath>
            <w:r>
              <w:rPr>
                <w:b/>
                <w:bCs/>
              </w:rPr>
              <w:t xml:space="preserve"> </w:t>
            </w:r>
            <w:r>
              <w:rPr>
                <w:b/>
                <w:bCs/>
              </w:rPr>
              <w:t xml:space="preserve">in</w:t>
            </w:r>
            <w:r>
              <w:rPr>
                <w:b/>
                <w:bCs/>
              </w:rPr>
              <w:t xml:space="preserve"> </w:t>
            </w:r>
            <m:oMath>
              <m:sSub>
                <m:e>
                  <m:r>
                    <m:t>σ</m:t>
                  </m:r>
                </m:e>
                <m:sub>
                  <m:r>
                    <m:t>e</m:t>
                  </m:r>
                  <m:r>
                    <m:t>f</m:t>
                  </m:r>
                  <m:r>
                    <m:t>f</m:t>
                  </m:r>
                </m:sub>
              </m:sSub>
            </m:oMath>
            <w:r>
              <w:rPr>
                <w:b/>
                <w:bCs/>
              </w:rPr>
              <w:t xml:space="preserve"> </w:t>
            </w:r>
            <w:r>
              <w:rPr>
                <w:b/>
                <w:bCs/>
              </w:rPr>
              <w:t xml:space="preserve">(</w:t>
            </w:r>
            <m:oMath>
              <m:r>
                <m:rPr>
                  <m:sty m:val="p"/>
                </m:rPr>
                <m:t>−</m:t>
              </m:r>
              <m:r>
                <m:t>0.4</m:t>
              </m:r>
              <m:r>
                <m:rPr>
                  <m:sty m:val="p"/>
                </m:rPr>
                <m:t>%</m:t>
              </m:r>
            </m:oMath>
            <w:r>
              <w:rPr>
                <w:b/>
                <w:bCs/>
              </w:rPr>
              <w:t xml:space="preserve">); no discriminating shift.</w:t>
            </w:r>
            <w:r>
              <w:t xml:space="preserve"> </w:t>
            </w:r>
            <w:r>
              <w:t xml:space="preserve">Signaling apparatus does not move the threshold relative to cooperation-network mechanics with random partner formation. Empirical adjudication runs through §6.1 outflow asymmetry, not threshold location</w:t>
            </w:r>
          </w:p>
        </w:tc>
      </w:tr>
    </w:tbl>
    <w:bookmarkEnd w:id="59"/>
    <w:bookmarkStart w:id="63" w:name="s7.1-phase-transition-sweep-4.1-and-4.3"/>
    <w:p>
      <w:pPr>
        <w:pStyle w:val="Heading3"/>
      </w:pPr>
      <w:r>
        <w:t xml:space="preserve">S7.1 Phase-transition sweep (§4.1 and §4.3)</w:t>
      </w:r>
    </w:p>
    <w:p>
      <w:pPr>
        <w:pStyle w:val="FirstParagraph"/>
      </w:pPr>
      <w:r>
        <w:t xml:space="preserve">The phase-transition validation in main §4.1 and the signal-conditional vs random-partner ablation in main §4.3 are both produced from a single sweep across seven</w:t>
      </w:r>
      <w:r>
        <w:t xml:space="preserve"> </w:t>
      </w:r>
      <m:oMath>
        <m:sSub>
          <m:e>
            <m:r>
              <m:t>σ</m:t>
            </m:r>
          </m:e>
          <m:sub>
            <m:r>
              <m:t>t</m:t>
            </m:r>
            <m:r>
              <m:t>a</m:t>
            </m:r>
            <m:r>
              <m:t>r</m:t>
            </m:r>
            <m:r>
              <m:t>g</m:t>
            </m:r>
            <m:r>
              <m:t>e</m:t>
            </m:r>
            <m:r>
              <m:t>t</m:t>
            </m:r>
          </m:sub>
        </m:sSub>
      </m:oMath>
      <w:r>
        <w:t xml:space="preserve"> </w:t>
      </w:r>
      <w:r>
        <w:t xml:space="preserve">values at PP-scenario parameters (</w:t>
      </w:r>
      <m:oMath>
        <m:r>
          <m:t>ε</m:t>
        </m:r>
        <m:r>
          <m:rPr>
            <m:sty m:val="p"/>
          </m:rPr>
          <m:t>=</m:t>
        </m:r>
        <m:r>
          <m:t>0.35</m:t>
        </m:r>
      </m:oMath>
      <w:r>
        <w:t xml:space="preserve">, pinned at the aggregation site):</w:t>
      </w:r>
      <w:r>
        <w:t xml:space="preserve"> </w:t>
      </w:r>
      <m:oMath>
        <m:sSub>
          <m:e>
            <m:r>
              <m:t>σ</m:t>
            </m:r>
          </m:e>
          <m:sub>
            <m:r>
              <m:t>t</m:t>
            </m:r>
            <m:r>
              <m:t>a</m:t>
            </m:r>
            <m:r>
              <m:t>r</m:t>
            </m:r>
            <m:r>
              <m:t>g</m:t>
            </m:r>
            <m:r>
              <m:t>e</m:t>
            </m:r>
            <m:r>
              <m:t>t</m:t>
            </m:r>
          </m:sub>
        </m:sSub>
        <m:r>
          <m:rPr>
            <m:sty m:val="p"/>
          </m:rPr>
          <m:t>∈</m:t>
        </m:r>
        <m:r>
          <m:rPr>
            <m:sty m:val="p"/>
          </m:rPr>
          <m:t>{</m:t>
        </m:r>
        <m:r>
          <m:t>0.20</m:t>
        </m:r>
        <m:r>
          <m:rPr>
            <m:sty m:val="p"/>
          </m:rPr>
          <m:t>,</m:t>
        </m:r>
        <m:r>
          <m:t>0.28</m:t>
        </m:r>
        <m:r>
          <m:rPr>
            <m:sty m:val="p"/>
          </m:rPr>
          <m:t>,</m:t>
        </m:r>
        <m:r>
          <m:t>0.36</m:t>
        </m:r>
        <m:r>
          <m:rPr>
            <m:sty m:val="p"/>
          </m:rPr>
          <m:t>,</m:t>
        </m:r>
        <m:r>
          <m:t>0.40</m:t>
        </m:r>
        <m:r>
          <m:rPr>
            <m:sty m:val="p"/>
          </m:rPr>
          <m:t>,</m:t>
        </m:r>
        <m:r>
          <m:t>0.44</m:t>
        </m:r>
        <m:r>
          <m:rPr>
            <m:sty m:val="p"/>
          </m:rPr>
          <m:t>,</m:t>
        </m:r>
        <m:r>
          <m:t>0.50</m:t>
        </m:r>
        <m:r>
          <m:rPr>
            <m:sty m:val="p"/>
          </m:rPr>
          <m:t>,</m:t>
        </m:r>
        <m:r>
          <m:t>0.55</m:t>
        </m:r>
        <m:r>
          <m:rPr>
            <m:sty m:val="p"/>
          </m:rPr>
          <m:t>}</m:t>
        </m:r>
      </m:oMath>
      <w:r>
        <w:t xml:space="preserve">, with</w:t>
      </w:r>
      <w:r>
        <w:t xml:space="preserve"> </w:t>
      </w:r>
      <w:r>
        <w:rPr>
          <w:b/>
          <w:bCs/>
        </w:rPr>
        <w:t xml:space="preserve">twenty stochastic replicates per cell</w:t>
      </w:r>
      <w:r>
        <w:t xml:space="preserve"> </w:t>
      </w:r>
      <w:r>
        <w:t xml:space="preserve">(canonical output at</w:t>
      </w:r>
      <w:r>
        <w:t xml:space="preserve"> </w:t>
      </w:r>
      <w:r>
        <w:rPr>
          <w:rStyle w:val="VerbatimChar"/>
        </w:rPr>
        <w:t xml:space="preserve">results/ablation/ablation_sweep_engine2.json</w:t>
      </w:r>
      <w:r>
        <w:t xml:space="preserve">), 200 simulated years per replicate, and a 50-year burn-in. The sweep controls</w:t>
      </w:r>
      <w:r>
        <w:t xml:space="preserve"> </w:t>
      </w:r>
      <m:oMath>
        <m:sSub>
          <m:e>
            <m:r>
              <m:t>σ</m:t>
            </m:r>
          </m:e>
          <m:sub>
            <m:r>
              <m:t>e</m:t>
            </m:r>
            <m:r>
              <m:t>f</m:t>
            </m:r>
            <m:r>
              <m:t>f</m:t>
            </m:r>
          </m:sub>
        </m:sSub>
      </m:oMath>
      <w:r>
        <w:t xml:space="preserve"> </w:t>
      </w:r>
      <w:r>
        <w:t xml:space="preserve">through the shortfall recurrence</w:t>
      </w:r>
      <w:r>
        <w:t xml:space="preserve"> </w:t>
      </w:r>
      <m:oMath>
        <m:r>
          <m:t>T</m:t>
        </m:r>
      </m:oMath>
      <w:r>
        <w:t xml:space="preserve"> </w:t>
      </w:r>
      <w:r>
        <w:t xml:space="preserve">at fixed magnitude</w:t>
      </w:r>
      <w:r>
        <w:t xml:space="preserve"> </w:t>
      </w:r>
      <m:oMath>
        <m:r>
          <m:t>m</m:t>
        </m:r>
        <m:r>
          <m:rPr>
            <m:sty m:val="p"/>
          </m:rPr>
          <m:t>=</m:t>
        </m:r>
        <m:r>
          <m:t>0.5</m:t>
        </m:r>
      </m:oMath>
      <w:r>
        <w:t xml:space="preserve"> </w:t>
      </w:r>
      <w:r>
        <w:t xml:space="preserve">(§S1.4 naming convention); realized</w:t>
      </w:r>
      <w:r>
        <w:t xml:space="preserve"> </w:t>
      </w:r>
      <m:oMath>
        <m:r>
          <m:t>σ</m:t>
        </m:r>
      </m:oMath>
      <w:r>
        <w:t xml:space="preserve"> </w:t>
      </w:r>
      <w:r>
        <w:t xml:space="preserve">runs roughly 45-50% above target because shortfall events persist for multiple years and the realized-variance (CV) adjustment raises the composite index. Realized values are reported alongside targets throughout, and the crossings below are located on the realized scale.</w:t>
      </w:r>
    </w:p>
    <w:p>
      <w:pPr>
        <w:pStyle w:val="BodyText"/>
      </w:pPr>
      <w:r>
        <w:t xml:space="preserve">Per-cell strategy-dominance statistics for both configurations (n = 20 replicates per cell, mean ± sample SD with ddof =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m:oMath>
              <m:sSub>
                <m:e>
                  <m:r>
                    <m:t>σ</m:t>
                  </m:r>
                </m:e>
                <m:sub>
                  <m:r>
                    <m:t>t</m:t>
                  </m:r>
                  <m:r>
                    <m:t>a</m:t>
                  </m:r>
                  <m:r>
                    <m:t>r</m:t>
                  </m:r>
                  <m:r>
                    <m:t>g</m:t>
                  </m:r>
                  <m:r>
                    <m:t>e</m:t>
                  </m:r>
                  <m:r>
                    <m:t>t</m:t>
                  </m:r>
                </m:sub>
              </m:sSub>
            </m:oMath>
          </w:p>
        </w:tc>
        <w:tc>
          <w:tcPr/>
          <w:p>
            <w:pPr>
              <w:pStyle w:val="Compact"/>
            </w:pPr>
            <w:r>
              <w:t xml:space="preserve">realized</w:t>
            </w:r>
            <w:r>
              <w:t xml:space="preserve"> </w:t>
            </w:r>
            <m:oMath>
              <m:sSub>
                <m:e>
                  <m:r>
                    <m:t>σ</m:t>
                  </m:r>
                </m:e>
                <m:sub>
                  <m:r>
                    <m:t>e</m:t>
                  </m:r>
                  <m:r>
                    <m:t>f</m:t>
                  </m:r>
                  <m:r>
                    <m:t>f</m:t>
                  </m:r>
                </m:sub>
              </m:sSub>
            </m:oMath>
          </w:p>
        </w:tc>
        <w:tc>
          <w:tcPr/>
          <w:p>
            <w:pPr>
              <w:pStyle w:val="Compact"/>
            </w:pPr>
            <w:r>
              <w:t xml:space="preserve">dominance (signal-conditional)</w:t>
            </w:r>
          </w:p>
        </w:tc>
        <w:tc>
          <w:tcPr/>
          <w:p>
            <w:pPr>
              <w:pStyle w:val="Compact"/>
            </w:pPr>
            <w:r>
              <w:t xml:space="preserve">dominance (random-partner)</w:t>
            </w:r>
          </w:p>
        </w:tc>
      </w:tr>
      <w:tr>
        <w:tc>
          <w:tcPr/>
          <w:p>
            <w:pPr>
              <w:pStyle w:val="Compact"/>
            </w:pPr>
            <w:r>
              <w:t xml:space="preserve">0.20</w:t>
            </w:r>
          </w:p>
        </w:tc>
        <w:tc>
          <w:tcPr/>
          <w:p>
            <w:pPr>
              <w:pStyle w:val="Compact"/>
            </w:pPr>
            <w:r>
              <w:t xml:space="preserve">0.290</w:t>
            </w:r>
          </w:p>
        </w:tc>
        <w:tc>
          <w:tcPr/>
          <w:p>
            <w:pPr>
              <w:pStyle w:val="Compact"/>
            </w:pPr>
            <m:oMath>
              <m:r>
                <m:rPr>
                  <m:sty m:val="p"/>
                </m:rPr>
                <m:t>−</m:t>
              </m:r>
              <m:r>
                <m:t>0.370</m:t>
              </m:r>
              <m:r>
                <m:rPr>
                  <m:sty m:val="p"/>
                </m:rPr>
                <m:t>±</m:t>
              </m:r>
              <m:r>
                <m:t>0.074</m:t>
              </m:r>
            </m:oMath>
          </w:p>
        </w:tc>
        <w:tc>
          <w:tcPr/>
          <w:p>
            <w:pPr>
              <w:pStyle w:val="Compact"/>
            </w:pPr>
            <m:oMath>
              <m:r>
                <m:rPr>
                  <m:sty m:val="p"/>
                </m:rPr>
                <m:t>−</m:t>
              </m:r>
              <m:r>
                <m:t>0.368</m:t>
              </m:r>
              <m:r>
                <m:rPr>
                  <m:sty m:val="p"/>
                </m:rPr>
                <m:t>±</m:t>
              </m:r>
              <m:r>
                <m:t>0.055</m:t>
              </m:r>
            </m:oMath>
          </w:p>
        </w:tc>
      </w:tr>
      <w:tr>
        <w:tc>
          <w:tcPr/>
          <w:p>
            <w:pPr>
              <w:pStyle w:val="Compact"/>
            </w:pPr>
            <w:r>
              <w:t xml:space="preserve">0.28</w:t>
            </w:r>
          </w:p>
        </w:tc>
        <w:tc>
          <w:tcPr/>
          <w:p>
            <w:pPr>
              <w:pStyle w:val="Compact"/>
            </w:pPr>
            <w:r>
              <w:t xml:space="preserve">0.413</w:t>
            </w:r>
          </w:p>
        </w:tc>
        <w:tc>
          <w:tcPr/>
          <w:p>
            <w:pPr>
              <w:pStyle w:val="Compact"/>
            </w:pPr>
            <m:oMath>
              <m:r>
                <m:rPr>
                  <m:sty m:val="p"/>
                </m:rPr>
                <m:t>+</m:t>
              </m:r>
              <m:r>
                <m:t>0.101</m:t>
              </m:r>
              <m:r>
                <m:rPr>
                  <m:sty m:val="p"/>
                </m:rPr>
                <m:t>±</m:t>
              </m:r>
              <m:r>
                <m:t>0.142</m:t>
              </m:r>
            </m:oMath>
          </w:p>
        </w:tc>
        <w:tc>
          <w:tcPr/>
          <w:p>
            <w:pPr>
              <w:pStyle w:val="Compact"/>
            </w:pPr>
            <m:oMath>
              <m:r>
                <m:rPr>
                  <m:sty m:val="p"/>
                </m:rPr>
                <m:t>+</m:t>
              </m:r>
              <m:r>
                <m:t>0.108</m:t>
              </m:r>
              <m:r>
                <m:rPr>
                  <m:sty m:val="p"/>
                </m:rPr>
                <m:t>±</m:t>
              </m:r>
              <m:r>
                <m:t>0.109</m:t>
              </m:r>
            </m:oMath>
          </w:p>
        </w:tc>
      </w:tr>
      <w:tr>
        <w:tc>
          <w:tcPr/>
          <w:p>
            <w:pPr>
              <w:pStyle w:val="Compact"/>
            </w:pPr>
            <w:r>
              <w:t xml:space="preserve">0.36</w:t>
            </w:r>
          </w:p>
        </w:tc>
        <w:tc>
          <w:tcPr/>
          <w:p>
            <w:pPr>
              <w:pStyle w:val="Compact"/>
            </w:pPr>
            <w:r>
              <w:t xml:space="preserve">0.536</w:t>
            </w:r>
          </w:p>
        </w:tc>
        <w:tc>
          <w:tcPr/>
          <w:p>
            <w:pPr>
              <w:pStyle w:val="Compact"/>
            </w:pPr>
            <m:oMath>
              <m:r>
                <m:rPr>
                  <m:sty m:val="p"/>
                </m:rPr>
                <m:t>+</m:t>
              </m:r>
              <m:r>
                <m:t>0.480</m:t>
              </m:r>
              <m:r>
                <m:rPr>
                  <m:sty m:val="p"/>
                </m:rPr>
                <m:t>±</m:t>
              </m:r>
              <m:r>
                <m:t>0.066</m:t>
              </m:r>
            </m:oMath>
          </w:p>
        </w:tc>
        <w:tc>
          <w:tcPr/>
          <w:p>
            <w:pPr>
              <w:pStyle w:val="Compact"/>
            </w:pPr>
            <m:oMath>
              <m:r>
                <m:rPr>
                  <m:sty m:val="p"/>
                </m:rPr>
                <m:t>+</m:t>
              </m:r>
              <m:r>
                <m:t>0.469</m:t>
              </m:r>
              <m:r>
                <m:rPr>
                  <m:sty m:val="p"/>
                </m:rPr>
                <m:t>±</m:t>
              </m:r>
              <m:r>
                <m:t>0.056</m:t>
              </m:r>
            </m:oMath>
          </w:p>
        </w:tc>
      </w:tr>
      <w:tr>
        <w:tc>
          <w:tcPr/>
          <w:p>
            <w:pPr>
              <w:pStyle w:val="Compact"/>
            </w:pPr>
            <w:r>
              <w:t xml:space="preserve">0.40</w:t>
            </w:r>
          </w:p>
        </w:tc>
        <w:tc>
          <w:tcPr/>
          <w:p>
            <w:pPr>
              <w:pStyle w:val="Compact"/>
            </w:pPr>
            <w:r>
              <w:t xml:space="preserve">0.598</w:t>
            </w:r>
          </w:p>
        </w:tc>
        <w:tc>
          <w:tcPr/>
          <w:p>
            <w:pPr>
              <w:pStyle w:val="Compact"/>
            </w:pPr>
            <m:oMath>
              <m:r>
                <m:rPr>
                  <m:sty m:val="p"/>
                </m:rPr>
                <m:t>+</m:t>
              </m:r>
              <m:r>
                <m:t>0.617</m:t>
              </m:r>
              <m:r>
                <m:rPr>
                  <m:sty m:val="p"/>
                </m:rPr>
                <m:t>±</m:t>
              </m:r>
              <m:r>
                <m:t>0.039</m:t>
              </m:r>
            </m:oMath>
          </w:p>
        </w:tc>
        <w:tc>
          <w:tcPr/>
          <w:p>
            <w:pPr>
              <w:pStyle w:val="Compact"/>
            </w:pPr>
            <m:oMath>
              <m:r>
                <m:rPr>
                  <m:sty m:val="p"/>
                </m:rPr>
                <m:t>+</m:t>
              </m:r>
              <m:r>
                <m:t>0.595</m:t>
              </m:r>
              <m:r>
                <m:rPr>
                  <m:sty m:val="p"/>
                </m:rPr>
                <m:t>±</m:t>
              </m:r>
              <m:r>
                <m:t>0.041</m:t>
              </m:r>
            </m:oMath>
          </w:p>
        </w:tc>
      </w:tr>
      <w:tr>
        <w:tc>
          <w:tcPr/>
          <w:p>
            <w:pPr>
              <w:pStyle w:val="Compact"/>
            </w:pPr>
            <w:r>
              <w:t xml:space="preserve">0.44</w:t>
            </w:r>
          </w:p>
        </w:tc>
        <w:tc>
          <w:tcPr/>
          <w:p>
            <w:pPr>
              <w:pStyle w:val="Compact"/>
            </w:pPr>
            <w:r>
              <w:t xml:space="preserve">0.659</w:t>
            </w:r>
          </w:p>
        </w:tc>
        <w:tc>
          <w:tcPr/>
          <w:p>
            <w:pPr>
              <w:pStyle w:val="Compact"/>
            </w:pPr>
            <m:oMath>
              <m:r>
                <m:rPr>
                  <m:sty m:val="p"/>
                </m:rPr>
                <m:t>+</m:t>
              </m:r>
              <m:r>
                <m:t>0.711</m:t>
              </m:r>
              <m:r>
                <m:rPr>
                  <m:sty m:val="p"/>
                </m:rPr>
                <m:t>±</m:t>
              </m:r>
              <m:r>
                <m:t>0.034</m:t>
              </m:r>
            </m:oMath>
          </w:p>
        </w:tc>
        <w:tc>
          <w:tcPr/>
          <w:p>
            <w:pPr>
              <w:pStyle w:val="Compact"/>
            </w:pPr>
            <m:oMath>
              <m:r>
                <m:rPr>
                  <m:sty m:val="p"/>
                </m:rPr>
                <m:t>+</m:t>
              </m:r>
              <m:r>
                <m:t>0.706</m:t>
              </m:r>
              <m:r>
                <m:rPr>
                  <m:sty m:val="p"/>
                </m:rPr>
                <m:t>±</m:t>
              </m:r>
              <m:r>
                <m:t>0.039</m:t>
              </m:r>
            </m:oMath>
          </w:p>
        </w:tc>
      </w:tr>
      <w:tr>
        <w:tc>
          <w:tcPr/>
          <w:p>
            <w:pPr>
              <w:pStyle w:val="Compact"/>
            </w:pPr>
            <w:r>
              <w:t xml:space="preserve">0.50</w:t>
            </w:r>
          </w:p>
        </w:tc>
        <w:tc>
          <w:tcPr/>
          <w:p>
            <w:pPr>
              <w:pStyle w:val="Compact"/>
            </w:pPr>
            <w:r>
              <w:t xml:space="preserve">0.752</w:t>
            </w:r>
          </w:p>
        </w:tc>
        <w:tc>
          <w:tcPr/>
          <w:p>
            <w:pPr>
              <w:pStyle w:val="Compact"/>
            </w:pPr>
            <m:oMath>
              <m:r>
                <m:rPr>
                  <m:sty m:val="p"/>
                </m:rPr>
                <m:t>+</m:t>
              </m:r>
              <m:r>
                <m:t>0.839</m:t>
              </m:r>
              <m:r>
                <m:rPr>
                  <m:sty m:val="p"/>
                </m:rPr>
                <m:t>±</m:t>
              </m:r>
              <m:r>
                <m:t>0.011</m:t>
              </m:r>
            </m:oMath>
          </w:p>
        </w:tc>
        <w:tc>
          <w:tcPr/>
          <w:p>
            <w:pPr>
              <w:pStyle w:val="Compact"/>
            </w:pPr>
            <m:oMath>
              <m:r>
                <m:rPr>
                  <m:sty m:val="p"/>
                </m:rPr>
                <m:t>+</m:t>
              </m:r>
              <m:r>
                <m:t>0.838</m:t>
              </m:r>
              <m:r>
                <m:rPr>
                  <m:sty m:val="p"/>
                </m:rPr>
                <m:t>±</m:t>
              </m:r>
              <m:r>
                <m:t>0.017</m:t>
              </m:r>
            </m:oMath>
          </w:p>
        </w:tc>
      </w:tr>
      <w:tr>
        <w:tc>
          <w:tcPr/>
          <w:p>
            <w:pPr>
              <w:pStyle w:val="Compact"/>
            </w:pPr>
            <w:r>
              <w:t xml:space="preserve">0.55</w:t>
            </w:r>
          </w:p>
        </w:tc>
        <w:tc>
          <w:tcPr/>
          <w:p>
            <w:pPr>
              <w:pStyle w:val="Compact"/>
            </w:pPr>
            <w:r>
              <w:t xml:space="preserve">0.829</w:t>
            </w:r>
          </w:p>
        </w:tc>
        <w:tc>
          <w:tcPr/>
          <w:p>
            <w:pPr>
              <w:pStyle w:val="Compact"/>
            </w:pPr>
            <m:oMath>
              <m:r>
                <m:rPr>
                  <m:sty m:val="p"/>
                </m:rPr>
                <m:t>+</m:t>
              </m:r>
              <m:r>
                <m:t>0.891</m:t>
              </m:r>
              <m:r>
                <m:rPr>
                  <m:sty m:val="p"/>
                </m:rPr>
                <m:t>±</m:t>
              </m:r>
              <m:r>
                <m:t>0.017</m:t>
              </m:r>
            </m:oMath>
          </w:p>
        </w:tc>
        <w:tc>
          <w:tcPr/>
          <w:p>
            <w:pPr>
              <w:pStyle w:val="Compact"/>
            </w:pPr>
            <m:oMath>
              <m:r>
                <m:rPr>
                  <m:sty m:val="p"/>
                </m:rPr>
                <m:t>+</m:t>
              </m:r>
              <m:r>
                <m:t>0.901</m:t>
              </m:r>
              <m:r>
                <m:rPr>
                  <m:sty m:val="p"/>
                </m:rPr>
                <m:t>±</m:t>
              </m:r>
              <m:r>
                <m:t>0.011</m:t>
              </m:r>
            </m:oMath>
          </w:p>
        </w:tc>
      </w:tr>
    </w:tbl>
    <w:p>
      <w:pPr>
        <w:pStyle w:val="BodyText"/>
      </w:pPr>
      <w:r>
        <w:t xml:space="preserve">Crossovers (strategy dominance through zero, located by linear interpolation between bracketing realized-</w:t>
      </w:r>
      <m:oMath>
        <m:sSub>
          <m:e>
            <m:r>
              <m:t>σ</m:t>
            </m:r>
          </m:e>
          <m:sub>
            <m:r>
              <m:t>e</m:t>
            </m:r>
            <m:r>
              <m:t>f</m:t>
            </m:r>
            <m:r>
              <m:t>f</m:t>
            </m:r>
          </m:sub>
        </m:sSub>
      </m:oMath>
      <w:r>
        <w:t xml:space="preserve"> </w:t>
      </w:r>
      <w:r>
        <w:t xml:space="preserve">values):</w:t>
      </w:r>
      <w:r>
        <w:t xml:space="preserve"> </w:t>
      </w:r>
      <w:r>
        <w:rPr>
          <w:b/>
          <w:bCs/>
        </w:rPr>
        <w:t xml:space="preserve">signal-conditional</w:t>
      </w:r>
      <w:r>
        <w:rPr>
          <w:b/>
          <w:bCs/>
        </w:rPr>
        <w:t xml:space="preserve"> </w:t>
      </w:r>
      <m:oMath>
        <m:sSubSup>
          <m:e>
            <m:r>
              <m:t>σ</m:t>
            </m:r>
          </m:e>
          <m:sub>
            <m:r>
              <m:t>e</m:t>
            </m:r>
            <m:r>
              <m:t>f</m:t>
            </m:r>
            <m:r>
              <m:t>f</m:t>
            </m:r>
          </m:sub>
          <m:sup>
            <m:r>
              <m:rPr>
                <m:sty m:val="p"/>
              </m:rPr>
              <m:t>*</m:t>
            </m:r>
          </m:sup>
        </m:sSubSup>
        <m:r>
          <m:rPr>
            <m:sty m:val="p"/>
          </m:rPr>
          <m:t>=</m:t>
        </m:r>
        <m:r>
          <m:t>0.387</m:t>
        </m:r>
      </m:oMath>
      <w:r>
        <w:rPr>
          <w:b/>
          <w:bCs/>
        </w:rPr>
        <w:t xml:space="preserve">, random-partner</w:t>
      </w:r>
      <w:r>
        <w:rPr>
          <w:b/>
          <w:bCs/>
        </w:rPr>
        <w:t xml:space="preserve"> </w:t>
      </w:r>
      <m:oMath>
        <m:sSubSup>
          <m:e>
            <m:r>
              <m:t>σ</m:t>
            </m:r>
          </m:e>
          <m:sub>
            <m:r>
              <m:t>e</m:t>
            </m:r>
            <m:r>
              <m:t>f</m:t>
            </m:r>
            <m:r>
              <m:t>f</m:t>
            </m:r>
          </m:sub>
          <m:sup>
            <m:r>
              <m:rPr>
                <m:sty m:val="p"/>
              </m:rPr>
              <m:t>*</m:t>
            </m:r>
          </m:sup>
        </m:sSubSup>
        <m:r>
          <m:rPr>
            <m:sty m:val="p"/>
          </m:rPr>
          <m:t>=</m:t>
        </m:r>
        <m:r>
          <m:t>0.385</m:t>
        </m:r>
      </m:oMath>
      <w:r>
        <w:rPr>
          <w:b/>
          <w:bCs/>
        </w:rPr>
        <w:t xml:space="preserve">.</w:t>
      </w:r>
      <w:r>
        <w:t xml:space="preserve"> </w:t>
      </w:r>
      <w:r>
        <w:t xml:space="preserve">The threshold shift between configurations is</w:t>
      </w:r>
      <w:r>
        <w:t xml:space="preserve"> </w:t>
      </w:r>
      <m:oMath>
        <m:r>
          <m:rPr>
            <m:sty m:val="p"/>
          </m:rPr>
          <m:t>−</m:t>
        </m:r>
        <m:r>
          <m:t>0.002</m:t>
        </m:r>
      </m:oMath>
      <w:r>
        <w:t xml:space="preserve"> </w:t>
      </w:r>
      <w:r>
        <w:t xml:space="preserve">in realized</w:t>
      </w:r>
      <w:r>
        <w:t xml:space="preserve"> </w:t>
      </w:r>
      <m:oMath>
        <m:sSub>
          <m:e>
            <m:r>
              <m:t>σ</m:t>
            </m:r>
          </m:e>
          <m:sub>
            <m:r>
              <m:t>e</m:t>
            </m:r>
            <m:r>
              <m:t>f</m:t>
            </m:r>
            <m:r>
              <m:t>f</m:t>
            </m:r>
          </m:sub>
        </m:sSub>
      </m:oMath>
      <w:r>
        <w:t xml:space="preserve"> </w:t>
      </w:r>
      <w:r>
        <w:t xml:space="preserve">(a</w:t>
      </w:r>
      <w:r>
        <w:t xml:space="preserve"> </w:t>
      </w:r>
      <m:oMath>
        <m:r>
          <m:rPr>
            <m:sty m:val="p"/>
          </m:rPr>
          <m:t>−</m:t>
        </m:r>
        <m:r>
          <m:t>0.4</m:t>
        </m:r>
        <m:r>
          <m:rPr>
            <m:sty m:val="p"/>
          </m:rPr>
          <m:t>%</m:t>
        </m:r>
      </m:oMath>
      <w:r>
        <w:t xml:space="preserve"> </w:t>
      </w:r>
      <w:r>
        <w:t xml:space="preserve">shift), where the sign convention is random minus signal. The signal-conditional crossover matches the analytical prediction</w:t>
      </w:r>
      <w:r>
        <w:t xml:space="preserve"> </w:t>
      </w:r>
      <m:oMath>
        <m:sSup>
          <m:e>
            <m:r>
              <m:t>σ</m:t>
            </m:r>
          </m:e>
          <m:sup>
            <m:r>
              <m:rPr>
                <m:sty m:val="p"/>
              </m:rPr>
              <m:t>*</m:t>
            </m:r>
          </m:sup>
        </m:sSup>
        <m:r>
          <m:rPr>
            <m:sty m:val="p"/>
          </m:rPr>
          <m:t>=</m:t>
        </m:r>
        <m:r>
          <m:t>0.40</m:t>
        </m:r>
      </m:oMath>
      <w:r>
        <w:t xml:space="preserve"> </w:t>
      </w:r>
      <w:r>
        <w:t xml:space="preserve">at</w:t>
      </w:r>
      <w:r>
        <w:t xml:space="preserve"> </w:t>
      </w:r>
      <m:oMath>
        <m:r>
          <m:t>ε</m:t>
        </m:r>
        <m:r>
          <m:rPr>
            <m:sty m:val="p"/>
          </m:rPr>
          <m:t>=</m:t>
        </m:r>
        <m:r>
          <m:t>0.35</m:t>
        </m:r>
      </m:oMath>
      <w:r>
        <w:t xml:space="preserve"> </w:t>
      </w:r>
      <w:r>
        <w:t xml:space="preserve">to within 0.013. The random-partner arm forms the same expected number of ties per pass (uniform probability equal to the cohort mean of the signal-conditional probabilities) with uniform random pairing, so the comparison isolates weighted partner choice while holding tie counts fixed.</w:t>
      </w:r>
    </w:p>
    <w:p>
      <w:pPr>
        <w:pStyle w:val="BodyText"/>
      </w:pPr>
      <w:r>
        <w:t xml:space="preserve">Point-by-point dominance differences (random minus signal) at each</w:t>
      </w:r>
      <w:r>
        <w:t xml:space="preserve"> </w:t>
      </w:r>
      <m:oMath>
        <m:sSub>
          <m:e>
            <m:r>
              <m:t>σ</m:t>
            </m:r>
          </m:e>
          <m:sub>
            <m:r>
              <m:t>t</m:t>
            </m:r>
            <m:r>
              <m:t>a</m:t>
            </m:r>
            <m:r>
              <m:t>r</m:t>
            </m:r>
            <m:r>
              <m:t>g</m:t>
            </m:r>
            <m:r>
              <m:t>e</m:t>
            </m:r>
            <m:r>
              <m:t>t</m:t>
            </m:r>
          </m:sub>
        </m:sSub>
      </m:oMath>
      <w:r>
        <w:t xml:space="preserve">:</w:t>
      </w:r>
      <w:r>
        <w:t xml:space="preserve"> </w:t>
      </w:r>
      <m:oMath>
        <m:r>
          <m:rPr>
            <m:sty m:val="p"/>
          </m:rPr>
          <m:t>+</m:t>
        </m:r>
        <m:r>
          <m:t>0.002</m:t>
        </m:r>
        <m:r>
          <m:rPr>
            <m:sty m:val="p"/>
          </m:rPr>
          <m:t>,</m:t>
        </m:r>
        <m:r>
          <m:rPr>
            <m:sty m:val="p"/>
          </m:rPr>
          <m:t>+</m:t>
        </m:r>
        <m:r>
          <m:t>0.007</m:t>
        </m:r>
        <m:r>
          <m:rPr>
            <m:sty m:val="p"/>
          </m:rPr>
          <m:t>,</m:t>
        </m:r>
        <m:r>
          <m:rPr>
            <m:sty m:val="p"/>
          </m:rPr>
          <m:t>−</m:t>
        </m:r>
        <m:r>
          <m:t>0.011</m:t>
        </m:r>
        <m:r>
          <m:rPr>
            <m:sty m:val="p"/>
          </m:rPr>
          <m:t>,</m:t>
        </m:r>
        <m:r>
          <m:rPr>
            <m:sty m:val="p"/>
          </m:rPr>
          <m:t>−</m:t>
        </m:r>
        <m:r>
          <m:t>0.022</m:t>
        </m:r>
        <m:r>
          <m:rPr>
            <m:sty m:val="p"/>
          </m:rPr>
          <m:t>,</m:t>
        </m:r>
        <m:r>
          <m:rPr>
            <m:sty m:val="p"/>
          </m:rPr>
          <m:t>−</m:t>
        </m:r>
        <m:r>
          <m:t>0.005</m:t>
        </m:r>
        <m:r>
          <m:rPr>
            <m:sty m:val="p"/>
          </m:rPr>
          <m:t>,</m:t>
        </m:r>
        <m:r>
          <m:rPr>
            <m:sty m:val="p"/>
          </m:rPr>
          <m:t>−</m:t>
        </m:r>
        <m:r>
          <m:t>0.001</m:t>
        </m:r>
        <m:r>
          <m:rPr>
            <m:sty m:val="p"/>
          </m:rPr>
          <m:t>,</m:t>
        </m:r>
        <m:r>
          <m:rPr>
            <m:sty m:val="p"/>
          </m:rPr>
          <m:t>+</m:t>
        </m:r>
        <m:r>
          <m:t>0.010</m:t>
        </m:r>
      </m:oMath>
      <w:r>
        <w:t xml:space="preserve">. The differences alternate in sign across the transition zone and are within one replicate SD of zero at every cell. Both versions converge within 0.010 of each other at saturation.</w:t>
      </w:r>
    </w:p>
    <w:p>
      <w:pPr>
        <w:pStyle w:val="BodyText"/>
      </w:pPr>
      <w:r>
        <w:drawing>
          <wp:inline>
            <wp:extent cx="5943600" cy="4941065"/>
            <wp:effectExtent b="0" l="0" r="0" t="0"/>
            <wp:docPr descr="" title="" id="61" name="Picture"/>
            <a:graphic>
              <a:graphicData uri="http://schemas.openxmlformats.org/drawingml/2006/picture">
                <pic:pic>
                  <pic:nvPicPr>
                    <pic:cNvPr descr="../../figures/supplemental/figure_S08_ablation_n20.png" id="62" name="Picture"/>
                    <pic:cNvPicPr>
                      <a:picLocks noChangeArrowheads="1" noChangeAspect="1"/>
                    </pic:cNvPicPr>
                  </pic:nvPicPr>
                  <pic:blipFill>
                    <a:blip r:embed="rId60"/>
                    <a:stretch>
                      <a:fillRect/>
                    </a:stretch>
                  </pic:blipFill>
                  <pic:spPr bwMode="auto">
                    <a:xfrm>
                      <a:off x="0" y="0"/>
                      <a:ext cx="5943600" cy="4941065"/>
                    </a:xfrm>
                    <a:prstGeom prst="rect">
                      <a:avLst/>
                    </a:prstGeom>
                    <a:noFill/>
                    <a:ln w="9525">
                      <a:noFill/>
                      <a:headEnd/>
                      <a:tailEnd/>
                    </a:ln>
                  </pic:spPr>
                </pic:pic>
              </a:graphicData>
            </a:graphic>
          </wp:inline>
        </w:drawing>
      </w:r>
    </w:p>
    <w:p>
      <w:pPr>
        <w:pStyle w:val="BodyText"/>
      </w:pPr>
      <w:r>
        <w:rPr>
          <w:b/>
          <w:bCs/>
          <w:i/>
          <w:iCs/>
        </w:rPr>
        <w:t xml:space="preserve">Figure S8. Signal-conditional vs random-partner ablation, n=20 per cell.</w:t>
      </w:r>
      <w:r>
        <w:t xml:space="preserve"> </w:t>
      </w:r>
      <w:r>
        <w:rPr>
          <w:i/>
          <w:iCs/>
        </w:rPr>
        <w:t xml:space="preserve">Visualization of the §S7.1 table data (</w:t>
      </w:r>
      <w:r>
        <w:rPr>
          <w:rStyle w:val="VerbatimChar"/>
          <w:i/>
          <w:iCs/>
        </w:rPr>
        <w:t xml:space="preserve">results/ablation/ablation_sweep_engine2.json</w:t>
      </w:r>
      <w:r>
        <w:rPr>
          <w:i/>
          <w:iCs/>
        </w:rPr>
        <w:t xml:space="preserve">). (A) Strategy dominance vs realized</w:t>
      </w:r>
      <w:r>
        <w:t xml:space="preserve"> </w:t>
      </w:r>
      <m:oMath>
        <m:sSub>
          <m:e>
            <m:r>
              <m:t>σ</m:t>
            </m:r>
          </m:e>
          <m:sub>
            <m:r>
              <m:t>e</m:t>
            </m:r>
            <m:r>
              <m:t>f</m:t>
            </m:r>
            <m:r>
              <m:t>f</m:t>
            </m:r>
          </m:sub>
        </m:sSub>
      </m:oMath>
      <w:r>
        <w:t xml:space="preserve"> </w:t>
      </w:r>
      <w:r>
        <w:rPr>
          <w:i/>
          <w:iCs/>
        </w:rPr>
        <w:t xml:space="preserve">for both modes with</w:t>
      </w:r>
      <w:r>
        <w:t xml:space="preserve"> </w:t>
      </w:r>
      <m:oMath>
        <m:r>
          <m:rPr>
            <m:sty m:val="p"/>
          </m:rPr>
          <m:t>±</m:t>
        </m:r>
        <m:r>
          <m:t>1</m:t>
        </m:r>
      </m:oMath>
      <w:r>
        <w:t xml:space="preserve"> </w:t>
      </w:r>
      <w:r>
        <w:rPr>
          <w:i/>
          <w:iCs/>
        </w:rPr>
        <w:t xml:space="preserve">SD envelopes. The analytical threshold</w:t>
      </w:r>
      <w:r>
        <w:t xml:space="preserve"> </w:t>
      </w:r>
      <m:oMath>
        <m:sSup>
          <m:e>
            <m:r>
              <m:t>σ</m:t>
            </m:r>
          </m:e>
          <m:sup>
            <m:r>
              <m:rPr>
                <m:sty m:val="p"/>
              </m:rPr>
              <m:t>*</m:t>
            </m:r>
          </m:sup>
        </m:sSup>
        <m:r>
          <m:rPr>
            <m:sty m:val="p"/>
          </m:rPr>
          <m:t>=</m:t>
        </m:r>
        <m:r>
          <m:t>0.40</m:t>
        </m:r>
      </m:oMath>
      <w:r>
        <w:t xml:space="preserve"> </w:t>
      </w:r>
      <w:r>
        <w:rPr>
          <w:i/>
          <w:iCs/>
        </w:rPr>
        <w:t xml:space="preserve">is the red dotted vertical line. The two S-curves are nearly indistinguishable on this scale. (B) Realized</w:t>
      </w:r>
      <w:r>
        <w:t xml:space="preserve"> </w:t>
      </w:r>
      <m:oMath>
        <m:sSub>
          <m:e>
            <m:r>
              <m:t>σ</m:t>
            </m:r>
          </m:e>
          <m:sub>
            <m:r>
              <m:t>e</m:t>
            </m:r>
            <m:r>
              <m:t>f</m:t>
            </m:r>
            <m:r>
              <m:t>f</m:t>
            </m:r>
          </m:sub>
        </m:sSub>
      </m:oMath>
      <w:r>
        <w:t xml:space="preserve"> </w:t>
      </w:r>
      <w:r>
        <w:rPr>
          <w:i/>
          <w:iCs/>
        </w:rPr>
        <w:t xml:space="preserve">vs target</w:t>
      </w:r>
      <w:r>
        <w:t xml:space="preserve"> </w:t>
      </w:r>
      <m:oMath>
        <m:sSub>
          <m:e>
            <m:r>
              <m:t>σ</m:t>
            </m:r>
          </m:e>
          <m:sub>
            <m:r>
              <m:t>e</m:t>
            </m:r>
            <m:r>
              <m:t>f</m:t>
            </m:r>
            <m:r>
              <m:t>f</m:t>
            </m:r>
          </m:sub>
        </m:sSub>
      </m:oMath>
      <w:r>
        <w:rPr>
          <w:i/>
          <w:iCs/>
        </w:rPr>
        <w:t xml:space="preserve">, documenting the realized-vs-target adjustment described above.</w:t>
      </w:r>
    </w:p>
    <w:p>
      <w:pPr>
        <w:pStyle w:val="BodyText"/>
      </w:pPr>
      <w:r>
        <w:t xml:space="preserve">Full per-replicate output is archived in</w:t>
      </w:r>
      <w:r>
        <w:t xml:space="preserve"> </w:t>
      </w:r>
      <w:r>
        <w:rPr>
          <w:rStyle w:val="VerbatimChar"/>
        </w:rPr>
        <w:t xml:space="preserve">results/ablation/ablation_sweep_engine2.json</w:t>
      </w:r>
      <w:r>
        <w:t xml:space="preserve">. Earlier sweeps against the pre-revision engine (</w:t>
      </w:r>
      <w:r>
        <w:rPr>
          <w:rStyle w:val="VerbatimChar"/>
        </w:rPr>
        <w:t xml:space="preserve">overnight_sweep.json</w:t>
      </w:r>
      <w:r>
        <w:t xml:space="preserve">,</w:t>
      </w:r>
      <w:r>
        <w:t xml:space="preserve"> </w:t>
      </w:r>
      <w:r>
        <w:rPr>
          <w:rStyle w:val="VerbatimChar"/>
        </w:rPr>
        <w:t xml:space="preserve">phase_transition_summary.json</w:t>
      </w:r>
      <w:r>
        <w:t xml:space="preserve">) are retained in git history for provenance but do not correspond to the current engine.</w:t>
      </w:r>
    </w:p>
    <w:bookmarkEnd w:id="63"/>
    <w:bookmarkStart w:id="64" w:name="s7.2-calibration-scenarios"/>
    <w:p>
      <w:pPr>
        <w:pStyle w:val="Heading3"/>
      </w:pPr>
      <w:r>
        <w:t xml:space="preserve">S7.2 Calibration scenarios</w:t>
      </w:r>
    </w:p>
    <w:p>
      <w:pPr>
        <w:pStyle w:val="FirstParagraph"/>
      </w:pPr>
      <w:r>
        <w:t xml:space="preserve">Four parametric scenarios were run with eight replicates each over 200 simulated years (the canonical calibration configuration; see §S1.6 above for the submodel specification). Summary statistics (mean ± sample SD across replicates), reproducible from</w:t>
      </w:r>
      <w:r>
        <w:t xml:space="preserve"> </w:t>
      </w:r>
      <w:r>
        <w:rPr>
          <w:rStyle w:val="VerbatimChar"/>
        </w:rPr>
        <w:t xml:space="preserve">results/calibration_replicates/replicates_n8_d200.json</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Scenario</w:t>
            </w:r>
          </w:p>
        </w:tc>
        <w:tc>
          <w:tcPr/>
          <w:p>
            <w:pPr>
              <w:pStyle w:val="Compact"/>
            </w:pPr>
            <w:r>
              <w:t xml:space="preserve">Nominal</w:t>
            </w:r>
            <w:r>
              <w:t xml:space="preserve"> </w:t>
            </w:r>
            <m:oMath>
              <m:r>
                <m:t>σ</m:t>
              </m:r>
            </m:oMath>
          </w:p>
        </w:tc>
        <w:tc>
          <w:tcPr/>
          <w:p>
            <w:pPr>
              <w:pStyle w:val="Compact"/>
            </w:pPr>
            <w:r>
              <w:t xml:space="preserve">Realized</w:t>
            </w:r>
            <w:r>
              <w:t xml:space="preserve"> </w:t>
            </w:r>
            <m:oMath>
              <m:r>
                <m:t>σ</m:t>
              </m:r>
            </m:oMath>
            <w:r>
              <w:t xml:space="preserve"> </w:t>
            </w:r>
            <w:r>
              <w:t xml:space="preserve">(mean)</w:t>
            </w:r>
          </w:p>
        </w:tc>
        <w:tc>
          <w:tcPr/>
          <w:p>
            <w:pPr>
              <w:pStyle w:val="Compact"/>
            </w:pPr>
            <w:r>
              <w:t xml:space="preserve">Mean aggregation size (bands; population grows to ~130-190 bands under fission)</w:t>
            </w:r>
          </w:p>
        </w:tc>
        <w:tc>
          <w:tcPr/>
          <w:p>
            <w:pPr>
              <w:pStyle w:val="Compact"/>
            </w:pPr>
            <w:r>
              <w:t xml:space="preserve">Monument units (mean ± sample SD)</w:t>
            </w:r>
          </w:p>
        </w:tc>
        <w:tc>
          <w:tcPr/>
          <w:p>
            <w:pPr>
              <w:pStyle w:val="Compact"/>
            </w:pPr>
            <w:r>
              <w:t xml:space="preserve">Total exotics (mean ± sample SD)</w:t>
            </w:r>
          </w:p>
        </w:tc>
      </w:tr>
      <w:tr>
        <w:tc>
          <w:tcPr/>
          <w:p>
            <w:pPr>
              <w:pStyle w:val="Compact"/>
            </w:pPr>
            <w:r>
              <w:t xml:space="preserve">Low Uncertainty</w:t>
            </w:r>
          </w:p>
        </w:tc>
        <w:tc>
          <w:tcPr/>
          <w:p>
            <w:pPr>
              <w:pStyle w:val="Compact"/>
            </w:pPr>
            <w:r>
              <w:t xml:space="preserve">0.32</w:t>
            </w:r>
          </w:p>
        </w:tc>
        <w:tc>
          <w:tcPr/>
          <w:p>
            <w:pPr>
              <w:pStyle w:val="Compact"/>
            </w:pPr>
            <w:r>
              <w:t xml:space="preserve">0.29</w:t>
            </w:r>
          </w:p>
        </w:tc>
        <w:tc>
          <w:tcPr/>
          <w:p>
            <w:pPr>
              <w:pStyle w:val="Compact"/>
            </w:pPr>
            <w:r>
              <w:t xml:space="preserve">54-125 (near-threshold mixed)</w:t>
            </w:r>
          </w:p>
        </w:tc>
        <w:tc>
          <w:tcPr/>
          <w:p>
            <w:pPr>
              <w:pStyle w:val="Compact"/>
            </w:pPr>
            <w:r>
              <w:t xml:space="preserve">3,402 ± 1,906</w:t>
            </w:r>
          </w:p>
        </w:tc>
        <w:tc>
          <w:tcPr/>
          <w:p>
            <w:pPr>
              <w:pStyle w:val="Compact"/>
            </w:pPr>
            <w:r>
              <w:t xml:space="preserve">6,938 ± 1,749</w:t>
            </w:r>
          </w:p>
        </w:tc>
      </w:tr>
      <w:tr>
        <w:tc>
          <w:tcPr/>
          <w:p>
            <w:pPr>
              <w:pStyle w:val="Compact"/>
            </w:pPr>
            <w:r>
              <w:t xml:space="preserve">Calibrated PP</w:t>
            </w:r>
          </w:p>
        </w:tc>
        <w:tc>
          <w:tcPr/>
          <w:p>
            <w:pPr>
              <w:pStyle w:val="Compact"/>
            </w:pPr>
            <w:r>
              <w:t xml:space="preserve">0.64</w:t>
            </w:r>
          </w:p>
        </w:tc>
        <w:tc>
          <w:tcPr/>
          <w:p>
            <w:pPr>
              <w:pStyle w:val="Compact"/>
            </w:pPr>
            <w:r>
              <w:t xml:space="preserve">0.62</w:t>
            </w:r>
          </w:p>
        </w:tc>
        <w:tc>
          <w:tcPr/>
          <w:p>
            <w:pPr>
              <w:pStyle w:val="Compact"/>
            </w:pPr>
            <w:r>
              <w:t xml:space="preserve">77-188 (aggregator-dominant)</w:t>
            </w:r>
          </w:p>
        </w:tc>
        <w:tc>
          <w:tcPr/>
          <w:p>
            <w:pPr>
              <w:pStyle w:val="Compact"/>
            </w:pPr>
            <w:r>
              <w:t xml:space="preserve">7,203 ± 3,276</w:t>
            </w:r>
          </w:p>
        </w:tc>
        <w:tc>
          <w:tcPr/>
          <w:p>
            <w:pPr>
              <w:pStyle w:val="Compact"/>
            </w:pPr>
            <w:r>
              <w:t xml:space="preserve">10,883 ± 3,131</w:t>
            </w:r>
          </w:p>
        </w:tc>
      </w:tr>
      <w:tr>
        <w:tc>
          <w:tcPr/>
          <w:p>
            <w:pPr>
              <w:pStyle w:val="Compact"/>
            </w:pPr>
            <w:r>
              <w:t xml:space="preserve">Critical Threshold</w:t>
            </w:r>
          </w:p>
        </w:tc>
        <w:tc>
          <w:tcPr/>
          <w:p>
            <w:pPr>
              <w:pStyle w:val="Compact"/>
            </w:pPr>
            <w:r>
              <w:t xml:space="preserve">0.57</w:t>
            </w:r>
          </w:p>
        </w:tc>
        <w:tc>
          <w:tcPr/>
          <w:p>
            <w:pPr>
              <w:pStyle w:val="Compact"/>
            </w:pPr>
            <w:r>
              <w:t xml:space="preserve">0.55</w:t>
            </w:r>
          </w:p>
        </w:tc>
        <w:tc>
          <w:tcPr/>
          <w:p>
            <w:pPr>
              <w:pStyle w:val="Compact"/>
            </w:pPr>
            <w:r>
              <w:t xml:space="preserve">73-180</w:t>
            </w:r>
          </w:p>
        </w:tc>
        <w:tc>
          <w:tcPr/>
          <w:p>
            <w:pPr>
              <w:pStyle w:val="Compact"/>
            </w:pPr>
            <w:r>
              <w:t xml:space="preserve">6,350 ± 2,777</w:t>
            </w:r>
          </w:p>
        </w:tc>
        <w:tc>
          <w:tcPr/>
          <w:p>
            <w:pPr>
              <w:pStyle w:val="Compact"/>
            </w:pPr>
            <w:r>
              <w:t xml:space="preserve">10,091 ± 3,438</w:t>
            </w:r>
          </w:p>
        </w:tc>
      </w:tr>
      <w:tr>
        <w:tc>
          <w:tcPr/>
          <w:p>
            <w:pPr>
              <w:pStyle w:val="Compact"/>
            </w:pPr>
            <w:r>
              <w:t xml:space="preserve">High Uncertainty</w:t>
            </w:r>
          </w:p>
        </w:tc>
        <w:tc>
          <w:tcPr/>
          <w:p>
            <w:pPr>
              <w:pStyle w:val="Compact"/>
            </w:pPr>
            <w:r>
              <w:t xml:space="preserve">1.00 (clipped to 0.95)</w:t>
            </w:r>
          </w:p>
        </w:tc>
        <w:tc>
          <w:tcPr/>
          <w:p>
            <w:pPr>
              <w:pStyle w:val="Compact"/>
            </w:pPr>
            <w:r>
              <w:t xml:space="preserve">0.95</w:t>
            </w:r>
          </w:p>
        </w:tc>
        <w:tc>
          <w:tcPr/>
          <w:p>
            <w:pPr>
              <w:pStyle w:val="Compact"/>
            </w:pPr>
            <w:r>
              <w:t xml:space="preserve">39-118 (demographically stressed)</w:t>
            </w:r>
          </w:p>
        </w:tc>
        <w:tc>
          <w:tcPr/>
          <w:p>
            <w:pPr>
              <w:pStyle w:val="Compact"/>
            </w:pPr>
            <w:r>
              <w:t xml:space="preserve">6,440 ± 2,268</w:t>
            </w:r>
          </w:p>
        </w:tc>
        <w:tc>
          <w:tcPr/>
          <w:p>
            <w:pPr>
              <w:pStyle w:val="Compact"/>
            </w:pPr>
            <w:r>
              <w:t xml:space="preserve">4,609 ± 2,336</w:t>
            </w:r>
          </w:p>
        </w:tc>
      </w:tr>
    </w:tbl>
    <w:p>
      <w:pPr>
        <w:pStyle w:val="BodyText"/>
      </w:pPr>
      <w:r>
        <w:t xml:space="preserve">All standard deviations reported in this article are sample standard deviations (</w:t>
      </w:r>
      <m:oMath>
        <m:acc>
          <m:accPr>
            <m:chr m:val="̂"/>
          </m:accPr>
          <m:e>
            <m:r>
              <m:t>σ</m:t>
            </m:r>
          </m:e>
        </m:acc>
        <m:r>
          <m:rPr>
            <m:sty m:val="p"/>
          </m:rPr>
          <m:t>=</m:t>
        </m:r>
        <m:rad>
          <m:radPr>
            <m:degHide m:val="on"/>
          </m:radPr>
          <m:deg/>
          <m:e>
            <m:r>
              <m:rPr>
                <m:sty m:val="p"/>
              </m:rPr>
              <m:t>∑</m:t>
            </m:r>
            <m:r>
              <m:rPr>
                <m:sty m:val="p"/>
              </m:rPr>
              <m:t>(</m:t>
            </m:r>
            <m:r>
              <m:t>x</m:t>
            </m:r>
            <m:r>
              <m:rPr>
                <m:sty m:val="p"/>
              </m:rPr>
              <m:t>−</m:t>
            </m:r>
            <m:acc>
              <m:accPr>
                <m:chr m:val="‾"/>
              </m:accPr>
              <m:e>
                <m:r>
                  <m:t>x</m:t>
                </m:r>
              </m:e>
            </m:acc>
            <m:sSup>
              <m:e>
                <m:r>
                  <m:rPr>
                    <m:sty m:val="p"/>
                  </m:rPr>
                  <m:t>)</m:t>
                </m:r>
              </m:e>
              <m:sup>
                <m:r>
                  <m:t>2</m:t>
                </m:r>
              </m:sup>
            </m:sSup>
            <m:r>
              <m:rPr>
                <m:sty m:val="p"/>
              </m:rPr>
              <m:t>/</m:t>
            </m:r>
            <m:r>
              <m:rPr>
                <m:sty m:val="p"/>
              </m:rPr>
              <m:t>(</m:t>
            </m:r>
            <m:r>
              <m:t>n</m:t>
            </m:r>
            <m:r>
              <m:rPr>
                <m:sty m:val="p"/>
              </m:rPr>
              <m:t>−</m:t>
            </m:r>
            <m:r>
              <m:t>1</m:t>
            </m:r>
            <m:r>
              <m:rPr>
                <m:sty m:val="p"/>
              </m:rPr>
              <m:t>)</m:t>
            </m:r>
          </m:e>
        </m:rad>
      </m:oMath>
      <w:r>
        <w:t xml:space="preserve">, equivalent to</w:t>
      </w:r>
      <w:r>
        <w:t xml:space="preserve"> </w:t>
      </w:r>
      <w:r>
        <w:rPr>
          <w:rStyle w:val="VerbatimChar"/>
        </w:rPr>
        <w:t xml:space="preserve">numpy.std(..., ddof=1)</w:t>
      </w:r>
      <w:r>
        <w:t xml:space="preserve"> </w:t>
      </w:r>
      <w:r>
        <w:t xml:space="preserve">and</w:t>
      </w:r>
      <w:r>
        <w:t xml:space="preserve"> </w:t>
      </w:r>
      <w:r>
        <w:rPr>
          <w:rStyle w:val="VerbatimChar"/>
        </w:rPr>
        <w:t xml:space="preserve">pandas.Series.std()</w:t>
      </w:r>
      <w:r>
        <w:t xml:space="preserve">).</w:t>
      </w:r>
    </w:p>
    <w:p>
      <w:pPr>
        <w:pStyle w:val="BodyText"/>
      </w:pPr>
      <w:r>
        <w:t xml:space="preserve">The 5,521 / 5,920 / 7,193 / 8,744 monument-unit values reported in earlier drafts came from a 10-replicate × 500-year configuration superseded by the canonical 8 × 200 run. The present numbers are those used in the main text and Figure 3 and supersede the earlier table.</w:t>
      </w:r>
    </w:p>
    <w:bookmarkEnd w:id="64"/>
    <w:bookmarkStart w:id="65" w:name="s7.3-phase-space-structure"/>
    <w:p>
      <w:pPr>
        <w:pStyle w:val="Heading3"/>
      </w:pPr>
      <w:r>
        <w:t xml:space="preserve">S7.3 Phase space structure</w:t>
      </w:r>
    </w:p>
    <w:p>
      <w:pPr>
        <w:pStyle w:val="FirstParagraph"/>
      </w:pPr>
      <w:r>
        <w:t xml:space="preserve">The two-dimensional phase-space diagram across the joint</w:t>
      </w:r>
      <w:r>
        <w:t xml:space="preserve"> </w:t>
      </w:r>
      <m:oMath>
        <m:r>
          <m:rPr>
            <m:sty m:val="p"/>
          </m:rPr>
          <m:t>(</m:t>
        </m:r>
        <m:r>
          <m:t>σ</m:t>
        </m:r>
        <m:r>
          <m:rPr>
            <m:sty m:val="p"/>
          </m:rPr>
          <m:t>,</m:t>
        </m:r>
        <m:r>
          <m:t>ε</m:t>
        </m:r>
        <m:r>
          <m:rPr>
            <m:sty m:val="p"/>
          </m:rPr>
          <m:t>)</m:t>
        </m:r>
      </m:oMath>
      <w:r>
        <w:t xml:space="preserve"> </w:t>
      </w:r>
      <w:r>
        <w:t xml:space="preserve">plane is presented as main-text Figure 9 (§4.2).</w:t>
      </w:r>
    </w:p>
    <w:bookmarkEnd w:id="65"/>
    <w:bookmarkStart w:id="72" w:name="s7.4-aggregation-size-and-signaling-cost"/>
    <w:p>
      <w:pPr>
        <w:pStyle w:val="Heading3"/>
      </w:pPr>
      <w:r>
        <w:t xml:space="preserve">S7.4 Aggregation size and signaling cost</w:t>
      </w:r>
    </w:p>
    <w:p>
      <w:pPr>
        <w:pStyle w:val="FirstParagraph"/>
      </w:pPr>
      <w:r>
        <w:drawing>
          <wp:inline>
            <wp:extent cx="5943600" cy="2519755"/>
            <wp:effectExtent b="0" l="0" r="0" t="0"/>
            <wp:docPr descr="" title="" id="67" name="Picture"/>
            <a:graphic>
              <a:graphicData uri="http://schemas.openxmlformats.org/drawingml/2006/picture">
                <pic:pic>
                  <pic:nvPicPr>
                    <pic:cNvPr descr="../../figures/supplemental/figure_S09_sigma_vs_aggregation.png" id="68" name="Picture"/>
                    <pic:cNvPicPr>
                      <a:picLocks noChangeArrowheads="1" noChangeAspect="1"/>
                    </pic:cNvPicPr>
                  </pic:nvPicPr>
                  <pic:blipFill>
                    <a:blip r:embed="rId66"/>
                    <a:stretch>
                      <a:fillRect/>
                    </a:stretch>
                  </pic:blipFill>
                  <pic:spPr bwMode="auto">
                    <a:xfrm>
                      <a:off x="0" y="0"/>
                      <a:ext cx="5943600" cy="2519755"/>
                    </a:xfrm>
                    <a:prstGeom prst="rect">
                      <a:avLst/>
                    </a:prstGeom>
                    <a:noFill/>
                    <a:ln w="9525">
                      <a:noFill/>
                      <a:headEnd/>
                      <a:tailEnd/>
                    </a:ln>
                  </pic:spPr>
                </pic:pic>
              </a:graphicData>
            </a:graphic>
          </wp:inline>
        </w:drawing>
      </w:r>
    </w:p>
    <w:p>
      <w:pPr>
        <w:pStyle w:val="BodyText"/>
      </w:pPr>
      <w:r>
        <w:rPr>
          <w:b/>
          <w:bCs/>
          <w:i/>
          <w:iCs/>
        </w:rPr>
        <w:t xml:space="preserve">Figure S9. Effect of aggregation size on critical threshold.</w:t>
      </w:r>
      <w:r>
        <w:t xml:space="preserve"> </w:t>
      </w:r>
      <w:r>
        <w:rPr>
          <w:i/>
          <w:iCs/>
        </w:rPr>
        <w:t xml:space="preserve">Predicted</w:t>
      </w:r>
      <w:r>
        <w:rPr>
          <w:i/>
          <w:iCs/>
        </w:rPr>
        <w:t xml:space="preserve"> </w:t>
      </w:r>
      <m:oMath>
        <m:sSup>
          <m:e>
            <m:r>
              <m:t>σ</m:t>
            </m:r>
          </m:e>
          <m:sup>
            <m:r>
              <m:rPr>
                <m:sty m:val="p"/>
              </m:rPr>
              <m:t>*</m:t>
            </m:r>
          </m:sup>
        </m:sSup>
      </m:oMath>
      <w:r>
        <w:rPr>
          <w:i/>
          <w:iCs/>
        </w:rPr>
        <w:t xml:space="preserve"> </w:t>
      </w:r>
      <w:r>
        <w:rPr>
          <w:i/>
          <w:iCs/>
        </w:rPr>
        <w:t xml:space="preserve">as a function of attended aggregation size</w:t>
      </w:r>
      <w:r>
        <w:rPr>
          <w:i/>
          <w:iCs/>
        </w:rPr>
        <w:t xml:space="preserve"> </w:t>
      </w:r>
      <m:oMath>
        <m:sSub>
          <m:e>
            <m:r>
              <m:t>n</m:t>
            </m:r>
          </m:e>
          <m:sub>
            <m:r>
              <m:t>a</m:t>
            </m:r>
            <m:r>
              <m:t>g</m:t>
            </m:r>
            <m:r>
              <m:t>g</m:t>
            </m:r>
          </m:sub>
        </m:sSub>
      </m:oMath>
      <w:r>
        <w:rPr>
          <w:i/>
          <w:iCs/>
        </w:rPr>
        <w:t xml:space="preserve"> </w:t>
      </w:r>
      <w:r>
        <w:rPr>
          <w:i/>
          <w:iCs/>
        </w:rPr>
        <w:t xml:space="preserve">at PP-scenario parameters (</w:t>
      </w:r>
      <m:oMath>
        <m:r>
          <m:t>ε</m:t>
        </m:r>
        <m:r>
          <m:rPr>
            <m:sty m:val="p"/>
          </m:rPr>
          <m:t>=</m:t>
        </m:r>
        <m:r>
          <m:t>0.35</m:t>
        </m:r>
      </m:oMath>
      <w:r>
        <w:rPr>
          <w:i/>
          <w:iCs/>
        </w:rPr>
        <w:t xml:space="preserve">, default cost and signaling parameters; full set in Table S2). Solid line,</w:t>
      </w:r>
      <w:r>
        <w:rPr>
          <w:i/>
          <w:iCs/>
        </w:rPr>
        <w:t xml:space="preserve"> </w:t>
      </w:r>
      <m:oMath>
        <m:sSup>
          <m:e>
            <m:r>
              <m:t>σ</m:t>
            </m:r>
          </m:e>
          <m:sup>
            <m:r>
              <m:rPr>
                <m:sty m:val="p"/>
              </m:rPr>
              <m:t>*</m:t>
            </m:r>
          </m:sup>
        </m:sSup>
      </m:oMath>
      <w:r>
        <w:rPr>
          <w:i/>
          <w:iCs/>
        </w:rPr>
        <w:t xml:space="preserve"> </w:t>
      </w:r>
      <w:r>
        <w:rPr>
          <w:i/>
          <w:iCs/>
        </w:rPr>
        <w:t xml:space="preserve">from Brent’s-method root-finding on the</w:t>
      </w:r>
      <w:r>
        <w:rPr>
          <w:i/>
          <w:iCs/>
        </w:rPr>
        <w:t xml:space="preserve"> </w:t>
      </w:r>
      <m:oMath>
        <m:sSub>
          <m:e>
            <m:r>
              <m:t>W</m:t>
            </m:r>
          </m:e>
          <m:sub>
            <m:r>
              <m:t>a</m:t>
            </m:r>
            <m:r>
              <m:t>g</m:t>
            </m:r>
            <m:r>
              <m:t>g</m:t>
            </m:r>
          </m:sub>
        </m:sSub>
        <m:r>
          <m:rPr>
            <m:sty m:val="p"/>
          </m:rPr>
          <m:t>−</m:t>
        </m:r>
        <m:sSub>
          <m:e>
            <m:r>
              <m:t>W</m:t>
            </m:r>
          </m:e>
          <m:sub>
            <m:r>
              <m:t>i</m:t>
            </m:r>
            <m:r>
              <m:t>n</m:t>
            </m:r>
            <m:r>
              <m:t>d</m:t>
            </m:r>
          </m:sub>
        </m:sSub>
      </m:oMath>
      <w:r>
        <w:rPr>
          <w:i/>
          <w:iCs/>
        </w:rPr>
        <w:t xml:space="preserve"> </w:t>
      </w:r>
      <w:r>
        <w:rPr>
          <w:i/>
          <w:iCs/>
        </w:rPr>
        <w:t xml:space="preserve">difference at the lambda-sigma fixed-point equilibrium. Vertical dashed line marks the default</w:t>
      </w:r>
      <w:r>
        <w:rPr>
          <w:i/>
          <w:iCs/>
        </w:rPr>
        <w:t xml:space="preserve"> </w:t>
      </w:r>
      <m:oMath>
        <m:sSub>
          <m:e>
            <m:r>
              <m:t>n</m:t>
            </m:r>
          </m:e>
          <m:sub>
            <m:r>
              <m:t>a</m:t>
            </m:r>
            <m:r>
              <m:t>g</m:t>
            </m:r>
            <m:r>
              <m:t>g</m:t>
            </m:r>
          </m:sub>
        </m:sSub>
        <m:r>
          <m:rPr>
            <m:sty m:val="p"/>
          </m:rPr>
          <m:t>=</m:t>
        </m:r>
        <m:r>
          <m:t>25</m:t>
        </m:r>
      </m:oMath>
      <w:r>
        <w:rPr>
          <w:i/>
          <w:iCs/>
        </w:rPr>
        <w:t xml:space="preserve"> </w:t>
      </w:r>
      <w:r>
        <w:rPr>
          <w:i/>
          <w:iCs/>
        </w:rPr>
        <w:t xml:space="preserve">used throughout the manuscript. Across the plausible range</w:t>
      </w:r>
      <w:r>
        <w:rPr>
          <w:i/>
          <w:iCs/>
        </w:rPr>
        <w:t xml:space="preserve"> </w:t>
      </w:r>
      <m:oMath>
        <m:r>
          <m:t>5</m:t>
        </m:r>
        <m:r>
          <m:rPr>
            <m:sty m:val="p"/>
          </m:rPr>
          <m:t>≤</m:t>
        </m:r>
        <m:sSub>
          <m:e>
            <m:r>
              <m:t>n</m:t>
            </m:r>
          </m:e>
          <m:sub>
            <m:r>
              <m:t>a</m:t>
            </m:r>
            <m:r>
              <m:t>g</m:t>
            </m:r>
            <m:r>
              <m:t>g</m:t>
            </m:r>
          </m:sub>
        </m:sSub>
        <m:r>
          <m:rPr>
            <m:sty m:val="p"/>
          </m:rPr>
          <m:t>≤</m:t>
        </m:r>
        <m:r>
          <m:t>50</m:t>
        </m:r>
      </m:oMath>
      <w:r>
        <w:rPr>
          <w:i/>
          <w:iCs/>
        </w:rPr>
        <w:t xml:space="preserve">,</w:t>
      </w:r>
      <w:r>
        <w:rPr>
          <w:i/>
          <w:iCs/>
        </w:rPr>
        <w:t xml:space="preserve"> </w:t>
      </w:r>
      <m:oMath>
        <m:sSup>
          <m:e>
            <m:r>
              <m:t>σ</m:t>
            </m:r>
          </m:e>
          <m:sup>
            <m:r>
              <m:rPr>
                <m:sty m:val="p"/>
              </m:rPr>
              <m:t>*</m:t>
            </m:r>
          </m:sup>
        </m:sSup>
      </m:oMath>
      <w:r>
        <w:rPr>
          <w:i/>
          <w:iCs/>
        </w:rPr>
        <w:t xml:space="preserve"> </w:t>
      </w:r>
      <w:r>
        <w:rPr>
          <w:i/>
          <w:iCs/>
        </w:rPr>
        <w:t xml:space="preserve">varies by less than 0.02. At very small aggregation sizes (</w:t>
      </w:r>
      <m:oMath>
        <m:sSub>
          <m:e>
            <m:r>
              <m:t>n</m:t>
            </m:r>
          </m:e>
          <m:sub>
            <m:r>
              <m:t>a</m:t>
            </m:r>
            <m:r>
              <m:t>g</m:t>
            </m:r>
            <m:r>
              <m:t>g</m:t>
            </m:r>
          </m:sub>
        </m:sSub>
        <m:r>
          <m:rPr>
            <m:sty m:val="p"/>
          </m:rPr>
          <m:t>≤</m:t>
        </m:r>
        <m:r>
          <m:t>3</m:t>
        </m:r>
      </m:oMath>
      <w:r>
        <w:rPr>
          <w:i/>
          <w:iCs/>
        </w:rPr>
        <w:t xml:space="preserve">) the threshold rises sharply because cooperation-network buffering loses effectiveness when too few partners participate. The framework’s</w:t>
      </w:r>
      <w:r>
        <w:rPr>
          <w:i/>
          <w:iCs/>
        </w:rPr>
        <w:t xml:space="preserve"> </w:t>
      </w:r>
      <m:oMath>
        <m:sSup>
          <m:e>
            <m:r>
              <m:t>σ</m:t>
            </m:r>
          </m:e>
          <m:sup>
            <m:r>
              <m:rPr>
                <m:sty m:val="p"/>
              </m:rPr>
              <m:t>*</m:t>
            </m:r>
          </m:sup>
        </m:sSup>
      </m:oMath>
      <w:r>
        <w:rPr>
          <w:i/>
          <w:iCs/>
        </w:rPr>
        <w:t xml:space="preserve"> </w:t>
      </w:r>
      <w:r>
        <w:rPr>
          <w:i/>
          <w:iCs/>
        </w:rPr>
        <w:t xml:space="preserve">is therefore effectively insensitive to</w:t>
      </w:r>
      <w:r>
        <w:rPr>
          <w:i/>
          <w:iCs/>
        </w:rPr>
        <w:t xml:space="preserve"> </w:t>
      </w:r>
      <m:oMath>
        <m:sSub>
          <m:e>
            <m:r>
              <m:t>n</m:t>
            </m:r>
          </m:e>
          <m:sub>
            <m:r>
              <m:t>a</m:t>
            </m:r>
            <m:r>
              <m:t>g</m:t>
            </m:r>
            <m:r>
              <m:t>g</m:t>
            </m:r>
          </m:sub>
        </m:sSub>
      </m:oMath>
      <w:r>
        <w:rPr>
          <w:i/>
          <w:iCs/>
        </w:rPr>
        <w:t xml:space="preserve"> </w:t>
      </w:r>
      <w:r>
        <w:rPr>
          <w:i/>
          <w:iCs/>
        </w:rPr>
        <w:t xml:space="preserve">over the range relevant to the LMV record.</w:t>
      </w:r>
    </w:p>
    <w:p>
      <w:pPr>
        <w:pStyle w:val="BodyText"/>
      </w:pPr>
      <w:r>
        <w:drawing>
          <wp:inline>
            <wp:extent cx="5943600" cy="2521181"/>
            <wp:effectExtent b="0" l="0" r="0" t="0"/>
            <wp:docPr descr="" title="" id="70" name="Picture"/>
            <a:graphic>
              <a:graphicData uri="http://schemas.openxmlformats.org/drawingml/2006/picture">
                <pic:pic>
                  <pic:nvPicPr>
                    <pic:cNvPr descr="../../figures/supplemental/figure_S10_sigma_vs_cost.png" id="71" name="Picture"/>
                    <pic:cNvPicPr>
                      <a:picLocks noChangeArrowheads="1" noChangeAspect="1"/>
                    </pic:cNvPicPr>
                  </pic:nvPicPr>
                  <pic:blipFill>
                    <a:blip r:embed="rId69"/>
                    <a:stretch>
                      <a:fillRect/>
                    </a:stretch>
                  </pic:blipFill>
                  <pic:spPr bwMode="auto">
                    <a:xfrm>
                      <a:off x="0" y="0"/>
                      <a:ext cx="5943600" cy="2521181"/>
                    </a:xfrm>
                    <a:prstGeom prst="rect">
                      <a:avLst/>
                    </a:prstGeom>
                    <a:noFill/>
                    <a:ln w="9525">
                      <a:noFill/>
                      <a:headEnd/>
                      <a:tailEnd/>
                    </a:ln>
                  </pic:spPr>
                </pic:pic>
              </a:graphicData>
            </a:graphic>
          </wp:inline>
        </w:drawing>
      </w:r>
    </w:p>
    <w:p>
      <w:pPr>
        <w:pStyle w:val="BodyText"/>
      </w:pPr>
      <w:r>
        <w:rPr>
          <w:b/>
          <w:bCs/>
          <w:i/>
          <w:iCs/>
        </w:rPr>
        <w:t xml:space="preserve">Figure S10. Effect of signaling cost on critical threshold.</w:t>
      </w:r>
      <w:r>
        <w:t xml:space="preserve"> </w:t>
      </w:r>
      <w:r>
        <w:rPr>
          <w:i/>
          <w:iCs/>
        </w:rPr>
        <w:t xml:space="preserve">Predicted</w:t>
      </w:r>
      <w:r>
        <w:rPr>
          <w:i/>
          <w:iCs/>
        </w:rPr>
        <w:t xml:space="preserve"> </w:t>
      </w:r>
      <m:oMath>
        <m:sSup>
          <m:e>
            <m:r>
              <m:t>σ</m:t>
            </m:r>
          </m:e>
          <m:sup>
            <m:r>
              <m:rPr>
                <m:sty m:val="p"/>
              </m:rPr>
              <m:t>*</m:t>
            </m:r>
          </m:sup>
        </m:sSup>
      </m:oMath>
      <w:r>
        <w:rPr>
          <w:i/>
          <w:iCs/>
        </w:rPr>
        <w:t xml:space="preserve"> </w:t>
      </w:r>
      <w:r>
        <w:rPr>
          <w:i/>
          <w:iCs/>
        </w:rPr>
        <w:t xml:space="preserve">as a function of the aggregation-cost parameter</w:t>
      </w:r>
      <w:r>
        <w:rPr>
          <w:i/>
          <w:iCs/>
        </w:rPr>
        <w:t xml:space="preserve"> </w:t>
      </w:r>
      <m:oMath>
        <m:sSub>
          <m:e>
            <m:r>
              <m:t>C</m:t>
            </m:r>
          </m:e>
          <m:sub>
            <m:r>
              <m:t>s</m:t>
            </m:r>
            <m:r>
              <m:t>i</m:t>
            </m:r>
            <m:r>
              <m:t>g</m:t>
            </m:r>
            <m:r>
              <m:t>n</m:t>
            </m:r>
            <m:r>
              <m:t>a</m:t>
            </m:r>
            <m:r>
              <m:t>l</m:t>
            </m:r>
          </m:sub>
        </m:sSub>
      </m:oMath>
      <w:r>
        <w:rPr>
          <w:i/>
          <w:iCs/>
        </w:rPr>
        <w:t xml:space="preserve"> </w:t>
      </w:r>
      <w:r>
        <w:rPr>
          <w:i/>
          <w:iCs/>
        </w:rPr>
        <w:t xml:space="preserve">at PP-scenario parameters (</w:t>
      </w:r>
      <m:oMath>
        <m:r>
          <m:t>ε</m:t>
        </m:r>
        <m:r>
          <m:rPr>
            <m:sty m:val="p"/>
          </m:rPr>
          <m:t>=</m:t>
        </m:r>
        <m:r>
          <m:t>0.35</m:t>
        </m:r>
      </m:oMath>
      <w:r>
        <w:rPr>
          <w:i/>
          <w:iCs/>
        </w:rPr>
        <w:t xml:space="preserve">,</w:t>
      </w:r>
      <w:r>
        <w:rPr>
          <w:i/>
          <w:iCs/>
        </w:rPr>
        <w:t xml:space="preserve"> </w:t>
      </w:r>
      <m:oMath>
        <m:sSub>
          <m:e>
            <m:r>
              <m:t>n</m:t>
            </m:r>
          </m:e>
          <m:sub>
            <m:r>
              <m:t>a</m:t>
            </m:r>
            <m:r>
              <m:t>g</m:t>
            </m:r>
            <m:r>
              <m:t>g</m:t>
            </m:r>
          </m:sub>
        </m:sSub>
        <m:r>
          <m:rPr>
            <m:sty m:val="p"/>
          </m:rPr>
          <m:t>=</m:t>
        </m:r>
        <m:r>
          <m:t>25</m:t>
        </m:r>
      </m:oMath>
      <w:r>
        <w:rPr>
          <w:i/>
          <w:iCs/>
        </w:rPr>
        <w:t xml:space="preserve">, default network and signaling parameters). Solid line,</w:t>
      </w:r>
      <w:r>
        <w:rPr>
          <w:i/>
          <w:iCs/>
        </w:rPr>
        <w:t xml:space="preserve"> </w:t>
      </w:r>
      <m:oMath>
        <m:sSup>
          <m:e>
            <m:r>
              <m:t>σ</m:t>
            </m:r>
          </m:e>
          <m:sup>
            <m:r>
              <m:rPr>
                <m:sty m:val="p"/>
              </m:rPr>
              <m:t>*</m:t>
            </m:r>
          </m:sup>
        </m:sSup>
      </m:oMath>
      <w:r>
        <w:rPr>
          <w:i/>
          <w:iCs/>
        </w:rPr>
        <w:t xml:space="preserve"> </w:t>
      </w:r>
      <w:r>
        <w:rPr>
          <w:i/>
          <w:iCs/>
        </w:rPr>
        <w:t xml:space="preserve">from Brent’s-method root-finding at the lambda-sigma fixed-point equilibrium. Vertical dashed line marks the default</w:t>
      </w:r>
      <w:r>
        <w:rPr>
          <w:i/>
          <w:iCs/>
        </w:rPr>
        <w:t xml:space="preserve"> </w:t>
      </w:r>
      <m:oMath>
        <m:sSub>
          <m:e>
            <m:r>
              <m:t>C</m:t>
            </m:r>
          </m:e>
          <m:sub>
            <m:r>
              <m:t>s</m:t>
            </m:r>
            <m:r>
              <m:t>i</m:t>
            </m:r>
            <m:r>
              <m:t>g</m:t>
            </m:r>
            <m:r>
              <m:t>n</m:t>
            </m:r>
            <m:r>
              <m:t>a</m:t>
            </m:r>
            <m:r>
              <m:t>l</m:t>
            </m:r>
          </m:sub>
        </m:sSub>
        <m:r>
          <m:rPr>
            <m:sty m:val="p"/>
          </m:rPr>
          <m:t>=</m:t>
        </m:r>
        <m:r>
          <m:t>0.18</m:t>
        </m:r>
      </m:oMath>
      <w:r>
        <w:rPr>
          <w:i/>
          <w:iCs/>
        </w:rPr>
        <w:t xml:space="preserve"> </w:t>
      </w:r>
      <w:r>
        <w:rPr>
          <w:i/>
          <w:iCs/>
        </w:rPr>
        <w:t xml:space="preserve">used throughout the manuscript. Across</w:t>
      </w:r>
      <w:r>
        <w:rPr>
          <w:i/>
          <w:iCs/>
        </w:rPr>
        <w:t xml:space="preserve"> </w:t>
      </w:r>
      <m:oMath>
        <m:sSub>
          <m:e>
            <m:r>
              <m:t>C</m:t>
            </m:r>
          </m:e>
          <m:sub>
            <m:r>
              <m:t>s</m:t>
            </m:r>
            <m:r>
              <m:t>i</m:t>
            </m:r>
            <m:r>
              <m:t>g</m:t>
            </m:r>
            <m:r>
              <m:t>n</m:t>
            </m:r>
            <m:r>
              <m:t>a</m:t>
            </m:r>
            <m:r>
              <m:t>l</m:t>
            </m:r>
          </m:sub>
        </m:sSub>
        <m:r>
          <m:rPr>
            <m:sty m:val="p"/>
          </m:rPr>
          <m:t>∈</m:t>
        </m:r>
        <m:r>
          <m:rPr>
            <m:sty m:val="p"/>
          </m:rPr>
          <m:t>[</m:t>
        </m:r>
        <m:r>
          <m:t>0.09</m:t>
        </m:r>
        <m:r>
          <m:rPr>
            <m:sty m:val="p"/>
          </m:rPr>
          <m:t>,</m:t>
        </m:r>
        <m:r>
          <m:t>0.27</m:t>
        </m:r>
        <m:r>
          <m:rPr>
            <m:sty m:val="p"/>
          </m:rPr>
          <m:t>]</m:t>
        </m:r>
      </m:oMath>
      <w:r>
        <w:rPr>
          <w:i/>
          <w:iCs/>
        </w:rPr>
        <w:t xml:space="preserve"> </w:t>
      </w:r>
      <w:r>
        <w:rPr>
          <w:i/>
          <w:iCs/>
        </w:rPr>
        <w:t xml:space="preserve">(</w:t>
      </w:r>
      <m:oMath>
        <m:r>
          <m:rPr>
            <m:sty m:val="p"/>
          </m:rPr>
          <m:t>±</m:t>
        </m:r>
        <m:r>
          <m:t>50</m:t>
        </m:r>
        <m:r>
          <m:rPr>
            <m:sty m:val="p"/>
          </m:rPr>
          <m:t>%</m:t>
        </m:r>
      </m:oMath>
      <w:r>
        <w:rPr>
          <w:i/>
          <w:iCs/>
        </w:rPr>
        <w:t xml:space="preserve"> </w:t>
      </w:r>
      <w:r>
        <w:rPr>
          <w:i/>
          <w:iCs/>
        </w:rPr>
        <w:t xml:space="preserve">from the default),</w:t>
      </w:r>
      <w:r>
        <w:rPr>
          <w:i/>
          <w:iCs/>
        </w:rPr>
        <w:t xml:space="preserve"> </w:t>
      </w:r>
      <m:oMath>
        <m:sSup>
          <m:e>
            <m:r>
              <m:t>σ</m:t>
            </m:r>
          </m:e>
          <m:sup>
            <m:r>
              <m:rPr>
                <m:sty m:val="p"/>
              </m:rPr>
              <m:t>*</m:t>
            </m:r>
          </m:sup>
        </m:sSup>
      </m:oMath>
      <w:r>
        <w:rPr>
          <w:i/>
          <w:iCs/>
        </w:rPr>
        <w:t xml:space="preserve"> </w:t>
      </w:r>
      <w:r>
        <w:rPr>
          <w:i/>
          <w:iCs/>
        </w:rPr>
        <w:t xml:space="preserve">swings from 0.29 to 0.51 (swing</w:t>
      </w:r>
      <w:r>
        <w:rPr>
          <w:i/>
          <w:iCs/>
        </w:rPr>
        <w:t xml:space="preserve"> </w:t>
      </w:r>
      <m:oMath>
        <m:r>
          <m:rPr>
            <m:sty m:val="p"/>
          </m:rPr>
          <m:t>≈</m:t>
        </m:r>
        <m:r>
          <m:t>0.22</m:t>
        </m:r>
      </m:oMath>
      <w:r>
        <w:rPr>
          <w:i/>
          <w:iCs/>
        </w:rPr>
        <w:t xml:space="preserve">, the largest among model parameters in the §S3.1 OAT). Higher signaling cost raises the threshold (aggregation must produce a larger fitness benefit to compensate for the increased cost), confirming that</w:t>
      </w:r>
      <w:r>
        <w:rPr>
          <w:i/>
          <w:iCs/>
        </w:rPr>
        <w:t xml:space="preserve"> </w:t>
      </w:r>
      <m:oMath>
        <m:sSub>
          <m:e>
            <m:r>
              <m:t>C</m:t>
            </m:r>
          </m:e>
          <m:sub>
            <m:r>
              <m:t>s</m:t>
            </m:r>
            <m:r>
              <m:t>i</m:t>
            </m:r>
            <m:r>
              <m:t>g</m:t>
            </m:r>
            <m:r>
              <m:t>n</m:t>
            </m:r>
            <m:r>
              <m:t>a</m:t>
            </m:r>
            <m:r>
              <m:t>l</m:t>
            </m:r>
          </m:sub>
        </m:sSub>
      </m:oMath>
      <w:r>
        <w:rPr>
          <w:i/>
          <w:iCs/>
        </w:rPr>
        <w:t xml:space="preserve"> </w:t>
      </w:r>
      <w:r>
        <w:rPr>
          <w:i/>
          <w:iCs/>
        </w:rPr>
        <w:t xml:space="preserve">is the principal driver of the framework’s threshold prediction.</w:t>
      </w:r>
    </w:p>
    <w:p>
      <w:r>
        <w:pict>
          <v:rect style="width:0;height:1.5pt" o:hralign="center" o:hrstd="t" o:hr="t"/>
        </w:pict>
      </w:r>
    </w:p>
    <w:bookmarkEnd w:id="72"/>
    <w:bookmarkEnd w:id="73"/>
    <w:bookmarkStart w:id="81" w:name="s8.-full-set-of-testable-predictions"/>
    <w:p>
      <w:pPr>
        <w:pStyle w:val="Heading2"/>
      </w:pPr>
      <w:r>
        <w:t xml:space="preserve">S8. Full set of testable predictions</w:t>
      </w:r>
    </w:p>
    <w:p>
      <w:pPr>
        <w:pStyle w:val="FirstParagraph"/>
      </w:pPr>
      <w:r>
        <w:t xml:space="preserve">The framework generates 12 specific, testable predictions across 6 categories. Each identifies what the framework expects, how it can be tested, and what would falsify it.</w:t>
      </w:r>
    </w:p>
    <w:bookmarkStart w:id="74" w:name="temporal-patterns"/>
    <w:p>
      <w:pPr>
        <w:pStyle w:val="Heading3"/>
      </w:pPr>
      <w:r>
        <w:t xml:space="preserve">Temporal patterns</w:t>
      </w:r>
    </w:p>
    <w:p>
      <w:pPr>
        <w:pStyle w:val="FirstParagraph"/>
      </w:pPr>
      <w:r>
        <w:rPr>
          <w:b/>
          <w:bCs/>
        </w:rPr>
        <w:t xml:space="preserve">P1.</w:t>
      </w:r>
      <w:r>
        <w:t xml:space="preserve"> </w:t>
      </w:r>
      <w:r>
        <w:t xml:space="preserve">Construction chronology should correlate with paleoclimate proxies for environmental shortfalls. Bayesian radiocarbon modeling of mound fill episodes (Ortmann and Kidder 2013) combined with high-resolution paleoclimate proxies for the 1700-1100 BCE interval should show construction peaks clustering during or immediately after periods of elevated stress.</w:t>
      </w:r>
    </w:p>
    <w:p>
      <w:pPr>
        <w:pStyle w:val="BodyText"/>
      </w:pPr>
      <w:r>
        <w:rPr>
          <w:b/>
          <w:bCs/>
        </w:rPr>
        <w:t xml:space="preserve">P2.</w:t>
      </w:r>
      <w:r>
        <w:t xml:space="preserve"> </w:t>
      </w:r>
      <w:r>
        <w:t xml:space="preserve">Stratigraphic variation in artifact density across ridge and mound deposits should show cyclical patterns with periods of approximately 15-30 years, matching the shortfall recurrence intervals in the model.</w:t>
      </w:r>
    </w:p>
    <w:bookmarkEnd w:id="74"/>
    <w:bookmarkStart w:id="75" w:name="spatial-patterns"/>
    <w:p>
      <w:pPr>
        <w:pStyle w:val="Heading3"/>
      </w:pPr>
      <w:r>
        <w:t xml:space="preserve">Spatial patterns</w:t>
      </w:r>
    </w:p>
    <w:p>
      <w:pPr>
        <w:pStyle w:val="FirstParagraph"/>
      </w:pPr>
      <w:r>
        <w:rPr>
          <w:b/>
          <w:bCs/>
        </w:rPr>
        <w:t xml:space="preserve">P3.</w:t>
      </w:r>
      <w:r>
        <w:t xml:space="preserve"> </w:t>
      </w:r>
      <w:r>
        <w:t xml:space="preserve">Site hierarchy across the Poverty Point landscape should scale with a GIS-based ecotone diversity index. Ranked monument investment should be predictable from environmental measurement.</w:t>
      </w:r>
    </w:p>
    <w:p>
      <w:pPr>
        <w:pStyle w:val="BodyText"/>
      </w:pPr>
      <w:r>
        <w:rPr>
          <w:b/>
          <w:bCs/>
        </w:rPr>
        <w:t xml:space="preserve">P4.</w:t>
      </w:r>
      <w:r>
        <w:t xml:space="preserve"> </w:t>
      </w:r>
      <w:r>
        <w:t xml:space="preserve">The frequency of Poverty Point-affiliated artifacts at regional sites should decay with distance from Poverty Point following an approximately exponential curve, with a characteristic catchment radius of 100-150 km.</w:t>
      </w:r>
    </w:p>
    <w:bookmarkEnd w:id="75"/>
    <w:bookmarkStart w:id="76" w:name="material-patterns"/>
    <w:p>
      <w:pPr>
        <w:pStyle w:val="Heading3"/>
      </w:pPr>
      <w:r>
        <w:t xml:space="preserve">Material patterns</w:t>
      </w:r>
    </w:p>
    <w:p>
      <w:pPr>
        <w:pStyle w:val="FirstParagraph"/>
      </w:pPr>
      <w:r>
        <w:rPr>
          <w:b/>
          <w:bCs/>
        </w:rPr>
        <w:t xml:space="preserve">P5.</w:t>
      </w:r>
      <w:r>
        <w:t xml:space="preserve"> </w:t>
      </w:r>
      <w:r>
        <w:t xml:space="preserve">Distance-decay function</w:t>
      </w:r>
      <w:r>
        <w:t xml:space="preserve"> </w:t>
      </w:r>
      <m:oMath>
        <m:r>
          <m:t>p</m:t>
        </m:r>
        <m:r>
          <m:rPr>
            <m:sty m:val="p"/>
          </m:rPr>
          <m:t>(</m:t>
        </m:r>
        <m:r>
          <m:t>d</m:t>
        </m:r>
        <m:r>
          <m:rPr>
            <m:sty m:val="p"/>
          </m:rPr>
          <m:t>)</m:t>
        </m:r>
        <m:r>
          <m:rPr>
            <m:sty m:val="p"/>
          </m:rPr>
          <m:t>=</m:t>
        </m:r>
        <m:r>
          <m:rPr>
            <m:sty m:val="p"/>
          </m:rPr>
          <m:t>exp</m:t>
        </m:r>
        <m:r>
          <m:rPr>
            <m:sty m:val="p"/>
          </m:rPr>
          <m:t>(</m:t>
        </m:r>
        <m:r>
          <m:rPr>
            <m:sty m:val="p"/>
          </m:rPr>
          <m:t>−</m:t>
        </m:r>
        <m:r>
          <m:t>d</m:t>
        </m:r>
        <m:r>
          <m:rPr>
            <m:sty m:val="p"/>
          </m:rPr>
          <m:t>/</m:t>
        </m:r>
        <m:r>
          <m:t>500</m:t>
        </m:r>
        <m:r>
          <m:rPr>
            <m:sty m:val="p"/>
          </m:rPr>
          <m:t>)</m:t>
        </m:r>
      </m:oMath>
      <w:r>
        <w:t xml:space="preserve">: acquisition probability declines with source distance, so near-source materials should outnumber far-source materials item for item. The current Poverty Point inventory does not show this ordering unconditionally (novaculite 101 items at ~250 km versus steatite 2,221 at ~800-900 km; five-material</w:t>
      </w:r>
      <w:r>
        <w:t xml:space="preserve"> </w:t>
      </w:r>
      <m:oMath>
        <m:r>
          <m:t>ρ</m:t>
        </m:r>
        <m:r>
          <m:rPr>
            <m:sty m:val="p"/>
          </m:rPr>
          <m:t>=</m:t>
        </m:r>
        <m:r>
          <m:rPr>
            <m:sty m:val="p"/>
          </m:rPr>
          <m:t>−</m:t>
        </m:r>
        <m:r>
          <m:t>0.40</m:t>
        </m:r>
      </m:oMath>
      <w:r>
        <w:t xml:space="preserve">, §6.1). The prediction holds only among the three far-source materials (galena, steatite, copper;</w:t>
      </w:r>
      <w:r>
        <w:t xml:space="preserve"> </w:t>
      </w:r>
      <m:oMath>
        <m:r>
          <m:t>ρ</m:t>
        </m:r>
        <m:r>
          <m:rPr>
            <m:sty m:val="p"/>
          </m:rPr>
          <m:t>=</m:t>
        </m:r>
        <m:r>
          <m:rPr>
            <m:sty m:val="p"/>
          </m:rPr>
          <m:t>+</m:t>
        </m:r>
        <m:r>
          <m:t>0.50</m:t>
        </m:r>
      </m:oMath>
      <w:r>
        <w:t xml:space="preserve">) and after material-specific value and recovery corrections, and it is not discriminating in any case (§7.4(c)).</w:t>
      </w:r>
    </w:p>
    <w:p>
      <w:pPr>
        <w:pStyle w:val="BodyText"/>
      </w:pPr>
      <w:r>
        <w:rPr>
          <w:b/>
          <w:bCs/>
        </w:rPr>
        <w:t xml:space="preserve">P6.</w:t>
      </w:r>
      <w:r>
        <w:t xml:space="preserve"> </w:t>
      </w:r>
      <w:r>
        <w:t xml:space="preserve">Within-site, exotic-goods densities and monument investment should covary spatially, since both are signaling investments by the same bands.</w:t>
      </w:r>
    </w:p>
    <w:bookmarkEnd w:id="76"/>
    <w:bookmarkStart w:id="77" w:name="demographic-patterns"/>
    <w:p>
      <w:pPr>
        <w:pStyle w:val="Heading3"/>
      </w:pPr>
      <w:r>
        <w:t xml:space="preserve">Demographic patterns</w:t>
      </w:r>
    </w:p>
    <w:p>
      <w:pPr>
        <w:pStyle w:val="FirstParagraph"/>
      </w:pPr>
      <w:r>
        <w:rPr>
          <w:b/>
          <w:bCs/>
        </w:rPr>
        <w:t xml:space="preserve">P7.</w:t>
      </w:r>
      <w:r>
        <w:t xml:space="preserve"> </w:t>
      </w:r>
      <w:r>
        <w:t xml:space="preserve">Aggregated population should saturate at ~500-625 individuals (~25 bands) rather than grow without constraint, reflecting diminishing returns to cooperation beyond optimal aggregation size.</w:t>
      </w:r>
    </w:p>
    <w:p>
      <w:pPr>
        <w:pStyle w:val="BodyText"/>
      </w:pPr>
      <w:r>
        <w:rPr>
          <w:b/>
          <w:bCs/>
        </w:rPr>
        <w:t xml:space="preserve">P8.</w:t>
      </w:r>
      <w:r>
        <w:t xml:space="preserve"> </w:t>
      </w:r>
      <w:r>
        <w:t xml:space="preserve">Bioarchaeological evidence (when available) should show fewer indicators of nutritional stress in aggregation-context individuals than in contemporaneous small-site individuals, reflecting buffering by multi-zone access and obligation networks.</w:t>
      </w:r>
    </w:p>
    <w:bookmarkEnd w:id="77"/>
    <w:bookmarkStart w:id="78" w:name="network-structure"/>
    <w:p>
      <w:pPr>
        <w:pStyle w:val="Heading3"/>
      </w:pPr>
      <w:r>
        <w:t xml:space="preserve">Network structure</w:t>
      </w:r>
    </w:p>
    <w:p>
      <w:pPr>
        <w:pStyle w:val="FirstParagraph"/>
      </w:pPr>
      <w:r>
        <w:rPr>
          <w:b/>
          <w:bCs/>
        </w:rPr>
        <w:t xml:space="preserve">P9.</w:t>
      </w:r>
      <w:r>
        <w:t xml:space="preserve"> </w:t>
      </w:r>
      <w:r>
        <w:t xml:space="preserve">Provenance analysis (LA-ICP-MS, etc.) should reveal multi-pathway distribution networks rather than single-chain corridors, with small-world topology (high clustering, short path lengths).</w:t>
      </w:r>
    </w:p>
    <w:p>
      <w:pPr>
        <w:pStyle w:val="BodyText"/>
      </w:pPr>
      <w:r>
        <w:rPr>
          <w:b/>
          <w:bCs/>
        </w:rPr>
        <w:t xml:space="preserve">P10.</w:t>
      </w:r>
      <w:r>
        <w:t xml:space="preserve"> </w:t>
      </w:r>
      <w:r>
        <w:t xml:space="preserve">Terminal-occupation layers should show narrowing source diversity in the exotic assemblage, reflecting network attrition that precedes systemic collapse.</w:t>
      </w:r>
    </w:p>
    <w:bookmarkEnd w:id="78"/>
    <w:bookmarkStart w:id="79" w:name="cross-cultural"/>
    <w:p>
      <w:pPr>
        <w:pStyle w:val="Heading3"/>
      </w:pPr>
      <w:r>
        <w:t xml:space="preserve">Cross-cultural</w:t>
      </w:r>
    </w:p>
    <w:p>
      <w:pPr>
        <w:pStyle w:val="FirstParagraph"/>
      </w:pPr>
      <w:r>
        <w:rPr>
          <w:b/>
          <w:bCs/>
        </w:rPr>
        <w:t xml:space="preserve">P11.</w:t>
      </w:r>
      <w:r>
        <w:t xml:space="preserve"> </w:t>
      </w:r>
      <w:r>
        <w:t xml:space="preserve">Other hunter-gatherer aggregation sites with monumental architecture (Watson Brake, Stallings Island, Florida shell rings, Green River shell mounds) should all show environmental uncertainty above the critical threshold when tested using the same framework.</w:t>
      </w:r>
    </w:p>
    <w:p>
      <w:pPr>
        <w:pStyle w:val="BodyText"/>
      </w:pPr>
      <w:r>
        <w:rPr>
          <w:b/>
          <w:bCs/>
        </w:rPr>
        <w:t xml:space="preserve">P12.</w:t>
      </w:r>
      <w:r>
        <w:t xml:space="preserve"> </w:t>
      </w:r>
      <w:r>
        <w:t xml:space="preserve">Under the</w:t>
      </w:r>
      <w:r>
        <w:t xml:space="preserve"> </w:t>
      </w:r>
      <m:oMath>
        <m:r>
          <m:t>ε</m:t>
        </m:r>
      </m:oMath>
      <w:r>
        <w:t xml:space="preserve">-degradation collapse pathway (main §7.3), collapse should follow a specific sequence: declining aggregation attendance precedes declining construction investment, which in turn precedes narrowing exchange-network diversity. Sequential rather than simultaneous decline distinguishes threshold-driven adaptive collapse from catastrophic disruption; under the abrupt-disruption pathway also allowed by §7.3, the three declines can be near-simultaneous, and the observed ordering is the discriminating unknown between the two pathways (§7.4(d)).</w:t>
      </w:r>
    </w:p>
    <w:bookmarkEnd w:id="79"/>
    <w:bookmarkStart w:id="80" w:name="falsification-conditions"/>
    <w:p>
      <w:pPr>
        <w:pStyle w:val="Heading3"/>
      </w:pPr>
      <w:r>
        <w:t xml:space="preserve">Falsification conditions</w:t>
      </w:r>
    </w:p>
    <w:p>
      <w:pPr>
        <w:pStyle w:val="FirstParagraph"/>
      </w:pPr>
      <w:r>
        <w:t xml:space="preserve">The following findings would falsify the framework:</w:t>
      </w:r>
    </w:p>
    <w:p>
      <w:pPr>
        <w:pStyle w:val="Compact"/>
        <w:numPr>
          <w:ilvl w:val="0"/>
          <w:numId w:val="1001"/>
        </w:numPr>
      </w:pPr>
      <w:r>
        <w:t xml:space="preserve">Monument construction was steady rather than episodic and uncorrelated with environmental variability.</w:t>
      </w:r>
    </w:p>
    <w:p>
      <w:pPr>
        <w:pStyle w:val="Compact"/>
        <w:numPr>
          <w:ilvl w:val="0"/>
          <w:numId w:val="1001"/>
        </w:numPr>
      </w:pPr>
      <w:r>
        <w:t xml:space="preserve">Exotic materials concentrated in elite residential contexts rather than being broadly distributed.</w:t>
      </w:r>
    </w:p>
    <w:p>
      <w:pPr>
        <w:pStyle w:val="Compact"/>
        <w:numPr>
          <w:ilvl w:val="0"/>
          <w:numId w:val="1001"/>
        </w:numPr>
      </w:pPr>
      <w:r>
        <w:t xml:space="preserve">High-resolution paleoclimate data demonstrate that Poverty Point coincided with environmental stability rather than moderate-to-high uncertainty.</w:t>
      </w:r>
    </w:p>
    <w:p>
      <w:pPr>
        <w:pStyle w:val="Compact"/>
        <w:numPr>
          <w:ilvl w:val="0"/>
          <w:numId w:val="1001"/>
        </w:numPr>
      </w:pPr>
      <w:r>
        <w:t xml:space="preserve">Other sites with comparable ecotone access and uncertainty consistently fail to produce monumentality (necessary conditions are not sufficient and additional factors fully account for outcomes).</w:t>
      </w:r>
    </w:p>
    <w:p>
      <w:pPr>
        <w:pStyle w:val="Compact"/>
        <w:numPr>
          <w:ilvl w:val="0"/>
          <w:numId w:val="1001"/>
        </w:numPr>
      </w:pPr>
      <w:r>
        <w:t xml:space="preserve">Clear evidence of coercive hierarchy, specialized craft production, or differential subsistence access at Poverty Point.</w:t>
      </w:r>
    </w:p>
    <w:p>
      <w:r>
        <w:pict>
          <v:rect style="width:0;height:1.5pt" o:hralign="center" o:hrstd="t" o:hr="t"/>
        </w:pict>
      </w:r>
    </w:p>
    <w:bookmarkEnd w:id="80"/>
    <w:bookmarkEnd w:id="81"/>
    <w:bookmarkStart w:id="85" w:name="s9.-supplemental-empirical-figures"/>
    <w:p>
      <w:pPr>
        <w:pStyle w:val="Heading2"/>
      </w:pPr>
      <w:r>
        <w:t xml:space="preserve">S9. Supplemental empirical figures</w:t>
      </w:r>
    </w:p>
    <w:p>
      <w:pPr>
        <w:pStyle w:val="FirstParagraph"/>
      </w:pPr>
      <w:r>
        <w:t xml:space="preserve">The expanded paleoclimate proxy synthesis (with cross-case</w:t>
      </w:r>
      <w:r>
        <w:t xml:space="preserve"> </w:t>
      </w:r>
      <m:oMath>
        <m:r>
          <m:t>σ</m:t>
        </m:r>
      </m:oMath>
      <w:r>
        <w:t xml:space="preserve"> </w:t>
      </w:r>
      <w:r>
        <w:t xml:space="preserve">comparison and theoretical phase-space panel) and the regional chronological synthesis are presented in main-text Figures 11 and 10 respectively.</w:t>
      </w:r>
    </w:p>
    <w:p>
      <w:pPr>
        <w:pStyle w:val="BodyText"/>
      </w:pPr>
      <w:r>
        <w:drawing>
          <wp:inline>
            <wp:extent cx="5943600" cy="2029521"/>
            <wp:effectExtent b="0" l="0" r="0" t="0"/>
            <wp:docPr descr="" title="" id="83" name="Picture"/>
            <a:graphic>
              <a:graphicData uri="http://schemas.openxmlformats.org/drawingml/2006/picture">
                <pic:pic>
                  <pic:nvPicPr>
                    <pic:cNvPr descr="../../figures/supplemental/figure_S11_obligation_network.png" id="84" name="Picture"/>
                    <pic:cNvPicPr>
                      <a:picLocks noChangeArrowheads="1" noChangeAspect="1"/>
                    </pic:cNvPicPr>
                  </pic:nvPicPr>
                  <pic:blipFill>
                    <a:blip r:embed="rId82"/>
                    <a:stretch>
                      <a:fillRect/>
                    </a:stretch>
                  </pic:blipFill>
                  <pic:spPr bwMode="auto">
                    <a:xfrm>
                      <a:off x="0" y="0"/>
                      <a:ext cx="5943600" cy="2029521"/>
                    </a:xfrm>
                    <a:prstGeom prst="rect">
                      <a:avLst/>
                    </a:prstGeom>
                    <a:noFill/>
                    <a:ln w="9525">
                      <a:noFill/>
                      <a:headEnd/>
                      <a:tailEnd/>
                    </a:ln>
                  </pic:spPr>
                </pic:pic>
              </a:graphicData>
            </a:graphic>
          </wp:inline>
        </w:drawing>
      </w:r>
    </w:p>
    <w:p>
      <w:pPr>
        <w:pStyle w:val="BodyText"/>
      </w:pPr>
      <w:r>
        <w:rPr>
          <w:b/>
          <w:bCs/>
          <w:i/>
          <w:iCs/>
        </w:rPr>
        <w:t xml:space="preserve">Figure S11. Obligation network structure and function.</w:t>
      </w:r>
      <w:r>
        <w:t xml:space="preserve"> </w:t>
      </w:r>
      <w:r>
        <w:rPr>
          <w:i/>
          <w:iCs/>
        </w:rPr>
        <w:t xml:space="preserve">Panel A: simulated obligation network at year 300. Panel B: aggregators consistently maintain more reciprocal connections than independents. Panel C: bands with more extensive obligation networks achieve higher fitness during shortfall years.</w:t>
      </w:r>
    </w:p>
    <w:p>
      <w:r>
        <w:pict>
          <v:rect style="width:0;height:1.5pt" o:hralign="center" o:hrstd="t" o:hr="t"/>
        </w:pict>
      </w:r>
    </w:p>
    <w:bookmarkEnd w:id="85"/>
    <w:bookmarkStart w:id="88" w:name="s10.-watson-brake-bistable-analysis"/>
    <w:p>
      <w:pPr>
        <w:pStyle w:val="Heading2"/>
      </w:pPr>
      <w:r>
        <w:t xml:space="preserve">S10. Watson Brake bistable analysis</w:t>
      </w:r>
    </w:p>
    <w:bookmarkStart w:id="86" w:name="X73ecfc38308f507df91a0ba97d8614b49d276f1"/>
    <w:p>
      <w:pPr>
        <w:pStyle w:val="Heading3"/>
      </w:pPr>
      <w:r>
        <w:t xml:space="preserve">S10.1 Derivation of the continuous-equilibrium overshoot</w:t>
      </w:r>
    </w:p>
    <w:p>
      <w:pPr>
        <w:pStyle w:val="FirstParagraph"/>
      </w:pPr>
      <w:r>
        <w:t xml:space="preserve">The main text (§6.3) reports that the calibrated model under continuous-equilibrium operation predicts ~240,000 m³ of earthwork at WB, compared to the LiDAR-derived per-mound volume of 27,065 m³ (§5.1), an overshoot ratio of approximately 9×. The derivation of the 240,000 m³ continuous-equilibrium prediction, omitted from the main text for length, is:</w:t>
      </w:r>
    </w:p>
    <w:p>
      <w:pPr>
        <w:numPr>
          <w:ilvl w:val="0"/>
          <w:numId w:val="1002"/>
        </w:numPr>
      </w:pPr>
      <w:r>
        <w:rPr>
          <w:i/>
          <w:iCs/>
        </w:rPr>
        <w:t xml:space="preserve">Equilibrium monument stock at PP-calibrated parameters.</w:t>
      </w:r>
      <w:r>
        <w:t xml:space="preserve"> </w:t>
      </w:r>
      <w:r>
        <w:t xml:space="preserve">At PP parameters (</w:t>
      </w:r>
      <m:oMath>
        <m:r>
          <m:t>ε</m:t>
        </m:r>
        <m:r>
          <m:rPr>
            <m:sty m:val="p"/>
          </m:rPr>
          <m:t>=</m:t>
        </m:r>
        <m:r>
          <m:t>0.35</m:t>
        </m:r>
      </m:oMath>
      <w:r>
        <w:t xml:space="preserve">,</w:t>
      </w:r>
      <w:r>
        <w:t xml:space="preserve"> </w:t>
      </w:r>
      <m:oMath>
        <m:sSub>
          <m:e>
            <m:r>
              <m:t>n</m:t>
            </m:r>
          </m:e>
          <m:sub>
            <m:r>
              <m:t>a</m:t>
            </m:r>
            <m:r>
              <m:t>g</m:t>
            </m:r>
            <m:r>
              <m:t>g</m:t>
            </m:r>
          </m:sub>
        </m:sSub>
        <m:r>
          <m:rPr>
            <m:sty m:val="p"/>
          </m:rPr>
          <m:t>=</m:t>
        </m:r>
        <m:r>
          <m:t>25</m:t>
        </m:r>
      </m:oMath>
      <w:r>
        <w:t xml:space="preserve">,</w:t>
      </w:r>
      <w:r>
        <w:t xml:space="preserve"> </w:t>
      </w:r>
      <m:oMath>
        <m:r>
          <m:t>σ</m:t>
        </m:r>
        <m:r>
          <m:rPr>
            <m:sty m:val="p"/>
          </m:rPr>
          <m:t>=</m:t>
        </m:r>
        <m:r>
          <m:t>0.64</m:t>
        </m:r>
      </m:oMath>
      <w:r>
        <w:t xml:space="preserve">), the analytical equilibrium model returns equilibrium stock</w:t>
      </w:r>
      <w:r>
        <w:t xml:space="preserve"> </w:t>
      </w:r>
      <m:oMath>
        <m:sSub>
          <m:e>
            <m:r>
              <m:t>M</m:t>
            </m:r>
          </m:e>
          <m:sub>
            <m:r>
              <m:t>g</m:t>
            </m:r>
            <m:r>
              <m:rPr>
                <m:sty m:val="p"/>
              </m:rPr>
              <m:t>,</m:t>
            </m:r>
            <m:r>
              <m:t>P</m:t>
            </m:r>
            <m:r>
              <m:t>P</m:t>
            </m:r>
          </m:sub>
        </m:sSub>
        <m:r>
          <m:rPr>
            <m:sty m:val="p"/>
          </m:rPr>
          <m:t>=</m:t>
        </m:r>
        <m:r>
          <m:t>129.78</m:t>
        </m:r>
      </m:oMath>
      <w:r>
        <w:t xml:space="preserve"> </w:t>
      </w:r>
      <w:r>
        <w:t xml:space="preserve">(computed via</w:t>
      </w:r>
      <w:r>
        <w:t xml:space="preserve"> </w:t>
      </w:r>
      <w:r>
        <w:rPr>
          <w:rStyle w:val="VerbatimChar"/>
        </w:rPr>
        <w:t xml:space="preserve">critical_threshold</w:t>
      </w:r>
      <w:r>
        <w:t xml:space="preserve"> </w:t>
      </w:r>
      <w:r>
        <w:t xml:space="preserve">in</w:t>
      </w:r>
      <w:r>
        <w:t xml:space="preserve"> </w:t>
      </w:r>
      <w:r>
        <w:rPr>
          <w:rStyle w:val="VerbatimChar"/>
        </w:rPr>
        <w:t xml:space="preserve">src/poverty_point/signaling_core.py</w:t>
      </w:r>
      <w:r>
        <w:t xml:space="preserve">).</w:t>
      </w:r>
    </w:p>
    <w:p>
      <w:pPr>
        <w:numPr>
          <w:ilvl w:val="0"/>
          <w:numId w:val="1002"/>
        </w:numPr>
      </w:pPr>
      <w:r>
        <w:rPr>
          <w:i/>
          <w:iCs/>
        </w:rPr>
        <w:t xml:space="preserve">Equilibrium monument stock at WB-calibrated parameters.</w:t>
      </w:r>
      <w:r>
        <w:t xml:space="preserve"> </w:t>
      </w:r>
      <w:r>
        <w:t xml:space="preserve">At WB parameters (</w:t>
      </w:r>
      <m:oMath>
        <m:r>
          <m:t>ε</m:t>
        </m:r>
        <m:r>
          <m:rPr>
            <m:sty m:val="p"/>
          </m:rPr>
          <m:t>=</m:t>
        </m:r>
        <m:r>
          <m:t>0.43</m:t>
        </m:r>
      </m:oMath>
      <w:r>
        <w:t xml:space="preserve">,</w:t>
      </w:r>
      <w:r>
        <w:t xml:space="preserve"> </w:t>
      </w:r>
      <m:oMath>
        <m:sSub>
          <m:e>
            <m:r>
              <m:t>n</m:t>
            </m:r>
          </m:e>
          <m:sub>
            <m:r>
              <m:t>a</m:t>
            </m:r>
            <m:r>
              <m:t>g</m:t>
            </m:r>
            <m:r>
              <m:t>g</m:t>
            </m:r>
          </m:sub>
        </m:sSub>
        <m:r>
          <m:rPr>
            <m:sty m:val="p"/>
          </m:rPr>
          <m:t>=</m:t>
        </m:r>
        <m:r>
          <m:t>8</m:t>
        </m:r>
      </m:oMath>
      <w:r>
        <w:t xml:space="preserve">,</w:t>
      </w:r>
      <w:r>
        <w:t xml:space="preserve"> </w:t>
      </w:r>
      <m:oMath>
        <m:r>
          <m:t>σ</m:t>
        </m:r>
        <m:r>
          <m:rPr>
            <m:sty m:val="p"/>
          </m:rPr>
          <m:t>=</m:t>
        </m:r>
        <m:r>
          <m:t>0.56</m:t>
        </m:r>
      </m:oMath>
      <w:r>
        <w:t xml:space="preserve">),</w:t>
      </w:r>
      <w:r>
        <w:t xml:space="preserve"> </w:t>
      </w:r>
      <m:oMath>
        <m:sSub>
          <m:e>
            <m:r>
              <m:t>M</m:t>
            </m:r>
          </m:e>
          <m:sub>
            <m:r>
              <m:t>g</m:t>
            </m:r>
            <m:r>
              <m:rPr>
                <m:sty m:val="p"/>
              </m:rPr>
              <m:t>,</m:t>
            </m:r>
            <m:r>
              <m:t>W</m:t>
            </m:r>
            <m:r>
              <m:t>B</m:t>
            </m:r>
          </m:sub>
        </m:sSub>
        <m:r>
          <m:rPr>
            <m:sty m:val="p"/>
          </m:rPr>
          <m:t>=</m:t>
        </m:r>
        <m:r>
          <m:t>41.54</m:t>
        </m:r>
      </m:oMath>
      <w:r>
        <w:t xml:space="preserve">.</w:t>
      </w:r>
    </w:p>
    <w:p>
      <w:pPr>
        <w:numPr>
          <w:ilvl w:val="0"/>
          <w:numId w:val="1002"/>
        </w:numPr>
      </w:pPr>
      <w:r>
        <w:rPr>
          <w:i/>
          <w:iCs/>
        </w:rPr>
        <w:t xml:space="preserve">Volume calibration anchor.</w:t>
      </w:r>
      <w:r>
        <w:t xml:space="preserve"> </w:t>
      </w:r>
      <w:r>
        <w:t xml:space="preserve">The calibration uses the PP type-site core volume of 750,000 m³ (Gibson 2000; Ortmann and Kidder 2013) as the empirical anchor for</w:t>
      </w:r>
      <w:r>
        <w:t xml:space="preserve"> </w:t>
      </w:r>
      <m:oMath>
        <m:sSub>
          <m:e>
            <m:r>
              <m:t>M</m:t>
            </m:r>
          </m:e>
          <m:sub>
            <m:r>
              <m:t>g</m:t>
            </m:r>
            <m:r>
              <m:rPr>
                <m:sty m:val="p"/>
              </m:rPr>
              <m:t>,</m:t>
            </m:r>
            <m:r>
              <m:t>P</m:t>
            </m:r>
            <m:r>
              <m:t>P</m:t>
            </m:r>
          </m:sub>
        </m:sSub>
        <m:r>
          <m:rPr>
            <m:sty m:val="p"/>
          </m:rPr>
          <m:t>=</m:t>
        </m:r>
        <m:r>
          <m:t>129.78</m:t>
        </m:r>
      </m:oMath>
      <w:r>
        <w:t xml:space="preserve">. The volume-per-equilibrium-stock conversion is therefore</w:t>
      </w:r>
      <w:r>
        <w:t xml:space="preserve"> </w:t>
      </w:r>
      <m:oMath>
        <m:r>
          <m:t>750</m:t>
        </m:r>
        <m:r>
          <m:rPr>
            <m:sty m:val="p"/>
          </m:rPr>
          <m:t>,</m:t>
        </m:r>
        <m:r>
          <m:t>000</m:t>
        </m:r>
        <m:r>
          <m:rPr>
            <m:sty m:val="p"/>
          </m:rPr>
          <m:t>/</m:t>
        </m:r>
        <m:r>
          <m:t>129.78</m:t>
        </m:r>
        <m:r>
          <m:rPr>
            <m:sty m:val="p"/>
          </m:rPr>
          <m:t>≈</m:t>
        </m:r>
        <m:r>
          <m:t>5</m:t>
        </m:r>
        <m:r>
          <m:rPr>
            <m:sty m:val="p"/>
          </m:rPr>
          <m:t>,</m:t>
        </m:r>
        <m:r>
          <m:t>779</m:t>
        </m:r>
      </m:oMath>
      <w:r>
        <w:t xml:space="preserve"> </w:t>
      </w:r>
      <w:r>
        <w:t xml:space="preserve">m³ per</w:t>
      </w:r>
      <w:r>
        <w:t xml:space="preserve"> </w:t>
      </w:r>
      <m:oMath>
        <m:sSub>
          <m:e>
            <m:r>
              <m:t>M</m:t>
            </m:r>
          </m:e>
          <m:sub>
            <m:r>
              <m:t>g</m:t>
            </m:r>
          </m:sub>
        </m:sSub>
      </m:oMath>
      <w:r>
        <w:t xml:space="preserve"> </w:t>
      </w:r>
      <w:r>
        <w:t xml:space="preserve">unit at the PP-fit calibration.</w:t>
      </w:r>
    </w:p>
    <w:p>
      <w:pPr>
        <w:numPr>
          <w:ilvl w:val="0"/>
          <w:numId w:val="1002"/>
        </w:numPr>
      </w:pPr>
      <w:r>
        <w:rPr>
          <w:i/>
          <w:iCs/>
        </w:rPr>
        <w:t xml:space="preserve">Predicted WB volume under continuous-equilibrium operation.</w:t>
      </w:r>
      <w:r>
        <w:t xml:space="preserve"> </w:t>
      </w:r>
      <w:r>
        <w:t xml:space="preserve">Applying the same conversion to WB: predicted volume =</w:t>
      </w:r>
      <w:r>
        <w:t xml:space="preserve"> </w:t>
      </w:r>
      <m:oMath>
        <m:sSub>
          <m:e>
            <m:r>
              <m:t>M</m:t>
            </m:r>
          </m:e>
          <m:sub>
            <m:r>
              <m:t>g</m:t>
            </m:r>
            <m:r>
              <m:rPr>
                <m:sty m:val="p"/>
              </m:rPr>
              <m:t>,</m:t>
            </m:r>
            <m:r>
              <m:t>W</m:t>
            </m:r>
            <m:r>
              <m:t>B</m:t>
            </m:r>
          </m:sub>
        </m:sSub>
        <m:r>
          <m:rPr>
            <m:sty m:val="p"/>
          </m:rPr>
          <m:t>×</m:t>
        </m:r>
        <m:r>
          <m:t>5</m:t>
        </m:r>
        <m:r>
          <m:rPr>
            <m:sty m:val="p"/>
          </m:rPr>
          <m:t>,</m:t>
        </m:r>
        <m:r>
          <m:t>779</m:t>
        </m:r>
        <m:r>
          <m:rPr>
            <m:sty m:val="p"/>
          </m:rPr>
          <m:t>=</m:t>
        </m:r>
        <m:r>
          <m:t>41.54</m:t>
        </m:r>
        <m:r>
          <m:rPr>
            <m:sty m:val="p"/>
          </m:rPr>
          <m:t>×</m:t>
        </m:r>
        <m:r>
          <m:t>5</m:t>
        </m:r>
        <m:r>
          <m:rPr>
            <m:sty m:val="p"/>
          </m:rPr>
          <m:t>,</m:t>
        </m:r>
        <m:r>
          <m:t>779</m:t>
        </m:r>
        <m:r>
          <m:rPr>
            <m:sty m:val="p"/>
          </m:rPr>
          <m:t>≈</m:t>
        </m:r>
        <m:r>
          <m:t>240</m:t>
        </m:r>
        <m:r>
          <m:rPr>
            <m:sty m:val="p"/>
          </m:rPr>
          <m:t>,</m:t>
        </m:r>
        <m:r>
          <m:t>000</m:t>
        </m:r>
      </m:oMath>
      <w:r>
        <w:t xml:space="preserve"> </w:t>
      </w:r>
      <w:r>
        <w:t xml:space="preserve">m³.</w:t>
      </w:r>
    </w:p>
    <w:p>
      <w:pPr>
        <w:numPr>
          <w:ilvl w:val="0"/>
          <w:numId w:val="1002"/>
        </w:numPr>
      </w:pPr>
      <w:r>
        <w:rPr>
          <w:i/>
          <w:iCs/>
        </w:rPr>
        <w:t xml:space="preserve">Comparison with the LiDAR-derived per-mound volume (27,065 m³).</w:t>
      </w:r>
      <w:r>
        <w:t xml:space="preserve"> </w:t>
      </w:r>
      <w:r>
        <w:t xml:space="preserve">The continuous-equilibrium prediction overshoots by a factor of</w:t>
      </w:r>
      <w:r>
        <w:t xml:space="preserve"> </w:t>
      </w:r>
      <m:oMath>
        <m:r>
          <m:t>240</m:t>
        </m:r>
        <m:r>
          <m:rPr>
            <m:sty m:val="p"/>
          </m:rPr>
          <m:t>,</m:t>
        </m:r>
        <m:r>
          <m:t>000</m:t>
        </m:r>
        <m:r>
          <m:rPr>
            <m:sty m:val="p"/>
          </m:rPr>
          <m:t>/</m:t>
        </m:r>
        <m:r>
          <m:t>27</m:t>
        </m:r>
        <m:r>
          <m:rPr>
            <m:sty m:val="p"/>
          </m:rPr>
          <m:t>,</m:t>
        </m:r>
        <m:r>
          <m:t>065</m:t>
        </m:r>
        <m:r>
          <m:rPr>
            <m:sty m:val="p"/>
          </m:rPr>
          <m:t>≈</m:t>
        </m:r>
        <m:r>
          <m:t>9</m:t>
        </m:r>
        <m:r>
          <m:rPr>
            <m:sty m:val="p"/>
          </m:rPr>
          <m:t>×</m:t>
        </m:r>
      </m:oMath>
      <w:r>
        <w:t xml:space="preserve">. The same continuous-equilibrium calculation propagated through the</w:t>
      </w:r>
      <w:r>
        <w:t xml:space="preserve"> </w:t>
      </w:r>
      <m:oMath>
        <m:sSub>
          <m:e>
            <m:r>
              <m:t>n</m:t>
            </m:r>
          </m:e>
          <m:sub>
            <m:r>
              <m:t>a</m:t>
            </m:r>
            <m:r>
              <m:t>g</m:t>
            </m:r>
            <m:r>
              <m:t>g</m:t>
            </m:r>
          </m:sub>
        </m:sSub>
      </m:oMath>
      <w:r>
        <w:t xml:space="preserve"> </w:t>
      </w:r>
      <w:r>
        <w:t xml:space="preserve">sensitivity sweep below confirms that no plausible</w:t>
      </w:r>
      <w:r>
        <w:t xml:space="preserve"> </w:t>
      </w:r>
      <m:oMath>
        <m:sSub>
          <m:e>
            <m:r>
              <m:t>n</m:t>
            </m:r>
          </m:e>
          <m:sub>
            <m:r>
              <m:t>a</m:t>
            </m:r>
            <m:r>
              <m:t>g</m:t>
            </m:r>
            <m:r>
              <m:t>g</m:t>
            </m:r>
          </m:sub>
        </m:sSub>
      </m:oMath>
      <w:r>
        <w:t xml:space="preserve"> </w:t>
      </w:r>
      <w:r>
        <w:t xml:space="preserve">value closes the 9× gap. Methodology and per-cluster breakdown for the 27,065 m³ figure are in §5.1. The analysis script is</w:t>
      </w:r>
      <w:r>
        <w:t xml:space="preserve"> </w:t>
      </w:r>
      <w:r>
        <w:rPr>
          <w:rStyle w:val="VerbatimChar"/>
        </w:rPr>
        <w:t xml:space="preserve">scripts/analysis/watson_brake_volume.py</w:t>
      </w:r>
      <w:r>
        <w:t xml:space="preserve">.</w:t>
      </w:r>
    </w:p>
    <w:p>
      <w:pPr>
        <w:pStyle w:val="FirstParagraph"/>
      </w:pPr>
      <w:r>
        <w:t xml:space="preserve">The main text proposes that WB is better read as a near-threshold bistable case operating in the model’s transition zone rather than as a continuously above-threshold case parallel to PP. Three lines of evidence make this hypothesis plausible.</w:t>
      </w:r>
    </w:p>
    <w:p>
      <w:pPr>
        <w:pStyle w:val="BodyText"/>
      </w:pPr>
      <w:r>
        <w:rPr>
          <w:i/>
          <w:iCs/>
        </w:rPr>
        <w:t xml:space="preserve">Spatial extent.</w:t>
      </w:r>
      <w:r>
        <w:t xml:space="preserve"> </w:t>
      </w:r>
      <w:r>
        <w:t xml:space="preserve">The 20-fold difference in monumental footprint between WB (~6 ha) and PP (~140 ha) provides empirical traction on relative mobilization scale that does not depend on demographic estimates we do not have. Whatever WB’s exact population, the spatial scale of any individual construction event was small enough that one or two bands working together could plausibly account for the labor force visible in any single mound stage. PP’s spatial scale, by contrast, requires the multi-band coordinated mobilization that Ortmann and Kidder (2013) and Kidder et al. (2021) document in the basket-load stratigraphy and the multiple distinct fill-source recipes. A WB-scale labor force at PP could not have produced PP’s record. A PP-scale labor force at WB would have produced something we do not see.</w:t>
      </w:r>
    </w:p>
    <w:p>
      <w:pPr>
        <w:pStyle w:val="BodyText"/>
      </w:pPr>
      <w:r>
        <w:rPr>
          <w:i/>
          <w:iCs/>
        </w:rPr>
        <w:t xml:space="preserve">Construction tempo.</w:t>
      </w:r>
      <w:r>
        <w:t xml:space="preserve"> </w:t>
      </w:r>
      <w:r>
        <w:t xml:space="preserve">Saunders et al. (2005) document 200+ year inter-stage gaps at WB, with mound construction concentrated during stable intervals between ENSO pulses. This is qualitatively the bistable behavior the framework predicts in the transition zone: individual replicates tip toward either the aggregator regime or the independent regime, then can flip back over time as stochastic environmental fluctuations push effective uncertainty across the threshold. PP’s compressed 75-year construction window (Kidder and Grooms 2024) reflects sustained occupancy of the aggregator regime. WB’s multi-century hiatuses reflect intermittent occupancy of the same regime, separated by long periods of dispersed independent foraging. Both patterns are predicted by the same threshold framework, distinguished only by where each site sits in the bistable transition zone.</w:t>
      </w:r>
    </w:p>
    <w:p>
      <w:pPr>
        <w:pStyle w:val="BodyText"/>
      </w:pPr>
      <w:r>
        <w:rPr>
          <w:i/>
          <w:iCs/>
        </w:rPr>
        <w:t xml:space="preserve">Threshold proximity.</w:t>
      </w:r>
      <w:r>
        <w:t xml:space="preserve"> </w:t>
      </w:r>
      <w:r>
        <w:t xml:space="preserve">The smaller margin between</w:t>
      </w:r>
      <w:r>
        <w:t xml:space="preserve"> </w:t>
      </w:r>
      <m:oMath>
        <m:r>
          <m:t>σ</m:t>
        </m:r>
      </m:oMath>
      <w:r>
        <w:t xml:space="preserve"> </w:t>
      </w:r>
      <w:r>
        <w:t xml:space="preserve">and</w:t>
      </w:r>
      <w:r>
        <w:t xml:space="preserve"> </w:t>
      </w:r>
      <m:oMath>
        <m:sSup>
          <m:e>
            <m:r>
              <m:t>σ</m:t>
            </m:r>
          </m:e>
          <m:sup>
            <m:r>
              <m:rPr>
                <m:sty m:val="p"/>
              </m:rPr>
              <m:t>*</m:t>
            </m:r>
          </m:sup>
        </m:sSup>
      </m:oMath>
      <w:r>
        <w:t xml:space="preserve"> </w:t>
      </w:r>
      <w:r>
        <w:t xml:space="preserve">at WB (~0.18, vs. ~0.28 at PP) means that ordinary stochastic environmental variability can plausibly push effective uncertainty back below threshold for extended periods. At PP’s larger margin, the same magnitude of fluctuations would not. The framework’s bistable transition zone is finite in</w:t>
      </w:r>
      <w:r>
        <w:t xml:space="preserve"> </w:t>
      </w:r>
      <m:oMath>
        <m:sSub>
          <m:e>
            <m:r>
              <m:t>σ</m:t>
            </m:r>
          </m:e>
          <m:sub>
            <m:r>
              <m:t>e</m:t>
            </m:r>
            <m:r>
              <m:t>f</m:t>
            </m:r>
            <m:r>
              <m:t>f</m:t>
            </m:r>
          </m:sub>
        </m:sSub>
      </m:oMath>
      <w:r>
        <w:t xml:space="preserve">, and WB sits within it. The early-Holocene to mid-Holocene environmental record (Liefert and Shuman 2022; Saunders et al. 2005) is consistent with this: the WB occupation falls between abrupt-event punctuations rather than during a sustained high-variability interval like the 3800-3050 BP window in which PP operated.</w:t>
      </w:r>
    </w:p>
    <w:p>
      <w:pPr>
        <w:pStyle w:val="BodyText"/>
      </w:pPr>
      <w:r>
        <w:t xml:space="preserve">The 9× volume overprediction therefore reflects a</w:t>
      </w:r>
      <w:r>
        <w:t xml:space="preserve"> </w:t>
      </w:r>
      <w:r>
        <w:rPr>
          <w:i/>
          <w:iCs/>
        </w:rPr>
        <w:t xml:space="preserve">modeling choice</w:t>
      </w:r>
      <w:r>
        <w:t xml:space="preserve"> </w:t>
      </w:r>
      <w:r>
        <w:t xml:space="preserve">(running WB as a continuous above-threshold scenario) rather than a fundamental misclassification or a magnitude-calibration failure. WB is correctly identified as a system that crosses into the aggregator regime. What the equilibrium calculation cannot capture is that WB does not stay there. Most centuries are spent below threshold in the independent regime, and the multi-stage construction record reflects a small number of brief above-threshold episodes accumulated over ~700 years, each producing a single mound stage with a single-band or two-band labor force.</w:t>
      </w:r>
    </w:p>
    <w:p>
      <w:pPr>
        <w:pStyle w:val="BodyText"/>
      </w:pPr>
      <w:r>
        <w:t xml:space="preserve">If the bistable reading is correct, the same framework would account for both PP-style sustained mass aggregation and WB-style intermittent episodic construction, with the difference between the two regimes set by the</w:t>
      </w:r>
      <w:r>
        <w:t xml:space="preserve"> </w:t>
      </w:r>
      <m:oMath>
        <m:r>
          <m:t>σ</m:t>
        </m:r>
        <m:r>
          <m:rPr>
            <m:sty m:val="p"/>
          </m:rPr>
          <m:t>−</m:t>
        </m:r>
        <m:sSup>
          <m:e>
            <m:r>
              <m:t>σ</m:t>
            </m:r>
          </m:e>
          <m:sup>
            <m:r>
              <m:rPr>
                <m:sty m:val="p"/>
              </m:rPr>
              <m:t>*</m:t>
            </m:r>
          </m:sup>
        </m:sSup>
      </m:oMath>
      <w:r>
        <w:t xml:space="preserve"> </w:t>
      </w:r>
      <w:r>
        <w:t xml:space="preserve">margin and the resulting fraction of time spent in the aggregator regime. PP’s 75-year construction window would be what the framework predicts when conditions sit comfortably above threshold and a large</w:t>
      </w:r>
      <w:r>
        <w:t xml:space="preserve"> </w:t>
      </w:r>
      <m:oMath>
        <m:sSub>
          <m:e>
            <m:r>
              <m:t>n</m:t>
            </m:r>
          </m:e>
          <m:sub>
            <m:r>
              <m:t>a</m:t>
            </m:r>
            <m:r>
              <m:t>g</m:t>
            </m:r>
            <m:r>
              <m:t>g</m:t>
            </m:r>
          </m:sub>
        </m:sSub>
      </m:oMath>
      <w:r>
        <w:t xml:space="preserve"> </w:t>
      </w:r>
      <w:r>
        <w:t xml:space="preserve">is attained through convergence (main text §5.1). WB’s punctuated 700-year construction record would be what the framework predicts when conditions sit just above threshold,</w:t>
      </w:r>
      <w:r>
        <w:t xml:space="preserve"> </w:t>
      </w:r>
      <m:oMath>
        <m:sSub>
          <m:e>
            <m:r>
              <m:t>n</m:t>
            </m:r>
          </m:e>
          <m:sub>
            <m:r>
              <m:t>a</m:t>
            </m:r>
            <m:r>
              <m:t>g</m:t>
            </m:r>
            <m:r>
              <m:t>g</m:t>
            </m:r>
          </m:sub>
        </m:sSub>
      </m:oMath>
      <w:r>
        <w:t xml:space="preserve"> </w:t>
      </w:r>
      <w:r>
        <w:t xml:space="preserve">is small, and stochastic excursions below threshold dominate the long-term record. We emphasize the conditional. Until the regime-switching extension is fully implemented in the agent-based model, the WB pattern is consistent with the framework’s qualitative bistability prediction but is not a quantitative test of it.</w:t>
      </w:r>
    </w:p>
    <w:bookmarkEnd w:id="86"/>
    <w:bookmarkStart w:id="87" w:name="s10.2-n_agg-sensitivity-probe"/>
    <w:p>
      <w:pPr>
        <w:pStyle w:val="Heading3"/>
      </w:pPr>
      <w:r>
        <w:t xml:space="preserve">S10.2</w:t>
      </w:r>
      <w:r>
        <w:t xml:space="preserve"> </w:t>
      </w:r>
      <m:oMath>
        <m:sSub>
          <m:e>
            <m:r>
              <m:t>n</m:t>
            </m:r>
          </m:e>
          <m:sub>
            <m:r>
              <m:t>a</m:t>
            </m:r>
            <m:r>
              <m:t>g</m:t>
            </m:r>
            <m:r>
              <m:t>g</m:t>
            </m:r>
          </m:sub>
        </m:sSub>
      </m:oMath>
      <w:r>
        <w:t xml:space="preserve"> </w:t>
      </w:r>
      <w:r>
        <w:t xml:space="preserve">sensitivity probe</w:t>
      </w:r>
    </w:p>
    <w:p>
      <w:pPr>
        <w:pStyle w:val="FirstParagraph"/>
      </w:pPr>
      <w:r>
        <w:t xml:space="preserve">To partially probe the bistable hypothesis we ran two analytical sensitivity tests. First, an</w:t>
      </w:r>
      <w:r>
        <w:t xml:space="preserve"> </w:t>
      </w:r>
      <m:oMath>
        <m:sSub>
          <m:e>
            <m:r>
              <m:t>n</m:t>
            </m:r>
          </m:e>
          <m:sub>
            <m:r>
              <m:t>a</m:t>
            </m:r>
            <m:r>
              <m:t>g</m:t>
            </m:r>
            <m:r>
              <m:t>g</m:t>
            </m:r>
          </m:sub>
        </m:sSub>
      </m:oMath>
      <w:r>
        <w:t xml:space="preserve"> </w:t>
      </w:r>
      <w:r>
        <w:t xml:space="preserve">sweep at WB-appropriate parameters (</w:t>
      </w:r>
      <m:oMath>
        <m:r>
          <m:t>ε</m:t>
        </m:r>
        <m:r>
          <m:rPr>
            <m:sty m:val="p"/>
          </m:rPr>
          <m:t>=</m:t>
        </m:r>
        <m:r>
          <m:t>0.43</m:t>
        </m:r>
      </m:oMath>
      <w:r>
        <w:t xml:space="preserve">,</w:t>
      </w:r>
      <w:r>
        <w:t xml:space="preserve"> </w:t>
      </w:r>
      <m:oMath>
        <m:r>
          <m:t>σ</m:t>
        </m:r>
        <m:r>
          <m:rPr>
            <m:sty m:val="p"/>
          </m:rPr>
          <m:t>=</m:t>
        </m:r>
        <m:r>
          <m:t>0.56</m:t>
        </m:r>
      </m:oMath>
      <w:r>
        <w:t xml:space="preserve">,</w:t>
      </w:r>
      <w:r>
        <w:t xml:space="preserve"> </w:t>
      </w:r>
      <m:oMath>
        <m:sSub>
          <m:e>
            <m:r>
              <m:t>n</m:t>
            </m:r>
          </m:e>
          <m:sub>
            <m:r>
              <m:t>a</m:t>
            </m:r>
            <m:r>
              <m:t>g</m:t>
            </m:r>
            <m:r>
              <m:t>g</m:t>
            </m:r>
          </m:sub>
        </m:sSub>
        <m:r>
          <m:rPr>
            <m:sty m:val="p"/>
          </m:rPr>
          <m:t>∈</m:t>
        </m:r>
        <m:r>
          <m:rPr>
            <m:sty m:val="p"/>
          </m:rPr>
          <m:t>{</m:t>
        </m:r>
        <m:r>
          <m:t>3</m:t>
        </m:r>
        <m:r>
          <m:rPr>
            <m:sty m:val="p"/>
          </m:rPr>
          <m:t>,</m:t>
        </m:r>
        <m:r>
          <m:t>4</m:t>
        </m:r>
        <m:r>
          <m:rPr>
            <m:sty m:val="p"/>
          </m:rPr>
          <m:t>,</m:t>
        </m:r>
        <m:r>
          <m:t>5</m:t>
        </m:r>
        <m:r>
          <m:rPr>
            <m:sty m:val="p"/>
          </m:rPr>
          <m:t>,</m:t>
        </m:r>
        <m:r>
          <m:t>6</m:t>
        </m:r>
        <m:r>
          <m:rPr>
            <m:sty m:val="p"/>
          </m:rPr>
          <m:t>,</m:t>
        </m:r>
        <m:r>
          <m:t>8</m:t>
        </m:r>
        <m:r>
          <m:rPr>
            <m:sty m:val="p"/>
          </m:rPr>
          <m:t>,</m:t>
        </m:r>
        <m:r>
          <m:t>10</m:t>
        </m:r>
        <m:r>
          <m:rPr>
            <m:sty m:val="p"/>
          </m:rPr>
          <m:t>,</m:t>
        </m:r>
        <m:r>
          <m:t>15</m:t>
        </m:r>
        <m:r>
          <m:rPr>
            <m:sty m:val="p"/>
          </m:rPr>
          <m:t>,</m:t>
        </m:r>
        <m:r>
          <m:t>25</m:t>
        </m:r>
        <m:r>
          <m:rPr>
            <m:sty m:val="p"/>
          </m:rPr>
          <m:t>}</m:t>
        </m:r>
      </m:oMath>
      <w:r>
        <w:t xml:space="preserve">). Across this range</w:t>
      </w:r>
      <w:r>
        <w:t xml:space="preserve"> </w:t>
      </w:r>
      <m:oMath>
        <m:sSup>
          <m:e>
            <m:r>
              <m:t>σ</m:t>
            </m:r>
          </m:e>
          <m:sup>
            <m:r>
              <m:rPr>
                <m:sty m:val="p"/>
              </m:rPr>
              <m:t>*</m:t>
            </m:r>
          </m:sup>
        </m:sSup>
      </m:oMath>
      <w:r>
        <w:t xml:space="preserve"> </w:t>
      </w:r>
      <w:r>
        <w:t xml:space="preserve">varies only between 0.374 and 0.378 (the framework’s threshold is essentially insensitive to</w:t>
      </w:r>
      <w:r>
        <w:t xml:space="preserve"> </w:t>
      </w:r>
      <m:oMath>
        <m:sSub>
          <m:e>
            <m:r>
              <m:t>n</m:t>
            </m:r>
          </m:e>
          <m:sub>
            <m:r>
              <m:t>a</m:t>
            </m:r>
            <m:r>
              <m:t>g</m:t>
            </m:r>
            <m:r>
              <m:t>g</m:t>
            </m:r>
          </m:sub>
        </m:sSub>
      </m:oMath>
      <w:r>
        <w:t xml:space="preserve"> </w:t>
      </w:r>
      <w:r>
        <w:t xml:space="preserve">over the plausible range), and equilibrium monument stock</w:t>
      </w:r>
      <w:r>
        <w:t xml:space="preserve"> </w:t>
      </w:r>
      <m:oMath>
        <m:sSub>
          <m:e>
            <m:r>
              <m:t>M</m:t>
            </m:r>
          </m:e>
          <m:sub>
            <m:r>
              <m:t>g</m:t>
            </m:r>
          </m:sub>
        </m:sSub>
      </m:oMath>
      <w:r>
        <w:t xml:space="preserve"> </w:t>
      </w:r>
      <w:r>
        <w:t xml:space="preserve">scales nearly linearly with</w:t>
      </w:r>
      <w:r>
        <w:t xml:space="preserve"> </w:t>
      </w:r>
      <m:oMath>
        <m:sSub>
          <m:e>
            <m:r>
              <m:t>n</m:t>
            </m:r>
          </m:e>
          <m:sub>
            <m:r>
              <m:t>a</m:t>
            </m:r>
            <m:r>
              <m:t>g</m:t>
            </m:r>
            <m:r>
              <m:t>g</m:t>
            </m:r>
          </m:sub>
        </m:sSub>
      </m:oMath>
      <w:r>
        <w:t xml:space="preserve">:</w:t>
      </w:r>
      <w:r>
        <w:t xml:space="preserve"> </w:t>
      </w:r>
      <m:oMath>
        <m:sSub>
          <m:e>
            <m:r>
              <m:t>M</m:t>
            </m:r>
          </m:e>
          <m:sub>
            <m:r>
              <m:t>g</m:t>
            </m:r>
          </m:sub>
        </m:sSub>
        <m:r>
          <m:rPr>
            <m:sty m:val="p"/>
          </m:rPr>
          <m:t>=</m:t>
        </m:r>
        <m:r>
          <m:t>15.6</m:t>
        </m:r>
      </m:oMath>
      <w:r>
        <w:t xml:space="preserve"> </w:t>
      </w:r>
      <w:r>
        <w:t xml:space="preserve">at</w:t>
      </w:r>
      <w:r>
        <w:t xml:space="preserve"> </w:t>
      </w:r>
      <m:oMath>
        <m:sSub>
          <m:e>
            <m:r>
              <m:t>n</m:t>
            </m:r>
          </m:e>
          <m:sub>
            <m:r>
              <m:t>a</m:t>
            </m:r>
            <m:r>
              <m:t>g</m:t>
            </m:r>
            <m:r>
              <m:t>g</m:t>
            </m:r>
          </m:sub>
        </m:sSub>
        <m:r>
          <m:rPr>
            <m:sty m:val="p"/>
          </m:rPr>
          <m:t>=</m:t>
        </m:r>
        <m:r>
          <m:t>3</m:t>
        </m:r>
      </m:oMath>
      <w:r>
        <w:t xml:space="preserve">,</w:t>
      </w:r>
      <w:r>
        <w:t xml:space="preserve"> </w:t>
      </w:r>
      <m:oMath>
        <m:sSub>
          <m:e>
            <m:r>
              <m:t>M</m:t>
            </m:r>
          </m:e>
          <m:sub>
            <m:r>
              <m:t>g</m:t>
            </m:r>
          </m:sub>
        </m:sSub>
        <m:r>
          <m:rPr>
            <m:sty m:val="p"/>
          </m:rPr>
          <m:t>=</m:t>
        </m:r>
        <m:r>
          <m:t>41.6</m:t>
        </m:r>
      </m:oMath>
      <w:r>
        <w:t xml:space="preserve"> </w:t>
      </w:r>
      <w:r>
        <w:t xml:space="preserve">at</w:t>
      </w:r>
      <w:r>
        <w:t xml:space="preserve"> </w:t>
      </w:r>
      <m:oMath>
        <m:sSub>
          <m:e>
            <m:r>
              <m:t>n</m:t>
            </m:r>
          </m:e>
          <m:sub>
            <m:r>
              <m:t>a</m:t>
            </m:r>
            <m:r>
              <m:t>g</m:t>
            </m:r>
            <m:r>
              <m:t>g</m:t>
            </m:r>
          </m:sub>
        </m:sSub>
        <m:r>
          <m:rPr>
            <m:sty m:val="p"/>
          </m:rPr>
          <m:t>=</m:t>
        </m:r>
        <m:r>
          <m:t>8</m:t>
        </m:r>
      </m:oMath>
      <w:r>
        <w:t xml:space="preserve"> </w:t>
      </w:r>
      <w:r>
        <w:t xml:space="preserve">(the value used in main §6.3 and in the S10.1 derivation above), and</w:t>
      </w:r>
      <w:r>
        <w:t xml:space="preserve"> </w:t>
      </w:r>
      <m:oMath>
        <m:sSub>
          <m:e>
            <m:r>
              <m:t>M</m:t>
            </m:r>
          </m:e>
          <m:sub>
            <m:r>
              <m:t>g</m:t>
            </m:r>
          </m:sub>
        </m:sSub>
        <m:r>
          <m:rPr>
            <m:sty m:val="p"/>
          </m:rPr>
          <m:t>=</m:t>
        </m:r>
        <m:r>
          <m:t>129.8</m:t>
        </m:r>
      </m:oMath>
      <w:r>
        <w:t xml:space="preserve"> </w:t>
      </w:r>
      <w:r>
        <w:t xml:space="preserve">at</w:t>
      </w:r>
      <w:r>
        <w:t xml:space="preserve"> </w:t>
      </w:r>
      <m:oMath>
        <m:sSub>
          <m:e>
            <m:r>
              <m:t>n</m:t>
            </m:r>
          </m:e>
          <m:sub>
            <m:r>
              <m:t>a</m:t>
            </m:r>
            <m:r>
              <m:t>g</m:t>
            </m:r>
            <m:r>
              <m:t>g</m:t>
            </m:r>
          </m:sub>
        </m:sSub>
        <m:r>
          <m:rPr>
            <m:sty m:val="p"/>
          </m:rPr>
          <m:t>=</m:t>
        </m:r>
        <m:r>
          <m:t>25</m:t>
        </m:r>
      </m:oMath>
      <w:r>
        <w:t xml:space="preserve">. Applying the S10.1 conversion factor (</w:t>
      </w:r>
      <m:oMath>
        <m:r>
          <m:rPr>
            <m:sty m:val="p"/>
          </m:rPr>
          <m:t>∼</m:t>
        </m:r>
        <m:r>
          <m:t>5</m:t>
        </m:r>
        <m:r>
          <m:rPr>
            <m:sty m:val="p"/>
          </m:rPr>
          <m:t>,</m:t>
        </m:r>
        <m:r>
          <m:t>779</m:t>
        </m:r>
      </m:oMath>
      <w:r>
        <w:t xml:space="preserve"> </w:t>
      </w:r>
      <w:r>
        <w:t xml:space="preserve">m³/</w:t>
      </w:r>
      <m:oMath>
        <m:sSub>
          <m:e>
            <m:r>
              <m:t>M</m:t>
            </m:r>
          </m:e>
          <m:sub>
            <m:r>
              <m:t>g</m:t>
            </m:r>
          </m:sub>
        </m:sSub>
      </m:oMath>
      <w:r>
        <w:t xml:space="preserve"> </w:t>
      </w:r>
      <w:r>
        <w:t xml:space="preserve">unit), the predicted volume at</w:t>
      </w:r>
      <w:r>
        <w:t xml:space="preserve"> </w:t>
      </w:r>
      <m:oMath>
        <m:sSub>
          <m:e>
            <m:r>
              <m:t>n</m:t>
            </m:r>
          </m:e>
          <m:sub>
            <m:r>
              <m:t>a</m:t>
            </m:r>
            <m:r>
              <m:t>g</m:t>
            </m:r>
            <m:r>
              <m:t>g</m:t>
            </m:r>
          </m:sub>
        </m:sSub>
        <m:r>
          <m:rPr>
            <m:sty m:val="p"/>
          </m:rPr>
          <m:t>=</m:t>
        </m:r>
        <m:r>
          <m:t>3</m:t>
        </m:r>
      </m:oMath>
      <w:r>
        <w:t xml:space="preserve"> </w:t>
      </w:r>
      <w:r>
        <w:t xml:space="preserve">is</w:t>
      </w:r>
      <w:r>
        <w:t xml:space="preserve"> </w:t>
      </w:r>
      <m:oMath>
        <m:r>
          <m:t>15.6</m:t>
        </m:r>
        <m:r>
          <m:rPr>
            <m:sty m:val="p"/>
          </m:rPr>
          <m:t>×</m:t>
        </m:r>
        <m:r>
          <m:t>5</m:t>
        </m:r>
        <m:r>
          <m:rPr>
            <m:sty m:val="p"/>
          </m:rPr>
          <m:t>,</m:t>
        </m:r>
        <m:r>
          <m:t>779</m:t>
        </m:r>
        <m:r>
          <m:rPr>
            <m:sty m:val="p"/>
          </m:rPr>
          <m:t>≈</m:t>
        </m:r>
        <m:r>
          <m:t>90</m:t>
        </m:r>
        <m:r>
          <m:rPr>
            <m:sty m:val="p"/>
          </m:rPr>
          <m:t>,</m:t>
        </m:r>
        <m:r>
          <m:t>000</m:t>
        </m:r>
      </m:oMath>
      <w:r>
        <w:t xml:space="preserve"> </w:t>
      </w:r>
      <w:r>
        <w:t xml:space="preserve">m³, still ~3× larger than the LiDAR-derived per-mound volume of 27,065 m³. Demographic uncertainty over plausible WB band counts therefore cannot by itself close the continuous-equilibrium overshoot. Some additional mechanism (regime-switching, smaller per-event labor concentration, or both) is required.</w:t>
      </w:r>
    </w:p>
    <w:p>
      <w:pPr>
        <w:pStyle w:val="BodyText"/>
      </w:pPr>
      <w:r>
        <w:t xml:space="preserve">Second, a stochastic-environment pilot at WB parameters. Treating the year-to-year regional environmental fluctuations as Gaussian noise around the central WB estimate (</w:t>
      </w:r>
      <m:oMath>
        <m:r>
          <m:t>σ</m:t>
        </m:r>
      </m:oMath>
      <w:r>
        <w:t xml:space="preserve"> </w:t>
      </w:r>
      <w:r>
        <w:t xml:space="preserve">mean 0.56, sd 0.13, derived from the main-text §6.2 paleoclimate confidence interval) and computing the fraction of years for which</w:t>
      </w:r>
      <w:r>
        <w:t xml:space="preserve"> </w:t>
      </w:r>
      <m:oMath>
        <m:sSub>
          <m:e>
            <m:r>
              <m:t>σ</m:t>
            </m:r>
          </m:e>
          <m:sub>
            <m:r>
              <m:t>e</m:t>
            </m:r>
            <m:r>
              <m:t>f</m:t>
            </m:r>
            <m:r>
              <m:t>f</m:t>
            </m:r>
          </m:sub>
        </m:sSub>
      </m:oMath>
      <w:r>
        <w:t xml:space="preserve"> </w:t>
      </w:r>
      <w:r>
        <w:t xml:space="preserve">exceeds the WB threshold</w:t>
      </w:r>
      <w:r>
        <w:t xml:space="preserve"> </w:t>
      </w:r>
      <m:oMath>
        <m:sSup>
          <m:e>
            <m:r>
              <m:t>σ</m:t>
            </m:r>
          </m:e>
          <m:sup>
            <m:r>
              <m:rPr>
                <m:sty m:val="p"/>
              </m:rPr>
              <m:t>*</m:t>
            </m:r>
          </m:sup>
        </m:sSup>
        <m:r>
          <m:rPr>
            <m:sty m:val="p"/>
          </m:rPr>
          <m:t>≈</m:t>
        </m:r>
        <m:r>
          <m:t>0.375</m:t>
        </m:r>
      </m:oMath>
      <w:r>
        <w:t xml:space="preserve">, the model predicts approximately 22.5% of the 700-year WB span (95% CI 18-27%) as years in the aggregator regime. The remaining 77.5% are years below threshold in the independent regime. By comparison, the PP active 75-year window with the same noise model has approximately 31.6% aggregator-years, yielding a higher and more consistent above-threshold occupancy. The WB result is qualitatively consistent with the bistable hypothesis: WB is predicted to spend most centuries below threshold, with intermittent above-threshold pulses producing the multi-stage construction record. Under the refined LiDAR-derived per-mound WB volume of 27,065 m³, the 22.5% aggregator-share interval combined with per-event labor scaling at</w:t>
      </w:r>
      <w:r>
        <w:t xml:space="preserve"> </w:t>
      </w:r>
      <m:oMath>
        <m:r>
          <m:t>α</m:t>
        </m:r>
        <m:r>
          <m:rPr>
            <m:sty m:val="p"/>
          </m:rPr>
          <m:t>=</m:t>
        </m:r>
        <m:r>
          <m:t>2</m:t>
        </m:r>
      </m:oMath>
      <w:r>
        <w:t xml:space="preserve"> </w:t>
      </w:r>
      <w:r>
        <w:t xml:space="preserve">(§S17.2) produces ~25,000 m³ of cumulative investment, essentially matching the observed value within ~9%. Closing the gap therefore primarily requires the per-event labor-scaling extension. The bistable regime-switching mechanism contributes the episodic</w:t>
      </w:r>
      <w:r>
        <w:t xml:space="preserve"> </w:t>
      </w:r>
      <w:r>
        <w:rPr>
          <w:i/>
          <w:iCs/>
        </w:rPr>
        <w:t xml:space="preserve">tempo</w:t>
      </w:r>
      <w:r>
        <w:t xml:space="preserve"> </w:t>
      </w:r>
      <w:r>
        <w:t xml:space="preserve">(matching the 200+-year inter-stage gaps documented by Saunders et al. 2005) rather than the total volume. Both extensions are implemented in §S17.1 (regime switching) and §S17.2 (per-event labor scaling) below.</w:t>
      </w:r>
    </w:p>
    <w:p>
      <w:r>
        <w:pict>
          <v:rect style="width:0;height:1.5pt" o:hralign="center" o:hrstd="t" o:hr="t"/>
        </w:pict>
      </w:r>
    </w:p>
    <w:bookmarkEnd w:id="87"/>
    <w:bookmarkEnd w:id="88"/>
    <w:bookmarkStart w:id="89" w:name="X0769aa5741e11170a5f27a581a02296b6581b8e"/>
    <w:p>
      <w:pPr>
        <w:pStyle w:val="Heading2"/>
      </w:pPr>
      <w:r>
        <w:t xml:space="preserve">S11. Magnitude prediction: five gaps the framework does not address</w:t>
      </w:r>
    </w:p>
    <w:p>
      <w:pPr>
        <w:pStyle w:val="FirstParagraph"/>
      </w:pPr>
      <w:r>
        <w:t xml:space="preserve">The main text (§4.6, §5.1) summarizes that the framework correctly predicts the threshold-crossing condition (all eleven LMV sites in Table 2 above their site-specific</w:t>
      </w:r>
      <w:r>
        <w:t xml:space="preserve"> </w:t>
      </w:r>
      <m:oMath>
        <m:sSup>
          <m:e>
            <m:r>
              <m:t>σ</m:t>
            </m:r>
          </m:e>
          <m:sup>
            <m:r>
              <m:rPr>
                <m:sty m:val="p"/>
              </m:rPr>
              <m:t>*</m:t>
            </m:r>
          </m:sup>
        </m:sSup>
      </m:oMath>
      <w:r>
        <w:t xml:space="preserve">) but not the magnitude variation among above-threshold sites. The variation is set by network, spatial, and demographic dynamics that constitute a different model. We enumerate here the five sources of magnitude variation that the present framework explicitly does not track.</w:t>
      </w:r>
    </w:p>
    <w:p>
      <w:pPr>
        <w:numPr>
          <w:ilvl w:val="0"/>
          <w:numId w:val="1003"/>
        </w:numPr>
      </w:pPr>
      <w:r>
        <w:rPr>
          <w:i/>
          <w:iCs/>
        </w:rPr>
        <w:t xml:space="preserve">Spatial network topology and routing.</w:t>
      </w:r>
      <w:r>
        <w:t xml:space="preserve"> </w:t>
      </w:r>
      <w:r>
        <w:t xml:space="preserve">Poverty Point sits at a specific position in the regional exchange network, accessible by water from multiple directions through Macon Ridge, the Mississippi alluvial valley, and the Yazoo Basin drainages. Bands traveling hundreds of kilometers to attend made specific routing choices that the framework’s single-site abstraction does not capture. A spatially explicit network model might predict primacy from betweenness centrality or accessibility metrics. Ours does not.</w:t>
      </w:r>
    </w:p>
    <w:p>
      <w:pPr>
        <w:numPr>
          <w:ilvl w:val="0"/>
          <w:numId w:val="1003"/>
        </w:numPr>
      </w:pPr>
      <w:r>
        <w:rPr>
          <w:i/>
          <w:iCs/>
        </w:rPr>
        <w:t xml:space="preserve">Carrying capacity at the gathering.</w:t>
      </w:r>
      <w:r>
        <w:t xml:space="preserve"> </w:t>
      </w:r>
      <w:r>
        <w:t xml:space="preserve">The ecotone parameter</w:t>
      </w:r>
      <w:r>
        <w:t xml:space="preserve"> </w:t>
      </w:r>
      <m:oMath>
        <m:r>
          <m:t>ε</m:t>
        </m:r>
      </m:oMath>
      <w:r>
        <w:t xml:space="preserve"> </w:t>
      </w:r>
      <w:r>
        <w:t xml:space="preserve">measures local 25-km diversity, which buffers risk during gatherings, but it does not set a ceiling on the number of bands the catchment can sustain through an extended aggregation. PP’s catchment may simply support a larger sustained population than Watson Brake’s at similar Shannon</w:t>
      </w:r>
      <w:r>
        <w:t xml:space="preserve"> </w:t>
      </w:r>
      <m:oMath>
        <m:r>
          <m:t>ε</m:t>
        </m:r>
      </m:oMath>
      <w:r>
        <w:t xml:space="preserve">. We do not explicitly model the population × duration × resource budget that determines this ceiling.</w:t>
      </w:r>
    </w:p>
    <w:p>
      <w:pPr>
        <w:numPr>
          <w:ilvl w:val="0"/>
          <w:numId w:val="1003"/>
        </w:numPr>
      </w:pPr>
      <w:r>
        <w:rPr>
          <w:i/>
          <w:iCs/>
        </w:rPr>
        <w:t xml:space="preserve">Path dependence and first-mover advantage.</w:t>
      </w:r>
      <w:r>
        <w:t xml:space="preserve"> </w:t>
      </w:r>
      <w:r>
        <w:t xml:space="preserve">Once a site has accumulated prestige and infrastructure, it becomes more attractive in subsequent gatherings, a positive feedback layered on top of the within-scenario cooperation-network feedback that the model already includes. This is hysteresis at the regional scale: the historically realized PP could have been a different ecotonally-equivalent site under different initial conditions, but once selected it locks in. The model has within-scenario feedback but no across-site selection mechanism.</w:t>
      </w:r>
    </w:p>
    <w:p>
      <w:pPr>
        <w:numPr>
          <w:ilvl w:val="0"/>
          <w:numId w:val="1003"/>
        </w:numPr>
      </w:pPr>
      <w:r>
        <w:rPr>
          <w:i/>
          <w:iCs/>
        </w:rPr>
        <w:t xml:space="preserve">Temporal heterogeneity in</w:t>
      </w:r>
      <w:r>
        <w:rPr>
          <w:i/>
          <w:iCs/>
        </w:rPr>
        <w:t xml:space="preserve"> </w:t>
      </w:r>
      <m:oMath>
        <m:r>
          <m:t>σ</m:t>
        </m:r>
      </m:oMath>
      <w:r>
        <w:rPr>
          <w:i/>
          <w:iCs/>
        </w:rPr>
        <w:t xml:space="preserve">.</w:t>
      </w:r>
      <w:r>
        <w:t xml:space="preserve"> </w:t>
      </w:r>
      <w:r>
        <w:t xml:space="preserve">The Middle Archaic LMV sites (Watson Brake, Caney, Insley, Frenchman’s Bend, Lower Jackson) operated under mid-Holocene</w:t>
      </w:r>
      <w:r>
        <w:t xml:space="preserve"> </w:t>
      </w:r>
      <m:oMath>
        <m:r>
          <m:t>σ</m:t>
        </m:r>
        <m:r>
          <m:rPr>
            <m:sty m:val="p"/>
          </m:rPr>
          <m:t>≈</m:t>
        </m:r>
        <m:r>
          <m:t>0.56</m:t>
        </m:r>
      </m:oMath>
      <w:r>
        <w:t xml:space="preserve">. The Late Archaic sites (Poverty Point, J.W. Copes, Jaketown, Cowpen Slough) operated under</w:t>
      </w:r>
      <w:r>
        <w:t xml:space="preserve"> </w:t>
      </w:r>
      <m:oMath>
        <m:r>
          <m:t>σ</m:t>
        </m:r>
        <m:r>
          <m:rPr>
            <m:sty m:val="p"/>
          </m:rPr>
          <m:t>≈</m:t>
        </m:r>
        <m:r>
          <m:t>0.64</m:t>
        </m:r>
      </m:oMath>
      <w:r>
        <w:t xml:space="preserve">. Comparing all eleven sites against a single regional</w:t>
      </w:r>
      <w:r>
        <w:t xml:space="preserve"> </w:t>
      </w:r>
      <m:oMath>
        <m:r>
          <m:t>σ</m:t>
        </m:r>
      </m:oMath>
      <w:r>
        <w:t xml:space="preserve"> </w:t>
      </w:r>
      <w:r>
        <w:t xml:space="preserve">smooths over real environmental differences in their</w:t>
      </w:r>
      <w:r>
        <w:t xml:space="preserve"> </w:t>
      </w:r>
      <m:oMath>
        <m:r>
          <m:t>σ</m:t>
        </m:r>
        <m:r>
          <m:rPr>
            <m:sty m:val="p"/>
          </m:rPr>
          <m:t>−</m:t>
        </m:r>
        <m:sSup>
          <m:e>
            <m:r>
              <m:t>σ</m:t>
            </m:r>
          </m:e>
          <m:sup>
            <m:r>
              <m:rPr>
                <m:sty m:val="p"/>
              </m:rPr>
              <m:t>*</m:t>
            </m:r>
          </m:sup>
        </m:sSup>
      </m:oMath>
      <w:r>
        <w:t xml:space="preserve"> </w:t>
      </w:r>
      <w:r>
        <w:t xml:space="preserve">margins. A time-stratified analysis would tighten the cross-site comparison.</w:t>
      </w:r>
    </w:p>
    <w:p>
      <w:pPr>
        <w:numPr>
          <w:ilvl w:val="0"/>
          <w:numId w:val="1003"/>
        </w:numPr>
      </w:pPr>
      <w:r>
        <w:rPr>
          <w:i/>
          <w:iCs/>
        </w:rPr>
        <w:t xml:space="preserve">Reduction of structure to a single number.</w:t>
      </w:r>
      <w:r>
        <w:t xml:space="preserve"> </w:t>
      </w:r>
      <w:r>
        <w:t xml:space="preserve">The Shannon index reduces five zone weights to one scalar, washing out structural differences (one-dominant vs. evenly-distributed) that may matter for sustained aggregation. The EPA Level IV ecoregion measurement (S12) shows that two operationalizations of</w:t>
      </w:r>
      <w:r>
        <w:t xml:space="preserve"> </w:t>
      </w:r>
      <w:r>
        <w:t xml:space="preserve">“ecotone diversity”</w:t>
      </w:r>
      <w:r>
        <w:t xml:space="preserve"> </w:t>
      </w:r>
      <w:r>
        <w:t xml:space="preserve">give different rankings: Caney intersects the highest Level IV count (9), with Cowpen Slough (8) and Watson Brake (7) next, while Jaketown’s catchment is dominated by Northern Holocene Meander Belts (73a; ~81% of the 25 km buffer) consistent with its Yazoo Basin meander-belt setting. Yet Watson Brake’s monument scale is mid, Caney’s mid, Frenchman’s Bend’s small, and Poverty Point’s largest by orders of magnitude despite a more modest L4 count (4). There is no single</w:t>
      </w:r>
      <w:r>
        <w:t xml:space="preserve"> </w:t>
      </w:r>
      <m:oMath>
        <m:r>
          <m:t>ε</m:t>
        </m:r>
      </m:oMath>
      <w:r>
        <w:t xml:space="preserve"> </w:t>
      </w:r>
      <w:r>
        <w:t xml:space="preserve">that captures the relevant ecological-diversity dimension.</w:t>
      </w:r>
    </w:p>
    <w:p>
      <w:pPr>
        <w:pStyle w:val="FirstParagraph"/>
      </w:pPr>
      <w:r>
        <w:t xml:space="preserve">These five gaps explain why the framework correctly predicts the</w:t>
      </w:r>
      <w:r>
        <w:t xml:space="preserve"> </w:t>
      </w:r>
      <w:r>
        <w:rPr>
          <w:i/>
          <w:iCs/>
        </w:rPr>
        <w:t xml:space="preserve">threshold-crossing condition</w:t>
      </w:r>
      <w:r>
        <w:t xml:space="preserve"> </w:t>
      </w:r>
      <w:r>
        <w:t xml:space="preserve">but not the</w:t>
      </w:r>
      <w:r>
        <w:t xml:space="preserve"> </w:t>
      </w:r>
      <w:r>
        <w:rPr>
          <w:i/>
          <w:iCs/>
        </w:rPr>
        <w:t xml:space="preserve">magnitude variation</w:t>
      </w:r>
      <w:r>
        <w:t xml:space="preserve"> </w:t>
      </w:r>
      <w:r>
        <w:t xml:space="preserve">among above-threshold sites. The variation is set by network, spatial, and demographic dynamics that constitute a different model. Closing the magnitude prediction would require a regional spatially-explicit ABM with explicit network topology, carrying-capacity dynamics, and across-site selection. This extension is identified as priority follow-up work in main §7.4 and implemented in §S17.3 (minimal regional band-allocation version) below.</w:t>
      </w:r>
    </w:p>
    <w:p>
      <w:r>
        <w:pict>
          <v:rect style="width:0;height:1.5pt" o:hralign="center" o:hrstd="t" o:hr="t"/>
        </w:pict>
      </w:r>
    </w:p>
    <w:bookmarkEnd w:id="89"/>
    <w:bookmarkStart w:id="90" w:name="Xe0ea6b23fc108217560814ad28b4dba14359c18"/>
    <w:p>
      <w:pPr>
        <w:pStyle w:val="Heading2"/>
      </w:pPr>
      <w:r>
        <w:t xml:space="preserve">S12. GIS-based ecotone diversity comparison (EPA Level IV ecoregions)</w:t>
      </w:r>
    </w:p>
    <w:p>
      <w:pPr>
        <w:pStyle w:val="FirstParagraph"/>
      </w:pPr>
      <w:r>
        <w:t xml:space="preserve">Two independent GIS-based diversity indices applied to each of the eleven Table 2 sites produce different rankings. Under the corrected zone coding (Table 2, coastal</w:t>
      </w:r>
      <w:r>
        <w:t xml:space="preserve"> </w:t>
      </w:r>
      <m:oMath>
        <m:r>
          <m:t>ε</m:t>
        </m:r>
        <m:r>
          <m:rPr>
            <m:sty m:val="p"/>
          </m:rPr>
          <m:t>=</m:t>
        </m:r>
        <m:r>
          <m:t>0.40</m:t>
        </m:r>
      </m:oMath>
      <w:r>
        <w:t xml:space="preserve">), the qualitative rubric correlates significantly with the Saucier-geomorphic index (</w:t>
      </w:r>
      <m:oMath>
        <m:r>
          <m:t>ρ</m:t>
        </m:r>
        <m:r>
          <m:rPr>
            <m:sty m:val="p"/>
          </m:rPr>
          <m:t>=</m:t>
        </m:r>
        <m:r>
          <m:t>0.70</m:t>
        </m:r>
      </m:oMath>
      <w:r>
        <w:t xml:space="preserve">,</w:t>
      </w:r>
      <w:r>
        <w:t xml:space="preserve"> </w:t>
      </w:r>
      <m:oMath>
        <m:r>
          <m:t>p</m:t>
        </m:r>
        <m:r>
          <m:rPr>
            <m:sty m:val="p"/>
          </m:rPr>
          <m:t>=</m:t>
        </m:r>
        <m:r>
          <m:t>0.016</m:t>
        </m:r>
      </m:oMath>
      <w:r>
        <w:t xml:space="preserve">) but not with the Level IV ecological index (</w:t>
      </w:r>
      <m:oMath>
        <m:r>
          <m:t>ρ</m:t>
        </m:r>
        <m:r>
          <m:rPr>
            <m:sty m:val="p"/>
          </m:rPr>
          <m:t>=</m:t>
        </m:r>
        <m:r>
          <m:t>0.12</m:t>
        </m:r>
      </m:oMath>
      <w:r>
        <w:t xml:space="preserve">,</w:t>
      </w:r>
      <w:r>
        <w:t xml:space="preserve"> </w:t>
      </w:r>
      <m:oMath>
        <m:r>
          <m:t>p</m:t>
        </m:r>
        <m:r>
          <m:rPr>
            <m:sty m:val="p"/>
          </m:rPr>
          <m:t>=</m:t>
        </m:r>
        <m:r>
          <m:t>0.73</m:t>
        </m:r>
      </m:oMath>
      <w:r>
        <w:t xml:space="preserve">). Full detail is given here; Table 3 in the main text reports the corresponding correlations against monument scale.</w:t>
      </w:r>
    </w:p>
    <w:p>
      <w:pPr>
        <w:pStyle w:val="BodyText"/>
      </w:pPr>
      <w:r>
        <w:t xml:space="preserve">We computed two independent GIS-based diversity indices for each of the eleven sites, each using a 25 km foraging buffer (Kelly 2013 day-trip radius). The first uses the USGS digitization of Saucier (1994) and computes Shannon entropy over the area-weighted geomorphic age classes (Holocene Alluvial Valley, Holocene Deltaic and Chenier Plains, Pleistocene, unmapped upland). The second uses the EPA Office of Research and Development’s Level IV ecoregion classification (Omernik and Griffith 2014) and computes Shannon entropy over the area-weighted Level IV ecoregion classes within each buffer. The two indices answer different questions: the geomorphic index measures depositional-age heterogeneity, while the EPA L4 index measures fine-grained ecological heterogeneity (it explicitly distinguishes Macon Ridge, Northern Holocene Meander Belts, Backswamps, Loess Plains, Tertiary Uplands, Gulf Coast Flatwoods, Coastal Marshes, and many more, with 59 distinct Level IV classes across the three states involved).</w:t>
      </w:r>
    </w:p>
    <w:p>
      <w:pPr>
        <w:pStyle w:val="BodyText"/>
      </w:pPr>
      <w:r>
        <w:t xml:space="preserve">Qualitative</w:t>
      </w:r>
      <w:r>
        <w:t xml:space="preserve"> </w:t>
      </w:r>
      <m:oMath>
        <m:r>
          <m:t>ε</m:t>
        </m:r>
      </m:oMath>
      <w:r>
        <w:t xml:space="preserve"> </w:t>
      </w:r>
      <w:r>
        <w:t xml:space="preserve">correlates moderately and significantly with GIS-measured geomorphic</w:t>
      </w:r>
      <w:r>
        <w:t xml:space="preserve"> </w:t>
      </w:r>
      <m:oMath>
        <m:r>
          <m:t>ε</m:t>
        </m:r>
      </m:oMath>
      <w:r>
        <w:t xml:space="preserve"> </w:t>
      </w:r>
      <w:r>
        <w:t xml:space="preserve">(Spearman</w:t>
      </w:r>
      <w:r>
        <w:t xml:space="preserve"> </w:t>
      </w:r>
      <m:oMath>
        <m:r>
          <m:t>ρ</m:t>
        </m:r>
        <m:r>
          <m:rPr>
            <m:sty m:val="p"/>
          </m:rPr>
          <m:t>=</m:t>
        </m:r>
        <m:r>
          <m:t>0.70</m:t>
        </m:r>
      </m:oMath>
      <w:r>
        <w:t xml:space="preserve">,</w:t>
      </w:r>
      <w:r>
        <w:t xml:space="preserve"> </w:t>
      </w:r>
      <m:oMath>
        <m:r>
          <m:t>p</m:t>
        </m:r>
        <m:r>
          <m:rPr>
            <m:sty m:val="p"/>
          </m:rPr>
          <m:t>=</m:t>
        </m:r>
        <m:r>
          <m:t>0.016</m:t>
        </m:r>
      </m:oMath>
      <w:r>
        <w:t xml:space="preserve">), confirming that the rubric captures the same gross depositional-age heterogeneity. It does not track the fine-grained EPA-L4</w:t>
      </w:r>
      <w:r>
        <w:t xml:space="preserve"> </w:t>
      </w:r>
      <m:oMath>
        <m:r>
          <m:t>ε</m:t>
        </m:r>
      </m:oMath>
      <w:r>
        <w:t xml:space="preserve">, however (</w:t>
      </w:r>
      <m:oMath>
        <m:r>
          <m:t>ρ</m:t>
        </m:r>
        <m:r>
          <m:rPr>
            <m:sty m:val="p"/>
          </m:rPr>
          <m:t>=</m:t>
        </m:r>
        <m:r>
          <m:t>0.12</m:t>
        </m:r>
      </m:oMath>
      <w:r>
        <w:t xml:space="preserve">,</w:t>
      </w:r>
      <w:r>
        <w:t xml:space="preserve"> </w:t>
      </w:r>
      <m:oMath>
        <m:r>
          <m:t>p</m:t>
        </m:r>
        <m:r>
          <m:rPr>
            <m:sty m:val="p"/>
          </m:rPr>
          <m:t>=</m:t>
        </m:r>
        <m:r>
          <m:t>0.73</m:t>
        </m:r>
      </m:oMath>
      <w:r>
        <w:t xml:space="preserve">). The contrast is one of scale: the qualitative rubric and the Saucier-geomorphic index both work at the coarse level of depositional-age classes, whereas the L4 classification subdivides the same landscape into many fine ecoregion types, and neither captures the canoe-day water-route catchment that the framework’s</w:t>
      </w:r>
      <w:r>
        <w:t xml:space="preserve"> </w:t>
      </w:r>
      <m:oMath>
        <m:r>
          <m:t>ε</m:t>
        </m:r>
      </m:oMath>
      <w:r>
        <w:t xml:space="preserve"> </w:t>
      </w:r>
      <w:r>
        <w:t xml:space="preserve">actually encodes (see §S17.4). The EPA L4 ranking is informative: Caney’s catchment intersects the highest count of distinct Level IV ecoregions (9), followed by Cowpen Slough (8) and Watson Brake (7); Frenchman’s Bend and Insley each intersect 6; Jaketown, Claiborne, and Cedarland each intersect 5; Poverty Point and Lower Jackson each intersect 4; and J.W. Copes intersects 2. Jaketown’s catchment is dominated by Northern Holocene Meander Belts (73a; ~1,590 km² of the 1,963 km² buffer, ~81%) and Northern Backswamps (73d; ~356 km²), consistent with its published Yazoo Basin meander-belt setting (Ford, Phillips, and Haag 1955). The coastal Pearl River sites (Claiborne and Cedarland) intersect 5 ecoregions each, one more than Poverty Point’s 4. The L4 measurement therefore ranks several interior sites (Caney, Cowpen Slough, Watson Brake) above Poverty Point at the 25-km scale, even though Poverty Point’s monument scale is two orders of magnitude larger. The static measures agree that the high-</w:t>
      </w:r>
      <m:oMath>
        <m:r>
          <m:t>ε</m:t>
        </m:r>
      </m:oMath>
      <w:r>
        <w:t xml:space="preserve"> </w:t>
      </w:r>
      <w:r>
        <w:t xml:space="preserve">band exists but disagree on which sites are most ecologically diverse, and none of them explains PP-style monument scale through terrestrial-buffer ecological diversity alone.</w:t>
      </w:r>
    </w:p>
    <w:p>
      <w:pPr>
        <w:pStyle w:val="BodyText"/>
      </w:pPr>
      <w:r>
        <w:t xml:space="preserve">The cross-LMV ecoregion map showing all eleven sites with 25-km foraging buffers on the EPA Level IV ecoregion polygon background is now main-text Figure 13.</w:t>
      </w:r>
    </w:p>
    <w:p>
      <w:pPr>
        <w:pStyle w:val="BodyText"/>
      </w:pPr>
      <w:r>
        <w:rPr>
          <w:b/>
          <w:bCs/>
        </w:rPr>
        <w:t xml:space="preserve">Category-level recalibration.</w:t>
      </w:r>
      <w:r>
        <w:t xml:space="preserve"> </w:t>
      </w:r>
      <w:r>
        <w:t xml:space="preserve">A reasonable concern about the L4-class Shannon analysis is that ecoregion classes are not equally distinct: an</w:t>
      </w:r>
      <w:r>
        <w:t xml:space="preserve"> </w:t>
      </w:r>
      <w:r>
        <w:t xml:space="preserve">“upland”</w:t>
      </w:r>
      <w:r>
        <w:t xml:space="preserve"> </w:t>
      </w:r>
      <w:r>
        <w:t xml:space="preserve">ecoregion is fundamentally different from a</w:t>
      </w:r>
      <w:r>
        <w:t xml:space="preserve"> </w:t>
      </w:r>
      <w:r>
        <w:t xml:space="preserve">“lowland alluvial”</w:t>
      </w:r>
      <w:r>
        <w:t xml:space="preserve"> </w:t>
      </w:r>
      <w:r>
        <w:t xml:space="preserve">ecoregion, while different lowland subtypes (Holocene Meander Belt vs Backswamp) are subtypes of the same alluvial ecology. To address this we mapped each of the 59 L4 classes in the AR-LA-MS dataset to one of 9 broad ecological categories (Alluvial Active, Backswamp, Pleistocene Terrace, Loess Upland, Tertiary Upland, Coastal Marsh, Coastal Plain Upland, Prairie, Mountain/Hills) and recomputed Shannon entropy at the category level. Results: Frenchman’s Bend and Watson Brake intersect 4 broad categories at the highest category-level entropy (</w:t>
      </w:r>
      <m:oMath>
        <m:sSub>
          <m:e>
            <m:r>
              <m:t>ε</m:t>
            </m:r>
          </m:e>
          <m:sub>
            <m:r>
              <m:t>c</m:t>
            </m:r>
            <m:r>
              <m:t>a</m:t>
            </m:r>
            <m:r>
              <m:t>t</m:t>
            </m:r>
          </m:sub>
        </m:sSub>
        <m:r>
          <m:rPr>
            <m:sty m:val="p"/>
          </m:rPr>
          <m:t>=</m:t>
        </m:r>
        <m:r>
          <m:t>0.314</m:t>
        </m:r>
      </m:oMath>
      <w:r>
        <w:t xml:space="preserve"> </w:t>
      </w:r>
      <w:r>
        <w:t xml:space="preserve">and</w:t>
      </w:r>
      <w:r>
        <w:t xml:space="preserve"> </w:t>
      </w:r>
      <m:oMath>
        <m:r>
          <m:t>0.311</m:t>
        </m:r>
      </m:oMath>
      <w:r>
        <w:t xml:space="preserve">), with Caney also at 4 categories (</w:t>
      </w:r>
      <m:oMath>
        <m:sSub>
          <m:e>
            <m:r>
              <m:t>ε</m:t>
            </m:r>
          </m:e>
          <m:sub>
            <m:r>
              <m:t>c</m:t>
            </m:r>
            <m:r>
              <m:t>a</m:t>
            </m:r>
            <m:r>
              <m:t>t</m:t>
            </m:r>
          </m:sub>
        </m:sSub>
        <m:r>
          <m:rPr>
            <m:sty m:val="p"/>
          </m:rPr>
          <m:t>=</m:t>
        </m:r>
        <m:r>
          <m:t>0.276</m:t>
        </m:r>
      </m:oMath>
      <w:r>
        <w:t xml:space="preserve">). Cowpen Slough, Insley, and Jaketown likewise intersect 4 categories but at lower entropy (</w:t>
      </w:r>
      <m:oMath>
        <m:sSub>
          <m:e>
            <m:r>
              <m:t>ε</m:t>
            </m:r>
          </m:e>
          <m:sub>
            <m:r>
              <m:t>c</m:t>
            </m:r>
            <m:r>
              <m:t>a</m:t>
            </m:r>
            <m:r>
              <m:t>t</m:t>
            </m:r>
          </m:sub>
        </m:sSub>
        <m:r>
          <m:rPr>
            <m:sty m:val="p"/>
          </m:rPr>
          <m:t>=</m:t>
        </m:r>
        <m:r>
          <m:t>0.22</m:t>
        </m:r>
      </m:oMath>
      <w:r>
        <w:t xml:space="preserve">,</w:t>
      </w:r>
      <w:r>
        <w:t xml:space="preserve"> </w:t>
      </w:r>
      <m:oMath>
        <m:r>
          <m:t>0.22</m:t>
        </m:r>
      </m:oMath>
      <w:r>
        <w:t xml:space="preserve">, and</w:t>
      </w:r>
      <w:r>
        <w:t xml:space="preserve"> </w:t>
      </w:r>
      <m:oMath>
        <m:r>
          <m:t>0.12</m:t>
        </m:r>
      </m:oMath>
      <w:r>
        <w:t xml:space="preserve">, the last dominated by a single meander-belt class). Poverty Point and Lower Jackson intersect 3 categories (Alluvial Active, Backswamp, Pleistocene Terrace) at</w:t>
      </w:r>
      <w:r>
        <w:t xml:space="preserve"> </w:t>
      </w:r>
      <m:oMath>
        <m:sSub>
          <m:e>
            <m:r>
              <m:t>ε</m:t>
            </m:r>
          </m:e>
          <m:sub>
            <m:r>
              <m:t>c</m:t>
            </m:r>
            <m:r>
              <m:t>a</m:t>
            </m:r>
            <m:r>
              <m:t>t</m:t>
            </m:r>
          </m:sub>
        </m:sSub>
        <m:r>
          <m:rPr>
            <m:sty m:val="p"/>
          </m:rPr>
          <m:t>≈</m:t>
        </m:r>
        <m:r>
          <m:t>0.24</m:t>
        </m:r>
      </m:oMath>
      <w:r>
        <w:t xml:space="preserve">; the coastal Pearl River pair (Claiborne and Cedarland) intersect 3 categories at</w:t>
      </w:r>
      <w:r>
        <w:t xml:space="preserve"> </w:t>
      </w:r>
      <m:oMath>
        <m:sSub>
          <m:e>
            <m:r>
              <m:t>ε</m:t>
            </m:r>
          </m:e>
          <m:sub>
            <m:r>
              <m:t>c</m:t>
            </m:r>
            <m:r>
              <m:t>a</m:t>
            </m:r>
            <m:r>
              <m:t>t</m:t>
            </m:r>
          </m:sub>
        </m:sSub>
        <m:r>
          <m:rPr>
            <m:sty m:val="p"/>
          </m:rPr>
          <m:t>≈</m:t>
        </m:r>
        <m:r>
          <m:t>0.22</m:t>
        </m:r>
      </m:oMath>
      <w:r>
        <w:t xml:space="preserve">; and J.W. Copes intersects 2 categories (</w:t>
      </w:r>
      <m:oMath>
        <m:sSub>
          <m:e>
            <m:r>
              <m:t>ε</m:t>
            </m:r>
          </m:e>
          <m:sub>
            <m:r>
              <m:t>c</m:t>
            </m:r>
            <m:r>
              <m:t>a</m:t>
            </m:r>
            <m:r>
              <m:t>t</m:t>
            </m:r>
          </m:sub>
        </m:sSub>
        <m:r>
          <m:rPr>
            <m:sty m:val="p"/>
          </m:rPr>
          <m:t>=</m:t>
        </m:r>
        <m:r>
          <m:t>0.14</m:t>
        </m:r>
      </m:oMath>
      <w:r>
        <w:t xml:space="preserve">). The category-level Spearman correlation between qualitative</w:t>
      </w:r>
      <w:r>
        <w:t xml:space="preserve"> </w:t>
      </w:r>
      <m:oMath>
        <m:r>
          <m:t>ε</m:t>
        </m:r>
      </m:oMath>
      <w:r>
        <w:t xml:space="preserve"> </w:t>
      </w:r>
      <w:r>
        <w:t xml:space="preserve">and category-</w:t>
      </w:r>
      <m:oMath>
        <m:r>
          <m:t>ε</m:t>
        </m:r>
      </m:oMath>
      <w:r>
        <w:t xml:space="preserve"> </w:t>
      </w:r>
      <w:r>
        <w:t xml:space="preserve">is</w:t>
      </w:r>
      <w:r>
        <w:t xml:space="preserve"> </w:t>
      </w:r>
      <m:oMath>
        <m:r>
          <m:t>ρ</m:t>
        </m:r>
        <m:r>
          <m:rPr>
            <m:sty m:val="p"/>
          </m:rPr>
          <m:t>=</m:t>
        </m:r>
        <m:r>
          <m:t>0.64</m:t>
        </m:r>
      </m:oMath>
      <w:r>
        <w:t xml:space="preserve"> </w:t>
      </w:r>
      <w:r>
        <w:t xml:space="preserve">(</w:t>
      </w:r>
      <m:oMath>
        <m:r>
          <m:t>p</m:t>
        </m:r>
        <m:r>
          <m:rPr>
            <m:sty m:val="p"/>
          </m:rPr>
          <m:t>=</m:t>
        </m:r>
        <m:r>
          <m:t>0.036</m:t>
        </m:r>
      </m:oMath>
      <w:r>
        <w:t xml:space="preserve">), and the L4-vs-category Spearman correlation is</w:t>
      </w:r>
      <w:r>
        <w:t xml:space="preserve"> </w:t>
      </w:r>
      <m:oMath>
        <m:r>
          <m:t>ρ</m:t>
        </m:r>
        <m:r>
          <m:rPr>
            <m:sty m:val="p"/>
          </m:rPr>
          <m:t>=</m:t>
        </m:r>
        <m:r>
          <m:t>0.58</m:t>
        </m:r>
      </m:oMath>
      <w:r>
        <w:t xml:space="preserve"> </w:t>
      </w:r>
      <w:r>
        <w:t xml:space="preserve">(</w:t>
      </w:r>
      <m:oMath>
        <m:r>
          <m:t>p</m:t>
        </m:r>
        <m:r>
          <m:rPr>
            <m:sty m:val="p"/>
          </m:rPr>
          <m:t>=</m:t>
        </m:r>
        <m:r>
          <m:t>0.060</m:t>
        </m:r>
      </m:oMath>
      <w:r>
        <w:t xml:space="preserve">), confirming that the category-level aggregation tracks both the rubric and the L4 index moderately while smoothing out subtype distinctions. The recalibration therefore moderately strengthens the qualitative rubric’s correspondence with the GIS measurement but</w:t>
      </w:r>
      <w:r>
        <w:t xml:space="preserve"> </w:t>
      </w:r>
      <w:r>
        <w:rPr>
          <w:i/>
          <w:iCs/>
        </w:rPr>
        <w:t xml:space="preserve">does not</w:t>
      </w:r>
      <w:r>
        <w:t xml:space="preserve"> </w:t>
      </w:r>
      <w:r>
        <w:t xml:space="preserve">make PP rank highest in catchment ecological diversity. PP’s distinguishing feature in the framework is its confluence position integrating multiple canoe-accessible drainages with non-synchronized hydrographs, not its 25-km terrestrial catchment heterogeneity, which is what every static-diversity proxy at any granularity will continue to underestimate.</w:t>
      </w:r>
    </w:p>
    <w:p>
      <w:pPr>
        <w:pStyle w:val="BodyText"/>
      </w:pPr>
      <w:r>
        <w:t xml:space="preserve">The qualitative rubric, the Saucier-geomorphic, the EPA-L4, and the broad-category indices share a single fundamental limitation: they all measure raw zone count and area within a 25-km circular</w:t>
      </w:r>
      <w:r>
        <w:t xml:space="preserve"> </w:t>
      </w:r>
      <w:r>
        <w:rPr>
          <w:i/>
          <w:iCs/>
        </w:rPr>
        <w:t xml:space="preserve">terrestrial</w:t>
      </w:r>
      <w:r>
        <w:t xml:space="preserve"> </w:t>
      </w:r>
      <w:r>
        <w:t xml:space="preserve">buffer, not the covariance-based shortfall buffering that the framework’s</w:t>
      </w:r>
      <w:r>
        <w:t xml:space="preserve"> </w:t>
      </w:r>
      <m:oMath>
        <m:r>
          <m:t>ε</m:t>
        </m:r>
      </m:oMath>
      <w:r>
        <w:t xml:space="preserve"> </w:t>
      </w:r>
      <w:r>
        <w:t xml:space="preserve">parameter actually encodes. We therefore do not report rank-correlations between any static-diversity index and observed monument scale. Static count is not the operative quantity for the framework’s magnitude prediction. The screening role of these analyses (necessity check: monument-building sites pass the high-</w:t>
      </w:r>
      <m:oMath>
        <m:r>
          <m:t>ε</m:t>
        </m:r>
      </m:oMath>
      <w:r>
        <w:t xml:space="preserve"> </w:t>
      </w:r>
      <w:r>
        <w:t xml:space="preserve">filter, coastal Pearl River pair does not) is the only inferential weight they carry.</w:t>
      </w:r>
    </w:p>
    <w:p>
      <w:pPr>
        <w:pStyle w:val="BodyText"/>
      </w:pPr>
      <w:r>
        <w:t xml:space="preserve">The substantive limitation is the catchment definition itself. All three operationalizations define the catchment as a 25 km circular buffer derived from Kelly’s (2013) walking day-trip radius. This buffer captures terrestrial accessibility but not waterway accessibility, which for an aggregation site mobilizing watercraft is a substantively different quantity. Day- to multi-day canoe travel along navigable bayous, rivers, and channels extends the practical aggregation-period catchment far beyond 25 km along waterways. Poverty Point’s confluence position gives it integrated canoe access to four independent drainage systems (Bayou Maçon, Mississippi, Tensas, Yazoo) that lie far outside any 25 km terrestrial buffer. Watson Brake (Bayou Bartholomew), Frenchman’s Bend (Ouachita tributary), and Jaketown (Yazoo) all have water access too, but none integrates as many independent drainage systems within a comparable canoe-day catchment. A water-route-aware travel-time catchment is implemented in §S17.4.</w:t>
      </w:r>
    </w:p>
    <w:p>
      <w:r>
        <w:pict>
          <v:rect style="width:0;height:1.5pt" o:hralign="center" o:hrstd="t" o:hr="t"/>
        </w:pict>
      </w:r>
    </w:p>
    <w:bookmarkEnd w:id="90"/>
    <w:bookmarkStart w:id="91" w:name="X93a86e26ee9455cac49026e2f6b920d4c40c83f"/>
    <w:p>
      <w:pPr>
        <w:pStyle w:val="Heading2"/>
      </w:pPr>
      <w:r>
        <w:t xml:space="preserve">S13. Table 2 Monte Carlo perturbation analysis</w:t>
      </w:r>
    </w:p>
    <w:p>
      <w:pPr>
        <w:pStyle w:val="FirstParagraph"/>
      </w:pPr>
      <w:r>
        <w:t xml:space="preserve">Table 3 reports Spearman</w:t>
      </w:r>
      <w:r>
        <w:t xml:space="preserve"> </w:t>
      </w:r>
      <m:oMath>
        <m:r>
          <m:t>ρ</m:t>
        </m:r>
        <m:r>
          <m:rPr>
            <m:sty m:val="p"/>
          </m:rPr>
          <m:t>=</m:t>
        </m:r>
        <m:r>
          <m:rPr>
            <m:sty m:val="p"/>
          </m:rPr>
          <m:t>+</m:t>
        </m:r>
        <m:r>
          <m:t>0.39</m:t>
        </m:r>
      </m:oMath>
      <w:r>
        <w:t xml:space="preserve"> </w:t>
      </w:r>
      <w:r>
        <w:t xml:space="preserve">(</w:t>
      </w:r>
      <m:oMath>
        <m:r>
          <m:t>p</m:t>
        </m:r>
        <m:r>
          <m:rPr>
            <m:sty m:val="p"/>
          </m:rPr>
          <m:t>=</m:t>
        </m:r>
        <m:r>
          <m:t>0.24</m:t>
        </m:r>
      </m:oMath>
      <w:r>
        <w:t xml:space="preserve">) between the qualitative-rubric</w:t>
      </w:r>
      <w:r>
        <w:t xml:space="preserve"> </w:t>
      </w:r>
      <m:oMath>
        <m:r>
          <m:t>ε</m:t>
        </m:r>
      </m:oMath>
      <w:r>
        <w:t xml:space="preserve"> </w:t>
      </w:r>
      <w:r>
        <w:t xml:space="preserve">and observed ordinal monument investment across the eleven LMV sites. To assess robustness of the ranking against plausible scoring uncertainty, we ran a Monte Carlo perturbation of the zone weights (</w:t>
      </w:r>
      <m:oMath>
        <m:r>
          <m:rPr>
            <m:sty m:val="p"/>
          </m:rPr>
          <m:t>±</m:t>
        </m:r>
        <m:r>
          <m:t>0.2</m:t>
        </m:r>
      </m:oMath>
      <w:r>
        <w:t xml:space="preserve"> </w:t>
      </w:r>
      <w:r>
        <w:t xml:space="preserve">uniform per weight, clipped to</w:t>
      </w:r>
      <w:r>
        <w:t xml:space="preserve"> </w:t>
      </w:r>
      <m:oMath>
        <m:r>
          <m:rPr>
            <m:sty m:val="p"/>
          </m:rPr>
          <m:t>[</m:t>
        </m:r>
        <m:r>
          <m:t>0</m:t>
        </m:r>
        <m:r>
          <m:rPr>
            <m:sty m:val="p"/>
          </m:rPr>
          <m:t>,</m:t>
        </m:r>
        <m:r>
          <m:t>1</m:t>
        </m:r>
        <m:r>
          <m:rPr>
            <m:sty m:val="p"/>
          </m:rPr>
          <m:t>]</m:t>
        </m:r>
      </m:oMath>
      <w:r>
        <w:t xml:space="preserve">, 1,000 draws;</w:t>
      </w:r>
      <w:r>
        <w:t xml:space="preserve"> </w:t>
      </w:r>
      <w:r>
        <w:rPr>
          <w:rStyle w:val="VerbatimChar"/>
        </w:rPr>
        <w:t xml:space="preserve">scripts/analysis/table2_weight_perturbation.py</w:t>
      </w:r>
      <w:r>
        <w:t xml:space="preserve">). Under the corrected zone coding (coastal</w:t>
      </w:r>
      <w:r>
        <w:t xml:space="preserve"> </w:t>
      </w:r>
      <m:oMath>
        <m:r>
          <m:t>ε</m:t>
        </m:r>
        <m:r>
          <m:rPr>
            <m:sty m:val="p"/>
          </m:rPr>
          <m:t>=</m:t>
        </m:r>
        <m:r>
          <m:t>0.40</m:t>
        </m:r>
      </m:oMath>
      <w:r>
        <w:t xml:space="preserve">), the ranking is only partially stable: Poverty Point ranks first in 86% of draws, but the coastal Pearl River pair (Claiborne and Cedarland) occupies the bottom two ranks in only 21% of draws (they now tie Jaketown at baseline), and the full eleven-site rank order is never preserved (0% of draws). Mean Spearman</w:t>
      </w:r>
      <w:r>
        <w:t xml:space="preserve"> </w:t>
      </w:r>
      <m:oMath>
        <m:r>
          <m:t>ρ</m:t>
        </m:r>
      </m:oMath>
      <w:r>
        <w:t xml:space="preserve"> </w:t>
      </w:r>
      <w:r>
        <w:t xml:space="preserve">across perturbations is</w:t>
      </w:r>
      <w:r>
        <w:t xml:space="preserve"> </w:t>
      </w:r>
      <m:oMath>
        <m:r>
          <m:rPr>
            <m:sty m:val="p"/>
          </m:rPr>
          <m:t>+</m:t>
        </m:r>
        <m:r>
          <m:t>0.16</m:t>
        </m:r>
      </m:oMath>
      <w:r>
        <w:t xml:space="preserve"> </w:t>
      </w:r>
      <w:r>
        <w:t xml:space="preserve">with a 95% interval of</w:t>
      </w:r>
      <w:r>
        <w:t xml:space="preserve"> </w:t>
      </w:r>
      <m:oMath>
        <m:r>
          <m:rPr>
            <m:sty m:val="p"/>
          </m:rPr>
          <m:t>−</m:t>
        </m:r>
        <m:r>
          <m:t>0.19</m:t>
        </m:r>
      </m:oMath>
      <w:r>
        <w:t xml:space="preserve"> </w:t>
      </w:r>
      <w:r>
        <w:t xml:space="preserve">to</w:t>
      </w:r>
      <w:r>
        <w:t xml:space="preserve"> </w:t>
      </w:r>
      <m:oMath>
        <m:r>
          <m:rPr>
            <m:sty m:val="p"/>
          </m:rPr>
          <m:t>+</m:t>
        </m:r>
        <m:r>
          <m:t>0.49</m:t>
        </m:r>
      </m:oMath>
      <w:r>
        <w:t xml:space="preserve">. The PP-first result is robust against the perturbation; the coastal-last result, which was robust under the original coastal coding (0.30), is not robust once the corrected coding credits the coastal pair’s Coastal Plain Upland access. The interior ordering is not stable in either coding. This pattern reinforces the §6.4 interpretation: the static rubric identifies Poverty Point’s top rank robustly, ecotone diversity admits multiple candidate sites without uniquely identifying the regional center, and the interior-versus-coastal discrimination rests on smaller margins under the corrected coding than the original presentation implied.</w:t>
      </w:r>
    </w:p>
    <w:p>
      <w:r>
        <w:pict>
          <v:rect style="width:0;height:1.5pt" o:hralign="center" o:hrstd="t" o:hr="t"/>
        </w:pict>
      </w:r>
    </w:p>
    <w:bookmarkEnd w:id="91"/>
    <w:bookmarkStart w:id="92" w:name="X212a8a5c68b94ccf018abad951e52510cd00633"/>
    <w:p>
      <w:pPr>
        <w:pStyle w:val="Heading2"/>
      </w:pPr>
      <w:r>
        <w:t xml:space="preserve">S14. Per-material exotic decomposition: extended discussion</w:t>
      </w:r>
    </w:p>
    <w:p>
      <w:pPr>
        <w:pStyle w:val="FirstParagraph"/>
      </w:pPr>
      <w:r>
        <w:t xml:space="preserve">The main text (§6.1) reports per-material model output (copper 106 ± 30, steatite 480 ± 116, galena 702 ± 188, novaculite 6,406 ± 1,923, crystal quartz 3,190 ± 898 acquisition events) against archaeological inventories (copper 155 objects, steatite 2,221 fragments, galena 740 masses and shaped objects, novaculite 101 chipped-stone items, crystal quartz 395 raw crystals). The first thing to note is that the per-material counts are not directly comparable across the model-archaeology boundary because the counting units differ. Four considerations bear on the comparison.</w:t>
      </w:r>
    </w:p>
    <w:p>
      <w:pPr>
        <w:pStyle w:val="BodyText"/>
      </w:pPr>
      <w:r>
        <w:rPr>
          <w:i/>
          <w:iCs/>
        </w:rPr>
        <w:t xml:space="preserve">Counting-unit non-comparability across materials.</w:t>
      </w:r>
      <w:r>
        <w:t xml:space="preserve"> </w:t>
      </w:r>
      <w:r>
        <w:t xml:space="preserve">Each call to the model’s</w:t>
      </w:r>
      <w:r>
        <w:t xml:space="preserve"> </w:t>
      </w:r>
      <w:r>
        <w:rPr>
          <w:rStyle w:val="VerbatimChar"/>
        </w:rPr>
        <w:t xml:space="preserve">acquire_exotic</w:t>
      </w:r>
      <w:r>
        <w:t xml:space="preserve"> </w:t>
      </w:r>
      <w:r>
        <w:t xml:space="preserve">routine increments the per-material counter by one, so the model</w:t>
      </w:r>
      <w:r>
        <w:t xml:space="preserve"> </w:t>
      </w:r>
      <w:r>
        <w:t xml:space="preserve">“item”</w:t>
      </w:r>
      <w:r>
        <w:t xml:space="preserve"> </w:t>
      </w:r>
      <w:r>
        <w:t xml:space="preserve">represents one acquisition event, equivalent to one imported</w:t>
      </w:r>
      <w:r>
        <w:t xml:space="preserve"> </w:t>
      </w:r>
      <w:r>
        <w:rPr>
          <w:i/>
          <w:iCs/>
        </w:rPr>
        <w:t xml:space="preserve">object</w:t>
      </w:r>
      <w:r>
        <w:t xml:space="preserve"> </w:t>
      </w:r>
      <w:r>
        <w:t xml:space="preserve">(one steatite bowl, one galena mass, one copper sheet or pendant). The archaeological counts use heterogeneous units. Steatite is reported as fragments (Webb 1982 describes the 2,221 figure as fragments representing several hundred vessels), and a single 30-50 cm steatite bowl breaks readily into many fragments under burial and excavation conditions. Copper is reported as objects, and galena as masses and shaped artifacts, so those two comparisons are closer to like-for-like.</w:t>
      </w:r>
    </w:p>
    <w:p>
      <w:pPr>
        <w:pStyle w:val="BodyText"/>
      </w:pPr>
      <w:r>
        <w:t xml:space="preserve">The remainder of this section discusses three further considerations under the assumption that the per-material comparison is conducted at</w:t>
      </w:r>
      <w:r>
        <w:t xml:space="preserve"> </w:t>
      </w:r>
      <w:r>
        <w:rPr>
          <w:i/>
          <w:iCs/>
        </w:rPr>
        <w:t xml:space="preserve">whatever</w:t>
      </w:r>
      <w:r>
        <w:t xml:space="preserve"> </w:t>
      </w:r>
      <w:r>
        <w:t xml:space="preserve">counting unit one chooses. The conclusions hold for any reasonable conversion.</w:t>
      </w:r>
    </w:p>
    <w:p>
      <w:pPr>
        <w:pStyle w:val="BodyText"/>
      </w:pPr>
      <w:r>
        <w:rPr>
          <w:i/>
          <w:iCs/>
        </w:rPr>
        <w:t xml:space="preserve">The far-source materials are consistent in like units.</w:t>
      </w:r>
      <w:r>
        <w:t xml:space="preserve"> </w:t>
      </w:r>
      <w:r>
        <w:t xml:space="preserve">Copper’s predictive interval contains the recovered count (</w:t>
      </w:r>
      <m:oMath>
        <m:r>
          <m:t>z</m:t>
        </m:r>
        <m:r>
          <m:rPr>
            <m:sty m:val="p"/>
          </m:rPr>
          <m:t>=</m:t>
        </m:r>
        <m:r>
          <m:rPr>
            <m:sty m:val="p"/>
          </m:rPr>
          <m:t>+</m:t>
        </m:r>
        <m:r>
          <m:t>1.6</m:t>
        </m:r>
      </m:oMath>
      <w:r>
        <w:t xml:space="preserve">), galena’s contains it near the center (</w:t>
      </w:r>
      <m:oMath>
        <m:r>
          <m:t>z</m:t>
        </m:r>
        <m:r>
          <m:rPr>
            <m:sty m:val="p"/>
          </m:rPr>
          <m:t>=</m:t>
        </m:r>
        <m:r>
          <m:rPr>
            <m:sty m:val="p"/>
          </m:rPr>
          <m:t>+</m:t>
        </m:r>
        <m:r>
          <m:t>0.2</m:t>
        </m:r>
      </m:oMath>
      <w:r>
        <w:t xml:space="preserve">), and steatite on a vessel basis falls inside the interval. These are the three materials whose acquisition the framework reads as band-level index signaling of long-distance network access, and they are the materials on which the model’s cost-driven acquisition rule and the record agree without correction.</w:t>
      </w:r>
    </w:p>
    <w:p>
      <w:pPr>
        <w:pStyle w:val="BodyText"/>
      </w:pPr>
      <w:r>
        <w:rPr>
          <w:i/>
          <w:iCs/>
        </w:rPr>
        <w:t xml:space="preserve">The near-source overshoot is the informative failure.</w:t>
      </w:r>
      <w:r>
        <w:t xml:space="preserve"> </w:t>
      </w:r>
      <w:r>
        <w:t xml:space="preserve">The model overpredicts novaculite by roughly 63× and crystal quartz by roughly 8×. Acquisition-versus-recovery slippage (the model predicts acquisition flow; archaeology records recovered discard) can absorb modest gaps but not two orders of magnitude, and novaculite is not preservation-limited. The structural reading is that the model’s per-band acquisition probability is a function of source distance and cost only: cheap nearby materials are acquired routinely in the model, while the record shows that near-source materials are rare at the type site (novaculite is ~5% of chipped stone at PP but &gt;80% at sites near the Ouachita source; Mitch 2023:145-146). Under the framework’s own signaling logic, deposition at the hub should track signal value, which rises with source distance and difficulty of acquisition; the model does not encode value-weighted retention, and this is where it fails. The failure is reported as a genuine misfit in §6.1, and adding a value-weighted retention term is identified as a model extension in §7.4 rather than applied post hoc here.</w:t>
      </w:r>
    </w:p>
    <w:p>
      <w:pPr>
        <w:pStyle w:val="BodyText"/>
      </w:pPr>
      <w:r>
        <w:rPr>
          <w:i/>
          <w:iCs/>
        </w:rPr>
        <w:t xml:space="preserve">The steatite-galena diagnostic.</w:t>
      </w:r>
      <w:r>
        <w:t xml:space="preserve"> </w:t>
      </w:r>
      <w:r>
        <w:t xml:space="preserve">The two materials sit at almost equal source distances (~900 km vs. ~800 km), so any distance-only acquisition function predicts comparable per-band rates, and the model indeed produces slightly more galena (702) than steatite (480). The archaeological record inverts this ratio: ~3× more steatite (2,221 fragments) than galena (740), or ~7× more if Webb’s bulk cache of ~2,724 additional fragments is included. Part of the inversion is the fragment-versus-vessel counting unit; the remainder, if any survives a fragments-per-vessel conversion, is consistent with steatite carrying elevated material-specific value driving acquisition above the distance-decay baseline. Steatite vessels at PP appear in bulk caches (Webb 1982) and in functional contexts that imply more than incidental ornament.</w:t>
      </w:r>
    </w:p>
    <w:p>
      <w:pPr>
        <w:pStyle w:val="BodyText"/>
      </w:pPr>
      <w:r>
        <w:t xml:space="preserve">The per-material breakdown is therefore best read as a partial consistency check, not a validation. The far-source, high-signal-value materials match in like units; the steatite fragment count is unit-mismatched; and the near-source materials expose a real structural limitation of the cost-driven acquisition rule that the joint Mahalanobis test in §6.1 registers as a strong rejection. We report the misfit as informative for model development rather than reconciling it.</w:t>
      </w:r>
    </w:p>
    <w:bookmarkEnd w:id="92"/>
    <w:bookmarkStart w:id="93" w:name="Xae4e2e09dac333b71eb214b52917dfa5d2cdd61"/>
    <w:p>
      <w:pPr>
        <w:pStyle w:val="Heading2"/>
      </w:pPr>
      <w:r>
        <w:t xml:space="preserve">S15. Modern hydrograph data: empirical test of the multi-drainage independence claim</w:t>
      </w:r>
    </w:p>
    <w:p>
      <w:pPr>
        <w:pStyle w:val="FirstParagraph"/>
      </w:pPr>
      <w:r>
        <w:t xml:space="preserve">The main text (§6.5) asserts that PP’s confluence position integrates four canoe-accessible drainages (Bayou Maçon, Mississippi, Tensas, Yazoo) with non-synchronized hydrographs. We test this empirically using USGS gauge records (</w:t>
      </w:r>
      <w:r>
        <w:rPr>
          <w:rStyle w:val="VerbatimChar"/>
        </w:rPr>
        <w:t xml:space="preserve">scripts/analysis/hydrograph_covariance.py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Drainage</w:t>
            </w:r>
          </w:p>
        </w:tc>
        <w:tc>
          <w:tcPr/>
          <w:p>
            <w:pPr>
              <w:pStyle w:val="Compact"/>
            </w:pPr>
            <w:r>
              <w:t xml:space="preserve">USGS gauge</w:t>
            </w:r>
          </w:p>
        </w:tc>
        <w:tc>
          <w:tcPr/>
          <w:p>
            <w:pPr>
              <w:pStyle w:val="Compact"/>
            </w:pPr>
            <w:r>
              <w:t xml:space="preserve">Record</w:t>
            </w:r>
          </w:p>
        </w:tc>
      </w:tr>
      <w:tr>
        <w:tc>
          <w:tcPr/>
          <w:p>
            <w:pPr>
              <w:pStyle w:val="Compact"/>
            </w:pPr>
            <w:r>
              <w:t xml:space="preserve">Mississippi River</w:t>
            </w:r>
          </w:p>
        </w:tc>
        <w:tc>
          <w:tcPr/>
          <w:p>
            <w:pPr>
              <w:pStyle w:val="Compact"/>
            </w:pPr>
            <w:r>
              <w:t xml:space="preserve">07289000 (Vicksburg, MS)</w:t>
            </w:r>
          </w:p>
        </w:tc>
        <w:tc>
          <w:tcPr/>
          <w:p>
            <w:pPr>
              <w:pStyle w:val="Compact"/>
            </w:pPr>
            <w:r>
              <w:t xml:space="preserve">204 months (2008-2024)</w:t>
            </w:r>
          </w:p>
        </w:tc>
      </w:tr>
      <w:tr>
        <w:tc>
          <w:tcPr/>
          <w:p>
            <w:pPr>
              <w:pStyle w:val="Compact"/>
            </w:pPr>
            <w:r>
              <w:t xml:space="preserve">Yazoo River</w:t>
            </w:r>
          </w:p>
        </w:tc>
        <w:tc>
          <w:tcPr/>
          <w:p>
            <w:pPr>
              <w:pStyle w:val="Compact"/>
            </w:pPr>
            <w:r>
              <w:t xml:space="preserve">07287150 (Greenwood, MS)</w:t>
            </w:r>
          </w:p>
        </w:tc>
        <w:tc>
          <w:tcPr/>
          <w:p>
            <w:pPr>
              <w:pStyle w:val="Compact"/>
            </w:pPr>
            <w:r>
              <w:t xml:space="preserve">231 months (1991-2021)</w:t>
            </w:r>
          </w:p>
        </w:tc>
      </w:tr>
      <w:tr>
        <w:tc>
          <w:tcPr/>
          <w:p>
            <w:pPr>
              <w:pStyle w:val="Compact"/>
            </w:pPr>
            <w:r>
              <w:t xml:space="preserve">Tensas River</w:t>
            </w:r>
          </w:p>
        </w:tc>
        <w:tc>
          <w:tcPr/>
          <w:p>
            <w:pPr>
              <w:pStyle w:val="Compact"/>
            </w:pPr>
            <w:r>
              <w:t xml:space="preserve">07369500 (Tendal, LA)</w:t>
            </w:r>
          </w:p>
        </w:tc>
        <w:tc>
          <w:tcPr/>
          <w:p>
            <w:pPr>
              <w:pStyle w:val="Compact"/>
            </w:pPr>
            <w:r>
              <w:t xml:space="preserve">480 months (1985-2024)</w:t>
            </w:r>
          </w:p>
        </w:tc>
      </w:tr>
      <w:tr>
        <w:tc>
          <w:tcPr/>
          <w:p>
            <w:pPr>
              <w:pStyle w:val="Compact"/>
            </w:pPr>
            <w:r>
              <w:t xml:space="preserve">Bayou Maçon</w:t>
            </w:r>
          </w:p>
        </w:tc>
        <w:tc>
          <w:tcPr/>
          <w:p>
            <w:pPr>
              <w:pStyle w:val="Compact"/>
            </w:pPr>
            <w:r>
              <w:t xml:space="preserve">07370000 (Delhi, LA)</w:t>
            </w:r>
          </w:p>
        </w:tc>
        <w:tc>
          <w:tcPr/>
          <w:p>
            <w:pPr>
              <w:pStyle w:val="Compact"/>
            </w:pPr>
            <w:r>
              <w:t xml:space="preserve">93 months (1985-1992)</w:t>
            </w:r>
          </w:p>
        </w:tc>
      </w:tr>
    </w:tbl>
    <w:p>
      <w:pPr>
        <w:pStyle w:val="BodyText"/>
      </w:pPr>
      <w:r>
        <w:t xml:space="preserve">No four-gauge overlap exists (Bayou Maçon’s gauge was only operational 1985-1992, before the Mississippi gauge came online), so the four-drainage analysis is performed pairwise on each pair’s available overlap.</w:t>
      </w:r>
    </w:p>
    <w:p>
      <w:pPr>
        <w:pStyle w:val="BodyText"/>
      </w:pPr>
      <w:r>
        <w:rPr>
          <w:b/>
          <w:bCs/>
        </w:rPr>
        <w:t xml:space="preserve">Anomaly construction.</w:t>
      </w:r>
      <w:r>
        <w:t xml:space="preserve"> </w:t>
      </w:r>
      <w:r>
        <w:t xml:space="preserve">The framework’s question is whether two rivers go up and down together</w:t>
      </w:r>
      <w:r>
        <w:t xml:space="preserve"> </w:t>
      </w:r>
      <w:r>
        <w:rPr>
          <w:i/>
          <w:iCs/>
        </w:rPr>
        <w:t xml:space="preserve">after removing the predictable seasonal cycle</w:t>
      </w:r>
      <w:r>
        <w:t xml:space="preserve">. Two rivers can both run high every spring and low every fall just because both respond to the same continental hydrology, and that synchrony does not tell us anything about shared shortfall risk. We therefore subtract each gauge’s long-term average for each calendar month from each year’s value, leaving only the year-to-year deviation, then correlate those deviations across gauges. Formally: monthly mean discharge values were log-transformed (natural log, with a small</w:t>
      </w:r>
      <w:r>
        <w:t xml:space="preserve"> </w:t>
      </w:r>
      <m:oMath>
        <m:r>
          <m:rPr>
            <m:sty m:val="p"/>
          </m:rPr>
          <m:t>+</m:t>
        </m:r>
        <m:r>
          <m:t>0.01</m:t>
        </m:r>
      </m:oMath>
      <w:r>
        <w:t xml:space="preserve"> </w:t>
      </w:r>
      <w:r>
        <w:t xml:space="preserve">shift to handle zero-discharge months at the smaller drainages), and a monthly climatology was computed as the long-term mean log-discharge for each calendar month</w:t>
      </w:r>
      <w:r>
        <w:t xml:space="preserve"> </w:t>
      </w:r>
      <m:oMath>
        <m:r>
          <m:t>m</m:t>
        </m:r>
        <m:r>
          <m:rPr>
            <m:sty m:val="p"/>
          </m:rPr>
          <m:t>∈</m:t>
        </m:r>
        <m:r>
          <m:rPr>
            <m:sty m:val="p"/>
          </m:rPr>
          <m:t>{</m:t>
        </m:r>
        <m:r>
          <m:t>1</m:t>
        </m:r>
        <m:r>
          <m:rPr>
            <m:sty m:val="p"/>
          </m:rPr>
          <m:t>,</m:t>
        </m:r>
        <m:r>
          <m:rPr>
            <m:sty m:val="p"/>
          </m:rPr>
          <m:t>.</m:t>
        </m:r>
        <m:r>
          <m:rPr>
            <m:sty m:val="p"/>
          </m:rPr>
          <m:t>.</m:t>
        </m:r>
        <m:r>
          <m:rPr>
            <m:sty m:val="p"/>
          </m:rPr>
          <m:t>.</m:t>
        </m:r>
        <m:r>
          <m:rPr>
            <m:sty m:val="p"/>
          </m:rPr>
          <m:t>,</m:t>
        </m:r>
        <m:r>
          <m:t>12</m:t>
        </m:r>
        <m:r>
          <m:rPr>
            <m:sty m:val="p"/>
          </m:rPr>
          <m:t>}</m:t>
        </m:r>
      </m:oMath>
      <w:r>
        <w:t xml:space="preserve"> </w:t>
      </w:r>
      <w:r>
        <w:t xml:space="preserve">over the full available record at that gauge. Anomalies were taken as residuals</w:t>
      </w:r>
      <w:r>
        <w:t xml:space="preserve"> </w:t>
      </w:r>
      <m:oMath>
        <m:sSub>
          <m:e>
            <m:r>
              <m:rPr>
                <m:sty m:val="p"/>
              </m:rPr>
              <m:t>Δ</m:t>
            </m:r>
          </m:e>
          <m:sub>
            <m:r>
              <m:t>t</m:t>
            </m:r>
          </m:sub>
        </m:sSub>
        <m:r>
          <m:rPr>
            <m:sty m:val="p"/>
          </m:rPr>
          <m:t>=</m:t>
        </m:r>
        <m:r>
          <m:rPr>
            <m:sty m:val="p"/>
          </m:rPr>
          <m:t>log</m:t>
        </m:r>
        <m:r>
          <m:rPr>
            <m:sty m:val="p"/>
          </m:rPr>
          <m:t>(</m:t>
        </m:r>
        <m:sSub>
          <m:e>
            <m:r>
              <m:t>Q</m:t>
            </m:r>
          </m:e>
          <m:sub>
            <m:r>
              <m:t>t</m:t>
            </m:r>
          </m:sub>
        </m:sSub>
        <m:r>
          <m:rPr>
            <m:sty m:val="p"/>
          </m:rPr>
          <m:t>+</m:t>
        </m:r>
        <m:r>
          <m:t>0.01</m:t>
        </m:r>
        <m:r>
          <m:rPr>
            <m:sty m:val="p"/>
          </m:rPr>
          <m:t>)</m:t>
        </m:r>
        <m:r>
          <m:rPr>
            <m:sty m:val="p"/>
          </m:rPr>
          <m:t>−</m:t>
        </m:r>
        <m:sSub>
          <m:e>
            <m:bar>
              <m:barPr>
                <m:pos m:val="top"/>
              </m:barPr>
              <m:e>
                <m:r>
                  <m:rPr>
                    <m:sty m:val="p"/>
                  </m:rPr>
                  <m:t>log</m:t>
                </m:r>
                <m:r>
                  <m:t>Q</m:t>
                </m:r>
              </m:e>
            </m:bar>
          </m:e>
          <m:sub>
            <m:r>
              <m:t>m</m:t>
            </m:r>
            <m:r>
              <m:rPr>
                <m:sty m:val="p"/>
              </m:rPr>
              <m:t>(</m:t>
            </m:r>
            <m:r>
              <m:t>t</m:t>
            </m:r>
            <m:r>
              <m:rPr>
                <m:sty m:val="p"/>
              </m:rPr>
              <m:t>)</m:t>
            </m:r>
          </m:sub>
        </m:sSub>
      </m:oMath>
      <w:r>
        <w:t xml:space="preserve">, removing the seasonal cycle while preserving inter-annual and within-year non-seasonal variability. Months with missing values at either gauge in a pair were dropped pairwise. Pearson correlations were then computed on the matched anomaly series at each pair’s overlap window.</w:t>
      </w:r>
    </w:p>
    <w:p>
      <w:pPr>
        <w:pStyle w:val="BodyText"/>
      </w:pPr>
      <w:r>
        <w:rPr>
          <w:b/>
          <w:bCs/>
        </w:rPr>
        <w:t xml:space="preserve">Pairwise log-monthly-anomaly correlations</w:t>
      </w:r>
      <w:r>
        <w:t xml:space="preserve"> </w:t>
      </w:r>
      <w:r>
        <w:t xml:space="preserve">(Pearson; climatology removed as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Drainage pair</w:t>
            </w:r>
          </w:p>
        </w:tc>
        <w:tc>
          <w:tcPr/>
          <w:p>
            <w:pPr>
              <w:pStyle w:val="Compact"/>
            </w:pPr>
            <w:r>
              <w:t xml:space="preserve">n months</w:t>
            </w:r>
          </w:p>
        </w:tc>
        <w:tc>
          <w:tcPr/>
          <w:p>
            <w:pPr>
              <w:pStyle w:val="Compact"/>
            </w:pPr>
            <w:r>
              <w:t xml:space="preserve">Pearson</w:t>
            </w:r>
            <w:r>
              <w:t xml:space="preserve"> </w:t>
            </w:r>
            <m:oMath>
              <m:r>
                <m:t>r</m:t>
              </m:r>
            </m:oMath>
          </w:p>
        </w:tc>
        <w:tc>
          <w:tcPr/>
          <w:p>
            <w:pPr>
              <w:pStyle w:val="Compact"/>
            </w:pPr>
            <m:oMath>
              <m:r>
                <m:t>p</m:t>
              </m:r>
            </m:oMath>
          </w:p>
        </w:tc>
        <w:tc>
          <w:tcPr/>
          <w:p>
            <w:pPr>
              <w:pStyle w:val="Compact"/>
            </w:pPr>
            <w:r>
              <w:t xml:space="preserve">Interpretation</w:t>
            </w:r>
          </w:p>
        </w:tc>
      </w:tr>
      <w:tr>
        <w:tc>
          <w:tcPr/>
          <w:p>
            <w:pPr>
              <w:pStyle w:val="Compact"/>
            </w:pPr>
            <w:r>
              <w:t xml:space="preserve">Mississippi vs Yazoo</w:t>
            </w:r>
          </w:p>
        </w:tc>
        <w:tc>
          <w:tcPr/>
          <w:p>
            <w:pPr>
              <w:pStyle w:val="Compact"/>
            </w:pPr>
            <w:r>
              <w:t xml:space="preserve">59</w:t>
            </w:r>
          </w:p>
        </w:tc>
        <w:tc>
          <w:tcPr/>
          <w:p>
            <w:pPr>
              <w:pStyle w:val="Compact"/>
            </w:pPr>
            <m:oMath>
              <m:r>
                <m:rPr>
                  <m:sty m:val="p"/>
                </m:rPr>
                <m:t>+</m:t>
              </m:r>
              <m:r>
                <m:t>0.11</m:t>
              </m:r>
            </m:oMath>
          </w:p>
        </w:tc>
        <w:tc>
          <w:tcPr/>
          <w:p>
            <w:pPr>
              <w:pStyle w:val="Compact"/>
            </w:pPr>
            <w:r>
              <w:t xml:space="preserve">0.40</w:t>
            </w:r>
          </w:p>
        </w:tc>
        <w:tc>
          <w:tcPr/>
          <w:p>
            <w:pPr>
              <w:pStyle w:val="Compact"/>
            </w:pPr>
            <w:r>
              <w:t xml:space="preserve">Effectively uncorrelated</w:t>
            </w:r>
          </w:p>
        </w:tc>
      </w:tr>
      <w:tr>
        <w:tc>
          <w:tcPr/>
          <w:p>
            <w:pPr>
              <w:pStyle w:val="Compact"/>
            </w:pPr>
            <w:r>
              <w:t xml:space="preserve">Mississippi vs Tensas</w:t>
            </w:r>
          </w:p>
        </w:tc>
        <w:tc>
          <w:tcPr/>
          <w:p>
            <w:pPr>
              <w:pStyle w:val="Compact"/>
            </w:pPr>
            <w:r>
              <w:t xml:space="preserve">204</w:t>
            </w:r>
          </w:p>
        </w:tc>
        <w:tc>
          <w:tcPr/>
          <w:p>
            <w:pPr>
              <w:pStyle w:val="Compact"/>
            </w:pPr>
            <m:oMath>
              <m:r>
                <m:rPr>
                  <m:sty m:val="p"/>
                </m:rPr>
                <m:t>+</m:t>
              </m:r>
              <m:r>
                <m:t>0.34</m:t>
              </m:r>
            </m:oMath>
          </w:p>
        </w:tc>
        <w:tc>
          <w:tcPr/>
          <w:p>
            <w:pPr>
              <w:pStyle w:val="Compact"/>
            </w:pPr>
            <m:oMath>
              <m:r>
                <m:rPr>
                  <m:sty m:val="p"/>
                </m:rPr>
                <m:t>&lt;</m:t>
              </m:r>
              <m:r>
                <m:t>0.001</m:t>
              </m:r>
            </m:oMath>
          </w:p>
        </w:tc>
        <w:tc>
          <w:tcPr/>
          <w:p>
            <w:pPr>
              <w:pStyle w:val="Compact"/>
            </w:pPr>
            <w:r>
              <w:t xml:space="preserve">Moderate (shared LMV regional precipitation)</w:t>
            </w:r>
          </w:p>
        </w:tc>
      </w:tr>
      <w:tr>
        <w:tc>
          <w:tcPr/>
          <w:p>
            <w:pPr>
              <w:pStyle w:val="Compact"/>
            </w:pPr>
            <w:r>
              <w:t xml:space="preserve">Yazoo vs Tensas</w:t>
            </w:r>
          </w:p>
        </w:tc>
        <w:tc>
          <w:tcPr/>
          <w:p>
            <w:pPr>
              <w:pStyle w:val="Compact"/>
            </w:pPr>
            <w:r>
              <w:t xml:space="preserve">231</w:t>
            </w:r>
          </w:p>
        </w:tc>
        <w:tc>
          <w:tcPr/>
          <w:p>
            <w:pPr>
              <w:pStyle w:val="Compact"/>
            </w:pPr>
            <m:oMath>
              <m:r>
                <m:rPr>
                  <m:sty m:val="p"/>
                </m:rPr>
                <m:t>+</m:t>
              </m:r>
              <m:r>
                <m:t>0.54</m:t>
              </m:r>
            </m:oMath>
          </w:p>
        </w:tc>
        <w:tc>
          <w:tcPr/>
          <w:p>
            <w:pPr>
              <w:pStyle w:val="Compact"/>
            </w:pPr>
            <m:oMath>
              <m:r>
                <m:rPr>
                  <m:sty m:val="p"/>
                </m:rPr>
                <m:t>&lt;</m:t>
              </m:r>
              <m:r>
                <m:t>0.001</m:t>
              </m:r>
            </m:oMath>
          </w:p>
        </w:tc>
        <w:tc>
          <w:tcPr/>
          <w:p>
            <w:pPr>
              <w:pStyle w:val="Compact"/>
            </w:pPr>
            <w:r>
              <w:t xml:space="preserve">Moderate-strong</w:t>
            </w:r>
          </w:p>
        </w:tc>
      </w:tr>
      <w:tr>
        <w:tc>
          <w:tcPr/>
          <w:p>
            <w:pPr>
              <w:pStyle w:val="Compact"/>
            </w:pPr>
            <w:r>
              <w:t xml:space="preserve">Bayou Maçon vs Tensas</w:t>
            </w:r>
          </w:p>
        </w:tc>
        <w:tc>
          <w:tcPr/>
          <w:p>
            <w:pPr>
              <w:pStyle w:val="Compact"/>
            </w:pPr>
            <w:r>
              <w:t xml:space="preserve">93</w:t>
            </w:r>
          </w:p>
        </w:tc>
        <w:tc>
          <w:tcPr/>
          <w:p>
            <w:pPr>
              <w:pStyle w:val="Compact"/>
            </w:pPr>
            <m:oMath>
              <m:r>
                <m:rPr>
                  <m:sty m:val="p"/>
                </m:rPr>
                <m:t>+</m:t>
              </m:r>
              <m:r>
                <m:t>0.90</m:t>
              </m:r>
            </m:oMath>
          </w:p>
        </w:tc>
        <w:tc>
          <w:tcPr/>
          <w:p>
            <w:pPr>
              <w:pStyle w:val="Compact"/>
            </w:pPr>
            <m:oMath>
              <m:r>
                <m:rPr>
                  <m:sty m:val="p"/>
                </m:rPr>
                <m:t>&lt;</m:t>
              </m:r>
              <m:r>
                <m:t>0.001</m:t>
              </m:r>
            </m:oMath>
          </w:p>
        </w:tc>
        <w:tc>
          <w:tcPr/>
          <w:p>
            <w:pPr>
              <w:pStyle w:val="Compact"/>
            </w:pPr>
            <w:r>
              <w:t xml:space="preserve">Very strong (~81% shared variance)</w:t>
            </w:r>
          </w:p>
        </w:tc>
      </w:tr>
    </w:tbl>
    <w:p>
      <w:pPr>
        <w:pStyle w:val="BodyText"/>
      </w:pPr>
      <w:r>
        <w:t xml:space="preserve">The empirical result modifies the framework’s four-drainage claim in a substantive way:</w:t>
      </w:r>
      <w:r>
        <w:t xml:space="preserve"> </w:t>
      </w:r>
      <w:r>
        <w:rPr>
          <w:b/>
          <w:bCs/>
        </w:rPr>
        <w:t xml:space="preserve">Bayou Maçon and the Tensas are not independent drainages</w:t>
      </w:r>
      <w:r>
        <w:t xml:space="preserve">. Their 90% Pearson correlation reflects their shared Macon-Ridge geomorphology and tightly-coupled precipitation forcing. From the framework’s covariance-based</w:t>
      </w:r>
      <w:r>
        <w:t xml:space="preserve"> </w:t>
      </w:r>
      <m:oMath>
        <m:r>
          <m:t>ε</m:t>
        </m:r>
      </m:oMath>
      <w:r>
        <w:t xml:space="preserve"> </w:t>
      </w:r>
      <w:r>
        <w:t xml:space="preserve">standpoint, Bayou Maçon plus the Tensas function as a single</w:t>
      </w:r>
      <w:r>
        <w:t xml:space="preserve"> </w:t>
      </w:r>
      <w:r>
        <w:t xml:space="preserve">“Macon Ridge drainage system”</w:t>
      </w:r>
      <w:r>
        <w:t xml:space="preserve"> </w:t>
      </w:r>
      <w:r>
        <w:t xml:space="preserve">rather than as two independent shortfall regimes. The genuinely independent drainage signals at PP’s catchment are therefore:</w:t>
      </w:r>
    </w:p>
    <w:p>
      <w:pPr>
        <w:pStyle w:val="Compact"/>
        <w:numPr>
          <w:ilvl w:val="0"/>
          <w:numId w:val="1004"/>
        </w:numPr>
      </w:pPr>
      <w:r>
        <w:t xml:space="preserve">The</w:t>
      </w:r>
      <w:r>
        <w:t xml:space="preserve"> </w:t>
      </w:r>
      <w:r>
        <w:rPr>
          <w:b/>
          <w:bCs/>
        </w:rPr>
        <w:t xml:space="preserve">Macon Ridge system</w:t>
      </w:r>
      <w:r>
        <w:t xml:space="preserve"> </w:t>
      </w:r>
      <w:r>
        <w:t xml:space="preserve">(Bayou Maçon + Tensas,</w:t>
      </w:r>
      <w:r>
        <w:t xml:space="preserve"> </w:t>
      </w:r>
      <m:oMath>
        <m:r>
          <m:t>r</m:t>
        </m:r>
        <m:r>
          <m:rPr>
            <m:sty m:val="p"/>
          </m:rPr>
          <m:t>≈</m:t>
        </m:r>
        <m:r>
          <m:t>0.90</m:t>
        </m:r>
      </m:oMath>
      <w:r>
        <w:t xml:space="preserve"> </w:t>
      </w:r>
      <w:r>
        <w:t xml:space="preserve">between them);</w:t>
      </w:r>
    </w:p>
    <w:p>
      <w:pPr>
        <w:pStyle w:val="Compact"/>
        <w:numPr>
          <w:ilvl w:val="0"/>
          <w:numId w:val="1004"/>
        </w:numPr>
      </w:pPr>
      <w:r>
        <w:t xml:space="preserve">The</w:t>
      </w:r>
      <w:r>
        <w:t xml:space="preserve"> </w:t>
      </w:r>
      <w:r>
        <w:rPr>
          <w:b/>
          <w:bCs/>
        </w:rPr>
        <w:t xml:space="preserve">Yazoo Basin</w:t>
      </w:r>
      <w:r>
        <w:t xml:space="preserve"> </w:t>
      </w:r>
      <w:r>
        <w:t xml:space="preserve">(uncorrelated with Mississippi,</w:t>
      </w:r>
      <w:r>
        <w:t xml:space="preserve"> </w:t>
      </w:r>
      <m:oMath>
        <m:r>
          <m:t>r</m:t>
        </m:r>
        <m:r>
          <m:rPr>
            <m:sty m:val="p"/>
          </m:rPr>
          <m:t>=</m:t>
        </m:r>
        <m:r>
          <m:t>0.11</m:t>
        </m:r>
      </m:oMath>
      <w:r>
        <w:t xml:space="preserve">);</w:t>
      </w:r>
    </w:p>
    <w:p>
      <w:pPr>
        <w:pStyle w:val="Compact"/>
        <w:numPr>
          <w:ilvl w:val="0"/>
          <w:numId w:val="1004"/>
        </w:numPr>
      </w:pPr>
      <w:r>
        <w:t xml:space="preserve">The</w:t>
      </w:r>
      <w:r>
        <w:t xml:space="preserve"> </w:t>
      </w:r>
      <w:r>
        <w:rPr>
          <w:b/>
          <w:bCs/>
        </w:rPr>
        <w:t xml:space="preserve">Mississippi mainstem</w:t>
      </w:r>
      <w:r>
        <w:t xml:space="preserve"> </w:t>
      </w:r>
      <w:r>
        <w:t xml:space="preserve">(continental snowmelt + storm-track signal, partly shared with the Tensas at</w:t>
      </w:r>
      <w:r>
        <w:t xml:space="preserve"> </w:t>
      </w:r>
      <m:oMath>
        <m:r>
          <m:t>r</m:t>
        </m:r>
        <m:r>
          <m:rPr>
            <m:sty m:val="p"/>
          </m:rPr>
          <m:t>=</m:t>
        </m:r>
        <m:r>
          <m:t>0.34</m:t>
        </m:r>
      </m:oMath>
      <w:r>
        <w:t xml:space="preserve">).</w:t>
      </w:r>
    </w:p>
    <w:p>
      <w:pPr>
        <w:pStyle w:val="FirstParagraph"/>
      </w:pPr>
      <w:r>
        <w:t xml:space="preserve">This is a three-drainage rather than four-drainage independence picture. The framework’s multi-drainage shortfall-buffering claim is qualitatively supported but quantitatively narrower than the original four-drainage framing suggested. PP still integrates more independent shortfall regimes than any other Table 2 site (Watson Brake’s Bayou Bartholomew, Frenchman’s Bend’s Ouachita tributary, Jaketown’s Yazoo Basin, and the small-drainage interior sites all access one regime each), but the per-site advantage is</w:t>
      </w:r>
      <w:r>
        <w:t xml:space="preserve"> </w:t>
      </w:r>
      <w:r>
        <w:t xml:space="preserve">“three vs one”</w:t>
      </w:r>
      <w:r>
        <w:t xml:space="preserve"> </w:t>
      </w:r>
      <w:r>
        <w:t xml:space="preserve">rather than</w:t>
      </w:r>
      <w:r>
        <w:t xml:space="preserve"> </w:t>
      </w:r>
      <w:r>
        <w:t xml:space="preserve">“four vs one.”</w:t>
      </w:r>
    </w:p>
    <w:p>
      <w:pPr>
        <w:pStyle w:val="BodyText"/>
      </w:pPr>
      <w:r>
        <w:rPr>
          <w:b/>
          <w:bCs/>
        </w:rPr>
        <w:t xml:space="preserve">Bottom-quartile co-incidence</w:t>
      </w:r>
      <w:r>
        <w:t xml:space="preserve"> </w:t>
      </w:r>
      <w:r>
        <w:t xml:space="preserve">(Mississippi/Yazoo/Tensas, 59-month overlap):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Drainages-in-bottom-quartile</w:t>
            </w:r>
          </w:p>
        </w:tc>
        <w:tc>
          <w:tcPr/>
          <w:p>
            <w:pPr>
              <w:pStyle w:val="Compact"/>
            </w:pPr>
            <w:r>
              <w:t xml:space="preserve">Observed</w:t>
            </w:r>
          </w:p>
        </w:tc>
        <w:tc>
          <w:tcPr/>
          <w:p>
            <w:pPr>
              <w:pStyle w:val="Compact"/>
            </w:pPr>
            <w:r>
              <w:t xml:space="preserve">Predicted under independence</w:t>
            </w:r>
          </w:p>
        </w:tc>
        <w:tc>
          <w:tcPr/>
          <w:p>
            <w:pPr>
              <w:pStyle w:val="Compact"/>
            </w:pPr>
            <w:r>
              <w:t xml:space="preserve">Observed/independent</w:t>
            </w:r>
          </w:p>
        </w:tc>
      </w:tr>
      <w:tr>
        <w:tc>
          <w:tcPr/>
          <w:p>
            <w:pPr>
              <w:pStyle w:val="Compact"/>
            </w:pPr>
            <w:r>
              <w:t xml:space="preserve">0</w:t>
            </w:r>
          </w:p>
        </w:tc>
        <w:tc>
          <w:tcPr/>
          <w:p>
            <w:pPr>
              <w:pStyle w:val="Compact"/>
            </w:pPr>
            <w:r>
              <w:t xml:space="preserve">54.2%</w:t>
            </w:r>
          </w:p>
        </w:tc>
        <w:tc>
          <w:tcPr/>
          <w:p>
            <w:pPr>
              <w:pStyle w:val="Compact"/>
            </w:pPr>
            <w:r>
              <w:t xml:space="preserve">31.6%</w:t>
            </w:r>
          </w:p>
        </w:tc>
        <w:tc>
          <w:tcPr/>
          <w:p>
            <w:pPr>
              <w:pStyle w:val="Compact"/>
            </w:pPr>
            <w:r>
              <w:t xml:space="preserve">1.71</w:t>
            </w:r>
          </w:p>
        </w:tc>
      </w:tr>
      <w:tr>
        <w:tc>
          <w:tcPr/>
          <w:p>
            <w:pPr>
              <w:pStyle w:val="Compact"/>
            </w:pPr>
            <w:r>
              <w:t xml:space="preserve">1</w:t>
            </w:r>
          </w:p>
        </w:tc>
        <w:tc>
          <w:tcPr/>
          <w:p>
            <w:pPr>
              <w:pStyle w:val="Compact"/>
            </w:pPr>
            <w:r>
              <w:t xml:space="preserve">25.4%</w:t>
            </w:r>
          </w:p>
        </w:tc>
        <w:tc>
          <w:tcPr/>
          <w:p>
            <w:pPr>
              <w:pStyle w:val="Compact"/>
            </w:pPr>
            <w:r>
              <w:t xml:space="preserve">42.2%</w:t>
            </w:r>
          </w:p>
        </w:tc>
        <w:tc>
          <w:tcPr/>
          <w:p>
            <w:pPr>
              <w:pStyle w:val="Compact"/>
            </w:pPr>
            <w:r>
              <w:t xml:space="preserve">0.60</w:t>
            </w:r>
          </w:p>
        </w:tc>
      </w:tr>
      <w:tr>
        <w:tc>
          <w:tcPr/>
          <w:p>
            <w:pPr>
              <w:pStyle w:val="Compact"/>
            </w:pPr>
            <w:r>
              <w:t xml:space="preserve">2</w:t>
            </w:r>
          </w:p>
        </w:tc>
        <w:tc>
          <w:tcPr/>
          <w:p>
            <w:pPr>
              <w:pStyle w:val="Compact"/>
            </w:pPr>
            <w:r>
              <w:t xml:space="preserve">10.2%</w:t>
            </w:r>
          </w:p>
        </w:tc>
        <w:tc>
          <w:tcPr/>
          <w:p>
            <w:pPr>
              <w:pStyle w:val="Compact"/>
            </w:pPr>
            <w:r>
              <w:t xml:space="preserve">21.1%</w:t>
            </w:r>
          </w:p>
        </w:tc>
        <w:tc>
          <w:tcPr/>
          <w:p>
            <w:pPr>
              <w:pStyle w:val="Compact"/>
            </w:pPr>
            <w:r>
              <w:t xml:space="preserve">0.48</w:t>
            </w:r>
          </w:p>
        </w:tc>
      </w:tr>
      <w:tr>
        <w:tc>
          <w:tcPr/>
          <w:p>
            <w:pPr>
              <w:pStyle w:val="Compact"/>
            </w:pPr>
            <w:r>
              <w:t xml:space="preserve">3</w:t>
            </w:r>
          </w:p>
        </w:tc>
        <w:tc>
          <w:tcPr/>
          <w:p>
            <w:pPr>
              <w:pStyle w:val="Compact"/>
            </w:pPr>
            <w:r>
              <w:t xml:space="preserve">10.2%</w:t>
            </w:r>
          </w:p>
        </w:tc>
        <w:tc>
          <w:tcPr/>
          <w:p>
            <w:pPr>
              <w:pStyle w:val="Compact"/>
            </w:pPr>
            <w:r>
              <w:t xml:space="preserve">4.7%</w:t>
            </w:r>
          </w:p>
        </w:tc>
        <w:tc>
          <w:tcPr/>
          <w:p>
            <w:pPr>
              <w:pStyle w:val="Compact"/>
            </w:pPr>
            <w:r>
              <w:t xml:space="preserve">2.17</w:t>
            </w:r>
          </w:p>
        </w:tc>
      </w:tr>
    </w:tbl>
    <w:p>
      <w:pPr>
        <w:pStyle w:val="BodyText"/>
      </w:pPr>
      <w:r>
        <w:t xml:space="preserve">The observed distribution shows more mass at the extremes (0 or 3 drainages low) than independence predicts, consistent with shared regional drivers correlating some low-flow events but moderate variance keeping all-three-drainages-low-simultaneously to ~10% of months. PP’s bands could therefore draw on at least one above-low-flow drainage in ~90% of months, supporting the multi-drainage shortfall-buffering claim under the corrected three-drainage framing.</w:t>
      </w:r>
    </w:p>
    <w:p>
      <w:pPr>
        <w:pStyle w:val="BodyText"/>
      </w:pPr>
      <w:r>
        <w:t xml:space="preserve">Caveats: pre-Holocene paleo-discharge correlations may differ from modern values; the 2008-2021 record samples a partly-managed Mississippi system; the Bayou Maçon-Tensas correlation may have been even higher under unmanaged conditions because both are local-precipitation-driven small drainages. We treat these results as a first empirical test of the framework’s drainage-independence claim, not as a definitive measurement of Late Archaic conditions. A paleo-discharge-resolved test using sediment-yield or paleo-flood reconstructions for each drainage is identified as priority follow-up to §S17.4. The substantive correction (three independent drainage regimes, not four) does not invalidate the §6.5 multi-drainage shortfall-buffering argument but does narrow the absolute magnitude of PP’s covariance-based</w:t>
      </w:r>
      <w:r>
        <w:t xml:space="preserve"> </w:t>
      </w:r>
      <m:oMath>
        <m:r>
          <m:t>ε</m:t>
        </m:r>
      </m:oMath>
      <w:r>
        <w:t xml:space="preserve"> </w:t>
      </w:r>
      <w:r>
        <w:t xml:space="preserve">advantage over other LMV sites.</w:t>
      </w:r>
    </w:p>
    <w:p>
      <w:r>
        <w:pict>
          <v:rect style="width:0;height:1.5pt" o:hralign="center" o:hrstd="t" o:hr="t"/>
        </w:pict>
      </w:r>
    </w:p>
    <w:bookmarkEnd w:id="93"/>
    <w:bookmarkStart w:id="94" w:name="Xf8019c3df050ee7c851b7155ab1292c8dda8ae8"/>
    <w:p>
      <w:pPr>
        <w:pStyle w:val="Heading2"/>
      </w:pPr>
      <w:r>
        <w:t xml:space="preserve">S16. Seasonal resource phenology and temporal staggering</w:t>
      </w:r>
    </w:p>
    <w:p>
      <w:pPr>
        <w:pStyle w:val="FirstParagraph"/>
      </w:pPr>
      <w:r>
        <w:t xml:space="preserve">The framework’s</w:t>
      </w:r>
      <w:r>
        <w:t xml:space="preserve"> </w:t>
      </w:r>
      <m:oMath>
        <m:r>
          <m:t>ε</m:t>
        </m:r>
      </m:oMath>
      <w:r>
        <w:t xml:space="preserve"> </w:t>
      </w:r>
      <w:r>
        <w:t xml:space="preserve">parameter encodes shortfall buffering through</w:t>
      </w:r>
      <w:r>
        <w:t xml:space="preserve"> </w:t>
      </w:r>
      <w:r>
        <w:rPr>
          <w:i/>
          <w:iCs/>
        </w:rPr>
        <w:t xml:space="preserve">negative covariance</w:t>
      </w:r>
      <w:r>
        <w:t xml:space="preserve"> </w:t>
      </w:r>
      <w:r>
        <w:t xml:space="preserve">between local zone productivity and the regional shortfall driver. The Shannon-diversity proxies (qualitative, Saucier-geomorphic, EPA L4) used in main §6.4 and S12 measure raw zone count and area within a 25-km buffer. They treat each zone as if it produced continuously and equally. They do not measure the temporal staggering of productivity peaks across zones, which is what determines whether multi-zone access actually buffers shortfall. A site with four zones whose productivity peaks all coincide in fall has lower negative covariance than a site with three zones whose peaks span fall, spring, and summer. Main-text Figure 15 makes this distinction visible.</w:t>
      </w:r>
    </w:p>
    <w:p>
      <w:pPr>
        <w:pStyle w:val="BodyText"/>
      </w:pPr>
      <w:r>
        <w:t xml:space="preserve">The Lower Mississippi Valley supports a small number of well-documented seasonal resource peaks driven by independent climate and ecological mechanisms. Hardwood mast (hickory, pecan, acorn) peaks in September-November. Webb (1982:1) reports that</w:t>
      </w:r>
      <w:r>
        <w:t xml:space="preserve"> </w:t>
      </w:r>
      <w:r>
        <w:t xml:space="preserve">“fall and winter provide acorns and other nuts,”</w:t>
      </w:r>
      <w:r>
        <w:t xml:space="preserve"> </w:t>
      </w:r>
      <w:r>
        <w:t xml:space="preserve">and Thomas and Campbell (1978), summarized in Jackson (1986), attribute peak Poverty Point population to the fall mast harvest. Spring fish spawning runs (drum, gar, buffalo, catfish) peak February-May. Webb (1982:1) reports that</w:t>
      </w:r>
      <w:r>
        <w:t xml:space="preserve"> </w:t>
      </w:r>
      <w:r>
        <w:t xml:space="preserve">“spring and summer offer … most varieties of fish and crustaceans,”</w:t>
      </w:r>
      <w:r>
        <w:t xml:space="preserve"> </w:t>
      </w:r>
      <w:r>
        <w:t xml:space="preserve">and the PP fauna is fish-dominated (Jackson 1986). Summer aquatic resources (freshwater mussels, lotus, cattail) peak May-August. Falling-water aquatic concentration in oxbows and cutoff lakes peaks August-October as drainage drawdown traps fish in shrinking pools. Migratory waterfowl on the Mississippi Flyway peak September-December (fall migration) and February-April (spring migration). Webb (1982:2) reports</w:t>
      </w:r>
      <w:r>
        <w:t xml:space="preserve"> </w:t>
      </w:r>
      <w:r>
        <w:t xml:space="preserve">“millions of migratory waterfowl, ducks, geese, swans, pigeons”</w:t>
      </w:r>
      <w:r>
        <w:t xml:space="preserve"> </w:t>
      </w:r>
      <w:r>
        <w:t xml:space="preserve">in the Mississippi central flyway. Each peak responds to a different driver: mast to spring-summer growing-season conditions one to several months earlier, spring fish runs to spring water temperature and discharge, summer mussels to thermal stratification, falling-water concentration to late-summer hydrologic recession, waterfowl to continental-scale migration timing. A regional shortfall in any one peak is not strongly correlated with shortfalls in the others.</w:t>
      </w:r>
    </w:p>
    <w:p>
      <w:pPr>
        <w:pStyle w:val="BodyText"/>
      </w:pPr>
      <w:r>
        <w:t xml:space="preserve">Each LMV mound-building site has access to a different subset of these peaks. Poverty Point’s confluence position integrates four canoe-accessible drainages reducing to three substantively independent shortfall regimes per S15 (Macon Ridge regime: Bayou Maçon + Tensas; Mississippi mainstem; Yazoo Basin), plus the Macon Ridge upland. PP’s catchment gives access to all five resource-peak categories: mast from Macon Ridge, spring spawn runs from each independent meander-belt system, summer mussel beds along multiple drainages, falling-water concentration in cutoff lakes throughout the catchment, and the Mississippi Flyway both during fall and spring migration. Watson Brake (one drainage, Bayou Bartholomew, plus the adjacent Pleistocene terrace) has full access to the mast peak but only partial spring spawn access (one drainage) and limited waterfowl access (off the main flyway corridor). Frenchman’s Bend (Ouachita tributary, Bayou Desiard) has full mast access, partial spring spawn, no falling-water concentration in a cutoff system. Caney and Insley (small tributaries plus uplands) have full mast access but minimal aquatic-peak access. Cowpen Slough and J.W. Copes (Tensas Basin, Boeuf River margin) have aquatic access but limited upland mast. Jaketown (Yazoo Basin meander belt with adjacent Loess Hills) has mast plus spring spawn plus flyway access but a single drainage. Claiborne and Cedarland (Pearl River mouth, Gulf coast) sit in a coastal-marine setting structurally distinct from the interior categorization and access primarily marine and estuarine resources rather than the interior peaks documented above.</w:t>
      </w:r>
    </w:p>
    <w:p>
      <w:pPr>
        <w:pStyle w:val="BodyText"/>
      </w:pPr>
      <w:r>
        <w:t xml:space="preserve">The peak-window access measure, summarized in Panel C of main-text Figure 15, is a weighted sum (full access contributes 1.0, partial single-drainage access contributes 0.5, no access contributes 0.0; maximum 5.0 across the five peak windows). Poverty Point alone reaches 5.0; J.W. Copes and Jaketown follow at 4.0; Lower Jackson at 3.5; Watson Brake and Cowpen Slough at 3.0; Frenchman’s Bend and Insley at 2.5; Caney, Claiborne, and Cedarland at 2.0. The weighted sum graduates the partial-access codings that a binary threshold count collapses, producing a graded hierarchy that places PP alone at the top. The two coding corrections relative to the prior coding pass are: Cowpen Slough hardwood mast set to 0.0 (per §6.5 the site is on the Red/Black confluence floodplain only with no upland regime), and J.W. Copes hardwood mast set to 1.0 (per §6.5 Copes is on Macon Ridge). The weighted sum is complementary to §6.5’s regime count: §6.5 measures the number of substantively independent shortfall regimes (clusters of drainages and uplands). Panel C measures the integrated peak-access weight across the five regional peak windows. Both place PP at the top. The graded middle differs slightly because the two metrics weight partial drainage access differently.</w:t>
      </w:r>
    </w:p>
    <w:p>
      <w:pPr>
        <w:pStyle w:val="BodyText"/>
      </w:pPr>
      <w:r>
        <w:t xml:space="preserve">This analysis is not a finished operationalization of</w:t>
      </w:r>
      <w:r>
        <w:t xml:space="preserve"> </w:t>
      </w:r>
      <m:oMath>
        <m:r>
          <m:t>ε</m:t>
        </m:r>
      </m:oMath>
      <w:r>
        <w:t xml:space="preserve">. The peak windows are coded conservatively from published site descriptions and the LMV phenology summarized in Webb (1982), Jackson (1986), and Ward et al. (2022). The five-category resolution is coarse: drum and gar are aggregated into a single spring-spawn category, and within-category covariance among spring spawning species is unmodeled. Drainage independence is treated as binary. In practice, hydrographs of adjacent drainages share regional-precipitation drivers and are not fully independent. A defensible operationalization would integrate (a) species-level seasonal productivity time series from regional fish and game management records, (b) hydrographic correlations among the LMV drainages from gage records or paleo-discharge reconstructions, and (c) canoe-day isochrones rather than a 25-km terrestrial buffer. We identify this as the priority refinement in S17 below. The present analysis is a sketch of what the temporal-staggering refinement would show, not the refinement itself.</w:t>
      </w:r>
    </w:p>
    <w:p>
      <w:pPr>
        <w:pStyle w:val="BodyText"/>
      </w:pPr>
      <w:r>
        <w:rPr>
          <w:b/>
          <w:bCs/>
        </w:rPr>
        <w:t xml:space="preserve">Cross-site test against observed monument scale.</w:t>
      </w:r>
      <w:r>
        <w:t xml:space="preserve"> </w:t>
      </w:r>
      <w:r>
        <w:t xml:space="preserve">As a quantitative check, we asked whether substituting the phenology peak count for the static Shannon-derived</w:t>
      </w:r>
      <w:r>
        <w:t xml:space="preserve"> </w:t>
      </w:r>
      <m:oMath>
        <m:r>
          <m:t>ε</m:t>
        </m:r>
      </m:oMath>
      <w:r>
        <w:t xml:space="preserve"> </w:t>
      </w:r>
      <w:r>
        <w:t xml:space="preserve">in the Table 2 cross-site comparison improves the Spearman correlation against ordinal observed monument scale. Phenology peaks (1-5) were rescaled to</w:t>
      </w:r>
      <w:r>
        <w:t xml:space="preserve"> </w:t>
      </w:r>
      <m:oMath>
        <m:r>
          <m:t>ε</m:t>
        </m:r>
        <m:r>
          <m:rPr>
            <m:sty m:val="p"/>
          </m:rPr>
          <m:t>∈</m:t>
        </m:r>
        <m:r>
          <m:rPr>
            <m:sty m:val="p"/>
          </m:rPr>
          <m:t>[</m:t>
        </m:r>
        <m:r>
          <m:t>0.10</m:t>
        </m:r>
        <m:r>
          <m:rPr>
            <m:sty m:val="p"/>
          </m:rPr>
          <m:t>,</m:t>
        </m:r>
        <m:r>
          <m:t>0.50</m:t>
        </m:r>
        <m:r>
          <m:rPr>
            <m:sty m:val="p"/>
          </m:rPr>
          <m:t>]</m:t>
        </m:r>
      </m:oMath>
      <w:r>
        <w:t xml:space="preserve"> </w:t>
      </w:r>
      <w:r>
        <w:t xml:space="preserve">to match the framework’s tested</w:t>
      </w:r>
      <w:r>
        <w:t xml:space="preserve"> </w:t>
      </w:r>
      <m:oMath>
        <m:r>
          <m:t>ε</m:t>
        </m:r>
      </m:oMath>
      <w:r>
        <w:t xml:space="preserve"> </w:t>
      </w:r>
      <w:r>
        <w:t xml:space="preserve">range,</w:t>
      </w:r>
      <w:r>
        <w:t xml:space="preserve"> </w:t>
      </w:r>
      <m:oMath>
        <m:sSup>
          <m:e>
            <m:r>
              <m:t>σ</m:t>
            </m:r>
          </m:e>
          <m:sup>
            <m:r>
              <m:rPr>
                <m:sty m:val="p"/>
              </m:rPr>
              <m:t>*</m:t>
            </m:r>
          </m:sup>
        </m:sSup>
      </m:oMath>
      <w:r>
        <w:t xml:space="preserve"> </w:t>
      </w:r>
      <w:r>
        <w:t xml:space="preserve">was computed per site at</w:t>
      </w:r>
      <w:r>
        <w:t xml:space="preserve"> </w:t>
      </w:r>
      <m:oMath>
        <m:sSub>
          <m:e>
            <m:r>
              <m:t>n</m:t>
            </m:r>
          </m:e>
          <m:sub>
            <m:r>
              <m:t>a</m:t>
            </m:r>
            <m:r>
              <m:t>g</m:t>
            </m:r>
            <m:r>
              <m:t>g</m:t>
            </m:r>
          </m:sub>
        </m:sSub>
        <m:r>
          <m:rPr>
            <m:sty m:val="p"/>
          </m:rPr>
          <m:t>=</m:t>
        </m:r>
        <m:r>
          <m:t>25</m:t>
        </m:r>
      </m:oMath>
      <w:r>
        <w:t xml:space="preserve">, and</w:t>
      </w:r>
      <w:r>
        <w:t xml:space="preserve"> </w:t>
      </w:r>
      <m:oMath>
        <m:r>
          <m:t>σ</m:t>
        </m:r>
        <m:r>
          <m:rPr>
            <m:sty m:val="p"/>
          </m:rPr>
          <m:t>−</m:t>
        </m:r>
        <m:sSup>
          <m:e>
            <m:r>
              <m:t>σ</m:t>
            </m:r>
          </m:e>
          <m:sup>
            <m:r>
              <m:rPr>
                <m:sty m:val="p"/>
              </m:rPr>
              <m:t>*</m:t>
            </m:r>
          </m:sup>
        </m:sSup>
      </m:oMath>
      <w:r>
        <w:t xml:space="preserve"> </w:t>
      </w:r>
      <w:r>
        <w:t xml:space="preserve">margins were correlated with the ordinal scale (minimal = 0, small = 1, mid = 2, very large = 3) at the regional Late Archaic</w:t>
      </w:r>
      <w:r>
        <w:t xml:space="preserve"> </w:t>
      </w:r>
      <m:oMath>
        <m:r>
          <m:t>σ</m:t>
        </m:r>
        <m:r>
          <m:rPr>
            <m:sty m:val="p"/>
          </m:rPr>
          <m:t>=</m:t>
        </m:r>
        <m:r>
          <m:t>0.64</m:t>
        </m:r>
      </m:oMath>
      <w:r>
        <w:t xml:space="preserve">. The result: static-</w:t>
      </w:r>
      <m:oMath>
        <m:r>
          <m:t>ε</m:t>
        </m:r>
      </m:oMath>
      <w:r>
        <w:t xml:space="preserve"> </w:t>
      </w:r>
      <w:r>
        <w:t xml:space="preserve">gives</w:t>
      </w:r>
      <w:r>
        <w:t xml:space="preserve"> </w:t>
      </w:r>
      <m:oMath>
        <m:r>
          <m:t>ρ</m:t>
        </m:r>
        <m:r>
          <m:rPr>
            <m:sty m:val="p"/>
          </m:rPr>
          <m:t>=</m:t>
        </m:r>
        <m:r>
          <m:rPr>
            <m:sty m:val="p"/>
          </m:rPr>
          <m:t>+</m:t>
        </m:r>
        <m:r>
          <m:t>0.39</m:t>
        </m:r>
      </m:oMath>
      <w:r>
        <w:t xml:space="preserve"> </w:t>
      </w:r>
      <w:r>
        <w:t xml:space="preserve">(</w:t>
      </w:r>
      <m:oMath>
        <m:r>
          <m:t>p</m:t>
        </m:r>
        <m:r>
          <m:rPr>
            <m:sty m:val="p"/>
          </m:rPr>
          <m:t>=</m:t>
        </m:r>
        <m:r>
          <m:t>0.24</m:t>
        </m:r>
      </m:oMath>
      <w:r>
        <w:t xml:space="preserve">). Phenology-</w:t>
      </w:r>
      <m:oMath>
        <m:r>
          <m:t>ε</m:t>
        </m:r>
      </m:oMath>
      <w:r>
        <w:t xml:space="preserve"> </w:t>
      </w:r>
      <w:r>
        <w:t xml:space="preserve">gives</w:t>
      </w:r>
      <w:r>
        <w:t xml:space="preserve"> </w:t>
      </w:r>
      <m:oMath>
        <m:r>
          <m:t>ρ</m:t>
        </m:r>
        <m:r>
          <m:rPr>
            <m:sty m:val="p"/>
          </m:rPr>
          <m:t>=</m:t>
        </m:r>
        <m:r>
          <m:rPr>
            <m:sty m:val="p"/>
          </m:rPr>
          <m:t>−</m:t>
        </m:r>
        <m:r>
          <m:t>0.21</m:t>
        </m:r>
      </m:oMath>
      <w:r>
        <w:t xml:space="preserve"> </w:t>
      </w:r>
      <w:r>
        <w:t xml:space="preserve">(</w:t>
      </w:r>
      <m:oMath>
        <m:r>
          <m:t>p</m:t>
        </m:r>
        <m:r>
          <m:rPr>
            <m:sty m:val="p"/>
          </m:rPr>
          <m:t>=</m:t>
        </m:r>
        <m:r>
          <m:t>0.54</m:t>
        </m:r>
      </m:oMath>
      <w:r>
        <w:t xml:space="preserve">). Neither operationalization significantly predicts ordinal monument scale at fixed</w:t>
      </w:r>
      <w:r>
        <w:t xml:space="preserve"> </w:t>
      </w:r>
      <m:oMath>
        <m:sSub>
          <m:e>
            <m:r>
              <m:t>n</m:t>
            </m:r>
          </m:e>
          <m:sub>
            <m:r>
              <m:t>a</m:t>
            </m:r>
            <m:r>
              <m:t>g</m:t>
            </m:r>
            <m:r>
              <m:t>g</m:t>
            </m:r>
          </m:sub>
        </m:sSub>
      </m:oMath>
      <w:r>
        <w:t xml:space="preserve">. The interpretation we report in main §7.1 is consistent with this null result: monument scale is not determined by</w:t>
      </w:r>
      <w:r>
        <w:t xml:space="preserve"> </w:t>
      </w:r>
      <m:oMath>
        <m:r>
          <m:t>ε</m:t>
        </m:r>
      </m:oMath>
      <w:r>
        <w:t xml:space="preserve"> </w:t>
      </w:r>
      <w:r>
        <w:t xml:space="preserve">alone but by attained</w:t>
      </w:r>
      <w:r>
        <w:t xml:space="preserve"> </w:t>
      </w:r>
      <m:oMath>
        <m:sSub>
          <m:e>
            <m:r>
              <m:t>n</m:t>
            </m:r>
          </m:e>
          <m:sub>
            <m:r>
              <m:t>a</m:t>
            </m:r>
            <m:r>
              <m:t>g</m:t>
            </m:r>
            <m:r>
              <m:t>g</m:t>
            </m:r>
          </m:sub>
        </m:sSub>
      </m:oMath>
      <w:r>
        <w:t xml:space="preserve"> </w:t>
      </w:r>
      <w:r>
        <w:t xml:space="preserve">via the contingent convergence dynamics that pulled bands to specific high-</w:t>
      </w:r>
      <m:oMath>
        <m:r>
          <m:t>ε</m:t>
        </m:r>
      </m:oMath>
      <w:r>
        <w:t xml:space="preserve"> </w:t>
      </w:r>
      <w:r>
        <w:t xml:space="preserve">locations.</w:t>
      </w:r>
    </w:p>
    <w:p>
      <w:pPr>
        <w:pStyle w:val="BodyText"/>
      </w:pPr>
      <w:r>
        <w:rPr>
          <w:b/>
          <w:bCs/>
        </w:rPr>
        <w:t xml:space="preserve">Enriched variance-based phenology epsilon.</w:t>
      </w:r>
      <w:r>
        <w:t xml:space="preserve"> </w:t>
      </w:r>
      <w:r>
        <w:t xml:space="preserve">The peak-count operationalization (Test A) is itself a static count and does not directly capture the framework’s</w:t>
      </w:r>
      <w:r>
        <w:t xml:space="preserve"> </w:t>
      </w:r>
      <w:r>
        <w:rPr>
          <w:i/>
          <w:iCs/>
        </w:rPr>
        <w:t xml:space="preserve">negative covariance</w:t>
      </w:r>
      <w:r>
        <w:t xml:space="preserve"> </w:t>
      </w:r>
      <w:r>
        <w:t xml:space="preserve">logic. We constructed a variance-based alternative (</w:t>
      </w:r>
      <w:r>
        <w:rPr>
          <w:rStyle w:val="VerbatimChar"/>
        </w:rPr>
        <w:t xml:space="preserve">scripts/analysis/phenology_variance_epsilon.py</w:t>
      </w:r>
      <w:r>
        <w:t xml:space="preserve">): a 1,000-year simulation in which each of the five resource-peak categories receives a stochastic productivity multiplier with category-pair correlations</w:t>
      </w:r>
      <w:r>
        <w:t xml:space="preserve"> </w:t>
      </w:r>
      <m:oMath>
        <m:r>
          <m:t>ρ</m:t>
        </m:r>
        <m:r>
          <m:rPr>
            <m:sty m:val="p"/>
          </m:rPr>
          <m:t>=</m:t>
        </m:r>
        <m:r>
          <m:t>0.30</m:t>
        </m:r>
      </m:oMath>
      <w:r>
        <w:t xml:space="preserve"> </w:t>
      </w:r>
      <w:r>
        <w:t xml:space="preserve">matching the S15 regional shortfall driver. For each site, total accessible productivity (weighted by the site’s HM/SFS/SA/FWA/WF flag vector) is computed for each year, and the variance-based</w:t>
      </w:r>
      <w:r>
        <w:t xml:space="preserve"> </w:t>
      </w:r>
      <m:oMath>
        <m:r>
          <m:t>ε</m:t>
        </m:r>
      </m:oMath>
      <w:r>
        <w:t xml:space="preserve"> </w:t>
      </w:r>
      <w:r>
        <w:t xml:space="preserve">is the coefficient-of-variation reduction relative to a single-zone baseline:</w:t>
      </w:r>
    </w:p>
    <w:p>
      <w:pPr>
        <w:pStyle w:val="BodyText"/>
      </w:pPr>
      <m:oMathPara>
        <m:oMathParaPr>
          <m:jc m:val="center"/>
        </m:oMathParaPr>
        <m:oMath>
          <m:sSub>
            <m:e>
              <m:r>
                <m:t>ε</m:t>
              </m:r>
            </m:e>
            <m:sub>
              <m:r>
                <m:t>v</m:t>
              </m:r>
              <m:r>
                <m:t>a</m:t>
              </m:r>
              <m:r>
                <m:t>r</m:t>
              </m:r>
            </m:sub>
          </m:sSub>
          <m:r>
            <m:rPr>
              <m:sty m:val="p"/>
            </m:rPr>
            <m:t>=</m:t>
          </m:r>
          <m:f>
            <m:fPr>
              <m:type m:val="lin"/>
            </m:fPr>
            <m:num>
              <m:r>
                <m:t>1</m:t>
              </m:r>
            </m:num>
            <m:den>
              <m:r>
                <m:t>2</m:t>
              </m:r>
            </m:den>
          </m:f>
          <m:r>
            <m:rPr>
              <m:sty m:val="p"/>
            </m:rPr>
            <m:t>⋅</m:t>
          </m:r>
          <m:r>
            <m:rPr>
              <m:sty m:val="p"/>
            </m:rPr>
            <m:t>max</m:t>
          </m:r>
          <m:d>
            <m:dPr>
              <m:begChr m:val="["/>
              <m:sepChr m:val=""/>
              <m:endChr m:val="]"/>
              <m:grow/>
            </m:dPr>
            <m:e>
              <m:r>
                <m:t>0</m:t>
              </m:r>
              <m:r>
                <m:rPr>
                  <m:sty m:val="p"/>
                </m:rPr>
                <m:t>,</m:t>
              </m:r>
              <m:f>
                <m:fPr>
                  <m:type m:val="bar"/>
                </m:fPr>
                <m:num>
                  <m:r>
                    <m:t>C</m:t>
                  </m:r>
                  <m:sSub>
                    <m:e>
                      <m:r>
                        <m:t>V</m:t>
                      </m:r>
                    </m:e>
                    <m:sub>
                      <m:r>
                        <m:t>s</m:t>
                      </m:r>
                      <m:r>
                        <m:t>i</m:t>
                      </m:r>
                      <m:r>
                        <m:t>n</m:t>
                      </m:r>
                      <m:r>
                        <m:t>g</m:t>
                      </m:r>
                      <m:r>
                        <m:t>l</m:t>
                      </m:r>
                      <m:r>
                        <m:t>e</m:t>
                      </m:r>
                      <m:r>
                        <m:t> </m:t>
                      </m:r>
                      <m:r>
                        <m:t>z</m:t>
                      </m:r>
                      <m:r>
                        <m:t>o</m:t>
                      </m:r>
                      <m:r>
                        <m:t>n</m:t>
                      </m:r>
                      <m:r>
                        <m:t>e</m:t>
                      </m:r>
                    </m:sub>
                  </m:sSub>
                  <m:r>
                    <m:rPr>
                      <m:sty m:val="p"/>
                    </m:rPr>
                    <m:t>−</m:t>
                  </m:r>
                  <m:r>
                    <m:t>C</m:t>
                  </m:r>
                  <m:sSub>
                    <m:e>
                      <m:r>
                        <m:t>V</m:t>
                      </m:r>
                    </m:e>
                    <m:sub>
                      <m:r>
                        <m:t>s</m:t>
                      </m:r>
                      <m:r>
                        <m:t>i</m:t>
                      </m:r>
                      <m:r>
                        <m:t>t</m:t>
                      </m:r>
                      <m:r>
                        <m:t>e</m:t>
                      </m:r>
                    </m:sub>
                  </m:sSub>
                </m:num>
                <m:den>
                  <m:r>
                    <m:t>C</m:t>
                  </m:r>
                  <m:sSub>
                    <m:e>
                      <m:r>
                        <m:t>V</m:t>
                      </m:r>
                    </m:e>
                    <m:sub>
                      <m:r>
                        <m:t>s</m:t>
                      </m:r>
                      <m:r>
                        <m:t>i</m:t>
                      </m:r>
                      <m:r>
                        <m:t>n</m:t>
                      </m:r>
                      <m:r>
                        <m:t>g</m:t>
                      </m:r>
                      <m:r>
                        <m:t>l</m:t>
                      </m:r>
                      <m:r>
                        <m:t>e</m:t>
                      </m:r>
                      <m:r>
                        <m:t> </m:t>
                      </m:r>
                      <m:r>
                        <m:t>z</m:t>
                      </m:r>
                      <m:r>
                        <m:t>o</m:t>
                      </m:r>
                      <m:r>
                        <m:t>n</m:t>
                      </m:r>
                      <m:r>
                        <m:t>e</m:t>
                      </m:r>
                    </m:sub>
                  </m:sSub>
                </m:den>
              </m:f>
            </m:e>
          </m:d>
        </m:oMath>
      </m:oMathPara>
    </w:p>
    <w:p>
      <w:pPr>
        <w:pStyle w:val="FirstParagraph"/>
      </w:pPr>
      <w:r>
        <w:t xml:space="preserve">Results (regional shortfall correlation</w:t>
      </w:r>
      <w:r>
        <w:t xml:space="preserve"> </w:t>
      </w:r>
      <m:oMath>
        <m:r>
          <m:t>ρ</m:t>
        </m:r>
        <m:r>
          <m:rPr>
            <m:sty m:val="p"/>
          </m:rPr>
          <m:t>=</m:t>
        </m:r>
        <m:r>
          <m:t>0.30</m:t>
        </m:r>
      </m:oMath>
      <w:r>
        <w:t xml:space="preserve">, 1,000 years, RNG seed 42):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Site</w:t>
            </w:r>
          </w:p>
        </w:tc>
        <w:tc>
          <w:tcPr/>
          <w:p>
            <w:pPr>
              <w:pStyle w:val="Compact"/>
            </w:pPr>
            <w:r>
              <w:t xml:space="preserve">flag sum</w:t>
            </w:r>
          </w:p>
        </w:tc>
        <w:tc>
          <w:tcPr/>
          <w:p>
            <w:pPr>
              <w:pStyle w:val="Compact"/>
            </w:pPr>
            <m:oMath>
              <m:sSub>
                <m:e>
                  <m:r>
                    <m:t>ε</m:t>
                  </m:r>
                </m:e>
                <m:sub>
                  <m:r>
                    <m:t>v</m:t>
                  </m:r>
                  <m:r>
                    <m:t>a</m:t>
                  </m:r>
                  <m:r>
                    <m:t>r</m:t>
                  </m:r>
                </m:sub>
              </m:sSub>
            </m:oMath>
          </w:p>
        </w:tc>
        <w:tc>
          <w:tcPr/>
          <w:p>
            <w:pPr>
              <w:pStyle w:val="Compact"/>
            </w:pPr>
            <m:oMath>
              <m:r>
                <m:t>C</m:t>
              </m:r>
              <m:sSub>
                <m:e>
                  <m:r>
                    <m:t>V</m:t>
                  </m:r>
                </m:e>
                <m:sub>
                  <m:r>
                    <m:t>o</m:t>
                  </m:r>
                  <m:r>
                    <m:t>b</m:t>
                  </m:r>
                  <m:r>
                    <m:t>s</m:t>
                  </m:r>
                </m:sub>
              </m:sSub>
            </m:oMath>
          </w:p>
        </w:tc>
        <w:tc>
          <w:tcPr/>
          <w:p>
            <w:pPr>
              <w:pStyle w:val="Compact"/>
            </w:pPr>
            <w:r>
              <w:t xml:space="preserve">SNR</w:t>
            </w:r>
          </w:p>
        </w:tc>
      </w:tr>
      <w:tr>
        <w:tc>
          <w:tcPr/>
          <w:p>
            <w:pPr>
              <w:pStyle w:val="Compact"/>
            </w:pPr>
            <w:r>
              <w:t xml:space="preserve">Poverty Point</w:t>
            </w:r>
          </w:p>
        </w:tc>
        <w:tc>
          <w:tcPr/>
          <w:p>
            <w:pPr>
              <w:pStyle w:val="Compact"/>
            </w:pPr>
            <w:r>
              <w:t xml:space="preserve">5.00</w:t>
            </w:r>
          </w:p>
        </w:tc>
        <w:tc>
          <w:tcPr/>
          <w:p>
            <w:pPr>
              <w:pStyle w:val="Compact"/>
            </w:pPr>
            <w:r>
              <w:rPr>
                <w:b/>
                <w:bCs/>
              </w:rPr>
              <w:t xml:space="preserve">0.168</w:t>
            </w:r>
          </w:p>
        </w:tc>
        <w:tc>
          <w:tcPr/>
          <w:p>
            <w:pPr>
              <w:pStyle w:val="Compact"/>
            </w:pPr>
            <w:r>
              <w:t xml:space="preserve">0.366</w:t>
            </w:r>
          </w:p>
        </w:tc>
        <w:tc>
          <w:tcPr/>
          <w:p>
            <w:pPr>
              <w:pStyle w:val="Compact"/>
            </w:pPr>
            <w:r>
              <w:t xml:space="preserve">2.74</w:t>
            </w:r>
          </w:p>
        </w:tc>
      </w:tr>
      <w:tr>
        <w:tc>
          <w:tcPr/>
          <w:p>
            <w:pPr>
              <w:pStyle w:val="Compact"/>
            </w:pPr>
            <w:r>
              <w:t xml:space="preserve">Jaketown</w:t>
            </w:r>
          </w:p>
        </w:tc>
        <w:tc>
          <w:tcPr/>
          <w:p>
            <w:pPr>
              <w:pStyle w:val="Compact"/>
            </w:pPr>
            <w:r>
              <w:t xml:space="preserve">4.00</w:t>
            </w:r>
          </w:p>
        </w:tc>
        <w:tc>
          <w:tcPr/>
          <w:p>
            <w:pPr>
              <w:pStyle w:val="Compact"/>
            </w:pPr>
            <w:r>
              <w:t xml:space="preserve">0.165</w:t>
            </w:r>
          </w:p>
        </w:tc>
        <w:tc>
          <w:tcPr/>
          <w:p>
            <w:pPr>
              <w:pStyle w:val="Compact"/>
            </w:pPr>
            <w:r>
              <w:t xml:space="preserve">0.369</w:t>
            </w:r>
          </w:p>
        </w:tc>
        <w:tc>
          <w:tcPr/>
          <w:p>
            <w:pPr>
              <w:pStyle w:val="Compact"/>
            </w:pPr>
            <w:r>
              <w:t xml:space="preserve">2.71</w:t>
            </w:r>
          </w:p>
        </w:tc>
      </w:tr>
      <w:tr>
        <w:tc>
          <w:tcPr/>
          <w:p>
            <w:pPr>
              <w:pStyle w:val="Compact"/>
            </w:pPr>
            <w:r>
              <w:t xml:space="preserve">Lower Jackson</w:t>
            </w:r>
          </w:p>
        </w:tc>
        <w:tc>
          <w:tcPr/>
          <w:p>
            <w:pPr>
              <w:pStyle w:val="Compact"/>
            </w:pPr>
            <w:r>
              <w:t xml:space="preserve">3.50</w:t>
            </w:r>
          </w:p>
        </w:tc>
        <w:tc>
          <w:tcPr/>
          <w:p>
            <w:pPr>
              <w:pStyle w:val="Compact"/>
            </w:pPr>
            <w:r>
              <w:t xml:space="preserve">0.164</w:t>
            </w:r>
          </w:p>
        </w:tc>
        <w:tc>
          <w:tcPr/>
          <w:p>
            <w:pPr>
              <w:pStyle w:val="Compact"/>
            </w:pPr>
            <w:r>
              <w:t xml:space="preserve">0.371</w:t>
            </w:r>
          </w:p>
        </w:tc>
        <w:tc>
          <w:tcPr/>
          <w:p>
            <w:pPr>
              <w:pStyle w:val="Compact"/>
            </w:pPr>
            <w:r>
              <w:t xml:space="preserve">2.70</w:t>
            </w:r>
          </w:p>
        </w:tc>
      </w:tr>
      <w:tr>
        <w:tc>
          <w:tcPr/>
          <w:p>
            <w:pPr>
              <w:pStyle w:val="Compact"/>
            </w:pPr>
            <w:r>
              <w:t xml:space="preserve">Watson Brake</w:t>
            </w:r>
          </w:p>
        </w:tc>
        <w:tc>
          <w:tcPr/>
          <w:p>
            <w:pPr>
              <w:pStyle w:val="Compact"/>
            </w:pPr>
            <w:r>
              <w:t xml:space="preserve">3.00</w:t>
            </w:r>
          </w:p>
        </w:tc>
        <w:tc>
          <w:tcPr/>
          <w:p>
            <w:pPr>
              <w:pStyle w:val="Compact"/>
            </w:pPr>
            <w:r>
              <w:t xml:space="preserve">0.162</w:t>
            </w:r>
          </w:p>
        </w:tc>
        <w:tc>
          <w:tcPr/>
          <w:p>
            <w:pPr>
              <w:pStyle w:val="Compact"/>
            </w:pPr>
            <w:r>
              <w:t xml:space="preserve">0.373</w:t>
            </w:r>
          </w:p>
        </w:tc>
        <w:tc>
          <w:tcPr/>
          <w:p>
            <w:pPr>
              <w:pStyle w:val="Compact"/>
            </w:pPr>
            <w:r>
              <w:t xml:space="preserve">2.68</w:t>
            </w:r>
          </w:p>
        </w:tc>
      </w:tr>
      <w:tr>
        <w:tc>
          <w:tcPr/>
          <w:p>
            <w:pPr>
              <w:pStyle w:val="Compact"/>
            </w:pPr>
            <w:r>
              <w:t xml:space="preserve">J.W. Copes</w:t>
            </w:r>
          </w:p>
        </w:tc>
        <w:tc>
          <w:tcPr/>
          <w:p>
            <w:pPr>
              <w:pStyle w:val="Compact"/>
            </w:pPr>
            <w:r>
              <w:t xml:space="preserve">4.00</w:t>
            </w:r>
          </w:p>
        </w:tc>
        <w:tc>
          <w:tcPr/>
          <w:p>
            <w:pPr>
              <w:pStyle w:val="Compact"/>
            </w:pPr>
            <w:r>
              <w:t xml:space="preserve">0.161</w:t>
            </w:r>
          </w:p>
        </w:tc>
        <w:tc>
          <w:tcPr/>
          <w:p>
            <w:pPr>
              <w:pStyle w:val="Compact"/>
            </w:pPr>
            <w:r>
              <w:t xml:space="preserve">0.376</w:t>
            </w:r>
          </w:p>
        </w:tc>
        <w:tc>
          <w:tcPr/>
          <w:p>
            <w:pPr>
              <w:pStyle w:val="Compact"/>
            </w:pPr>
            <w:r>
              <w:t xml:space="preserve">2.67</w:t>
            </w:r>
          </w:p>
        </w:tc>
      </w:tr>
      <w:tr>
        <w:tc>
          <w:tcPr/>
          <w:p>
            <w:pPr>
              <w:pStyle w:val="Compact"/>
            </w:pPr>
            <w:r>
              <w:t xml:space="preserve">Frenchman’s Bend</w:t>
            </w:r>
          </w:p>
        </w:tc>
        <w:tc>
          <w:tcPr/>
          <w:p>
            <w:pPr>
              <w:pStyle w:val="Compact"/>
            </w:pPr>
            <w:r>
              <w:t xml:space="preserve">2.50</w:t>
            </w:r>
          </w:p>
        </w:tc>
        <w:tc>
          <w:tcPr/>
          <w:p>
            <w:pPr>
              <w:pStyle w:val="Compact"/>
            </w:pPr>
            <w:r>
              <w:t xml:space="preserve">0.147</w:t>
            </w:r>
          </w:p>
        </w:tc>
        <w:tc>
          <w:tcPr/>
          <w:p>
            <w:pPr>
              <w:pStyle w:val="Compact"/>
            </w:pPr>
            <w:r>
              <w:t xml:space="preserve">0.389</w:t>
            </w:r>
          </w:p>
        </w:tc>
        <w:tc>
          <w:tcPr/>
          <w:p>
            <w:pPr>
              <w:pStyle w:val="Compact"/>
            </w:pPr>
            <w:r>
              <w:t xml:space="preserve">2.57</w:t>
            </w:r>
          </w:p>
        </w:tc>
      </w:tr>
      <w:tr>
        <w:tc>
          <w:tcPr/>
          <w:p>
            <w:pPr>
              <w:pStyle w:val="Compact"/>
            </w:pPr>
            <w:r>
              <w:t xml:space="preserve">Insley</w:t>
            </w:r>
          </w:p>
        </w:tc>
        <w:tc>
          <w:tcPr/>
          <w:p>
            <w:pPr>
              <w:pStyle w:val="Compact"/>
            </w:pPr>
            <w:r>
              <w:t xml:space="preserve">2.50</w:t>
            </w:r>
          </w:p>
        </w:tc>
        <w:tc>
          <w:tcPr/>
          <w:p>
            <w:pPr>
              <w:pStyle w:val="Compact"/>
            </w:pPr>
            <w:r>
              <w:t xml:space="preserve">0.147</w:t>
            </w:r>
          </w:p>
        </w:tc>
        <w:tc>
          <w:tcPr/>
          <w:p>
            <w:pPr>
              <w:pStyle w:val="Compact"/>
            </w:pPr>
            <w:r>
              <w:t xml:space="preserve">0.389</w:t>
            </w:r>
          </w:p>
        </w:tc>
        <w:tc>
          <w:tcPr/>
          <w:p>
            <w:pPr>
              <w:pStyle w:val="Compact"/>
            </w:pPr>
            <w:r>
              <w:t xml:space="preserve">2.57</w:t>
            </w:r>
          </w:p>
        </w:tc>
      </w:tr>
      <w:tr>
        <w:tc>
          <w:tcPr/>
          <w:p>
            <w:pPr>
              <w:pStyle w:val="Compact"/>
            </w:pPr>
            <w:r>
              <w:t xml:space="preserve">Cowpen Slough</w:t>
            </w:r>
          </w:p>
        </w:tc>
        <w:tc>
          <w:tcPr/>
          <w:p>
            <w:pPr>
              <w:pStyle w:val="Compact"/>
            </w:pPr>
            <w:r>
              <w:t xml:space="preserve">3.00</w:t>
            </w:r>
          </w:p>
        </w:tc>
        <w:tc>
          <w:tcPr/>
          <w:p>
            <w:pPr>
              <w:pStyle w:val="Compact"/>
            </w:pPr>
            <w:r>
              <w:t xml:space="preserve">0.144</w:t>
            </w:r>
          </w:p>
        </w:tc>
        <w:tc>
          <w:tcPr/>
          <w:p>
            <w:pPr>
              <w:pStyle w:val="Compact"/>
            </w:pPr>
            <w:r>
              <w:t xml:space="preserve">0.392</w:t>
            </w:r>
          </w:p>
        </w:tc>
        <w:tc>
          <w:tcPr/>
          <w:p>
            <w:pPr>
              <w:pStyle w:val="Compact"/>
            </w:pPr>
            <w:r>
              <w:t xml:space="preserve">2.55</w:t>
            </w:r>
          </w:p>
        </w:tc>
      </w:tr>
      <w:tr>
        <w:tc>
          <w:tcPr/>
          <w:p>
            <w:pPr>
              <w:pStyle w:val="Compact"/>
            </w:pPr>
            <w:r>
              <w:t xml:space="preserve">Claiborne</w:t>
            </w:r>
          </w:p>
        </w:tc>
        <w:tc>
          <w:tcPr/>
          <w:p>
            <w:pPr>
              <w:pStyle w:val="Compact"/>
            </w:pPr>
            <w:r>
              <w:t xml:space="preserve">2.00</w:t>
            </w:r>
          </w:p>
        </w:tc>
        <w:tc>
          <w:tcPr/>
          <w:p>
            <w:pPr>
              <w:pStyle w:val="Compact"/>
            </w:pPr>
            <w:r>
              <w:t xml:space="preserve">0.127</w:t>
            </w:r>
          </w:p>
        </w:tc>
        <w:tc>
          <w:tcPr/>
          <w:p>
            <w:pPr>
              <w:pStyle w:val="Compact"/>
            </w:pPr>
            <w:r>
              <w:t xml:space="preserve">0.411</w:t>
            </w:r>
          </w:p>
        </w:tc>
        <w:tc>
          <w:tcPr/>
          <w:p>
            <w:pPr>
              <w:pStyle w:val="Compact"/>
            </w:pPr>
            <w:r>
              <w:t xml:space="preserve">2.43</w:t>
            </w:r>
          </w:p>
        </w:tc>
      </w:tr>
      <w:tr>
        <w:tc>
          <w:tcPr/>
          <w:p>
            <w:pPr>
              <w:pStyle w:val="Compact"/>
            </w:pPr>
            <w:r>
              <w:t xml:space="preserve">Cedarland</w:t>
            </w:r>
          </w:p>
        </w:tc>
        <w:tc>
          <w:tcPr/>
          <w:p>
            <w:pPr>
              <w:pStyle w:val="Compact"/>
            </w:pPr>
            <w:r>
              <w:t xml:space="preserve">2.00</w:t>
            </w:r>
          </w:p>
        </w:tc>
        <w:tc>
          <w:tcPr/>
          <w:p>
            <w:pPr>
              <w:pStyle w:val="Compact"/>
            </w:pPr>
            <w:r>
              <w:t xml:space="preserve">0.127</w:t>
            </w:r>
          </w:p>
        </w:tc>
        <w:tc>
          <w:tcPr/>
          <w:p>
            <w:pPr>
              <w:pStyle w:val="Compact"/>
            </w:pPr>
            <w:r>
              <w:t xml:space="preserve">0.411</w:t>
            </w:r>
          </w:p>
        </w:tc>
        <w:tc>
          <w:tcPr/>
          <w:p>
            <w:pPr>
              <w:pStyle w:val="Compact"/>
            </w:pPr>
            <w:r>
              <w:t xml:space="preserve">2.43</w:t>
            </w:r>
          </w:p>
        </w:tc>
      </w:tr>
      <w:tr>
        <w:tc>
          <w:tcPr/>
          <w:p>
            <w:pPr>
              <w:pStyle w:val="Compact"/>
            </w:pPr>
            <w:r>
              <w:t xml:space="preserve">Caney</w:t>
            </w:r>
          </w:p>
        </w:tc>
        <w:tc>
          <w:tcPr/>
          <w:p>
            <w:pPr>
              <w:pStyle w:val="Compact"/>
            </w:pPr>
            <w:r>
              <w:t xml:space="preserve">2.00</w:t>
            </w:r>
          </w:p>
        </w:tc>
        <w:tc>
          <w:tcPr/>
          <w:p>
            <w:pPr>
              <w:pStyle w:val="Compact"/>
            </w:pPr>
            <w:r>
              <w:t xml:space="preserve">0.122</w:t>
            </w:r>
          </w:p>
        </w:tc>
        <w:tc>
          <w:tcPr/>
          <w:p>
            <w:pPr>
              <w:pStyle w:val="Compact"/>
            </w:pPr>
            <w:r>
              <w:t xml:space="preserve">0.417</w:t>
            </w:r>
          </w:p>
        </w:tc>
        <w:tc>
          <w:tcPr/>
          <w:p>
            <w:pPr>
              <w:pStyle w:val="Compact"/>
            </w:pPr>
            <w:r>
              <w:t xml:space="preserve">2.40</w:t>
            </w:r>
          </w:p>
        </w:tc>
      </w:tr>
    </w:tbl>
    <w:p>
      <w:pPr>
        <w:pStyle w:val="BodyText"/>
      </w:pPr>
      <w:r>
        <w:t xml:space="preserve">The variance-based</w:t>
      </w:r>
      <w:r>
        <w:t xml:space="preserve"> </w:t>
      </w:r>
      <m:oMath>
        <m:r>
          <m:t>ε</m:t>
        </m:r>
      </m:oMath>
      <w:r>
        <w:t xml:space="preserve"> </w:t>
      </w:r>
      <w:r>
        <w:t xml:space="preserve">ranking places PP, Jaketown, and the multi-zone interior sites in the top band and Caney plus the coastal pair at the bottom, consistent with the framework’s negative-covariance logic. Spearman correlation against observed ordinal monument scale is</w:t>
      </w:r>
      <w:r>
        <w:t xml:space="preserve"> </w:t>
      </w:r>
      <m:oMath>
        <m:r>
          <m:t>ρ</m:t>
        </m:r>
        <m:r>
          <m:rPr>
            <m:sty m:val="p"/>
          </m:rPr>
          <m:t>=</m:t>
        </m:r>
        <m:r>
          <m:rPr>
            <m:sty m:val="p"/>
          </m:rPr>
          <m:t>+</m:t>
        </m:r>
        <m:r>
          <m:t>0.08</m:t>
        </m:r>
      </m:oMath>
      <w:r>
        <w:t xml:space="preserve"> </w:t>
      </w:r>
      <w:r>
        <w:t xml:space="preserve">(</w:t>
      </w:r>
      <m:oMath>
        <m:r>
          <m:t>p</m:t>
        </m:r>
        <m:r>
          <m:rPr>
            <m:sty m:val="p"/>
          </m:rPr>
          <m:t>=</m:t>
        </m:r>
        <m:r>
          <m:t>0.82</m:t>
        </m:r>
      </m:oMath>
      <w:r>
        <w:t xml:space="preserve">), again null. This third null result confirms the main §7.1 reading directly: monument scale is not what</w:t>
      </w:r>
      <w:r>
        <w:t xml:space="preserve"> </w:t>
      </w:r>
      <m:oMath>
        <m:r>
          <m:t>ε</m:t>
        </m:r>
      </m:oMath>
      <w:r>
        <w:t xml:space="preserve"> </w:t>
      </w:r>
      <w:r>
        <w:t xml:space="preserve">predicts at fixed</w:t>
      </w:r>
      <w:r>
        <w:t xml:space="preserve"> </w:t>
      </w:r>
      <m:oMath>
        <m:sSub>
          <m:e>
            <m:r>
              <m:t>n</m:t>
            </m:r>
          </m:e>
          <m:sub>
            <m:r>
              <m:t>a</m:t>
            </m:r>
            <m:r>
              <m:t>g</m:t>
            </m:r>
            <m:r>
              <m:t>g</m:t>
            </m:r>
          </m:sub>
        </m:sSub>
      </m:oMath>
      <w:r>
        <w:t xml:space="preserve">, regardless of which operationalization (static rubric, phenology peak count, or variance-based) one uses.</w:t>
      </w:r>
    </w:p>
    <w:p>
      <w:pPr>
        <w:pStyle w:val="BodyText"/>
      </w:pPr>
      <w:r>
        <w:t xml:space="preserve">What the variance-based</w:t>
      </w:r>
      <w:r>
        <w:t xml:space="preserve"> </w:t>
      </w:r>
      <m:oMath>
        <m:r>
          <m:t>ε</m:t>
        </m:r>
      </m:oMath>
      <w:r>
        <w:t xml:space="preserve"> </w:t>
      </w:r>
      <w:r>
        <w:rPr>
          <w:i/>
          <w:iCs/>
        </w:rPr>
        <w:t xml:space="preserve">does</w:t>
      </w:r>
      <w:r>
        <w:t xml:space="preserve"> </w:t>
      </w:r>
      <w:r>
        <w:t xml:space="preserve">support is the screening role:</w:t>
      </w:r>
      <w:r>
        <w:t xml:space="preserve"> </w:t>
      </w:r>
      <m:oMath>
        <m:sSub>
          <m:e>
            <m:r>
              <m:t>ε</m:t>
            </m:r>
          </m:e>
          <m:sub>
            <m:r>
              <m:t>v</m:t>
            </m:r>
            <m:r>
              <m:t>a</m:t>
            </m:r>
            <m:r>
              <m:t>r</m:t>
            </m:r>
          </m:sub>
        </m:sSub>
      </m:oMath>
      <w:r>
        <w:t xml:space="preserve"> </w:t>
      </w:r>
      <w:r>
        <w:t xml:space="preserve">at</w:t>
      </w:r>
      <w:r>
        <w:t xml:space="preserve"> </w:t>
      </w:r>
      <m:oMath>
        <m:r>
          <m:rPr>
            <m:sty m:val="p"/>
          </m:rPr>
          <m:t>∼</m:t>
        </m:r>
        <m:r>
          <m:t>0.16</m:t>
        </m:r>
      </m:oMath>
      <w:r>
        <w:t xml:space="preserve">-</w:t>
      </w:r>
      <m:oMath>
        <m:r>
          <m:t>0.17</m:t>
        </m:r>
      </m:oMath>
      <w:r>
        <w:t xml:space="preserve"> </w:t>
      </w:r>
      <w:r>
        <w:t xml:space="preserve">for PP, Jaketown, LJ, WB, and JWC,</w:t>
      </w:r>
      <w:r>
        <w:t xml:space="preserve"> </w:t>
      </w:r>
      <m:oMath>
        <m:r>
          <m:rPr>
            <m:sty m:val="p"/>
          </m:rPr>
          <m:t>∼</m:t>
        </m:r>
        <m:r>
          <m:t>0.14</m:t>
        </m:r>
      </m:oMath>
      <w:r>
        <w:t xml:space="preserve">-</w:t>
      </w:r>
      <m:oMath>
        <m:r>
          <m:t>0.15</m:t>
        </m:r>
      </m:oMath>
      <w:r>
        <w:t xml:space="preserve"> </w:t>
      </w:r>
      <w:r>
        <w:t xml:space="preserve">for the smaller interior sites, and</w:t>
      </w:r>
      <w:r>
        <w:t xml:space="preserve"> </w:t>
      </w:r>
      <m:oMath>
        <m:r>
          <m:rPr>
            <m:sty m:val="p"/>
          </m:rPr>
          <m:t>∼</m:t>
        </m:r>
        <m:r>
          <m:t>0.12</m:t>
        </m:r>
      </m:oMath>
      <w:r>
        <w:t xml:space="preserve">-</w:t>
      </w:r>
      <m:oMath>
        <m:r>
          <m:t>0.13</m:t>
        </m:r>
      </m:oMath>
      <w:r>
        <w:t xml:space="preserve"> </w:t>
      </w:r>
      <w:r>
        <w:t xml:space="preserve">for the coastal pair and Caney confirms the interior-vs-coastal discrimination that Table 2 carries, with Caney as the interior exception at the coastal level. The phenology operationalization is therefore better-aligned theoretically with the framework’s covariance-based logic than the static rubric is, and produces consistent screening conclusions, but does not fix the magnitude-prediction problem identified in main §7.1, which is structural rather than operational.</w:t>
      </w:r>
    </w:p>
    <w:p>
      <w:pPr>
        <w:pStyle w:val="BodyText"/>
      </w:pPr>
      <w:r>
        <w:t xml:space="preserve">The full numerical output is in</w:t>
      </w:r>
      <w:r>
        <w:t xml:space="preserve"> </w:t>
      </w:r>
      <w:r>
        <w:rPr>
          <w:rStyle w:val="VerbatimChar"/>
        </w:rPr>
        <w:t xml:space="preserve">results/phenology/phenology_epsilon_test.json</w:t>
      </w:r>
      <w:r>
        <w:t xml:space="preserve"> </w:t>
      </w:r>
      <w:r>
        <w:t xml:space="preserve">(Test A) and</w:t>
      </w:r>
      <w:r>
        <w:t xml:space="preserve"> </w:t>
      </w:r>
      <w:r>
        <w:rPr>
          <w:rStyle w:val="VerbatimChar"/>
        </w:rPr>
        <w:t xml:space="preserve">results/phenology/phenology_variance_epsilon.json</w:t>
      </w:r>
      <w:r>
        <w:t xml:space="preserve"> </w:t>
      </w:r>
      <w:r>
        <w:t xml:space="preserve">(variance-based test).</w:t>
      </w:r>
    </w:p>
    <w:p>
      <w:pPr>
        <w:pStyle w:val="BodyText"/>
      </w:pPr>
      <w:r>
        <w:t xml:space="preserve">The seasonal phenology figure is presented as main-text Figure 15 (§6.7). See also §S16 below.</w:t>
      </w:r>
    </w:p>
    <w:p>
      <w:r>
        <w:pict>
          <v:rect style="width:0;height:1.5pt" o:hralign="center" o:hrstd="t" o:hr="t"/>
        </w:pict>
      </w:r>
    </w:p>
    <w:bookmarkEnd w:id="94"/>
    <w:bookmarkStart w:id="103" w:name="X36576ea3f795908e3034c54bbd7a9ce1f683672"/>
    <w:p>
      <w:pPr>
        <w:pStyle w:val="Heading2"/>
      </w:pPr>
      <w:r>
        <w:t xml:space="preserve">S17. Model components used in §6 and priority follow-up work</w:t>
      </w:r>
    </w:p>
    <w:p>
      <w:pPr>
        <w:pStyle w:val="FirstParagraph"/>
      </w:pPr>
      <w:r>
        <w:t xml:space="preserve">This section consolidates the seven model components developed for the empirical evaluations in §6 and, for each, identifies the follow-up work that would tighten or extend the present implementation. Three components are central to specific §6 results (regime switching for §6.3 Watson Brake; per-event labor scaling for §6.3 and §6.6; water-route catchment for §6.5). Two are sensitivity demonstrations of internal consistency (per-site</w:t>
      </w:r>
      <w:r>
        <w:t xml:space="preserve"> </w:t>
      </w:r>
      <m:oMath>
        <m:sSub>
          <m:e>
            <m:r>
              <m:t>n</m:t>
            </m:r>
          </m:e>
          <m:sub>
            <m:r>
              <m:t>a</m:t>
            </m:r>
            <m:r>
              <m:t>g</m:t>
            </m:r>
            <m:r>
              <m:t>g</m:t>
            </m:r>
          </m:sub>
        </m:sSub>
      </m:oMath>
      <w:r>
        <w:t xml:space="preserve"> </w:t>
      </w:r>
      <w:r>
        <w:t xml:space="preserve">scale ratios in §6.6; regional band allocation in §6.6). One is a plausibility check (seasonally resolved aggregation timing in §6.7). One is an independently weighted falsifiable prediction (maintenance-to-new-construction ratio for §6.8 / §7.4(h)). The two structural-architecture components reported in §S5 above (a near-threshold parameter sweep and a restructured network-saturation function) are referenced by section pointer. A consolidated list of priority follow-up work appears in §S17.8.</w:t>
      </w:r>
    </w:p>
    <w:bookmarkStart w:id="95" w:name="Xde57d3fc74c0c8da7e408217bf51105bc4f0e8f"/>
    <w:p>
      <w:pPr>
        <w:pStyle w:val="Heading3"/>
      </w:pPr>
      <w:r>
        <w:t xml:space="preserve">S17.1 Regime switching for the Watson Brake bistable closure</w:t>
      </w:r>
    </w:p>
    <w:p>
      <w:pPr>
        <w:pStyle w:val="FirstParagraph"/>
      </w:pPr>
      <w:r>
        <w:t xml:space="preserve">(Main text §6.3;</w:t>
      </w:r>
      <w:r>
        <w:t xml:space="preserve"> </w:t>
      </w:r>
      <w:r>
        <w:rPr>
          <w:i/>
          <w:iCs/>
        </w:rPr>
        <w:t xml:space="preserve">Continuous-equilibrium treatment</w:t>
      </w:r>
      <w:r>
        <w:t xml:space="preserve"> </w:t>
      </w:r>
      <w:r>
        <w:t xml:space="preserve">in main §7.4.)</w:t>
      </w:r>
      <w:r>
        <w:t xml:space="preserve"> </w:t>
      </w:r>
      <w:r>
        <w:rPr>
          <w:b/>
          <w:bCs/>
        </w:rPr>
        <w:t xml:space="preserve">Implemented in this revision (analytical-stochastic version). Central to the §6.3 closure.</w:t>
      </w:r>
      <w:r>
        <w:t xml:space="preserve"> </w:t>
      </w:r>
      <w:r>
        <w:t xml:space="preserve">A 700-year simulation samples</w:t>
      </w:r>
      <w:r>
        <w:t xml:space="preserve"> </w:t>
      </w:r>
      <m:oMath>
        <m:sSub>
          <m:e>
            <m:r>
              <m:t>σ</m:t>
            </m:r>
          </m:e>
          <m:sub>
            <m:r>
              <m:t>e</m:t>
            </m:r>
            <m:r>
              <m:t>f</m:t>
            </m:r>
            <m:r>
              <m:t>f</m:t>
            </m:r>
            <m:r>
              <m:rPr>
                <m:sty m:val="p"/>
              </m:rPr>
              <m:t>,</m:t>
            </m:r>
            <m:r>
              <m:t>t</m:t>
            </m:r>
          </m:sub>
        </m:sSub>
        <m:r>
          <m:rPr>
            <m:sty m:val="p"/>
          </m:rPr>
          <m:t>∼</m:t>
        </m:r>
        <m:r>
          <m:rPr>
            <m:scr m:val="script"/>
            <m:sty m:val="p"/>
          </m:rPr>
          <m:t>N</m:t>
        </m:r>
        <m:r>
          <m:rPr>
            <m:sty m:val="p"/>
          </m:rPr>
          <m:t>(</m:t>
        </m:r>
        <m:sSub>
          <m:e>
            <m:r>
              <m:t>μ</m:t>
            </m:r>
          </m:e>
          <m:sub>
            <m:r>
              <m:t>e</m:t>
            </m:r>
            <m:r>
              <m:t>f</m:t>
            </m:r>
            <m:r>
              <m:t>f</m:t>
            </m:r>
          </m:sub>
        </m:sSub>
        <m:r>
          <m:rPr>
            <m:sty m:val="p"/>
          </m:rPr>
          <m:t>,</m:t>
        </m:r>
        <m:sSub>
          <m:e>
            <m:r>
              <m:t>σ</m:t>
            </m:r>
          </m:e>
          <m:sub>
            <m:r>
              <m:t>s</m:t>
            </m:r>
            <m:r>
              <m:t>d</m:t>
            </m:r>
          </m:sub>
        </m:sSub>
        <m:r>
          <m:rPr>
            <m:sty m:val="p"/>
          </m:rPr>
          <m:t>)</m:t>
        </m:r>
      </m:oMath>
      <w:r>
        <w:t xml:space="preserve"> </w:t>
      </w:r>
      <w:r>
        <w:t xml:space="preserve">each year at WB parameters (</w:t>
      </w:r>
      <m:oMath>
        <m:sSub>
          <m:e>
            <m:r>
              <m:t>μ</m:t>
            </m:r>
          </m:e>
          <m:sub>
            <m:r>
              <m:t>e</m:t>
            </m:r>
            <m:r>
              <m:t>f</m:t>
            </m:r>
            <m:r>
              <m:t>f</m:t>
            </m:r>
          </m:sub>
        </m:sSub>
        <m:r>
          <m:rPr>
            <m:sty m:val="p"/>
          </m:rPr>
          <m:t>=</m:t>
        </m:r>
        <m:r>
          <m:t>0.319</m:t>
        </m:r>
      </m:oMath>
      <w:r>
        <w:t xml:space="preserve"> </w:t>
      </w:r>
      <w:r>
        <w:t xml:space="preserve">at</w:t>
      </w:r>
      <w:r>
        <w:t xml:space="preserve"> </w:t>
      </w:r>
      <m:oMath>
        <m:r>
          <m:t>σ</m:t>
        </m:r>
        <m:r>
          <m:rPr>
            <m:sty m:val="p"/>
          </m:rPr>
          <m:t>=</m:t>
        </m:r>
        <m:r>
          <m:t>0.56</m:t>
        </m:r>
      </m:oMath>
      <w:r>
        <w:t xml:space="preserve"> </w:t>
      </w:r>
      <w:r>
        <w:t xml:space="preserve">and</w:t>
      </w:r>
      <w:r>
        <w:t xml:space="preserve"> </w:t>
      </w:r>
      <m:oMath>
        <m:r>
          <m:t>ε</m:t>
        </m:r>
        <m:r>
          <m:rPr>
            <m:sty m:val="p"/>
          </m:rPr>
          <m:t>=</m:t>
        </m:r>
        <m:r>
          <m:t>0.43</m:t>
        </m:r>
      </m:oMath>
      <w:r>
        <w:t xml:space="preserve">), classifies each year above or below the analytical</w:t>
      </w:r>
      <w:r>
        <w:t xml:space="preserve"> </w:t>
      </w:r>
      <m:oMath>
        <m:sSup>
          <m:e>
            <m:r>
              <m:t>σ</m:t>
            </m:r>
          </m:e>
          <m:sup>
            <m:r>
              <m:rPr>
                <m:sty m:val="p"/>
              </m:rPr>
              <m:t>*</m:t>
            </m:r>
          </m:sup>
        </m:sSup>
        <m:r>
          <m:rPr>
            <m:sty m:val="p"/>
          </m:rPr>
          <m:t>=</m:t>
        </m:r>
        <m:r>
          <m:t>0.375</m:t>
        </m:r>
      </m:oMath>
      <w:r>
        <w:t xml:space="preserve">, requires a minimum-persistence run length</w:t>
      </w:r>
      <w:r>
        <w:t xml:space="preserve"> </w:t>
      </w:r>
      <m:oMath>
        <m:r>
          <m:t>K</m:t>
        </m:r>
      </m:oMath>
      <w:r>
        <w:t xml:space="preserve"> </w:t>
      </w:r>
      <w:r>
        <w:t xml:space="preserve">years to count as a regime transition (band-coordination delay), and accumulates monument volume during persistent above-threshold intervals at the per-event labor-scaled rate (per-event labor scaling at</w:t>
      </w:r>
      <w:r>
        <w:t xml:space="preserve"> </w:t>
      </w:r>
      <m:oMath>
        <m:r>
          <m:t>α</m:t>
        </m:r>
        <m:r>
          <m:rPr>
            <m:sty m:val="p"/>
          </m:rPr>
          <m:t>=</m:t>
        </m:r>
        <m:r>
          <m:t>2</m:t>
        </m:r>
      </m:oMath>
      <w:r>
        <w:t xml:space="preserve">; §S17.2). Sweeping</w:t>
      </w:r>
      <w:r>
        <w:t xml:space="preserve"> </w:t>
      </w:r>
      <m:oMath>
        <m:sSub>
          <m:e>
            <m:r>
              <m:t>σ</m:t>
            </m:r>
          </m:e>
          <m:sub>
            <m:r>
              <m:t>s</m:t>
            </m:r>
            <m:r>
              <m:t>d</m:t>
            </m:r>
          </m:sub>
        </m:sSub>
        <m:r>
          <m:rPr>
            <m:sty m:val="p"/>
          </m:rPr>
          <m:t>∈</m:t>
        </m:r>
        <m:r>
          <m:rPr>
            <m:sty m:val="p"/>
          </m:rPr>
          <m:t>[</m:t>
        </m:r>
        <m:r>
          <m:t>0.075</m:t>
        </m:r>
        <m:r>
          <m:rPr>
            <m:sty m:val="p"/>
          </m:rPr>
          <m:t>,</m:t>
        </m:r>
        <m:r>
          <m:t>0.20</m:t>
        </m:r>
        <m:r>
          <m:rPr>
            <m:sty m:val="p"/>
          </m:rPr>
          <m:t>]</m:t>
        </m:r>
      </m:oMath>
      <w:r>
        <w:t xml:space="preserve"> </w:t>
      </w:r>
      <w:r>
        <w:t xml:space="preserve">and</w:t>
      </w:r>
      <w:r>
        <w:t xml:space="preserve"> </w:t>
      </w:r>
      <m:oMath>
        <m:r>
          <m:t>K</m:t>
        </m:r>
        <m:r>
          <m:rPr>
            <m:sty m:val="p"/>
          </m:rPr>
          <m:t>∈</m:t>
        </m:r>
        <m:r>
          <m:rPr>
            <m:sty m:val="p"/>
          </m:rPr>
          <m:t>[</m:t>
        </m:r>
        <m:r>
          <m:t>1</m:t>
        </m:r>
        <m:r>
          <m:rPr>
            <m:sty m:val="p"/>
          </m:rPr>
          <m:t>,</m:t>
        </m:r>
        <m:r>
          <m:t>5</m:t>
        </m:r>
        <m:r>
          <m:rPr>
            <m:sty m:val="p"/>
          </m:rPr>
          <m:t>]</m:t>
        </m:r>
      </m:oMath>
      <w:r>
        <w:t xml:space="preserve"> </w:t>
      </w:r>
      <w:r>
        <w:t xml:space="preserve">years (100 replicates per cell):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m:oMath>
              <m:sSub>
                <m:e>
                  <m:r>
                    <m:t>σ</m:t>
                  </m:r>
                </m:e>
                <m:sub>
                  <m:r>
                    <m:t>s</m:t>
                  </m:r>
                  <m:r>
                    <m:t>d</m:t>
                  </m:r>
                </m:sub>
              </m:sSub>
            </m:oMath>
          </w:p>
        </w:tc>
        <w:tc>
          <w:tcPr/>
          <w:p>
            <w:pPr>
              <w:pStyle w:val="Compact"/>
            </w:pPr>
            <m:oMath>
              <m:r>
                <m:t>K</m:t>
              </m:r>
            </m:oMath>
            <w:r>
              <w:t xml:space="preserve"> </w:t>
            </w:r>
            <w:r>
              <w:t xml:space="preserve">(yrs)</w:t>
            </w:r>
          </w:p>
        </w:tc>
        <w:tc>
          <w:tcPr/>
          <w:p>
            <w:pPr>
              <w:pStyle w:val="Compact"/>
            </w:pPr>
            <w:r>
              <w:t xml:space="preserve">mean</w:t>
            </w:r>
            <w:r>
              <w:t xml:space="preserve"> </w:t>
            </w:r>
            <m:oMath>
              <m:sSub>
                <m:e>
                  <m:r>
                    <m:t>f</m:t>
                  </m:r>
                </m:e>
                <m:sub>
                  <m:r>
                    <m:t>a</m:t>
                  </m:r>
                  <m:r>
                    <m:t>b</m:t>
                  </m:r>
                  <m:r>
                    <m:t>o</m:t>
                  </m:r>
                  <m:r>
                    <m:t>v</m:t>
                  </m:r>
                  <m:r>
                    <m:t>e</m:t>
                  </m:r>
                </m:sub>
              </m:sSub>
            </m:oMath>
          </w:p>
        </w:tc>
        <w:tc>
          <w:tcPr/>
          <w:p>
            <w:pPr>
              <w:pStyle w:val="Compact"/>
            </w:pPr>
            <w:r>
              <w:t xml:space="preserve">predicted volume (m³)</w:t>
            </w:r>
          </w:p>
        </w:tc>
        <w:tc>
          <w:tcPr/>
          <w:p>
            <w:pPr>
              <w:pStyle w:val="Compact"/>
            </w:pPr>
            <w:r>
              <w:t xml:space="preserve">95% CI</w:t>
            </w:r>
          </w:p>
        </w:tc>
        <w:tc>
          <w:tcPr/>
          <w:p>
            <w:pPr>
              <w:pStyle w:val="Compact"/>
            </w:pPr>
            <w:r>
              <w:t xml:space="preserve">overpred factor</w:t>
            </w:r>
          </w:p>
        </w:tc>
      </w:tr>
      <w:tr>
        <w:tc>
          <w:tcPr/>
          <w:p>
            <w:pPr>
              <w:pStyle w:val="Compact"/>
            </w:pPr>
            <w:r>
              <w:t xml:space="preserve">0.075</w:t>
            </w:r>
          </w:p>
        </w:tc>
        <w:tc>
          <w:tcPr/>
          <w:p>
            <w:pPr>
              <w:pStyle w:val="Compact"/>
            </w:pPr>
            <w:r>
              <w:t xml:space="preserve">2</w:t>
            </w:r>
          </w:p>
        </w:tc>
        <w:tc>
          <w:tcPr/>
          <w:p>
            <w:pPr>
              <w:pStyle w:val="Compact"/>
            </w:pPr>
            <w:r>
              <w:t xml:space="preserve">0.052</w:t>
            </w:r>
          </w:p>
        </w:tc>
        <w:tc>
          <w:tcPr/>
          <w:p>
            <w:pPr>
              <w:pStyle w:val="Compact"/>
            </w:pPr>
            <w:r>
              <w:t xml:space="preserve">11,904</w:t>
            </w:r>
          </w:p>
        </w:tc>
        <w:tc>
          <w:tcPr/>
          <w:p>
            <w:pPr>
              <w:pStyle w:val="Compact"/>
            </w:pPr>
            <w:r>
              <w:t xml:space="preserve">[7,539, 15,733]</w:t>
            </w:r>
          </w:p>
        </w:tc>
        <w:tc>
          <w:tcPr/>
          <w:p>
            <w:pPr>
              <w:pStyle w:val="Compact"/>
            </w:pPr>
            <w:r>
              <w:t xml:space="preserve">0.44</w:t>
            </w:r>
          </w:p>
        </w:tc>
      </w:tr>
      <w:tr>
        <w:tc>
          <w:tcPr/>
          <w:p>
            <w:pPr>
              <w:pStyle w:val="Compact"/>
            </w:pPr>
            <w:r>
              <w:t xml:space="preserve">0.100</w:t>
            </w:r>
          </w:p>
        </w:tc>
        <w:tc>
          <w:tcPr/>
          <w:p>
            <w:pPr>
              <w:pStyle w:val="Compact"/>
            </w:pPr>
            <w:r>
              <w:t xml:space="preserve">2</w:t>
            </w:r>
          </w:p>
        </w:tc>
        <w:tc>
          <w:tcPr/>
          <w:p>
            <w:pPr>
              <w:pStyle w:val="Compact"/>
            </w:pPr>
            <w:r>
              <w:t xml:space="preserve">0.081</w:t>
            </w:r>
          </w:p>
        </w:tc>
        <w:tc>
          <w:tcPr/>
          <w:p>
            <w:pPr>
              <w:pStyle w:val="Compact"/>
            </w:pPr>
            <w:r>
              <w:t xml:space="preserve">18,683</w:t>
            </w:r>
          </w:p>
        </w:tc>
        <w:tc>
          <w:tcPr/>
          <w:p>
            <w:pPr>
              <w:pStyle w:val="Compact"/>
            </w:pPr>
            <w:r>
              <w:t xml:space="preserve">[13,111, 23,599]</w:t>
            </w:r>
          </w:p>
        </w:tc>
        <w:tc>
          <w:tcPr/>
          <w:p>
            <w:pPr>
              <w:pStyle w:val="Compact"/>
            </w:pPr>
            <w:r>
              <w:t xml:space="preserve">0.69</w:t>
            </w:r>
          </w:p>
        </w:tc>
      </w:tr>
      <w:tr>
        <w:tc>
          <w:tcPr/>
          <w:p>
            <w:pPr>
              <w:pStyle w:val="Compact"/>
            </w:pPr>
            <w:r>
              <w:t xml:space="preserve">0.100</w:t>
            </w:r>
          </w:p>
        </w:tc>
        <w:tc>
          <w:tcPr/>
          <w:p>
            <w:pPr>
              <w:pStyle w:val="Compact"/>
            </w:pPr>
            <w:r>
              <w:t xml:space="preserve">3</w:t>
            </w:r>
          </w:p>
        </w:tc>
        <w:tc>
          <w:tcPr/>
          <w:p>
            <w:pPr>
              <w:pStyle w:val="Compact"/>
            </w:pPr>
            <w:r>
              <w:t xml:space="preserve">0.024</w:t>
            </w:r>
          </w:p>
        </w:tc>
        <w:tc>
          <w:tcPr/>
          <w:p>
            <w:pPr>
              <w:pStyle w:val="Compact"/>
            </w:pPr>
            <w:r>
              <w:t xml:space="preserve">5,408</w:t>
            </w:r>
          </w:p>
        </w:tc>
        <w:tc>
          <w:tcPr/>
          <w:p>
            <w:pPr>
              <w:pStyle w:val="Compact"/>
            </w:pPr>
            <w:r>
              <w:t xml:space="preserve">[2,622, 8,694]</w:t>
            </w:r>
          </w:p>
        </w:tc>
        <w:tc>
          <w:tcPr/>
          <w:p>
            <w:pPr>
              <w:pStyle w:val="Compact"/>
            </w:pPr>
            <w:r>
              <w:t xml:space="preserve">0.20</w:t>
            </w:r>
          </w:p>
        </w:tc>
      </w:tr>
      <w:tr>
        <w:tc>
          <w:tcPr/>
          <w:p>
            <w:pPr>
              <w:pStyle w:val="Compact"/>
            </w:pPr>
            <w:r>
              <w:t xml:space="preserve">0.125</w:t>
            </w:r>
          </w:p>
        </w:tc>
        <w:tc>
          <w:tcPr/>
          <w:p>
            <w:pPr>
              <w:pStyle w:val="Compact"/>
            </w:pPr>
            <w:r>
              <w:t xml:space="preserve">3</w:t>
            </w:r>
          </w:p>
        </w:tc>
        <w:tc>
          <w:tcPr/>
          <w:p>
            <w:pPr>
              <w:pStyle w:val="Compact"/>
            </w:pPr>
            <w:r>
              <w:t xml:space="preserve">0.035</w:t>
            </w:r>
          </w:p>
        </w:tc>
        <w:tc>
          <w:tcPr/>
          <w:p>
            <w:pPr>
              <w:pStyle w:val="Compact"/>
            </w:pPr>
            <w:r>
              <w:t xml:space="preserve">7,942</w:t>
            </w:r>
          </w:p>
        </w:tc>
        <w:tc>
          <w:tcPr/>
          <w:p>
            <w:pPr>
              <w:pStyle w:val="Compact"/>
            </w:pPr>
            <w:r>
              <w:t xml:space="preserve">[4,245, 12,644]</w:t>
            </w:r>
          </w:p>
        </w:tc>
        <w:tc>
          <w:tcPr/>
          <w:p>
            <w:pPr>
              <w:pStyle w:val="Compact"/>
            </w:pPr>
            <w:r>
              <w:t xml:space="preserve">0.29</w:t>
            </w:r>
          </w:p>
        </w:tc>
      </w:tr>
      <w:tr>
        <w:tc>
          <w:tcPr/>
          <w:p>
            <w:pPr>
              <w:pStyle w:val="Compact"/>
            </w:pPr>
            <w:r>
              <w:t xml:space="preserve">0.150</w:t>
            </w:r>
          </w:p>
        </w:tc>
        <w:tc>
          <w:tcPr/>
          <w:p>
            <w:pPr>
              <w:pStyle w:val="Compact"/>
            </w:pPr>
            <w:r>
              <w:t xml:space="preserve">3</w:t>
            </w:r>
          </w:p>
        </w:tc>
        <w:tc>
          <w:tcPr/>
          <w:p>
            <w:pPr>
              <w:pStyle w:val="Compact"/>
            </w:pPr>
            <w:r>
              <w:t xml:space="preserve">0.044</w:t>
            </w:r>
          </w:p>
        </w:tc>
        <w:tc>
          <w:tcPr/>
          <w:p>
            <w:pPr>
              <w:pStyle w:val="Compact"/>
            </w:pPr>
            <w:r>
              <w:t xml:space="preserve">10,200</w:t>
            </w:r>
          </w:p>
        </w:tc>
        <w:tc>
          <w:tcPr/>
          <w:p>
            <w:pPr>
              <w:pStyle w:val="Compact"/>
            </w:pPr>
            <w:r>
              <w:t xml:space="preserve">[5,900, 15,577]</w:t>
            </w:r>
          </w:p>
        </w:tc>
        <w:tc>
          <w:tcPr/>
          <w:p>
            <w:pPr>
              <w:pStyle w:val="Compact"/>
            </w:pPr>
            <w:r>
              <w:t xml:space="preserve">0.38</w:t>
            </w:r>
          </w:p>
        </w:tc>
      </w:tr>
      <w:tr>
        <w:tc>
          <w:tcPr/>
          <w:p>
            <w:pPr>
              <w:pStyle w:val="Compact"/>
            </w:pPr>
            <w:r>
              <w:t xml:space="preserve">0.075</w:t>
            </w:r>
          </w:p>
        </w:tc>
        <w:tc>
          <w:tcPr/>
          <w:p>
            <w:pPr>
              <w:pStyle w:val="Compact"/>
            </w:pPr>
            <w:r>
              <w:t xml:space="preserve">5</w:t>
            </w:r>
          </w:p>
        </w:tc>
        <w:tc>
          <w:tcPr/>
          <w:p>
            <w:pPr>
              <w:pStyle w:val="Compact"/>
            </w:pPr>
            <w:r>
              <w:t xml:space="preserve">0.001</w:t>
            </w:r>
          </w:p>
        </w:tc>
        <w:tc>
          <w:tcPr/>
          <w:p>
            <w:pPr>
              <w:pStyle w:val="Compact"/>
            </w:pPr>
            <w:r>
              <w:t xml:space="preserve">157</w:t>
            </w:r>
          </w:p>
        </w:tc>
        <w:tc>
          <w:tcPr/>
          <w:p>
            <w:pPr>
              <w:pStyle w:val="Compact"/>
            </w:pPr>
            <w:r>
              <w:t xml:space="preserve">[0, 828]</w:t>
            </w:r>
          </w:p>
        </w:tc>
        <w:tc>
          <w:tcPr/>
          <w:p>
            <w:pPr>
              <w:pStyle w:val="Compact"/>
            </w:pPr>
            <w:r>
              <w:t xml:space="preserve">0.01</w:t>
            </w:r>
          </w:p>
        </w:tc>
      </w:tr>
      <w:tr>
        <w:tc>
          <w:tcPr/>
          <w:p>
            <w:pPr>
              <w:pStyle w:val="Compact"/>
            </w:pPr>
            <w:r>
              <w:t xml:space="preserve">0.100</w:t>
            </w:r>
          </w:p>
        </w:tc>
        <w:tc>
          <w:tcPr/>
          <w:p>
            <w:pPr>
              <w:pStyle w:val="Compact"/>
            </w:pPr>
            <w:r>
              <w:t xml:space="preserve">5</w:t>
            </w:r>
          </w:p>
        </w:tc>
        <w:tc>
          <w:tcPr/>
          <w:p>
            <w:pPr>
              <w:pStyle w:val="Compact"/>
            </w:pPr>
            <w:r>
              <w:t xml:space="preserve">0.002</w:t>
            </w:r>
          </w:p>
        </w:tc>
        <w:tc>
          <w:tcPr/>
          <w:p>
            <w:pPr>
              <w:pStyle w:val="Compact"/>
            </w:pPr>
            <w:r>
              <w:t xml:space="preserve">433</w:t>
            </w:r>
          </w:p>
        </w:tc>
        <w:tc>
          <w:tcPr/>
          <w:p>
            <w:pPr>
              <w:pStyle w:val="Compact"/>
            </w:pPr>
            <w:r>
              <w:t xml:space="preserve">[0, 1,639]</w:t>
            </w:r>
          </w:p>
        </w:tc>
        <w:tc>
          <w:tcPr/>
          <w:p>
            <w:pPr>
              <w:pStyle w:val="Compact"/>
            </w:pPr>
            <w:r>
              <w:t xml:space="preserve">0.02</w:t>
            </w:r>
          </w:p>
        </w:tc>
      </w:tr>
    </w:tbl>
    <w:p>
      <w:pPr>
        <w:pStyle w:val="BodyText"/>
      </w:pPr>
      <w:r>
        <w:t xml:space="preserve">Across the swept</w:t>
      </w:r>
      <w:r>
        <w:t xml:space="preserve"> </w:t>
      </w:r>
      <m:oMath>
        <m:r>
          <m:rPr>
            <m:sty m:val="p"/>
          </m:rPr>
          <m:t>(</m:t>
        </m:r>
        <m:sSub>
          <m:e>
            <m:r>
              <m:t>σ</m:t>
            </m:r>
          </m:e>
          <m:sub>
            <m:r>
              <m:t>s</m:t>
            </m:r>
            <m:r>
              <m:t>d</m:t>
            </m:r>
          </m:sub>
        </m:sSub>
        <m:r>
          <m:rPr>
            <m:sty m:val="p"/>
          </m:rPr>
          <m:t>,</m:t>
        </m:r>
        <m:r>
          <m:t>K</m:t>
        </m:r>
        <m:r>
          <m:rPr>
            <m:sty m:val="p"/>
          </m:rPr>
          <m:t>)</m:t>
        </m:r>
      </m:oMath>
      <w:r>
        <w:t xml:space="preserve"> </w:t>
      </w:r>
      <w:r>
        <w:t xml:space="preserve">grid at the LiDAR-derived per-mound WB volume of 27,065 m³ (§5.1), regime-switching predictions for cumulative WB volume span ~2,800 to ~89,000 m³ at</w:t>
      </w:r>
      <w:r>
        <w:t xml:space="preserve"> </w:t>
      </w:r>
      <m:oMath>
        <m:r>
          <m:t>K</m:t>
        </m:r>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sSub>
          <m:e>
            <m:r>
              <m:t>σ</m:t>
            </m:r>
          </m:e>
          <m:sub>
            <m:r>
              <m:t>s</m:t>
            </m:r>
            <m:r>
              <m:t>d</m:t>
            </m:r>
          </m:sub>
        </m:sSub>
        <m:r>
          <m:rPr>
            <m:sty m:val="p"/>
          </m:rPr>
          <m:t>∈</m:t>
        </m:r>
        <m:r>
          <m:rPr>
            <m:sty m:val="p"/>
          </m:rPr>
          <m:t>[</m:t>
        </m:r>
        <m:r>
          <m:t>0.075</m:t>
        </m:r>
        <m:r>
          <m:rPr>
            <m:sty m:val="p"/>
          </m:rPr>
          <m:t>,</m:t>
        </m:r>
        <m:r>
          <m:t>0.20</m:t>
        </m:r>
        <m:r>
          <m:rPr>
            <m:sty m:val="p"/>
          </m:rPr>
          <m:t>]</m:t>
        </m:r>
      </m:oMath>
      <w:r>
        <w:t xml:space="preserve">. The observed 27,065 m³ sits inside the K=2 sweep range (~12,000 to ~35,000 m³ across this</w:t>
      </w:r>
      <w:r>
        <w:t xml:space="preserve"> </w:t>
      </w:r>
      <m:oMath>
        <m:sSub>
          <m:e>
            <m:r>
              <m:t>σ</m:t>
            </m:r>
          </m:e>
          <m:sub>
            <m:r>
              <m:t>s</m:t>
            </m:r>
            <m:r>
              <m:t>d</m:t>
            </m:r>
          </m:sub>
        </m:sSub>
      </m:oMath>
      <w:r>
        <w:t xml:space="preserve"> </w:t>
      </w:r>
      <w:r>
        <w:t xml:space="preserve">range), with K=1 overshooting (~52,000 to ~89,000 m³) and K=3 undershooting (~2,800 to ~13,600 m³). The per-event labor-scaling extension (§S17.2) closes the WB gap essentially exactly (~25,000 m³ predicted, 0.91× of observed) independently of any specific</w:t>
      </w:r>
      <w:r>
        <w:t xml:space="preserve"> </w:t>
      </w:r>
      <m:oMath>
        <m:r>
          <m:t>K</m:t>
        </m:r>
      </m:oMath>
      <w:r>
        <w:t xml:space="preserve"> </w:t>
      </w:r>
      <w:r>
        <w:t xml:space="preserve">value sweep-selected against the volume observation. We therefore no longer treat the regime-switching closure as the principal reconciliation. The regime-switching extension’s substantive role in the framework is to account for the episodic</w:t>
      </w:r>
      <w:r>
        <w:t xml:space="preserve"> </w:t>
      </w:r>
      <w:r>
        <w:rPr>
          <w:i/>
          <w:iCs/>
        </w:rPr>
        <w:t xml:space="preserve">tempo</w:t>
      </w:r>
      <w:r>
        <w:t xml:space="preserve"> </w:t>
      </w:r>
      <w:r>
        <w:t xml:space="preserve">of WB construction (the 200+-year inter-stage gaps), which it does at any</w:t>
      </w:r>
      <w:r>
        <w:t xml:space="preserve"> </w:t>
      </w:r>
      <m:oMath>
        <m:r>
          <m:t>K</m:t>
        </m:r>
        <m:r>
          <m:rPr>
            <m:sty m:val="p"/>
          </m:rPr>
          <m:t>≥</m:t>
        </m:r>
        <m:r>
          <m:t>1</m:t>
        </m:r>
      </m:oMath>
      <w:r>
        <w:t xml:space="preserve"> </w:t>
      </w:r>
      <w:r>
        <w:t xml:space="preserve">given the WB threshold proximity. This episodic structure is the prediction the framework makes about WB irrespective of the volume figure. The independent ethnographic anchoring of</w:t>
      </w:r>
      <w:r>
        <w:t xml:space="preserve"> </w:t>
      </w:r>
      <m:oMath>
        <m:r>
          <m:t>K</m:t>
        </m:r>
      </m:oMath>
      <w:r>
        <w:t xml:space="preserve"> </w:t>
      </w:r>
      <w:r>
        <w:t xml:space="preserve">from multi-band cooperation timescales (Wiessner 2002:434-435; Kelly 2013:159-167) remains identified as priority follow-up.</w:t>
      </w:r>
    </w:p>
    <w:p>
      <w:pPr>
        <w:pStyle w:val="BodyText"/>
      </w:pPr>
      <w:r>
        <w:t xml:space="preserve">Reproducible from</w:t>
      </w:r>
      <w:r>
        <w:t xml:space="preserve"> </w:t>
      </w:r>
      <w:r>
        <w:rPr>
          <w:rStyle w:val="VerbatimChar"/>
        </w:rPr>
        <w:t xml:space="preserve">scripts/analysis/regime_switching_simulation.py</w:t>
      </w:r>
      <w:r>
        <w:t xml:space="preserve">, with outputs in</w:t>
      </w:r>
      <w:r>
        <w:t xml:space="preserve"> </w:t>
      </w:r>
      <w:r>
        <w:rPr>
          <w:rStyle w:val="VerbatimChar"/>
        </w:rPr>
        <w:t xml:space="preserve">results/sensitivity/regime_switching_wb.json</w:t>
      </w:r>
      <w:r>
        <w:t xml:space="preserve">. Full ABM-level regime-switching with endogenous strategy switching and explicit annual fitness comparison remains as future work.</w:t>
      </w:r>
    </w:p>
    <w:bookmarkEnd w:id="95"/>
    <w:bookmarkStart w:id="96" w:name="s17.2-per-event-labor-scaling"/>
    <w:p>
      <w:pPr>
        <w:pStyle w:val="Heading3"/>
      </w:pPr>
      <w:r>
        <w:t xml:space="preserve">S17.2 Per-event labor scaling</w:t>
      </w:r>
    </w:p>
    <w:p>
      <w:pPr>
        <w:pStyle w:val="FirstParagraph"/>
      </w:pPr>
      <w:r>
        <w:t xml:space="preserve">(Main text §6.1;</w:t>
      </w:r>
      <w:r>
        <w:t xml:space="preserve"> </w:t>
      </w:r>
      <w:r>
        <w:rPr>
          <w:i/>
          <w:iCs/>
        </w:rPr>
        <w:t xml:space="preserve">Labor-to-volume calibration</w:t>
      </w:r>
      <w:r>
        <w:t xml:space="preserve"> </w:t>
      </w:r>
      <w:r>
        <w:t xml:space="preserve">in main §7.4.)</w:t>
      </w:r>
      <w:r>
        <w:t xml:space="preserve"> </w:t>
      </w:r>
      <w:r>
        <w:rPr>
          <w:b/>
          <w:bCs/>
        </w:rPr>
        <w:t xml:space="preserve">Implemented in this revision. Central to the §6.3 Watson Brake closure and the §6.6 cross-LMV magnitude correlation.</w:t>
      </w:r>
      <w:r>
        <w:t xml:space="preserve"> </w:t>
      </w:r>
      <w:r>
        <w:t xml:space="preserve">We add a power-law scaling factor</w:t>
      </w:r>
      <w:r>
        <w:t xml:space="preserve"> </w:t>
      </w:r>
      <m:oMath>
        <m:sSup>
          <m:e>
            <m:r>
              <m:t>m</m:t>
            </m:r>
          </m:e>
          <m:sup>
            <m:r>
              <m:t>3</m:t>
            </m:r>
          </m:sup>
        </m:sSup>
        <m:r>
          <m:rPr>
            <m:sty m:val="p"/>
          </m:rPr>
          <m:t>/</m:t>
        </m:r>
        <m:r>
          <m:rPr>
            <m:nor/>
            <m:sty m:val="p"/>
          </m:rPr>
          <m:t>unit</m:t>
        </m:r>
        <m:r>
          <m:rPr>
            <m:sty m:val="p"/>
          </m:rPr>
          <m:t>(</m:t>
        </m:r>
        <m:r>
          <m:t>n</m:t>
        </m:r>
        <m:r>
          <m:rPr>
            <m:sty m:val="p"/>
          </m:rPr>
          <m:t>)</m:t>
        </m:r>
        <m:r>
          <m:rPr>
            <m:sty m:val="p"/>
          </m:rPr>
          <m:t>=</m:t>
        </m:r>
        <m:sSub>
          <m:e>
            <m:r>
              <m:t>b</m:t>
            </m:r>
          </m:e>
          <m:sub>
            <m:r>
              <m:t>0</m:t>
            </m:r>
          </m:sub>
        </m:sSub>
        <m:r>
          <m:rPr>
            <m:sty m:val="p"/>
          </m:rPr>
          <m:t>⋅</m:t>
        </m:r>
        <m:r>
          <m:rPr>
            <m:sty m:val="p"/>
          </m:rPr>
          <m:t>(</m:t>
        </m:r>
        <m:sSub>
          <m:e>
            <m:r>
              <m:t>n</m:t>
            </m:r>
          </m:e>
          <m:sub>
            <m:r>
              <m:t>a</m:t>
            </m:r>
            <m:r>
              <m:t>g</m:t>
            </m:r>
            <m:r>
              <m:t>g</m:t>
            </m:r>
          </m:sub>
        </m:sSub>
        <m:r>
          <m:rPr>
            <m:sty m:val="p"/>
          </m:rPr>
          <m:t>/</m:t>
        </m:r>
        <m:r>
          <m:t>25</m:t>
        </m:r>
        <m:sSup>
          <m:e>
            <m:r>
              <m:rPr>
                <m:sty m:val="p"/>
              </m:rPr>
              <m:t>)</m:t>
            </m:r>
          </m:e>
          <m:sup>
            <m:r>
              <m:t>α</m:t>
            </m:r>
          </m:sup>
        </m:sSup>
      </m:oMath>
      <w:r>
        <w:t xml:space="preserve">, where</w:t>
      </w:r>
      <w:r>
        <w:t xml:space="preserve"> </w:t>
      </w:r>
      <m:oMath>
        <m:sSub>
          <m:e>
            <m:r>
              <m:t>b</m:t>
            </m:r>
          </m:e>
          <m:sub>
            <m:r>
              <m:t>0</m:t>
            </m:r>
          </m:sub>
        </m:sSub>
        <m:r>
          <m:rPr>
            <m:sty m:val="p"/>
          </m:rPr>
          <m:t>=</m:t>
        </m:r>
        <m:r>
          <m:t>5</m:t>
        </m:r>
        <m:r>
          <m:rPr>
            <m:sty m:val="p"/>
          </m:rPr>
          <m:t>,</m:t>
        </m:r>
        <m:r>
          <m:t>779</m:t>
        </m:r>
      </m:oMath>
      <w:r>
        <w:t xml:space="preserve"> </w:t>
      </w:r>
      <w:r>
        <w:t xml:space="preserve">m³ per</w:t>
      </w:r>
      <w:r>
        <w:t xml:space="preserve"> </w:t>
      </w:r>
      <m:oMath>
        <m:sSub>
          <m:e>
            <m:r>
              <m:t>M</m:t>
            </m:r>
          </m:e>
          <m:sub>
            <m:r>
              <m:t>g</m:t>
            </m:r>
          </m:sub>
        </m:sSub>
      </m:oMath>
      <w:r>
        <w:t xml:space="preserve"> </w:t>
      </w:r>
      <w:r>
        <w:t xml:space="preserve">unit anchors PP to its observed 750,000 m³ and the exponent</w:t>
      </w:r>
      <w:r>
        <w:t xml:space="preserve"> </w:t>
      </w:r>
      <m:oMath>
        <m:r>
          <m:t>α</m:t>
        </m:r>
      </m:oMath>
      <w:r>
        <w:t xml:space="preserve"> </w:t>
      </w:r>
      <w:r>
        <w:t xml:space="preserve">encodes how strongly per-crew output scales with crew size. Sweeping</w:t>
      </w:r>
      <w:r>
        <w:t xml:space="preserve"> </w:t>
      </w:r>
      <m:oMath>
        <m:r>
          <m:t>α</m:t>
        </m:r>
        <m:r>
          <m:rPr>
            <m:sty m:val="p"/>
          </m:rPr>
          <m:t>∈</m:t>
        </m:r>
        <m:r>
          <m:rPr>
            <m:sty m:val="p"/>
          </m:rPr>
          <m:t>{</m:t>
        </m:r>
        <m:r>
          <m:t>0</m:t>
        </m:r>
        <m:r>
          <m:rPr>
            <m:sty m:val="p"/>
          </m:rPr>
          <m:t>,</m:t>
        </m:r>
        <m:r>
          <m:t>0.5</m:t>
        </m:r>
        <m:r>
          <m:rPr>
            <m:sty m:val="p"/>
          </m:rPr>
          <m:t>,</m:t>
        </m:r>
        <m:r>
          <m:t>1</m:t>
        </m:r>
        <m:r>
          <m:rPr>
            <m:sty m:val="p"/>
          </m:rPr>
          <m:t>,</m:t>
        </m:r>
        <m:r>
          <m:t>1.25</m:t>
        </m:r>
        <m:r>
          <m:rPr>
            <m:sty m:val="p"/>
          </m:rPr>
          <m:t>,</m:t>
        </m:r>
        <m:r>
          <m:t>1.5</m:t>
        </m:r>
        <m:r>
          <m:rPr>
            <m:sty m:val="p"/>
          </m:rPr>
          <m:t>,</m:t>
        </m:r>
        <m:r>
          <m:t>1.75</m:t>
        </m:r>
        <m:r>
          <m:rPr>
            <m:sty m:val="p"/>
          </m:rPr>
          <m:t>,</m:t>
        </m:r>
        <m:r>
          <m:t>2</m:t>
        </m:r>
        <m:r>
          <m:rPr>
            <m:sty m:val="p"/>
          </m:rPr>
          <m:t>,</m:t>
        </m:r>
        <m:r>
          <m:t>2.5</m:t>
        </m:r>
        <m:r>
          <m:rPr>
            <m:sty m:val="p"/>
          </m:rPr>
          <m:t>}</m:t>
        </m:r>
      </m:oMath>
      <w:r>
        <w:t xml:space="preserve"> </w:t>
      </w:r>
      <w:r>
        <w:t xml:space="preserve">and comparing predicted-vs-observed volumes across the eleven LMV sites: the rank-correlation Spearman</w:t>
      </w:r>
      <w:r>
        <w:t xml:space="preserve"> </w:t>
      </w:r>
      <m:oMath>
        <m:r>
          <m:t>ρ</m:t>
        </m:r>
      </m:oMath>
      <w:r>
        <w:t xml:space="preserve"> </w:t>
      </w:r>
      <w:r>
        <w:t xml:space="preserve">is invariant at</w:t>
      </w:r>
      <w:r>
        <w:t xml:space="preserve"> </w:t>
      </w:r>
      <m:oMath>
        <m:r>
          <m:t>0.85</m:t>
        </m:r>
      </m:oMath>
      <w:r>
        <w:t xml:space="preserve">-</w:t>
      </w:r>
      <m:oMath>
        <m:r>
          <m:t>0.90</m:t>
        </m:r>
      </m:oMath>
      <w:r>
        <w:t xml:space="preserve"> </w:t>
      </w:r>
      <w:r>
        <w:t xml:space="preserve">(the scaling factor preserves relative ordering by design). The absolute calibration is closest at</w:t>
      </w:r>
      <w:r>
        <w:t xml:space="preserve"> </w:t>
      </w:r>
      <m:oMath>
        <m:r>
          <m:t>α</m:t>
        </m:r>
        <m:r>
          <m:rPr>
            <m:sty m:val="p"/>
          </m:rPr>
          <m:t>≈</m:t>
        </m:r>
        <m:r>
          <m:t>2.0</m:t>
        </m:r>
      </m:oMath>
      <w:r>
        <w:t xml:space="preserve">, where mean</w:t>
      </w:r>
      <w:r>
        <w:t xml:space="preserve"> </w:t>
      </w:r>
      <m:oMath>
        <m:sSub>
          <m:e>
            <m:r>
              <m:rPr>
                <m:sty m:val="p"/>
              </m:rPr>
              <m:t>log</m:t>
            </m:r>
          </m:e>
          <m:sub>
            <m:r>
              <m:t>10</m:t>
            </m:r>
          </m:sub>
        </m:sSub>
        <m:r>
          <m:rPr>
            <m:sty m:val="p"/>
          </m:rPr>
          <m:t>(</m:t>
        </m:r>
        <m:r>
          <m:rPr>
            <m:nor/>
            <m:sty m:val="p"/>
          </m:rPr>
          <m:t>pred</m:t>
        </m:r>
        <m:r>
          <m:rPr>
            <m:sty m:val="p"/>
          </m:rPr>
          <m:t>/</m:t>
        </m:r>
        <m:r>
          <m:rPr>
            <m:nor/>
            <m:sty m:val="p"/>
          </m:rPr>
          <m:t>obs</m:t>
        </m:r>
        <m:r>
          <m:rPr>
            <m:sty m:val="p"/>
          </m:rPr>
          <m:t>)</m:t>
        </m:r>
        <m:r>
          <m:rPr>
            <m:sty m:val="p"/>
          </m:rPr>
          <m:t>=</m:t>
        </m:r>
        <m:r>
          <m:rPr>
            <m:sty m:val="p"/>
          </m:rPr>
          <m:t>+</m:t>
        </m:r>
        <m:r>
          <m:t>0.10</m:t>
        </m:r>
      </m:oMath>
      <w:r>
        <w:t xml:space="preserve"> </w:t>
      </w:r>
      <w:r>
        <w:t xml:space="preserve">across the sample (all sites within ~10</w:t>
      </w:r>
      <m:oMath>
        <m:sSup>
          <m:e>
            <m:r>
              <m:t>​</m:t>
            </m:r>
          </m:e>
          <m:sup>
            <m:r>
              <m:t>0.5</m:t>
            </m:r>
          </m:sup>
        </m:sSup>
      </m:oMath>
      <w:r>
        <w:t xml:space="preserve"> </w:t>
      </w:r>
      <w:r>
        <w:t xml:space="preserve">= 3</w:t>
      </w:r>
      <m:oMath>
        <m:r>
          <m:rPr>
            <m:sty m:val="p"/>
          </m:rPr>
          <m:t>×</m:t>
        </m:r>
      </m:oMath>
      <w:r>
        <w:t xml:space="preserve"> </w:t>
      </w:r>
      <w:r>
        <w:t xml:space="preserve">of observed volume; std of log-ratios is 0.54). At</w:t>
      </w:r>
      <w:r>
        <w:t xml:space="preserve"> </w:t>
      </w:r>
      <m:oMath>
        <m:r>
          <m:t>α</m:t>
        </m:r>
        <m:r>
          <m:rPr>
            <m:sty m:val="p"/>
          </m:rPr>
          <m:t>=</m:t>
        </m:r>
        <m:r>
          <m:t>2.0</m:t>
        </m:r>
      </m:oMath>
      <w:r>
        <w:t xml:space="preserve">, the WB prediction drops from 240,000 m³ to ~25,000 m³, essentially matching the LiDAR-derived per-mound volume of 27,065 m³ (§5.1) within ~9% (ratio 0.91×). J.W. Copes drops from 90,000 m³ to ~1,300 m³ (vs observed 500 m³, ~2.6</w:t>
      </w:r>
      <m:oMath>
        <m:r>
          <m:rPr>
            <m:sty m:val="p"/>
          </m:rPr>
          <m:t>×</m:t>
        </m:r>
      </m:oMath>
      <w:r>
        <w:t xml:space="preserve">). Insley drops from 180,000 m³ to ~10,400 m³ (vs observed 14,000 m³, ~0.7</w:t>
      </w:r>
      <m:oMath>
        <m:r>
          <m:rPr>
            <m:sty m:val="p"/>
          </m:rPr>
          <m:t>×</m:t>
        </m:r>
      </m:oMath>
      <w:r>
        <w:t xml:space="preserve">, slight underpredict).</w:t>
      </w:r>
    </w:p>
    <w:p>
      <w:pPr>
        <w:pStyle w:val="BodyText"/>
      </w:pPr>
      <w:r>
        <w:t xml:space="preserve">The interpretation requires honest framing. The rank-correlation invariance (</w:t>
      </w:r>
      <m:oMath>
        <m:r>
          <m:t>ρ</m:t>
        </m:r>
        <m:r>
          <m:rPr>
            <m:sty m:val="p"/>
          </m:rPr>
          <m:t>=</m:t>
        </m:r>
        <m:r>
          <m:rPr>
            <m:sty m:val="p"/>
          </m:rPr>
          <m:t>+</m:t>
        </m:r>
        <m:r>
          <m:t>0.85</m:t>
        </m:r>
      </m:oMath>
      <w:r>
        <w:t xml:space="preserve"> </w:t>
      </w:r>
      <w:r>
        <w:t xml:space="preserve">to</w:t>
      </w:r>
      <w:r>
        <w:t xml:space="preserve"> </w:t>
      </w:r>
      <m:oMath>
        <m:r>
          <m:rPr>
            <m:sty m:val="p"/>
          </m:rPr>
          <m:t>+</m:t>
        </m:r>
        <m:r>
          <m:t>0.90</m:t>
        </m:r>
      </m:oMath>
      <w:r>
        <w:t xml:space="preserve"> </w:t>
      </w:r>
      <w:r>
        <w:t xml:space="preserve">across all</w:t>
      </w:r>
      <w:r>
        <w:t xml:space="preserve"> </w:t>
      </w:r>
      <m:oMath>
        <m:r>
          <m:t>α</m:t>
        </m:r>
      </m:oMath>
      <w:r>
        <w:t xml:space="preserve">) reflects that the n-power scaling preserves rank order by construction. The absolute-volume agreement at</w:t>
      </w:r>
      <w:r>
        <w:t xml:space="preserve"> </w:t>
      </w:r>
      <m:oMath>
        <m:r>
          <m:t>α</m:t>
        </m:r>
        <m:r>
          <m:rPr>
            <m:sty m:val="p"/>
          </m:rPr>
          <m:t>=</m:t>
        </m:r>
        <m:r>
          <m:t>2.0</m:t>
        </m:r>
      </m:oMath>
      <w:r>
        <w:t xml:space="preserve"> </w:t>
      </w:r>
      <w:r>
        <w:t xml:space="preserve">is</w:t>
      </w:r>
      <w:r>
        <w:t xml:space="preserve"> </w:t>
      </w:r>
      <w:r>
        <w:rPr>
          <w:i/>
          <w:iCs/>
        </w:rPr>
        <w:t xml:space="preserve">not</w:t>
      </w:r>
      <w:r>
        <w:t xml:space="preserve"> </w:t>
      </w:r>
      <w:r>
        <w:t xml:space="preserve">a prediction:</w:t>
      </w:r>
      <w:r>
        <w:t xml:space="preserve"> </w:t>
      </w:r>
      <m:oMath>
        <m:r>
          <m:t>α</m:t>
        </m:r>
      </m:oMath>
      <w:r>
        <w:t xml:space="preserve"> </w:t>
      </w:r>
      <w:r>
        <w:t xml:space="preserve">was selected as the value that minimizes mean</w:t>
      </w:r>
      <w:r>
        <w:t xml:space="preserve"> </w:t>
      </w:r>
      <m:oMath>
        <m:r>
          <m:rPr>
            <m:sty m:val="p"/>
          </m:rPr>
          <m:t>|</m:t>
        </m:r>
        <m:sSub>
          <m:e>
            <m:r>
              <m:rPr>
                <m:sty m:val="p"/>
              </m:rPr>
              <m:t>log</m:t>
            </m:r>
          </m:e>
          <m:sub>
            <m:r>
              <m:t>10</m:t>
            </m:r>
          </m:sub>
        </m:sSub>
        <m:r>
          <m:rPr>
            <m:sty m:val="p"/>
          </m:rPr>
          <m:t>(</m:t>
        </m:r>
        <m:r>
          <m:rPr>
            <m:nor/>
            <m:sty m:val="p"/>
          </m:rPr>
          <m:t>pred</m:t>
        </m:r>
        <m:r>
          <m:rPr>
            <m:sty m:val="p"/>
          </m:rPr>
          <m:t>/</m:t>
        </m:r>
        <m:r>
          <m:rPr>
            <m:nor/>
            <m:sty m:val="p"/>
          </m:rPr>
          <m:t>obs</m:t>
        </m:r>
        <m:r>
          <m:rPr>
            <m:sty m:val="p"/>
          </m:rPr>
          <m:t>)</m:t>
        </m:r>
        <m:r>
          <m:rPr>
            <m:sty m:val="p"/>
          </m:rPr>
          <m:t>|</m:t>
        </m:r>
      </m:oMath>
      <w:r>
        <w:t xml:space="preserve"> </w:t>
      </w:r>
      <w:r>
        <w:t xml:space="preserve">across the same eleven sites against which the magnitude prediction is then evaluated. This is calibration to the test sample, analogous to the m³-per-investment-unit anchor’s calibration to PP’s volume in main §6.1. Reading the absolute-volume agreement as a passed test would be incorrect. Reading it as a one-parameter fit that brings cross-site predictions within ~3</w:t>
      </w:r>
      <m:oMath>
        <m:r>
          <m:rPr>
            <m:sty m:val="p"/>
          </m:rPr>
          <m:t>×</m:t>
        </m:r>
      </m:oMath>
      <w:r>
        <w:t xml:space="preserve"> </w:t>
      </w:r>
      <w:r>
        <w:t xml:space="preserve">of observed is correct.</w:t>
      </w:r>
    </w:p>
    <w:p>
      <w:pPr>
        <w:pStyle w:val="BodyText"/>
      </w:pPr>
      <w:r>
        <w:t xml:space="preserve">The framework’s substantive claim is therefore (i) the rank-correlation invariant in</w:t>
      </w:r>
      <w:r>
        <w:t xml:space="preserve"> </w:t>
      </w:r>
      <m:oMath>
        <m:r>
          <m:t>α</m:t>
        </m:r>
      </m:oMath>
      <w:r>
        <w:t xml:space="preserve">, which establishes that the relative-ordering signal is in the joint</w:t>
      </w:r>
      <w:r>
        <w:t xml:space="preserve"> </w:t>
      </w:r>
      <m:oMath>
        <m:sSub>
          <m:e>
            <m:r>
              <m:t>M</m:t>
            </m:r>
          </m:e>
          <m:sub>
            <m:r>
              <m:t>g</m:t>
            </m:r>
          </m:sub>
        </m:sSub>
        <m:r>
          <m:rPr>
            <m:sty m:val="p"/>
          </m:rPr>
          <m:t>(</m:t>
        </m:r>
        <m:r>
          <m:t>ε</m:t>
        </m:r>
        <m:r>
          <m:rPr>
            <m:sty m:val="p"/>
          </m:rPr>
          <m:t>,</m:t>
        </m:r>
        <m:sSub>
          <m:e>
            <m:r>
              <m:t>n</m:t>
            </m:r>
          </m:e>
          <m:sub>
            <m:r>
              <m:t>a</m:t>
            </m:r>
            <m:r>
              <m:t>g</m:t>
            </m:r>
            <m:r>
              <m:t>g</m:t>
            </m:r>
          </m:sub>
        </m:sSub>
        <m:r>
          <m:rPr>
            <m:sty m:val="p"/>
          </m:rPr>
          <m:t>)</m:t>
        </m:r>
      </m:oMath>
      <w:r>
        <w:t xml:space="preserve"> </w:t>
      </w:r>
      <w:r>
        <w:t xml:space="preserve">structure rather than the labor-scaling exponent; and (ii) the WB-specific result at</w:t>
      </w:r>
      <w:r>
        <w:t xml:space="preserve"> </w:t>
      </w:r>
      <m:oMath>
        <m:r>
          <m:t>α</m:t>
        </m:r>
        <m:r>
          <m:rPr>
            <m:sty m:val="p"/>
          </m:rPr>
          <m:t>=</m:t>
        </m:r>
        <m:r>
          <m:t>2.0</m:t>
        </m:r>
      </m:oMath>
      <w:r>
        <w:t xml:space="preserve"> </w:t>
      </w:r>
      <w:r>
        <w:t xml:space="preserve">which closes the ~9</w:t>
      </w:r>
      <m:oMath>
        <m:r>
          <m:rPr>
            <m:sty m:val="p"/>
          </m:rPr>
          <m:t>×</m:t>
        </m:r>
      </m:oMath>
      <w:r>
        <w:t xml:space="preserve"> </w:t>
      </w:r>
      <w:r>
        <w:t xml:space="preserve">overprediction (240,000 vs LiDAR-derived 27,065 m³) subject to the labor-scaling assumption.</w:t>
      </w:r>
    </w:p>
    <w:p>
      <w:pPr>
        <w:pStyle w:val="BodyText"/>
      </w:pPr>
      <w:r>
        <w:rPr>
          <w:b/>
          <w:bCs/>
        </w:rPr>
        <w:t xml:space="preserve">Independent ethnographic anchoring of</w:t>
      </w:r>
      <w:r>
        <w:rPr>
          <w:b/>
          <w:bCs/>
        </w:rPr>
        <w:t xml:space="preserve"> </w:t>
      </w:r>
      <m:oMath>
        <m:r>
          <m:t>α</m:t>
        </m:r>
      </m:oMath>
      <w:r>
        <w:rPr>
          <w:b/>
          <w:bCs/>
        </w:rPr>
        <w:t xml:space="preserve">.</w:t>
      </w:r>
      <w:r>
        <w:t xml:space="preserve"> </w:t>
      </w:r>
      <w:r>
        <w:t xml:space="preserve">Erasmus (1965) experimentally measured monument-building rates in the Mexican highlands and established that one laborer with a wooden digging stick excavates approximately 2.6 m³ of earthen fill per five-hour person-day. Ortmann and Kidder (2013) use this rate as the empirical anchor for their 91,700 person-day estimate for Mound A. Under additive labor accounting (per-person rate constant across crew sizes), Erasmus’s rate corresponds to</w:t>
      </w:r>
      <w:r>
        <w:t xml:space="preserve"> </w:t>
      </w:r>
      <m:oMath>
        <m:r>
          <m:t>α</m:t>
        </m:r>
        <m:r>
          <m:rPr>
            <m:sty m:val="p"/>
          </m:rPr>
          <m:t>≈</m:t>
        </m:r>
        <m:r>
          <m:t>1</m:t>
        </m:r>
      </m:oMath>
      <w:r>
        <w:t xml:space="preserve"> </w:t>
      </w:r>
      <w:r>
        <w:t xml:space="preserve">in the framework’s scaling factor</w:t>
      </w:r>
      <w:r>
        <w:t xml:space="preserve"> </w:t>
      </w:r>
      <m:oMath>
        <m:sSup>
          <m:e>
            <m:r>
              <m:t>m</m:t>
            </m:r>
          </m:e>
          <m:sup>
            <m:r>
              <m:t>3</m:t>
            </m:r>
          </m:sup>
        </m:sSup>
        <m:r>
          <m:rPr>
            <m:sty m:val="p"/>
          </m:rPr>
          <m:t>/</m:t>
        </m:r>
        <m:r>
          <m:rPr>
            <m:nor/>
            <m:sty m:val="p"/>
          </m:rPr>
          <m:t>unit</m:t>
        </m:r>
        <m:r>
          <m:rPr>
            <m:sty m:val="p"/>
          </m:rPr>
          <m:t>(</m:t>
        </m:r>
        <m:r>
          <m:t>n</m:t>
        </m:r>
        <m:r>
          <m:rPr>
            <m:sty m:val="p"/>
          </m:rPr>
          <m:t>)</m:t>
        </m:r>
        <m:r>
          <m:rPr>
            <m:sty m:val="p"/>
          </m:rPr>
          <m:t>=</m:t>
        </m:r>
        <m:sSub>
          <m:e>
            <m:r>
              <m:t>b</m:t>
            </m:r>
          </m:e>
          <m:sub>
            <m:r>
              <m:t>0</m:t>
            </m:r>
          </m:sub>
        </m:sSub>
        <m:r>
          <m:rPr>
            <m:sty m:val="p"/>
          </m:rPr>
          <m:t>⋅</m:t>
        </m:r>
        <m:r>
          <m:rPr>
            <m:sty m:val="p"/>
          </m:rPr>
          <m:t>(</m:t>
        </m:r>
        <m:sSub>
          <m:e>
            <m:r>
              <m:t>n</m:t>
            </m:r>
          </m:e>
          <m:sub>
            <m:r>
              <m:t>a</m:t>
            </m:r>
            <m:r>
              <m:t>g</m:t>
            </m:r>
            <m:r>
              <m:t>g</m:t>
            </m:r>
          </m:sub>
        </m:sSub>
        <m:r>
          <m:rPr>
            <m:sty m:val="p"/>
          </m:rPr>
          <m:t>/</m:t>
        </m:r>
        <m:r>
          <m:t>25</m:t>
        </m:r>
        <m:sSup>
          <m:e>
            <m:r>
              <m:rPr>
                <m:sty m:val="p"/>
              </m:rPr>
              <m:t>)</m:t>
            </m:r>
          </m:e>
          <m:sup>
            <m:r>
              <m:t>α</m:t>
            </m:r>
          </m:sup>
        </m:sSup>
      </m:oMath>
      <w:r>
        <w:t xml:space="preserve">: total m³ output scales linearly with crew size. The</w:t>
      </w:r>
      <w:r>
        <w:t xml:space="preserve"> </w:t>
      </w:r>
      <m:oMath>
        <m:r>
          <m:t>α</m:t>
        </m:r>
        <m:r>
          <m:rPr>
            <m:sty m:val="p"/>
          </m:rPr>
          <m:t>=</m:t>
        </m:r>
        <m:r>
          <m:t>2</m:t>
        </m:r>
      </m:oMath>
      <w:r>
        <w:t xml:space="preserve"> </w:t>
      </w:r>
      <w:r>
        <w:t xml:space="preserve">value selected here implies</w:t>
      </w:r>
      <w:r>
        <w:t xml:space="preserve"> </w:t>
      </w:r>
      <w:r>
        <w:rPr>
          <w:i/>
          <w:iCs/>
        </w:rPr>
        <w:t xml:space="preserve">superadditive</w:t>
      </w:r>
      <w:r>
        <w:t xml:space="preserve"> </w:t>
      </w:r>
      <w:r>
        <w:t xml:space="preserve">scaling beyond what Erasmus’s data supports, that larger crews achieve more m³ per person than smaller crews. We do not have independent ethnographic evidence for this superadditive scaling at the crew sizes relevant for WB versus PP. The closest theoretical motivation is Carballo’s (2013) institutional argument that large collectives can capture specialization-driven productivity gains that small ones cannot. Restricting to</w:t>
      </w:r>
      <w:r>
        <w:t xml:space="preserve"> </w:t>
      </w:r>
      <m:oMath>
        <m:r>
          <m:t>α</m:t>
        </m:r>
        <m:r>
          <m:rPr>
            <m:sty m:val="p"/>
          </m:rPr>
          <m:t>=</m:t>
        </m:r>
        <m:r>
          <m:t>1</m:t>
        </m:r>
      </m:oMath>
      <w:r>
        <w:t xml:space="preserve"> </w:t>
      </w:r>
      <w:r>
        <w:t xml:space="preserve">(Erasmus-grounded) leaves the framework overpredicting Watson Brake’s LiDAR-derived 27,065 m³ by approximately 2.8-fold (predicted ~77,000 m³). Restricting to</w:t>
      </w:r>
      <w:r>
        <w:t xml:space="preserve"> </w:t>
      </w:r>
      <m:oMath>
        <m:r>
          <m:t>α</m:t>
        </m:r>
        <m:r>
          <m:rPr>
            <m:sty m:val="p"/>
          </m:rPr>
          <m:t>=</m:t>
        </m:r>
        <m:r>
          <m:t>2</m:t>
        </m:r>
      </m:oMath>
      <w:r>
        <w:t xml:space="preserve"> </w:t>
      </w:r>
      <w:r>
        <w:t xml:space="preserve">closes the gap but at the cost of conditioning the closure on a labor-scaling parameter that exceeds the available ethnographic baseline. The honest reading of the WB closure is therefore that it requires either independent justification for superadditive scaling at the relevant crew sizes (which the Erasmus baseline does not provide) or treatment as a post-hoc fit. Both readings are reported transparently here. Neither converts the closure into a forward prediction.</w:t>
      </w:r>
    </w:p>
    <w:p>
      <w:pPr>
        <w:pStyle w:val="BodyText"/>
      </w:pPr>
      <w:r>
        <w:t xml:space="preserve">Reproducible from</w:t>
      </w:r>
      <w:r>
        <w:t xml:space="preserve"> </w:t>
      </w:r>
      <w:r>
        <w:rPr>
          <w:rStyle w:val="VerbatimChar"/>
        </w:rPr>
        <w:t xml:space="preserve">scripts/analysis/per_event_labor_scaling.py</w:t>
      </w:r>
      <w:r>
        <w:t xml:space="preserve">, with outputs in</w:t>
      </w:r>
      <w:r>
        <w:t xml:space="preserve"> </w:t>
      </w:r>
      <w:r>
        <w:rPr>
          <w:rStyle w:val="VerbatimChar"/>
        </w:rPr>
        <w:t xml:space="preserve">results/sensitivity/per_event_labor_scaling.json</w:t>
      </w:r>
      <w:r>
        <w:t xml:space="preserve">.</w:t>
      </w:r>
    </w:p>
    <w:bookmarkEnd w:id="96"/>
    <w:bookmarkStart w:id="97" w:name="Xb22f72dfb61d671a9569575f81429ccb36a3121"/>
    <w:p>
      <w:pPr>
        <w:pStyle w:val="Heading3"/>
      </w:pPr>
      <w:r>
        <w:t xml:space="preserve">S17.3 Regional band allocation (minimal regional spatially-explicit model)</w:t>
      </w:r>
    </w:p>
    <w:p>
      <w:pPr>
        <w:pStyle w:val="FirstParagraph"/>
      </w:pPr>
      <w:r>
        <w:t xml:space="preserve">(Main text §7.1;</w:t>
      </w:r>
      <w:r>
        <w:t xml:space="preserve"> </w:t>
      </w:r>
      <w:r>
        <w:rPr>
          <w:i/>
          <w:iCs/>
        </w:rPr>
        <w:t xml:space="preserve">Single-site abstraction</w:t>
      </w:r>
      <w:r>
        <w:t xml:space="preserve"> </w:t>
      </w:r>
      <w:r>
        <w:t xml:space="preserve">in main §7.4.)</w:t>
      </w:r>
      <w:r>
        <w:t xml:space="preserve"> </w:t>
      </w:r>
      <w:r>
        <w:rPr>
          <w:b/>
          <w:bCs/>
        </w:rPr>
        <w:t xml:space="preserve">Minimal version implemented in this revision. Sensitivity demonstration for §6.6.</w:t>
      </w:r>
      <w:r>
        <w:t xml:space="preserve"> </w:t>
      </w:r>
      <w:r>
        <w:t xml:space="preserve">A regional band-allocation model with 50 bands, 11 candidate sites, canoe-day travel costs (~30 km/day), and a critical-mass network bonus once</w:t>
      </w:r>
      <w:r>
        <w:t xml:space="preserve"> </w:t>
      </w:r>
      <m:oMath>
        <m:sSub>
          <m:e>
            <m:r>
              <m:t>n</m:t>
            </m:r>
          </m:e>
          <m:sub>
            <m:r>
              <m:t>a</m:t>
            </m:r>
            <m:r>
              <m:t>g</m:t>
            </m:r>
            <m:r>
              <m:t>g</m:t>
            </m:r>
          </m:sub>
        </m:sSub>
        <m:r>
          <m:rPr>
            <m:sty m:val="p"/>
          </m:rPr>
          <m:t>≥</m:t>
        </m:r>
        <m:sSub>
          <m:e>
            <m:r>
              <m:t>N</m:t>
            </m:r>
          </m:e>
          <m:sub>
            <m:r>
              <m:t>t</m:t>
            </m:r>
            <m:r>
              <m:t>h</m:t>
            </m:r>
            <m:r>
              <m:t>r</m:t>
            </m:r>
            <m:r>
              <m:t>e</m:t>
            </m:r>
            <m:r>
              <m:t>s</m:t>
            </m:r>
            <m:r>
              <m:t>h</m:t>
            </m:r>
          </m:sub>
        </m:sSub>
      </m:oMath>
      <w:r>
        <w:t xml:space="preserve"> </w:t>
      </w:r>
      <w:r>
        <w:t xml:space="preserve">converges in three iterative rounds. At default parameters (NETWORK_BONUS = 0.05,</w:t>
      </w:r>
      <w:r>
        <w:t xml:space="preserve"> </w:t>
      </w:r>
      <m:oMath>
        <m:sSub>
          <m:e>
            <m:r>
              <m:t>N</m:t>
            </m:r>
          </m:e>
          <m:sub>
            <m:r>
              <m:t>t</m:t>
            </m:r>
            <m:r>
              <m:t>h</m:t>
            </m:r>
            <m:r>
              <m:t>r</m:t>
            </m:r>
            <m:r>
              <m:t>e</m:t>
            </m:r>
            <m:r>
              <m:t>s</m:t>
            </m:r>
            <m:r>
              <m:t>h</m:t>
            </m:r>
          </m:sub>
        </m:sSub>
        <m:r>
          <m:rPr>
            <m:sty m:val="p"/>
          </m:rPr>
          <m:t>=</m:t>
        </m:r>
        <m:r>
          <m:t>5</m:t>
        </m:r>
      </m:oMath>
      <w:r>
        <w:t xml:space="preserve">): winner-takes-most outcome with PP = 43 bands, Jaketown = 7 bands, all other interior sites = 0 bands. Spearman correlation of endogenized</w:t>
      </w:r>
      <w:r>
        <w:t xml:space="preserve"> </w:t>
      </w:r>
      <m:oMath>
        <m:sSub>
          <m:e>
            <m:r>
              <m:t>n</m:t>
            </m:r>
          </m:e>
          <m:sub>
            <m:r>
              <m:t>a</m:t>
            </m:r>
            <m:r>
              <m:t>g</m:t>
            </m:r>
            <m:r>
              <m:t>g</m:t>
            </m:r>
          </m:sub>
        </m:sSub>
      </m:oMath>
      <w:r>
        <w:t xml:space="preserve"> </w:t>
      </w:r>
      <w:r>
        <w:t xml:space="preserve">against observed monument scale:</w:t>
      </w:r>
      <w:r>
        <w:t xml:space="preserve"> </w:t>
      </w:r>
      <m:oMath>
        <m:r>
          <m:t>ρ</m:t>
        </m:r>
        <m:r>
          <m:rPr>
            <m:sty m:val="p"/>
          </m:rPr>
          <m:t>=</m:t>
        </m:r>
        <m:r>
          <m:rPr>
            <m:sty m:val="p"/>
          </m:rPr>
          <m:t>+</m:t>
        </m:r>
        <m:r>
          <m:t>0.39</m:t>
        </m:r>
      </m:oMath>
      <w:r>
        <w:t xml:space="preserve"> </w:t>
      </w:r>
      <w:r>
        <w:t xml:space="preserve">(</w:t>
      </w:r>
      <m:oMath>
        <m:r>
          <m:t>p</m:t>
        </m:r>
        <m:r>
          <m:rPr>
            <m:sty m:val="p"/>
          </m:rPr>
          <m:t>=</m:t>
        </m:r>
        <m:r>
          <m:t>0.24</m:t>
        </m:r>
      </m:oMath>
      <w:r>
        <w:t xml:space="preserve">, NS); against the convergence-model literature</w:t>
      </w:r>
      <w:r>
        <w:t xml:space="preserve"> </w:t>
      </w:r>
      <m:oMath>
        <m:sSub>
          <m:e>
            <m:r>
              <m:t>n</m:t>
            </m:r>
          </m:e>
          <m:sub>
            <m:r>
              <m:t>a</m:t>
            </m:r>
            <m:r>
              <m:t>g</m:t>
            </m:r>
            <m:r>
              <m:t>g</m:t>
            </m:r>
          </m:sub>
        </m:sSub>
      </m:oMath>
      <w:r>
        <w:t xml:space="preserve"> </w:t>
      </w:r>
      <w:r>
        <w:t xml:space="preserve">values:</w:t>
      </w:r>
      <w:r>
        <w:t xml:space="preserve"> </w:t>
      </w:r>
      <m:oMath>
        <m:r>
          <m:t>ρ</m:t>
        </m:r>
        <m:r>
          <m:rPr>
            <m:sty m:val="p"/>
          </m:rPr>
          <m:t>=</m:t>
        </m:r>
        <m:r>
          <m:rPr>
            <m:sty m:val="p"/>
          </m:rPr>
          <m:t>+</m:t>
        </m:r>
        <m:r>
          <m:t>0.65</m:t>
        </m:r>
      </m:oMath>
      <w:r>
        <w:t xml:space="preserve"> </w:t>
      </w:r>
      <w:r>
        <w:t xml:space="preserve">(</w:t>
      </w:r>
      <m:oMath>
        <m:r>
          <m:t>p</m:t>
        </m:r>
        <m:r>
          <m:rPr>
            <m:sty m:val="p"/>
          </m:rPr>
          <m:t>=</m:t>
        </m:r>
        <m:r>
          <m:t>0.03</m:t>
        </m:r>
      </m:oMath>
      <w:r>
        <w:t xml:space="preserve">).</w:t>
      </w:r>
    </w:p>
    <w:p>
      <w:pPr>
        <w:pStyle w:val="BodyText"/>
      </w:pPr>
      <w:r>
        <w:rPr>
          <w:b/>
          <w:bCs/>
        </w:rPr>
        <w:t xml:space="preserve">Parameter sensitivity.</w:t>
      </w:r>
      <w:r>
        <w:t xml:space="preserve"> </w:t>
      </w:r>
      <w:r>
        <w:t xml:space="preserve">A sensitivity sweep across NETWORK_BONUS</w:t>
      </w:r>
      <w:r>
        <w:t xml:space="preserve"> </w:t>
      </w:r>
      <m:oMath>
        <m:r>
          <m:rPr>
            <m:sty m:val="p"/>
          </m:rPr>
          <m:t>∈</m:t>
        </m:r>
        <m:r>
          <m:rPr>
            <m:sty m:val="p"/>
          </m:rPr>
          <m:t>{</m:t>
        </m:r>
        <m:r>
          <m:t>0.00</m:t>
        </m:r>
        <m:r>
          <m:rPr>
            <m:sty m:val="p"/>
          </m:rPr>
          <m:t>,</m:t>
        </m:r>
        <m:r>
          <m:t>0.025</m:t>
        </m:r>
        <m:r>
          <m:rPr>
            <m:sty m:val="p"/>
          </m:rPr>
          <m:t>,</m:t>
        </m:r>
        <m:r>
          <m:t>0.05</m:t>
        </m:r>
        <m:r>
          <m:rPr>
            <m:sty m:val="p"/>
          </m:rPr>
          <m:t>,</m:t>
        </m:r>
        <m:r>
          <m:t>0.10</m:t>
        </m:r>
        <m:r>
          <m:rPr>
            <m:sty m:val="p"/>
          </m:rPr>
          <m:t>,</m:t>
        </m:r>
        <m:r>
          <m:t>0.20</m:t>
        </m:r>
        <m:r>
          <m:rPr>
            <m:sty m:val="p"/>
          </m:rPr>
          <m:t>}</m:t>
        </m:r>
      </m:oMath>
      <w:r>
        <w:t xml:space="preserve"> </w:t>
      </w:r>
      <w:r>
        <w:t xml:space="preserve">and</w:t>
      </w:r>
      <w:r>
        <w:t xml:space="preserve"> </w:t>
      </w:r>
      <m:oMath>
        <m:sSub>
          <m:e>
            <m:r>
              <m:t>N</m:t>
            </m:r>
          </m:e>
          <m:sub>
            <m:r>
              <m:t>t</m:t>
            </m:r>
            <m:r>
              <m:t>h</m:t>
            </m:r>
            <m:r>
              <m:t>r</m:t>
            </m:r>
            <m:r>
              <m:t>e</m:t>
            </m:r>
            <m:r>
              <m:t>s</m:t>
            </m:r>
            <m:r>
              <m:t>h</m:t>
            </m:r>
          </m:sub>
        </m:sSub>
        <m:r>
          <m:rPr>
            <m:sty m:val="p"/>
          </m:rPr>
          <m:t>∈</m:t>
        </m:r>
        <m:r>
          <m:rPr>
            <m:sty m:val="p"/>
          </m:rPr>
          <m:t>{</m:t>
        </m:r>
        <m:r>
          <m:t>2</m:t>
        </m:r>
        <m:r>
          <m:rPr>
            <m:sty m:val="p"/>
          </m:rPr>
          <m:t>,</m:t>
        </m:r>
        <m:r>
          <m:t>3</m:t>
        </m:r>
        <m:r>
          <m:rPr>
            <m:sty m:val="p"/>
          </m:rPr>
          <m:t>,</m:t>
        </m:r>
        <m:r>
          <m:t>5</m:t>
        </m:r>
        <m:r>
          <m:rPr>
            <m:sty m:val="p"/>
          </m:rPr>
          <m:t>,</m:t>
        </m:r>
        <m:r>
          <m:t>8</m:t>
        </m:r>
        <m:r>
          <m:rPr>
            <m:sty m:val="p"/>
          </m:rPr>
          <m:t>}</m:t>
        </m:r>
      </m:oMath>
      <w:r>
        <w:t xml:space="preserve"> </w:t>
      </w:r>
      <w:r>
        <w:t xml:space="preserve">(20 cells) confirms the winner-takes-most outcome is robust to parameter choice: 17 of 20 cells produce the same PP = 43 / Jaketown = 7 split (ρ = +0.39 against observed scale), and the remaining 3 cells (those with</w:t>
      </w:r>
      <w:r>
        <w:t xml:space="preserve"> </w:t>
      </w:r>
      <m:oMath>
        <m:sSub>
          <m:e>
            <m:r>
              <m:t>N</m:t>
            </m:r>
          </m:e>
          <m:sub>
            <m:r>
              <m:t>t</m:t>
            </m:r>
            <m:r>
              <m:t>h</m:t>
            </m:r>
            <m:r>
              <m:t>r</m:t>
            </m:r>
            <m:r>
              <m:t>e</m:t>
            </m:r>
            <m:r>
              <m:t>s</m:t>
            </m:r>
            <m:r>
              <m:t>h</m:t>
            </m:r>
          </m:sub>
        </m:sSub>
        <m:r>
          <m:rPr>
            <m:sty m:val="p"/>
          </m:rPr>
          <m:t>=</m:t>
        </m:r>
        <m:r>
          <m:t>8</m:t>
        </m:r>
      </m:oMath>
      <w:r>
        <w:t xml:space="preserve"> </w:t>
      </w:r>
      <w:r>
        <w:t xml:space="preserve">that suppresses the Jaketown attractor below threshold) produce PP = 50 (winner-takes-all) with ρ = +0.52. Across all 20 cells, ρ ranges from +0.39 to +0.52 (median +0.39). The framework’s endogenized-</w:t>
      </w:r>
      <m:oMath>
        <m:sSub>
          <m:e>
            <m:r>
              <m:t>n</m:t>
            </m:r>
          </m:e>
          <m:sub>
            <m:r>
              <m:t>a</m:t>
            </m:r>
            <m:r>
              <m:t>g</m:t>
            </m:r>
            <m:r>
              <m:t>g</m:t>
            </m:r>
          </m:sub>
        </m:sSub>
      </m:oMath>
      <w:r>
        <w:t xml:space="preserve"> </w:t>
      </w:r>
      <w:r>
        <w:t xml:space="preserve">prediction is therefore not a parameter artifact: the qualitative result (PP as dominant regional attractor, Jaketown as secondary, all others as zero) holds across the tested parameter space. Reproducible from</w:t>
      </w:r>
      <w:r>
        <w:t xml:space="preserve"> </w:t>
      </w:r>
      <w:r>
        <w:rPr>
          <w:rStyle w:val="VerbatimChar"/>
        </w:rPr>
        <w:t xml:space="preserve">scripts/analysis/regional_band_allocation_sensitivity.py</w:t>
      </w:r>
      <w:r>
        <w:t xml:space="preserve">, with outputs in</w:t>
      </w:r>
      <w:r>
        <w:t xml:space="preserve"> </w:t>
      </w:r>
      <w:r>
        <w:rPr>
          <w:rStyle w:val="VerbatimChar"/>
        </w:rPr>
        <w:t xml:space="preserve">results/sensitivity/regional_band_allocation_sensitivity.json</w:t>
      </w:r>
      <w:r>
        <w:t xml:space="preserve">.</w:t>
      </w:r>
    </w:p>
    <w:p>
      <w:pPr>
        <w:pStyle w:val="BodyText"/>
      </w:pPr>
      <w:r>
        <w:t xml:space="preserve">The</w:t>
      </w:r>
      <w:r>
        <w:t xml:space="preserve"> </w:t>
      </w:r>
      <m:oMath>
        <m:r>
          <m:t>ρ</m:t>
        </m:r>
        <m:r>
          <m:rPr>
            <m:sty m:val="p"/>
          </m:rPr>
          <m:t>=</m:t>
        </m:r>
        <m:r>
          <m:rPr>
            <m:sty m:val="p"/>
          </m:rPr>
          <m:t>+</m:t>
        </m:r>
        <m:r>
          <m:t>0.39</m:t>
        </m:r>
      </m:oMath>
      <w:r>
        <w:t xml:space="preserve"> </w:t>
      </w:r>
      <w:r>
        <w:t xml:space="preserve">against observed scale is the framework’s genuine (n_agg-endogenized) magnitude-prediction power, substantially weaker than the</w:t>
      </w:r>
      <w:r>
        <w:t xml:space="preserve"> </w:t>
      </w:r>
      <m:oMath>
        <m:r>
          <m:t>ρ</m:t>
        </m:r>
        <m:r>
          <m:rPr>
            <m:sty m:val="p"/>
          </m:rPr>
          <m:t>=</m:t>
        </m:r>
        <m:r>
          <m:rPr>
            <m:sty m:val="p"/>
          </m:rPr>
          <m:t>+</m:t>
        </m:r>
        <m:r>
          <m:t>0.91</m:t>
        </m:r>
      </m:oMath>
      <w:r>
        <w:t xml:space="preserve"> </w:t>
      </w:r>
      <w:r>
        <w:t xml:space="preserve">that emerges when literature</w:t>
      </w:r>
      <w:r>
        <w:t xml:space="preserve"> </w:t>
      </w:r>
      <m:oMath>
        <m:sSub>
          <m:e>
            <m:r>
              <m:t>n</m:t>
            </m:r>
          </m:e>
          <m:sub>
            <m:r>
              <m:t>a</m:t>
            </m:r>
            <m:r>
              <m:t>g</m:t>
            </m:r>
            <m:r>
              <m:t>g</m:t>
            </m:r>
          </m:sub>
        </m:sSub>
      </m:oMath>
      <w:r>
        <w:t xml:space="preserve"> </w:t>
      </w:r>
      <w:r>
        <w:t xml:space="preserve">values are supplied as inputs (§S17.5 below). This confirms the partial-correlation finding directly: the framework’s</w:t>
      </w:r>
      <w:r>
        <w:t xml:space="preserve"> </w:t>
      </w:r>
      <m:oMath>
        <m:r>
          <m:t>ε</m:t>
        </m:r>
      </m:oMath>
      <w:r>
        <w:t xml:space="preserve"> </w:t>
      </w:r>
      <w:r>
        <w:t xml:space="preserve">predicts location of regional attractors but not the gradation of attained</w:t>
      </w:r>
      <w:r>
        <w:t xml:space="preserve"> </w:t>
      </w:r>
      <m:oMath>
        <m:sSub>
          <m:e>
            <m:r>
              <m:t>n</m:t>
            </m:r>
          </m:e>
          <m:sub>
            <m:r>
              <m:t>a</m:t>
            </m:r>
            <m:r>
              <m:t>g</m:t>
            </m:r>
            <m:r>
              <m:t>g</m:t>
            </m:r>
          </m:sub>
        </m:sSub>
      </m:oMath>
      <w:r>
        <w:t xml:space="preserve"> </w:t>
      </w:r>
      <w:r>
        <w:t xml:space="preserve">between PP and the smaller LMV monument-building sites. Reproducible from</w:t>
      </w:r>
      <w:r>
        <w:t xml:space="preserve"> </w:t>
      </w:r>
      <w:r>
        <w:rPr>
          <w:rStyle w:val="VerbatimChar"/>
        </w:rPr>
        <w:t xml:space="preserve">scripts/analysis/regional_band_allocation.py</w:t>
      </w:r>
      <w:r>
        <w:t xml:space="preserve"> </w:t>
      </w:r>
      <w:r>
        <w:t xml:space="preserve">and</w:t>
      </w:r>
      <w:r>
        <w:t xml:space="preserve"> </w:t>
      </w:r>
      <w:r>
        <w:rPr>
          <w:rStyle w:val="VerbatimChar"/>
        </w:rPr>
        <w:t xml:space="preserve">regional_band_allocation_sensitivity.py</w:t>
      </w:r>
      <w:r>
        <w:t xml:space="preserve">, with outputs in</w:t>
      </w:r>
      <w:r>
        <w:t xml:space="preserve"> </w:t>
      </w:r>
      <w:r>
        <w:rPr>
          <w:rStyle w:val="VerbatimChar"/>
        </w:rPr>
        <w:t xml:space="preserve">results/sensitivity/regional_band_allocation.json</w:t>
      </w:r>
      <w:r>
        <w:t xml:space="preserve"> </w:t>
      </w:r>
      <w:r>
        <w:t xml:space="preserve">and</w:t>
      </w:r>
      <w:r>
        <w:t xml:space="preserve"> </w:t>
      </w:r>
      <w:r>
        <w:rPr>
          <w:rStyle w:val="VerbatimChar"/>
        </w:rPr>
        <w:t xml:space="preserve">regional_band_allocation_sensitivity.json</w:t>
      </w:r>
      <w:r>
        <w:t xml:space="preserve">. The full version with hydrographic routing on a digital elevation model, carrying-capacity dynamics, path-dependence over multi-century timescales, and stochastic exploration / exploitation balance remains as future work that would be expected to soften the winner-takes-most outcome and produce more graded</w:t>
      </w:r>
      <w:r>
        <w:t xml:space="preserve"> </w:t>
      </w:r>
      <m:oMath>
        <m:sSub>
          <m:e>
            <m:r>
              <m:t>n</m:t>
            </m:r>
          </m:e>
          <m:sub>
            <m:r>
              <m:t>a</m:t>
            </m:r>
            <m:r>
              <m:t>g</m:t>
            </m:r>
            <m:r>
              <m:t>g</m:t>
            </m:r>
          </m:sub>
        </m:sSub>
      </m:oMath>
      <w:r>
        <w:t xml:space="preserve"> </w:t>
      </w:r>
      <w:r>
        <w:t xml:space="preserve">predictions matching the convergence-model values.</w:t>
      </w:r>
    </w:p>
    <w:bookmarkEnd w:id="97"/>
    <w:bookmarkStart w:id="98" w:name="X99de2ea1146afca61ca1bb737b1f0d9599c4879"/>
    <w:p>
      <w:pPr>
        <w:pStyle w:val="Heading3"/>
      </w:pPr>
      <w:r>
        <w:t xml:space="preserve">S17.4 Covariance-based, water-route-aware travel-time catchment</w:t>
      </w:r>
    </w:p>
    <w:p>
      <w:pPr>
        <w:pStyle w:val="FirstParagraph"/>
      </w:pPr>
      <w:r>
        <w:t xml:space="preserve">(Main text §6.5;</w:t>
      </w:r>
      <w:r>
        <w:t xml:space="preserve"> </w:t>
      </w:r>
      <w:r>
        <w:rPr>
          <w:i/>
          <w:iCs/>
        </w:rPr>
        <w:t xml:space="preserve">Ecotone operationalization</w:t>
      </w:r>
      <w:r>
        <w:t xml:space="preserve"> </w:t>
      </w:r>
      <w:r>
        <w:t xml:space="preserve">in main §7.4.)</w:t>
      </w:r>
      <w:r>
        <w:t xml:space="preserve"> </w:t>
      </w:r>
      <w:r>
        <w:rPr>
          <w:b/>
          <w:bCs/>
        </w:rPr>
        <w:t xml:space="preserve">Implemented in this revision. Central to the §6.5 multi-drainage analysis.</w:t>
      </w:r>
      <w:r>
        <w:t xml:space="preserve"> </w:t>
      </w:r>
      <w:r>
        <w:t xml:space="preserve">The static-diversity proxies of main §6.4 use a 25-km circular terrestrial buffer derived from Kelly’s (2013) walking day-trip radius. We replace this with a canoe-day catchment per site, identifying which independent shortfall regimes from S15 are accessible by canoe. The empirical correlation matrix from the modern USGS gauge analysis (Mississippi-Yazoo</w:t>
      </w:r>
      <w:r>
        <w:t xml:space="preserve"> </w:t>
      </w:r>
      <m:oMath>
        <m:r>
          <m:t>r</m:t>
        </m:r>
        <m:r>
          <m:rPr>
            <m:sty m:val="p"/>
          </m:rPr>
          <m:t>=</m:t>
        </m:r>
        <m:r>
          <m:t>0.11</m:t>
        </m:r>
      </m:oMath>
      <w:r>
        <w:t xml:space="preserve">, Mississippi-Tensas</w:t>
      </w:r>
      <w:r>
        <w:t xml:space="preserve"> </w:t>
      </w:r>
      <m:oMath>
        <m:r>
          <m:t>r</m:t>
        </m:r>
        <m:r>
          <m:rPr>
            <m:sty m:val="p"/>
          </m:rPr>
          <m:t>=</m:t>
        </m:r>
        <m:r>
          <m:t>0.34</m:t>
        </m:r>
      </m:oMath>
      <w:r>
        <w:t xml:space="preserve">, Tensas-Yazoo</w:t>
      </w:r>
      <w:r>
        <w:t xml:space="preserve"> </w:t>
      </w:r>
      <m:oMath>
        <m:r>
          <m:t>r</m:t>
        </m:r>
        <m:r>
          <m:rPr>
            <m:sty m:val="p"/>
          </m:rPr>
          <m:t>=</m:t>
        </m:r>
        <m:r>
          <m:t>0.54</m:t>
        </m:r>
      </m:oMath>
      <w:r>
        <w:t xml:space="preserve">, Bayou Maçon-Tensas</w:t>
      </w:r>
      <w:r>
        <w:t xml:space="preserve"> </w:t>
      </w:r>
      <m:oMath>
        <m:r>
          <m:t>r</m:t>
        </m:r>
        <m:r>
          <m:rPr>
            <m:sty m:val="p"/>
          </m:rPr>
          <m:t>=</m:t>
        </m:r>
        <m:r>
          <m:t>0.90</m:t>
        </m:r>
      </m:oMath>
      <w:r>
        <w:t xml:space="preserve">) is used to drive a 5,000-year stochastic simulation of correlated drainage productivity. The water-route</w:t>
      </w:r>
      <w:r>
        <w:t xml:space="preserve"> </w:t>
      </w:r>
      <m:oMath>
        <m:sSub>
          <m:e>
            <m:r>
              <m:t>ε</m:t>
            </m:r>
          </m:e>
          <m:sub>
            <m:r>
              <m:t>w</m:t>
            </m:r>
            <m:r>
              <m:t>r</m:t>
            </m:r>
          </m:sub>
        </m:sSub>
      </m:oMath>
      <w:r>
        <w:t xml:space="preserve"> </w:t>
      </w:r>
      <w:r>
        <w:t xml:space="preserve">is the variance reduction in total accessible productivity relative to a single-drainage baseline.</w:t>
      </w:r>
    </w:p>
    <w:p>
      <w:pPr>
        <w:pStyle w:val="BodyText"/>
      </w:pPr>
      <w:r>
        <w:t xml:space="preserve">Per-site water-route</w:t>
      </w:r>
      <w:r>
        <w:t xml:space="preserve"> </w:t>
      </w:r>
      <m:oMath>
        <m:r>
          <m:t>ε</m:t>
        </m:r>
      </m:oMath>
      <w:r>
        <w:t xml:space="preserve"> </w:t>
      </w:r>
      <w:r>
        <w:t xml:space="preserve">(</w:t>
      </w:r>
      <w:r>
        <w:rPr>
          <w:rStyle w:val="VerbatimChar"/>
        </w:rPr>
        <w:t xml:space="preserve">scripts/analysis/water_route_catchment_epsilon.py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Independent regimes</w:t>
            </w:r>
          </w:p>
        </w:tc>
        <w:tc>
          <w:tcPr/>
          <w:p>
            <w:pPr>
              <w:pStyle w:val="Compact"/>
            </w:pPr>
            <m:oMath>
              <m:sSub>
                <m:e>
                  <m:r>
                    <m:t>ε</m:t>
                  </m:r>
                </m:e>
                <m:sub>
                  <m:r>
                    <m:t>w</m:t>
                  </m:r>
                  <m:r>
                    <m:t>r</m:t>
                  </m:r>
                </m:sub>
              </m:sSub>
            </m:oMath>
          </w:p>
        </w:tc>
      </w:tr>
      <w:tr>
        <w:tc>
          <w:tcPr/>
          <w:p>
            <w:pPr>
              <w:pStyle w:val="Compact"/>
            </w:pPr>
            <w:r>
              <w:t xml:space="preserve">Poverty Point</w:t>
            </w:r>
          </w:p>
        </w:tc>
        <w:tc>
          <w:tcPr/>
          <w:p>
            <w:pPr>
              <w:pStyle w:val="Compact"/>
            </w:pPr>
            <w:r>
              <w:t xml:space="preserve">4 ([Bayou Maçon + Tensas clustered at</w:t>
            </w:r>
            <w:r>
              <w:t xml:space="preserve"> </w:t>
            </w:r>
            <m:oMath>
              <m:r>
                <m:t>r</m:t>
              </m:r>
              <m:r>
                <m:rPr>
                  <m:sty m:val="p"/>
                </m:rPr>
                <m:t>=</m:t>
              </m:r>
              <m:r>
                <m:t>0.90</m:t>
              </m:r>
            </m:oMath>
            <w:r>
              <w:t xml:space="preserve">], Mississippi, Yazoo, Macon Ridge upland)</w:t>
            </w:r>
          </w:p>
        </w:tc>
        <w:tc>
          <w:tcPr/>
          <w:p>
            <w:pPr>
              <w:pStyle w:val="Compact"/>
            </w:pPr>
            <w:r>
              <w:t xml:space="preserve">0.152</w:t>
            </w:r>
          </w:p>
        </w:tc>
      </w:tr>
      <w:tr>
        <w:tc>
          <w:tcPr/>
          <w:p>
            <w:pPr>
              <w:pStyle w:val="Compact"/>
            </w:pPr>
            <w:r>
              <w:t xml:space="preserve">Lower Jackson</w:t>
            </w:r>
          </w:p>
        </w:tc>
        <w:tc>
          <w:tcPr/>
          <w:p>
            <w:pPr>
              <w:pStyle w:val="Compact"/>
            </w:pPr>
            <w:r>
              <w:t xml:space="preserve">4 (same four regimes, partial access to the aquatic three)</w:t>
            </w:r>
          </w:p>
        </w:tc>
        <w:tc>
          <w:tcPr/>
          <w:p>
            <w:pPr>
              <w:pStyle w:val="Compact"/>
            </w:pPr>
            <w:r>
              <w:t xml:space="preserve">0.142</w:t>
            </w:r>
          </w:p>
        </w:tc>
      </w:tr>
      <w:tr>
        <w:tc>
          <w:tcPr/>
          <w:p>
            <w:pPr>
              <w:pStyle w:val="Compact"/>
            </w:pPr>
            <w:r>
              <w:t xml:space="preserve">Jaketown</w:t>
            </w:r>
          </w:p>
        </w:tc>
        <w:tc>
          <w:tcPr/>
          <w:p>
            <w:pPr>
              <w:pStyle w:val="Compact"/>
            </w:pPr>
            <w:r>
              <w:t xml:space="preserve">3 (Mississippi, Yazoo, Upland)</w:t>
            </w:r>
          </w:p>
        </w:tc>
        <w:tc>
          <w:tcPr/>
          <w:p>
            <w:pPr>
              <w:pStyle w:val="Compact"/>
            </w:pPr>
            <w:r>
              <w:t xml:space="preserve">0.149</w:t>
            </w:r>
          </w:p>
        </w:tc>
      </w:tr>
      <w:tr>
        <w:tc>
          <w:tcPr/>
          <w:p>
            <w:pPr>
              <w:pStyle w:val="Compact"/>
            </w:pPr>
            <w:r>
              <w:t xml:space="preserve">Watson Brake</w:t>
            </w:r>
          </w:p>
        </w:tc>
        <w:tc>
          <w:tcPr/>
          <w:p>
            <w:pPr>
              <w:pStyle w:val="Compact"/>
            </w:pPr>
            <w:r>
              <w:t xml:space="preserve">2 (Ouachita-system + Upland)</w:t>
            </w:r>
          </w:p>
        </w:tc>
        <w:tc>
          <w:tcPr/>
          <w:p>
            <w:pPr>
              <w:pStyle w:val="Compact"/>
            </w:pPr>
            <w:r>
              <w:t xml:space="preserve">0.114</w:t>
            </w:r>
          </w:p>
        </w:tc>
      </w:tr>
      <w:tr>
        <w:tc>
          <w:tcPr/>
          <w:p>
            <w:pPr>
              <w:pStyle w:val="Compact"/>
            </w:pPr>
            <w:r>
              <w:t xml:space="preserve">Frenchman’s Bend</w:t>
            </w:r>
          </w:p>
        </w:tc>
        <w:tc>
          <w:tcPr/>
          <w:p>
            <w:pPr>
              <w:pStyle w:val="Compact"/>
            </w:pPr>
            <w:r>
              <w:t xml:space="preserve">2 (Ouachita-tributary + Upland)</w:t>
            </w:r>
          </w:p>
        </w:tc>
        <w:tc>
          <w:tcPr/>
          <w:p>
            <w:pPr>
              <w:pStyle w:val="Compact"/>
            </w:pPr>
            <w:r>
              <w:t xml:space="preserve">0.114</w:t>
            </w:r>
          </w:p>
        </w:tc>
      </w:tr>
      <w:tr>
        <w:tc>
          <w:tcPr/>
          <w:p>
            <w:pPr>
              <w:pStyle w:val="Compact"/>
            </w:pPr>
            <w:r>
              <w:t xml:space="preserve">Insley</w:t>
            </w:r>
          </w:p>
        </w:tc>
        <w:tc>
          <w:tcPr/>
          <w:p>
            <w:pPr>
              <w:pStyle w:val="Compact"/>
            </w:pPr>
            <w:r>
              <w:t xml:space="preserve">2 ([BMacon + Tensas] partial + Upland)</w:t>
            </w:r>
          </w:p>
        </w:tc>
        <w:tc>
          <w:tcPr/>
          <w:p>
            <w:pPr>
              <w:pStyle w:val="Compact"/>
            </w:pPr>
            <w:r>
              <w:t xml:space="preserve">0.077</w:t>
            </w:r>
          </w:p>
        </w:tc>
      </w:tr>
      <w:tr>
        <w:tc>
          <w:tcPr/>
          <w:p>
            <w:pPr>
              <w:pStyle w:val="Compact"/>
            </w:pPr>
            <w:r>
              <w:t xml:space="preserve">Caney</w:t>
            </w:r>
          </w:p>
        </w:tc>
        <w:tc>
          <w:tcPr/>
          <w:p>
            <w:pPr>
              <w:pStyle w:val="Compact"/>
            </w:pPr>
            <w:r>
              <w:t xml:space="preserve">2 (Tensas-tributary partial + Upland)</w:t>
            </w:r>
          </w:p>
        </w:tc>
        <w:tc>
          <w:tcPr/>
          <w:p>
            <w:pPr>
              <w:pStyle w:val="Compact"/>
            </w:pPr>
            <w:r>
              <w:t xml:space="preserve">0.064</w:t>
            </w:r>
          </w:p>
        </w:tc>
      </w:tr>
      <w:tr>
        <w:tc>
          <w:tcPr/>
          <w:p>
            <w:pPr>
              <w:pStyle w:val="Compact"/>
            </w:pPr>
            <w:r>
              <w:t xml:space="preserve">J.W. Copes</w:t>
            </w:r>
          </w:p>
        </w:tc>
        <w:tc>
          <w:tcPr/>
          <w:p>
            <w:pPr>
              <w:pStyle w:val="Compact"/>
            </w:pPr>
            <w:r>
              <w:t xml:space="preserve">2 (Tensas + Upland partial)</w:t>
            </w:r>
          </w:p>
        </w:tc>
        <w:tc>
          <w:tcPr/>
          <w:p>
            <w:pPr>
              <w:pStyle w:val="Compact"/>
            </w:pPr>
            <w:r>
              <w:t xml:space="preserve">0.065</w:t>
            </w:r>
          </w:p>
        </w:tc>
      </w:tr>
      <w:tr>
        <w:tc>
          <w:tcPr/>
          <w:p>
            <w:pPr>
              <w:pStyle w:val="Compact"/>
            </w:pPr>
            <w:r>
              <w:t xml:space="preserve">Cowpen Slough</w:t>
            </w:r>
          </w:p>
        </w:tc>
        <w:tc>
          <w:tcPr/>
          <w:p>
            <w:pPr>
              <w:pStyle w:val="Compact"/>
            </w:pPr>
            <w:r>
              <w:t xml:space="preserve">1 (Red/Black ≈ Ouachita-system; marginal upland excluded per §6.5)</w:t>
            </w:r>
          </w:p>
        </w:tc>
        <w:tc>
          <w:tcPr/>
          <w:p>
            <w:pPr>
              <w:pStyle w:val="Compact"/>
            </w:pPr>
            <w:r>
              <w:t xml:space="preserve">0.006</w:t>
            </w:r>
          </w:p>
        </w:tc>
      </w:tr>
      <w:tr>
        <w:tc>
          <w:tcPr/>
          <w:p>
            <w:pPr>
              <w:pStyle w:val="Compact"/>
            </w:pPr>
            <w:r>
              <w:t xml:space="preserve">Claiborne, Cedarland</w:t>
            </w:r>
          </w:p>
        </w:tc>
        <w:tc>
          <w:tcPr/>
          <w:p>
            <w:pPr>
              <w:pStyle w:val="Compact"/>
            </w:pPr>
            <w:r>
              <w:t xml:space="preserve">2 (PearlGulf + Coastal Plain Upland partial)</w:t>
            </w:r>
          </w:p>
        </w:tc>
        <w:tc>
          <w:tcPr/>
          <w:p>
            <w:pPr>
              <w:pStyle w:val="Compact"/>
            </w:pPr>
            <w:r>
              <w:t xml:space="preserve">0.065</w:t>
            </w:r>
          </w:p>
        </w:tc>
      </w:tr>
    </w:tbl>
    <w:p>
      <w:pPr>
        <w:pStyle w:val="BodyText"/>
      </w:pPr>
      <w:r>
        <w:t xml:space="preserve">The water-route</w:t>
      </w:r>
      <w:r>
        <w:t xml:space="preserve"> </w:t>
      </w:r>
      <m:oMath>
        <m:r>
          <m:t>ε</m:t>
        </m:r>
      </m:oMath>
      <w:r>
        <w:t xml:space="preserve"> </w:t>
      </w:r>
      <w:r>
        <w:t xml:space="preserve">ranking places PP, Lower Jackson, and Jaketown in the top band (these three are the only sites with substantial multi-regime canoe access), Watson Brake and Frenchman’s Bend mid (Ouachita-system + upland), and the small-tributary interior sites lower. Cowpen Slough sits at the bottom of the interior ranking under the §6.5 single-regime coding (</w:t>
      </w:r>
      <m:oMath>
        <m:sSub>
          <m:e>
            <m:r>
              <m:t>ε</m:t>
            </m:r>
          </m:e>
          <m:sub>
            <m:r>
              <m:t>w</m:t>
            </m:r>
            <m:r>
              <m:t>r</m:t>
            </m:r>
          </m:sub>
        </m:sSub>
        <m:r>
          <m:rPr>
            <m:sty m:val="p"/>
          </m:rPr>
          <m:t>=</m:t>
        </m:r>
        <m:r>
          <m:t>0.006</m:t>
        </m:r>
      </m:oMath>
      <w:r>
        <w:t xml:space="preserve">). The coastal pair registers</w:t>
      </w:r>
      <w:r>
        <w:t xml:space="preserve"> </w:t>
      </w:r>
      <m:oMath>
        <m:sSub>
          <m:e>
            <m:r>
              <m:t>ε</m:t>
            </m:r>
          </m:e>
          <m:sub>
            <m:r>
              <m:t>w</m:t>
            </m:r>
            <m:r>
              <m:t>r</m:t>
            </m:r>
          </m:sub>
        </m:sSub>
        <m:r>
          <m:rPr>
            <m:sty m:val="p"/>
          </m:rPr>
          <m:t>=</m:t>
        </m:r>
        <m:r>
          <m:t>0.065</m:t>
        </m:r>
      </m:oMath>
      <w:r>
        <w:t xml:space="preserve"> </w:t>
      </w:r>
      <w:r>
        <w:t xml:space="preserve">from the Pearl-estuarine plus Coastal Plain Upland pairing, but both regimes are structurally distinct from the LMV interior, so the value is not directly comparable to the interior sites’.</w:t>
      </w:r>
    </w:p>
    <w:p>
      <w:pPr>
        <w:pStyle w:val="BodyText"/>
      </w:pPr>
      <w:r>
        <w:rPr>
          <w:b/>
          <w:bCs/>
        </w:rPr>
        <w:t xml:space="preserve">Joint test combining §S17.2 (per-event labor scaling at</w:t>
      </w:r>
      <w:r>
        <w:rPr>
          <w:b/>
          <w:bCs/>
        </w:rPr>
        <w:t xml:space="preserve"> </w:t>
      </w:r>
      <m:oMath>
        <m:r>
          <m:t>α</m:t>
        </m:r>
        <m:r>
          <m:rPr>
            <m:sty m:val="p"/>
          </m:rPr>
          <m:t>=</m:t>
        </m:r>
        <m:r>
          <m:t>2</m:t>
        </m:r>
      </m:oMath>
      <w:r>
        <w:rPr>
          <w:b/>
          <w:bCs/>
        </w:rPr>
        <w:t xml:space="preserve">), §S17.5 (per-site</w:t>
      </w:r>
      <w:r>
        <w:rPr>
          <w:b/>
          <w:bCs/>
        </w:rPr>
        <w:t xml:space="preserve"> </w:t>
      </w:r>
      <m:oMath>
        <m:sSub>
          <m:e>
            <m:r>
              <m:t>n</m:t>
            </m:r>
          </m:e>
          <m:sub>
            <m:r>
              <m:t>a</m:t>
            </m:r>
            <m:r>
              <m:t>g</m:t>
            </m:r>
            <m:r>
              <m:t>g</m:t>
            </m:r>
          </m:sub>
        </m:sSub>
      </m:oMath>
      <w:r>
        <w:rPr>
          <w:b/>
          <w:bCs/>
        </w:rPr>
        <w:t xml:space="preserve">), and the water-route</w:t>
      </w:r>
      <w:r>
        <w:rPr>
          <w:b/>
          <w:bCs/>
        </w:rPr>
        <w:t xml:space="preserve"> </w:t>
      </w:r>
      <m:oMath>
        <m:r>
          <m:t>ε</m:t>
        </m:r>
      </m:oMath>
      <w:r>
        <w:rPr>
          <w:b/>
          <w:bCs/>
        </w:rPr>
        <w:t xml:space="preserve"> </w:t>
      </w:r>
      <w:r>
        <w:rPr>
          <w:b/>
          <w:bCs/>
        </w:rPr>
        <w:t xml:space="preserve">developed here.</w:t>
      </w:r>
      <w:r>
        <w:t xml:space="preserve"> </w:t>
      </w:r>
      <w:r>
        <w:t xml:space="preserve">Combining the three implemented extensions: predicted volumes correlate with observed monument scale at Spearman</w:t>
      </w:r>
      <w:r>
        <w:t xml:space="preserve"> </w:t>
      </w:r>
      <m:oMath>
        <m:r>
          <m:t>ρ</m:t>
        </m:r>
        <m:r>
          <m:rPr>
            <m:sty m:val="p"/>
          </m:rPr>
          <m:t>=</m:t>
        </m:r>
        <m:r>
          <m:rPr>
            <m:sty m:val="p"/>
          </m:rPr>
          <m:t>+</m:t>
        </m:r>
        <m:r>
          <m:t>0.89</m:t>
        </m:r>
      </m:oMath>
      <w:r>
        <w:t xml:space="preserve"> </w:t>
      </w:r>
      <w:r>
        <w:t xml:space="preserve">(vs ordinal,</w:t>
      </w:r>
      <w:r>
        <w:t xml:space="preserve"> </w:t>
      </w:r>
      <m:oMath>
        <m:r>
          <m:t>p</m:t>
        </m:r>
        <m:r>
          <m:rPr>
            <m:sty m:val="p"/>
          </m:rPr>
          <m:t>&lt;</m:t>
        </m:r>
        <m:r>
          <m:t>0.001</m:t>
        </m:r>
      </m:oMath>
      <w:r>
        <w:t xml:space="preserve">) and</w:t>
      </w:r>
      <w:r>
        <w:t xml:space="preserve"> </w:t>
      </w:r>
      <m:oMath>
        <m:r>
          <m:t>ρ</m:t>
        </m:r>
        <m:r>
          <m:rPr>
            <m:sty m:val="p"/>
          </m:rPr>
          <m:t>=</m:t>
        </m:r>
        <m:r>
          <m:rPr>
            <m:sty m:val="p"/>
          </m:rPr>
          <m:t>+</m:t>
        </m:r>
        <m:r>
          <m:t>0.92</m:t>
        </m:r>
      </m:oMath>
      <w:r>
        <w:t xml:space="preserve"> </w:t>
      </w:r>
      <w:r>
        <w:t xml:space="preserve">(vs observed volume,</w:t>
      </w:r>
      <w:r>
        <w:t xml:space="preserve"> </w:t>
      </w:r>
      <m:oMath>
        <m:r>
          <m:t>p</m:t>
        </m:r>
        <m:r>
          <m:rPr>
            <m:sty m:val="p"/>
          </m:rPr>
          <m:t>&lt;</m:t>
        </m:r>
        <m:r>
          <m:t>0.001</m:t>
        </m:r>
      </m:oMath>
      <w:r>
        <w:t xml:space="preserve">). At the canoe-day catchment, the predicted PP volume = 750,000 m³ (calibration anchor); WB = 24,585 m³ (0.91× of LiDAR-derived per-mound 27,065 m³, §5.1); Insley = 10,375 m³ (0.7</w:t>
      </w:r>
      <m:oMath>
        <m:r>
          <m:rPr>
            <m:sty m:val="p"/>
          </m:rPr>
          <m:t>×</m:t>
        </m:r>
      </m:oMath>
      <w:r>
        <w:t xml:space="preserve"> </w:t>
      </w:r>
      <w:r>
        <w:t xml:space="preserve">observed 14,000 m³); Lower Jackson = 49 m³ (correctly identifies it as the smallest above-threshold site at</w:t>
      </w:r>
      <w:r>
        <w:t xml:space="preserve"> </w:t>
      </w:r>
      <m:oMath>
        <m:sSub>
          <m:e>
            <m:r>
              <m:t>n</m:t>
            </m:r>
          </m:e>
          <m:sub>
            <m:r>
              <m:t>a</m:t>
            </m:r>
            <m:r>
              <m:t>g</m:t>
            </m:r>
            <m:r>
              <m:t>g</m:t>
            </m:r>
          </m:sub>
        </m:sSub>
        <m:r>
          <m:rPr>
            <m:sty m:val="p"/>
          </m:rPr>
          <m:t>=</m:t>
        </m:r>
        <m:r>
          <m:t>1</m:t>
        </m:r>
      </m:oMath>
      <w:r>
        <w:t xml:space="preserve">). The water-route operationalization marginally improves the magnitude correlation over the static-rubric Spearman</w:t>
      </w:r>
      <w:r>
        <w:t xml:space="preserve"> </w:t>
      </w:r>
      <m:oMath>
        <m:r>
          <m:t>ρ</m:t>
        </m:r>
        <m:r>
          <m:rPr>
            <m:sty m:val="p"/>
          </m:rPr>
          <m:t>=</m:t>
        </m:r>
        <m:r>
          <m:rPr>
            <m:sty m:val="p"/>
          </m:rPr>
          <m:t>+</m:t>
        </m:r>
        <m:r>
          <m:t>0.85</m:t>
        </m:r>
      </m:oMath>
      <w:r>
        <w:t xml:space="preserve"> </w:t>
      </w:r>
      <w:r>
        <w:t xml:space="preserve">to</w:t>
      </w:r>
      <w:r>
        <w:t xml:space="preserve"> </w:t>
      </w:r>
      <m:oMath>
        <m:r>
          <m:rPr>
            <m:sty m:val="p"/>
          </m:rPr>
          <m:t>+</m:t>
        </m:r>
        <m:r>
          <m:t>0.90</m:t>
        </m:r>
      </m:oMath>
      <w:r>
        <w:t xml:space="preserve">, but the substantial improvement comes from making the framework’s central</w:t>
      </w:r>
      <w:r>
        <w:t xml:space="preserve"> </w:t>
      </w:r>
      <m:oMath>
        <m:r>
          <m:t>ε</m:t>
        </m:r>
      </m:oMath>
      <w:r>
        <w:t xml:space="preserve"> </w:t>
      </w:r>
      <w:r>
        <w:t xml:space="preserve">claim</w:t>
      </w:r>
      <w:r>
        <w:t xml:space="preserve"> </w:t>
      </w:r>
      <w:r>
        <w:rPr>
          <w:i/>
          <w:iCs/>
        </w:rPr>
        <w:t xml:space="preserve">measured</w:t>
      </w:r>
      <w:r>
        <w:t xml:space="preserve"> </w:t>
      </w:r>
      <w:r>
        <w:t xml:space="preserve">rather than asserted: PP’s distinguishing feature is now the integration of three to four substantively independent shortfall regimes via canoe-day catchment, supported empirically by the S15 correlation matrix.</w:t>
      </w:r>
    </w:p>
    <w:p>
      <w:pPr>
        <w:pStyle w:val="BodyText"/>
      </w:pPr>
      <w:r>
        <w:t xml:space="preserve">Reproducible from</w:t>
      </w:r>
      <w:r>
        <w:t xml:space="preserve"> </w:t>
      </w:r>
      <w:r>
        <w:rPr>
          <w:rStyle w:val="VerbatimChar"/>
        </w:rPr>
        <w:t xml:space="preserve">scripts/analysis/water_route_catchment_epsilon.py</w:t>
      </w:r>
      <w:r>
        <w:t xml:space="preserve">, with outputs in</w:t>
      </w:r>
      <w:r>
        <w:t xml:space="preserve"> </w:t>
      </w:r>
      <w:r>
        <w:rPr>
          <w:rStyle w:val="VerbatimChar"/>
        </w:rPr>
        <w:t xml:space="preserve">results/sensitivity/water_route_epsilon.json</w:t>
      </w:r>
      <w:r>
        <w:t xml:space="preserve">. Caveats: the canoe-access classification is based on published site-catchment descriptions and standard-form canoe-travel speeds (~30 km/day on navigable channels). A rigorous catchment with hydrographic routing on a digital elevation model and seasonal navigability constraints would refine the access weights but is unlikely to materially change the qualitative ranking. Pre-Holocene paleo-discharge correlations may also differ from modern values. The S15 modern correlations should be read as a first-order approximation.</w:t>
      </w:r>
    </w:p>
    <w:bookmarkEnd w:id="98"/>
    <w:bookmarkStart w:id="99" w:name="X6e88c9cd923ecba424d25efe32d2f1b2164e0a7"/>
    <w:p>
      <w:pPr>
        <w:pStyle w:val="Heading3"/>
      </w:pPr>
      <w:r>
        <w:t xml:space="preserve">S17.5 Predicted equilibrium scale ratios under per-site</w:t>
      </w:r>
      <w:r>
        <w:t xml:space="preserve"> </w:t>
      </w:r>
      <m:oMath>
        <m:sSub>
          <m:e>
            <m:r>
              <m:t>n</m:t>
            </m:r>
          </m:e>
          <m:sub>
            <m:r>
              <m:t>a</m:t>
            </m:r>
            <m:r>
              <m:t>g</m:t>
            </m:r>
            <m:r>
              <m:t>g</m:t>
            </m:r>
          </m:sub>
        </m:sSub>
      </m:oMath>
      <w:r>
        <w:t xml:space="preserve"> </w:t>
      </w:r>
      <w:r>
        <w:t xml:space="preserve">and resolved</w:t>
      </w:r>
      <w:r>
        <w:t xml:space="preserve"> </w:t>
      </w:r>
      <m:oMath>
        <m:r>
          <m:t>ε</m:t>
        </m:r>
      </m:oMath>
    </w:p>
    <w:p>
      <w:pPr>
        <w:pStyle w:val="FirstParagraph"/>
      </w:pPr>
      <w:r>
        <w:t xml:space="preserve">(Main text §6.6.)</w:t>
      </w:r>
      <w:r>
        <w:t xml:space="preserve"> </w:t>
      </w:r>
      <w:r>
        <w:rPr>
          <w:b/>
          <w:bCs/>
        </w:rPr>
        <w:t xml:space="preserve">Implemented in this revision. Sensitivity demonstration of internal consistency, with substantive caveats noted below.</w:t>
      </w:r>
      <w:r>
        <w:t xml:space="preserve"> </w:t>
      </w:r>
      <w:r>
        <w:t xml:space="preserve">With per-site</w:t>
      </w:r>
      <w:r>
        <w:t xml:space="preserve"> </w:t>
      </w:r>
      <m:oMath>
        <m:sSub>
          <m:e>
            <m:r>
              <m:t>n</m:t>
            </m:r>
          </m:e>
          <m:sub>
            <m:r>
              <m:t>a</m:t>
            </m:r>
            <m:r>
              <m:t>g</m:t>
            </m:r>
            <m:r>
              <m:t>g</m:t>
            </m:r>
          </m:sub>
        </m:sSub>
      </m:oMath>
      <w:r>
        <w:t xml:space="preserve"> </w:t>
      </w:r>
      <w:r>
        <w:t xml:space="preserve">from the convergence-model literature (PP</w:t>
      </w:r>
      <w:r>
        <w:t xml:space="preserve"> </w:t>
      </w:r>
      <m:oMath>
        <m:r>
          <m:rPr>
            <m:sty m:val="p"/>
          </m:rPr>
          <m:t>=</m:t>
        </m:r>
        <m:r>
          <m:t>25</m:t>
        </m:r>
      </m:oMath>
      <w:r>
        <w:t xml:space="preserve">, Jaketown</w:t>
      </w:r>
      <w:r>
        <w:t xml:space="preserve"> </w:t>
      </w:r>
      <m:oMath>
        <m:r>
          <m:rPr>
            <m:sty m:val="p"/>
          </m:rPr>
          <m:t>=</m:t>
        </m:r>
        <m:r>
          <m:t>8</m:t>
        </m:r>
      </m:oMath>
      <w:r>
        <w:t xml:space="preserve">, Watson Brake</w:t>
      </w:r>
      <w:r>
        <w:t xml:space="preserve"> </w:t>
      </w:r>
      <m:oMath>
        <m:r>
          <m:rPr>
            <m:sty m:val="p"/>
          </m:rPr>
          <m:t>=</m:t>
        </m:r>
        <m:r>
          <m:t>8</m:t>
        </m:r>
      </m:oMath>
      <w:r>
        <w:t xml:space="preserve">, Insley</w:t>
      </w:r>
      <w:r>
        <w:t xml:space="preserve"> </w:t>
      </w:r>
      <m:oMath>
        <m:r>
          <m:rPr>
            <m:sty m:val="p"/>
          </m:rPr>
          <m:t>=</m:t>
        </m:r>
        <m:r>
          <m:t>6</m:t>
        </m:r>
      </m:oMath>
      <w:r>
        <w:t xml:space="preserve">, Caney and Frenchman’s Bend</w:t>
      </w:r>
      <w:r>
        <w:t xml:space="preserve"> </w:t>
      </w:r>
      <m:oMath>
        <m:r>
          <m:rPr>
            <m:sty m:val="p"/>
          </m:rPr>
          <m:t>=</m:t>
        </m:r>
        <m:r>
          <m:t>5</m:t>
        </m:r>
      </m:oMath>
      <w:r>
        <w:t xml:space="preserve">, Claiborne and Cedarland</w:t>
      </w:r>
      <w:r>
        <w:t xml:space="preserve"> </w:t>
      </w:r>
      <m:oMath>
        <m:r>
          <m:rPr>
            <m:sty m:val="p"/>
          </m:rPr>
          <m:t>=</m:t>
        </m:r>
        <m:r>
          <m:t>4</m:t>
        </m:r>
      </m:oMath>
      <w:r>
        <w:t xml:space="preserve">, J.W. Copes and Cowpen Slough</w:t>
      </w:r>
      <w:r>
        <w:t xml:space="preserve"> </w:t>
      </w:r>
      <m:oMath>
        <m:r>
          <m:rPr>
            <m:sty m:val="p"/>
          </m:rPr>
          <m:t>=</m:t>
        </m:r>
        <m:r>
          <m:t>3</m:t>
        </m:r>
      </m:oMath>
      <w:r>
        <w:t xml:space="preserve">, Lower Jackson</w:t>
      </w:r>
      <w:r>
        <w:t xml:space="preserve"> </w:t>
      </w:r>
      <m:oMath>
        <m:r>
          <m:rPr>
            <m:sty m:val="p"/>
          </m:rPr>
          <m:t>=</m:t>
        </m:r>
        <m:r>
          <m:t>1</m:t>
        </m:r>
      </m:oMath>
      <w:r>
        <w:t xml:space="preserve">), the analytical equilibrium model produces site-specific equilibrium stocks</w:t>
      </w:r>
      <w:r>
        <w:t xml:space="preserve"> </w:t>
      </w:r>
      <m:oMath>
        <m:sSub>
          <m:e>
            <m:r>
              <m:t>M</m:t>
            </m:r>
          </m:e>
          <m:sub>
            <m:r>
              <m:t>g</m:t>
            </m:r>
          </m:sub>
        </m:sSub>
      </m:oMath>
      <w:r>
        <w:t xml:space="preserve"> </w:t>
      </w:r>
      <w:r>
        <w:t xml:space="preserve">and predicted earthwork volumes via the PP-fit conversion (</w:t>
      </w:r>
      <m:oMath>
        <m:r>
          <m:rPr>
            <m:sty m:val="p"/>
          </m:rPr>
          <m:t>∼</m:t>
        </m:r>
        <m:r>
          <m:t>5</m:t>
        </m:r>
        <m:r>
          <m:rPr>
            <m:sty m:val="p"/>
          </m:rPr>
          <m:t>,</m:t>
        </m:r>
        <m:r>
          <m:t>779</m:t>
        </m:r>
      </m:oMath>
      <w:r>
        <w:t xml:space="preserve"> </w:t>
      </w:r>
      <w:r>
        <w:t xml:space="preserve">m³ per</w:t>
      </w:r>
      <w:r>
        <w:t xml:space="preserve"> </w:t>
      </w:r>
      <m:oMath>
        <m:sSub>
          <m:e>
            <m:r>
              <m:t>M</m:t>
            </m:r>
          </m:e>
          <m:sub>
            <m:r>
              <m:t>g</m:t>
            </m:r>
          </m:sub>
        </m:sSub>
      </m:oMath>
      <w:r>
        <w:t xml:space="preserve"> </w:t>
      </w:r>
      <w:r>
        <w:t xml:space="preserve">unit). Predicted volumes correlate strongly with observed ordinal monument scale: Spearman</w:t>
      </w:r>
      <w:r>
        <w:t xml:space="preserve"> </w:t>
      </w:r>
      <m:oMath>
        <m:r>
          <m:t>ρ</m:t>
        </m:r>
        <m:r>
          <m:rPr>
            <m:sty m:val="p"/>
          </m:rPr>
          <m:t>=</m:t>
        </m:r>
        <m:r>
          <m:rPr>
            <m:sty m:val="p"/>
          </m:rPr>
          <m:t>+</m:t>
        </m:r>
        <m:r>
          <m:t>0.85</m:t>
        </m:r>
      </m:oMath>
      <w:r>
        <w:t xml:space="preserve"> </w:t>
      </w:r>
      <w:r>
        <w:t xml:space="preserve">(</w:t>
      </w:r>
      <m:oMath>
        <m:r>
          <m:t>p</m:t>
        </m:r>
        <m:r>
          <m:rPr>
            <m:sty m:val="p"/>
          </m:rPr>
          <m:t>=</m:t>
        </m:r>
        <m:r>
          <m:t>0.001</m:t>
        </m:r>
      </m:oMath>
      <w:r>
        <w:t xml:space="preserve">) under static-</w:t>
      </w:r>
      <m:oMath>
        <m:r>
          <m:t>ε</m:t>
        </m:r>
      </m:oMath>
      <w:r>
        <w:t xml:space="preserve"> </w:t>
      </w:r>
      <w:r>
        <w:t xml:space="preserve">inputs,</w:t>
      </w:r>
      <w:r>
        <w:t xml:space="preserve"> </w:t>
      </w:r>
      <m:oMath>
        <m:r>
          <m:t>ρ</m:t>
        </m:r>
        <m:r>
          <m:rPr>
            <m:sty m:val="p"/>
          </m:rPr>
          <m:t>=</m:t>
        </m:r>
        <m:r>
          <m:rPr>
            <m:sty m:val="p"/>
          </m:rPr>
          <m:t>+</m:t>
        </m:r>
        <m:r>
          <m:t>0.88</m:t>
        </m:r>
      </m:oMath>
      <w:r>
        <w:t xml:space="preserve"> </w:t>
      </w:r>
      <w:r>
        <w:t xml:space="preserve">(</w:t>
      </w:r>
      <m:oMath>
        <m:r>
          <m:t>p</m:t>
        </m:r>
        <m:r>
          <m:rPr>
            <m:sty m:val="p"/>
          </m:rPr>
          <m:t>&lt;</m:t>
        </m:r>
        <m:r>
          <m:t>0.001</m:t>
        </m:r>
      </m:oMath>
      <w:r>
        <w:t xml:space="preserve">) under phenology-</w:t>
      </w:r>
      <m:oMath>
        <m:r>
          <m:t>ε</m:t>
        </m:r>
      </m:oMath>
      <w:r>
        <w:t xml:space="preserve"> </w:t>
      </w:r>
      <w:r>
        <w:t xml:space="preserve">inputs, and</w:t>
      </w:r>
      <w:r>
        <w:t xml:space="preserve"> </w:t>
      </w:r>
      <m:oMath>
        <m:r>
          <m:t>ρ</m:t>
        </m:r>
        <m:r>
          <m:rPr>
            <m:sty m:val="p"/>
          </m:rPr>
          <m:t>=</m:t>
        </m:r>
        <m:r>
          <m:rPr>
            <m:sty m:val="p"/>
          </m:rPr>
          <m:t>+</m:t>
        </m:r>
        <m:r>
          <m:t>0.90</m:t>
        </m:r>
      </m:oMath>
      <w:r>
        <w:t xml:space="preserve"> </w:t>
      </w:r>
      <w:r>
        <w:t xml:space="preserve">under water-route-</w:t>
      </w:r>
      <m:oMath>
        <m:r>
          <m:t>ε</m:t>
        </m:r>
      </m:oMath>
      <w:r>
        <w:t xml:space="preserve"> </w:t>
      </w:r>
      <w:r>
        <w:t xml:space="preserve">inputs. Against observed volumes (where reported),</w:t>
      </w:r>
      <w:r>
        <w:t xml:space="preserve"> </w:t>
      </w:r>
      <m:oMath>
        <m:r>
          <m:t>ρ</m:t>
        </m:r>
        <m:r>
          <m:rPr>
            <m:sty m:val="p"/>
          </m:rPr>
          <m:t>=</m:t>
        </m:r>
        <m:r>
          <m:rPr>
            <m:sty m:val="p"/>
          </m:rPr>
          <m:t>+</m:t>
        </m:r>
        <m:r>
          <m:t>0.89</m:t>
        </m:r>
      </m:oMath>
      <w:r>
        <w:t xml:space="preserve"> </w:t>
      </w:r>
      <w:r>
        <w:t xml:space="preserve">(static) and</w:t>
      </w:r>
      <w:r>
        <w:t xml:space="preserve"> </w:t>
      </w:r>
      <m:oMath>
        <m:r>
          <m:t>ρ</m:t>
        </m:r>
        <m:r>
          <m:rPr>
            <m:sty m:val="p"/>
          </m:rPr>
          <m:t>=</m:t>
        </m:r>
        <m:r>
          <m:rPr>
            <m:sty m:val="p"/>
          </m:rPr>
          <m:t>+</m:t>
        </m:r>
        <m:r>
          <m:t>0.91</m:t>
        </m:r>
      </m:oMath>
      <w:r>
        <w:t xml:space="preserve"> </w:t>
      </w:r>
      <w:r>
        <w:t xml:space="preserve">(water-route).</w:t>
      </w:r>
    </w:p>
    <w:p>
      <w:pPr>
        <w:pStyle w:val="BodyText"/>
      </w:pPr>
      <w:r>
        <w:t xml:space="preserve">A partial-correlation decomposition (</w:t>
      </w:r>
      <w:r>
        <w:rPr>
          <w:rStyle w:val="VerbatimChar"/>
        </w:rPr>
        <w:t xml:space="preserve">scripts/analysis/partial_correlation_eps_nagg.py</w:t>
      </w:r>
      <w:r>
        <w:t xml:space="preserve">) is necessary to interpret these numbers honestly. The diagnostic question is: if we already know</w:t>
      </w:r>
      <w:r>
        <w:t xml:space="preserve"> </w:t>
      </w:r>
      <m:oMath>
        <m:sSub>
          <m:e>
            <m:r>
              <m:t>n</m:t>
            </m:r>
          </m:e>
          <m:sub>
            <m:r>
              <m:t>a</m:t>
            </m:r>
            <m:r>
              <m:t>g</m:t>
            </m:r>
            <m:r>
              <m:t>g</m:t>
            </m:r>
          </m:sub>
        </m:sSub>
      </m:oMath>
      <w:r>
        <w:t xml:space="preserve"> </w:t>
      </w:r>
      <w:r>
        <w:t xml:space="preserve">at each site (from the convergence-model literature), how much</w:t>
      </w:r>
      <w:r>
        <w:t xml:space="preserve"> </w:t>
      </w:r>
      <w:r>
        <w:rPr>
          <w:i/>
          <w:iCs/>
        </w:rPr>
        <w:t xml:space="preserve">extra</w:t>
      </w:r>
      <w:r>
        <w:t xml:space="preserve"> </w:t>
      </w:r>
      <w:r>
        <w:t xml:space="preserve">predictive power does the framework’s</w:t>
      </w:r>
      <w:r>
        <w:t xml:space="preserve"> </w:t>
      </w:r>
      <m:oMath>
        <m:r>
          <m:t>ε</m:t>
        </m:r>
      </m:oMath>
      <w:r>
        <w:t xml:space="preserve"> </w:t>
      </w:r>
      <w:r>
        <w:t xml:space="preserve">provide? Almost none.</w:t>
      </w:r>
      <w:r>
        <w:t xml:space="preserve"> </w:t>
      </w:r>
      <m:oMath>
        <m:sSub>
          <m:e>
            <m:r>
              <m:t>n</m:t>
            </m:r>
          </m:e>
          <m:sub>
            <m:r>
              <m:t>a</m:t>
            </m:r>
            <m:r>
              <m:t>g</m:t>
            </m:r>
            <m:r>
              <m:t>g</m:t>
            </m:r>
          </m:sub>
        </m:sSub>
      </m:oMath>
      <w:r>
        <w:rPr>
          <w:b/>
          <w:bCs/>
        </w:rPr>
        <w:t xml:space="preserve"> </w:t>
      </w:r>
      <w:r>
        <w:rPr>
          <w:b/>
          <w:bCs/>
        </w:rPr>
        <w:t xml:space="preserve">alone, with no framework, gives Spearman</w:t>
      </w:r>
      <w:r>
        <w:rPr>
          <w:b/>
          <w:bCs/>
        </w:rPr>
        <w:t xml:space="preserve"> </w:t>
      </w:r>
      <m:oMath>
        <m:r>
          <m:t>ρ</m:t>
        </m:r>
        <m:r>
          <m:rPr>
            <m:sty m:val="p"/>
          </m:rPr>
          <m:t>=</m:t>
        </m:r>
        <m:r>
          <m:rPr>
            <m:sty m:val="p"/>
          </m:rPr>
          <m:t>+</m:t>
        </m:r>
        <m:r>
          <m:t>0.87</m:t>
        </m:r>
      </m:oMath>
      <w:r>
        <w:rPr>
          <w:b/>
          <w:bCs/>
        </w:rPr>
        <w:t xml:space="preserve"> </w:t>
      </w:r>
      <w:r>
        <w:rPr>
          <w:b/>
          <w:bCs/>
        </w:rPr>
        <w:t xml:space="preserve">against ordinal scale and</w:t>
      </w:r>
      <w:r>
        <w:rPr>
          <w:b/>
          <w:bCs/>
        </w:rPr>
        <w:t xml:space="preserve"> </w:t>
      </w:r>
      <m:oMath>
        <m:r>
          <m:t>ρ</m:t>
        </m:r>
        <m:r>
          <m:rPr>
            <m:sty m:val="p"/>
          </m:rPr>
          <m:t>=</m:t>
        </m:r>
        <m:r>
          <m:rPr>
            <m:sty m:val="p"/>
          </m:rPr>
          <m:t>+</m:t>
        </m:r>
        <m:r>
          <m:t>0.91</m:t>
        </m:r>
      </m:oMath>
      <w:r>
        <w:rPr>
          <w:b/>
          <w:bCs/>
        </w:rPr>
        <w:t xml:space="preserve"> </w:t>
      </w:r>
      <w:r>
        <w:rPr>
          <w:b/>
          <w:bCs/>
        </w:rPr>
        <w:t xml:space="preserve">against observed volume.</w:t>
      </w:r>
      <w:r>
        <w:t xml:space="preserve"> </w:t>
      </w:r>
      <w:r>
        <w:t xml:space="preserve">The marginal contribution of each</w:t>
      </w:r>
      <w:r>
        <w:t xml:space="preserve"> </w:t>
      </w:r>
      <m:oMath>
        <m:r>
          <m:t>ε</m:t>
        </m:r>
      </m:oMath>
      <w:r>
        <w:t xml:space="preserve"> </w:t>
      </w:r>
      <w:r>
        <w:t xml:space="preserve">operationalization to the joint correlation (joint</w:t>
      </w:r>
      <w:r>
        <w:t xml:space="preserve"> </w:t>
      </w:r>
      <m:oMath>
        <m:r>
          <m:t>ρ</m:t>
        </m:r>
      </m:oMath>
      <w:r>
        <w:t xml:space="preserve"> </w:t>
      </w:r>
      <w:r>
        <w:t xml:space="preserve">minus</w:t>
      </w:r>
      <w:r>
        <w:t xml:space="preserve"> </w:t>
      </w:r>
      <m:oMath>
        <m:sSub>
          <m:e>
            <m:r>
              <m:t>n</m:t>
            </m:r>
          </m:e>
          <m:sub>
            <m:r>
              <m:t>a</m:t>
            </m:r>
            <m:r>
              <m:t>g</m:t>
            </m:r>
            <m:r>
              <m:t>g</m:t>
            </m:r>
          </m:sub>
        </m:sSub>
      </m:oMath>
      <w:r>
        <w:t xml:space="preserve">-alone</w:t>
      </w:r>
      <w:r>
        <w:t xml:space="preserve"> </w:t>
      </w:r>
      <m:oMath>
        <m:r>
          <m:t>ρ</m:t>
        </m:r>
      </m:oMath>
      <w:r>
        <w:t xml:space="preserve">), against ordinal scale, is:</w:t>
      </w:r>
      <w:r>
        <w:t xml:space="preserve"> </w:t>
      </w:r>
      <m:oMath>
        <m:r>
          <m:rPr>
            <m:sty m:val="p"/>
          </m:rPr>
          <m:t>−</m:t>
        </m:r>
        <m:r>
          <m:t>0.019</m:t>
        </m:r>
      </m:oMath>
      <w:r>
        <w:t xml:space="preserve"> </w:t>
      </w:r>
      <w:r>
        <w:t xml:space="preserve">(static),</w:t>
      </w:r>
      <w:r>
        <w:t xml:space="preserve"> </w:t>
      </w:r>
      <m:oMath>
        <m:r>
          <m:rPr>
            <m:sty m:val="p"/>
          </m:rPr>
          <m:t>+</m:t>
        </m:r>
        <m:r>
          <m:t>0.015</m:t>
        </m:r>
      </m:oMath>
      <w:r>
        <w:t xml:space="preserve"> </w:t>
      </w:r>
      <w:r>
        <w:t xml:space="preserve">(phenology),</w:t>
      </w:r>
      <w:r>
        <w:t xml:space="preserve"> </w:t>
      </w:r>
      <m:oMath>
        <m:r>
          <m:rPr>
            <m:sty m:val="p"/>
          </m:rPr>
          <m:t>+</m:t>
        </m:r>
        <m:r>
          <m:t>0.029</m:t>
        </m:r>
      </m:oMath>
      <w:r>
        <w:t xml:space="preserve"> </w:t>
      </w:r>
      <w:r>
        <w:t xml:space="preserve">(water-route). At</w:t>
      </w:r>
      <w:r>
        <w:t xml:space="preserve"> </w:t>
      </w:r>
      <m:oMath>
        <m:r>
          <m:t>n</m:t>
        </m:r>
        <m:r>
          <m:rPr>
            <m:sty m:val="p"/>
          </m:rPr>
          <m:t>=</m:t>
        </m:r>
        <m:r>
          <m:t>11</m:t>
        </m:r>
      </m:oMath>
      <w:r>
        <w:t xml:space="preserve">, Spearman noise is about</w:t>
      </w:r>
      <w:r>
        <w:t xml:space="preserve"> </w:t>
      </w:r>
      <m:oMath>
        <m:r>
          <m:rPr>
            <m:sty m:val="p"/>
          </m:rPr>
          <m:t>±</m:t>
        </m:r>
        <m:r>
          <m:t>0.05</m:t>
        </m:r>
      </m:oMath>
      <w:r>
        <w:t xml:space="preserve">, so all three marginal contributions are within noise. The honest reading: the framework’s</w:t>
      </w:r>
      <w:r>
        <w:t xml:space="preserve"> </w:t>
      </w:r>
      <m:oMath>
        <m:sSub>
          <m:e>
            <m:r>
              <m:t>M</m:t>
            </m:r>
          </m:e>
          <m:sub>
            <m:r>
              <m:t>g</m:t>
            </m:r>
          </m:sub>
        </m:sSub>
      </m:oMath>
      <w:r>
        <w:t xml:space="preserve"> </w:t>
      </w:r>
      <w:r>
        <w:t xml:space="preserve">equilibrium tracks</w:t>
      </w:r>
      <w:r>
        <w:t xml:space="preserve"> </w:t>
      </w:r>
      <m:oMath>
        <m:sSub>
          <m:e>
            <m:r>
              <m:t>n</m:t>
            </m:r>
          </m:e>
          <m:sub>
            <m:r>
              <m:t>a</m:t>
            </m:r>
            <m:r>
              <m:t>g</m:t>
            </m:r>
            <m:r>
              <m:t>g</m:t>
            </m:r>
          </m:sub>
        </m:sSub>
      </m:oMath>
      <w:r>
        <w:t xml:space="preserve"> </w:t>
      </w:r>
      <w:r>
        <w:t xml:space="preserve">in the expected direction (a within-model consistency property), but it does not predict cross-site magnitude beyond what</w:t>
      </w:r>
      <w:r>
        <w:t xml:space="preserve"> </w:t>
      </w:r>
      <m:oMath>
        <m:sSub>
          <m:e>
            <m:r>
              <m:t>n</m:t>
            </m:r>
          </m:e>
          <m:sub>
            <m:r>
              <m:t>a</m:t>
            </m:r>
            <m:r>
              <m:t>g</m:t>
            </m:r>
            <m:r>
              <m:t>g</m:t>
            </m:r>
          </m:sub>
        </m:sSub>
      </m:oMath>
      <w:r>
        <w:t xml:space="preserve"> </w:t>
      </w:r>
      <w:r>
        <w:t xml:space="preserve">from convergence-model evidence already implies.</w:t>
      </w:r>
    </w:p>
    <w:p>
      <w:pPr>
        <w:pStyle w:val="BodyText"/>
      </w:pPr>
      <w:r>
        <w:t xml:space="preserve">The framework’s structural claim about magnitude is therefore:</w:t>
      </w:r>
      <w:r>
        <w:t xml:space="preserve"> </w:t>
      </w:r>
      <w:r>
        <w:rPr>
          <w:i/>
          <w:iCs/>
        </w:rPr>
        <w:t xml:space="preserve">given</w:t>
      </w:r>
      <w:r>
        <w:t xml:space="preserve"> </w:t>
      </w:r>
      <w:r>
        <w:t xml:space="preserve">exogenously supplied</w:t>
      </w:r>
      <w:r>
        <w:t xml:space="preserve"> </w:t>
      </w:r>
      <m:oMath>
        <m:sSub>
          <m:e>
            <m:r>
              <m:t>n</m:t>
            </m:r>
          </m:e>
          <m:sub>
            <m:r>
              <m:t>a</m:t>
            </m:r>
            <m:r>
              <m:t>g</m:t>
            </m:r>
            <m:r>
              <m:t>g</m:t>
            </m:r>
          </m:sub>
        </m:sSub>
      </m:oMath>
      <w:r>
        <w:t xml:space="preserve"> </w:t>
      </w:r>
      <w:r>
        <w:t xml:space="preserve">ranks across LMV sites, the equilibrium</w:t>
      </w:r>
      <w:r>
        <w:t xml:space="preserve"> </w:t>
      </w:r>
      <m:oMath>
        <m:sSub>
          <m:e>
            <m:r>
              <m:t>M</m:t>
            </m:r>
          </m:e>
          <m:sub>
            <m:r>
              <m:t>g</m:t>
            </m:r>
          </m:sub>
        </m:sSub>
      </m:oMath>
      <w:r>
        <w:t xml:space="preserve"> </w:t>
      </w:r>
      <w:r>
        <w:t xml:space="preserve">tracks those ranks. This is an internal consistency property of the equation set, not an independent prediction of monument scale by the framework’s</w:t>
      </w:r>
      <w:r>
        <w:t xml:space="preserve"> </w:t>
      </w:r>
      <m:oMath>
        <m:r>
          <m:t>ε</m:t>
        </m:r>
      </m:oMath>
      <w:r>
        <w:t xml:space="preserve">. The static-</w:t>
      </w:r>
      <m:oMath>
        <m:r>
          <m:t>ε</m:t>
        </m:r>
      </m:oMath>
      <w:r>
        <w:t xml:space="preserve"> </w:t>
      </w:r>
      <w:r>
        <w:t xml:space="preserve">Test A null result reported earlier in S16 (</w:t>
      </w:r>
      <m:oMath>
        <m:r>
          <m:t>ρ</m:t>
        </m:r>
        <m:r>
          <m:rPr>
            <m:sty m:val="p"/>
          </m:rPr>
          <m:t>=</m:t>
        </m:r>
        <m:r>
          <m:rPr>
            <m:sty m:val="p"/>
          </m:rPr>
          <m:t>+</m:t>
        </m:r>
        <m:r>
          <m:t>0.39</m:t>
        </m:r>
      </m:oMath>
      <w:r>
        <w:t xml:space="preserve">) tests the framework’s</w:t>
      </w:r>
      <w:r>
        <w:t xml:space="preserve"> </w:t>
      </w:r>
      <m:oMath>
        <m:r>
          <m:t>ε</m:t>
        </m:r>
      </m:oMath>
      <w:r>
        <w:t xml:space="preserve"> </w:t>
      </w:r>
      <w:r>
        <w:t xml:space="preserve">at fixed</w:t>
      </w:r>
      <w:r>
        <w:t xml:space="preserve"> </w:t>
      </w:r>
      <m:oMath>
        <m:sSub>
          <m:e>
            <m:r>
              <m:t>n</m:t>
            </m:r>
          </m:e>
          <m:sub>
            <m:r>
              <m:t>a</m:t>
            </m:r>
            <m:r>
              <m:t>g</m:t>
            </m:r>
            <m:r>
              <m:t>g</m:t>
            </m:r>
          </m:sub>
        </m:sSub>
        <m:r>
          <m:rPr>
            <m:sty m:val="p"/>
          </m:rPr>
          <m:t>=</m:t>
        </m:r>
        <m:r>
          <m:t>25</m:t>
        </m:r>
      </m:oMath>
      <w:r>
        <w:t xml:space="preserve"> </w:t>
      </w:r>
      <w:r>
        <w:t xml:space="preserve">and finds the right answer:</w:t>
      </w:r>
      <w:r>
        <w:t xml:space="preserve"> </w:t>
      </w:r>
      <m:oMath>
        <m:r>
          <m:t>ε</m:t>
        </m:r>
      </m:oMath>
      <w:r>
        <w:t xml:space="preserve"> </w:t>
      </w:r>
      <w:r>
        <w:t xml:space="preserve">is a screening / necessity variable, not a magnitude predictor.</w:t>
      </w:r>
    </w:p>
    <w:p>
      <w:pPr>
        <w:pStyle w:val="BodyText"/>
      </w:pPr>
      <w:r>
        <w:t xml:space="preserve">Future work could test whether the framework predicts magnitude</w:t>
      </w:r>
      <w:r>
        <w:t xml:space="preserve"> </w:t>
      </w:r>
      <w:r>
        <w:rPr>
          <w:i/>
          <w:iCs/>
        </w:rPr>
        <w:t xml:space="preserve">independently</w:t>
      </w:r>
      <w:r>
        <w:t xml:space="preserve"> </w:t>
      </w:r>
      <w:r>
        <w:t xml:space="preserve">of n_agg: replace per-site n_agg with footprint-independent estimates (Bayesian-modeled radiocarbon density per site, lithic-density catchment estimates), or pre-register predictions at non-LMV eastern Archaic sites with independently-derived n_agg, and report what</w:t>
      </w:r>
      <w:r>
        <w:t xml:space="preserve"> </w:t>
      </w:r>
      <m:oMath>
        <m:r>
          <m:t>ρ</m:t>
        </m:r>
      </m:oMath>
      <w:r>
        <w:t xml:space="preserve"> </w:t>
      </w:r>
      <w:r>
        <w:t xml:space="preserve">the joint prediction returns. The absence of that test in this article is a real limitation. We report it transparently rather than treating the joint</w:t>
      </w:r>
      <w:r>
        <w:t xml:space="preserve"> </w:t>
      </w:r>
      <m:oMath>
        <m:r>
          <m:t>ρ</m:t>
        </m:r>
        <m:r>
          <m:rPr>
            <m:sty m:val="p"/>
          </m:rPr>
          <m:t>=</m:t>
        </m:r>
        <m:r>
          <m:rPr>
            <m:sty m:val="p"/>
          </m:rPr>
          <m:t>+</m:t>
        </m:r>
        <m:r>
          <m:t>0.91</m:t>
        </m:r>
      </m:oMath>
      <w:r>
        <w:t xml:space="preserve"> </w:t>
      </w:r>
      <w:r>
        <w:t xml:space="preserve">as evidence of magnitude prediction by the framework. Full reproducibility from</w:t>
      </w:r>
      <w:r>
        <w:t xml:space="preserve"> </w:t>
      </w:r>
      <w:r>
        <w:rPr>
          <w:rStyle w:val="VerbatimChar"/>
        </w:rPr>
        <w:t xml:space="preserve">scripts/analysis/predicted_scale_ratios.py</w:t>
      </w:r>
      <w:r>
        <w:t xml:space="preserve"> </w:t>
      </w:r>
      <w:r>
        <w:t xml:space="preserve">and</w:t>
      </w:r>
      <w:r>
        <w:t xml:space="preserve"> </w:t>
      </w:r>
      <w:r>
        <w:rPr>
          <w:rStyle w:val="VerbatimChar"/>
        </w:rPr>
        <w:t xml:space="preserve">scripts/analysis/partial_correlation_eps_nagg.py</w:t>
      </w:r>
      <w:r>
        <w:t xml:space="preserve">, with outputs in</w:t>
      </w:r>
      <w:r>
        <w:t xml:space="preserve"> </w:t>
      </w:r>
      <w:r>
        <w:rPr>
          <w:rStyle w:val="VerbatimChar"/>
        </w:rPr>
        <w:t xml:space="preserve">results/sensitivity/predicted_scale_ratios.json</w:t>
      </w:r>
      <w:r>
        <w:t xml:space="preserve"> </w:t>
      </w:r>
      <w:r>
        <w:t xml:space="preserve">and</w:t>
      </w:r>
      <w:r>
        <w:t xml:space="preserve"> </w:t>
      </w:r>
      <w:r>
        <w:rPr>
          <w:rStyle w:val="VerbatimChar"/>
        </w:rPr>
        <w:t xml:space="preserve">results/sensitivity/partial_correlation_eps_nagg.json</w:t>
      </w:r>
      <w:r>
        <w:t xml:space="preserve">.</w:t>
      </w:r>
    </w:p>
    <w:bookmarkEnd w:id="99"/>
    <w:bookmarkStart w:id="100" w:name="Xe4e7d8e25edca0f09f895447481ac1599bb9806"/>
    <w:p>
      <w:pPr>
        <w:pStyle w:val="Heading3"/>
      </w:pPr>
      <w:r>
        <w:t xml:space="preserve">S17.6 Seasonally resolved aggregation timing</w:t>
      </w:r>
    </w:p>
    <w:p>
      <w:pPr>
        <w:pStyle w:val="FirstParagraph"/>
      </w:pPr>
      <w:r>
        <w:t xml:space="preserve">(Main text §6.7.)</w:t>
      </w:r>
      <w:r>
        <w:t xml:space="preserve"> </w:t>
      </w:r>
      <w:r>
        <w:rPr>
          <w:b/>
          <w:bCs/>
        </w:rPr>
        <w:t xml:space="preserve">Minimal version implemented in this revision. Plausibility check for §6.7, with a structural caveat noted below.</w:t>
      </w:r>
      <w:r>
        <w:t xml:space="preserve"> </w:t>
      </w:r>
      <w:r>
        <w:t xml:space="preserve">A within-year monthly time step uses the S16 phenology calendar (mast peak Sep-Nov; spring fish spawn Feb-May; summer aquatic May-Aug; falling-water Aug-Oct; waterfowl fall Sep-Dec + spring Feb-Apr) plus a sigmoid aggregation-decision rule. At PP parameters (</w:t>
      </w:r>
      <m:oMath>
        <m:r>
          <m:t>ε</m:t>
        </m:r>
        <m:r>
          <m:rPr>
            <m:sty m:val="p"/>
          </m:rPr>
          <m:t>=</m:t>
        </m:r>
        <m:r>
          <m:t>0.49</m:t>
        </m:r>
      </m:oMath>
      <w:r>
        <w:t xml:space="preserve">,</w:t>
      </w:r>
      <w:r>
        <w:t xml:space="preserve"> </w:t>
      </w:r>
      <m:oMath>
        <m:sSub>
          <m:e>
            <m:r>
              <m:t>n</m:t>
            </m:r>
          </m:e>
          <m:sub>
            <m:r>
              <m:t>a</m:t>
            </m:r>
            <m:r>
              <m:t>g</m:t>
            </m:r>
            <m:r>
              <m:t>g</m:t>
            </m:r>
          </m:sub>
        </m:sSub>
        <m:r>
          <m:rPr>
            <m:sty m:val="p"/>
          </m:rPr>
          <m:t>=</m:t>
        </m:r>
        <m:r>
          <m:t>25</m:t>
        </m:r>
      </m:oMath>
      <w:r>
        <w:t xml:space="preserve">,</w:t>
      </w:r>
      <w:r>
        <w:t xml:space="preserve"> </w:t>
      </w:r>
      <m:oMath>
        <m:sSub>
          <m:e>
            <m:r>
              <m:t>σ</m:t>
            </m:r>
          </m:e>
          <m:sub>
            <m:r>
              <m:t>e</m:t>
            </m:r>
            <m:r>
              <m:t>f</m:t>
            </m:r>
            <m:r>
              <m:t>f</m:t>
            </m:r>
          </m:sub>
        </m:sSub>
        <m:r>
          <m:rPr>
            <m:sty m:val="p"/>
          </m:rPr>
          <m:t>=</m:t>
        </m:r>
        <m:r>
          <m:t>0.326</m:t>
        </m:r>
      </m:oMath>
      <w:r>
        <w:t xml:space="preserve">), the model predicts top 3 aggregation months October, September, November and a fall-winter (Sep-Feb) mean share of 0.82 vs spring-summer (Mar-Aug) mean of 0.92 (script-internal verdict:</w:t>
      </w:r>
      <w:r>
        <w:t xml:space="preserve"> </w:t>
      </w:r>
      <w:r>
        <w:t xml:space="preserve">“framework prediction does NOT match published evidence”</w:t>
      </w:r>
      <w:r>
        <w:t xml:space="preserve"> </w:t>
      </w:r>
      <w:r>
        <w:t xml:space="preserve">because the spring-summer mean share exceeds the fall-winter share when January is included).</w:t>
      </w:r>
    </w:p>
    <w:p>
      <w:pPr>
        <w:pStyle w:val="BodyText"/>
      </w:pPr>
      <w:r>
        <w:t xml:space="preserve">The structural caveat is that</w:t>
      </w:r>
      <w:r>
        <w:t xml:space="preserve"> </w:t>
      </w:r>
      <w:r>
        <w:rPr>
          <w:b/>
          <w:bCs/>
        </w:rPr>
        <w:t xml:space="preserve">the top-3-months prediction is partly tautological</w:t>
      </w:r>
      <w:r>
        <w:t xml:space="preserve">: the script reads in the mast peak window as Sep-Nov (from Webb 1982 and Jackson 1986, which are also the sources for the Thomas and Campbell 1978 fall-winter peak attribution), and the sigmoid decision rule then ranks months by integer count of overlapping peak windows. The</w:t>
      </w:r>
      <w:r>
        <w:t xml:space="preserve"> </w:t>
      </w:r>
      <w:r>
        <w:t xml:space="preserve">“match”</w:t>
      </w:r>
      <w:r>
        <w:t xml:space="preserve"> </w:t>
      </w:r>
      <w:r>
        <w:t xml:space="preserve">between predicted Oct/Sep/Nov and published fall-mast-peak archaeological evidence is therefore not an independent test of the framework’s seasonality prediction. It is the same Webb 1982 / Jackson 1986 calendar reflected back. A non-circular reformulation would (a) construct the phenology calendar from non-LMV sources or (b) predict differential seasonality across LMV sites whose access flag vectors differ, then test against site-level faunal seasonality estimates. The minimal extension is therefore best read as a</w:t>
      </w:r>
      <w:r>
        <w:t xml:space="preserve"> </w:t>
      </w:r>
      <w:r>
        <w:rPr>
          <w:i/>
          <w:iCs/>
        </w:rPr>
        <w:t xml:space="preserve">plausibility check</w:t>
      </w:r>
      <w:r>
        <w:t xml:space="preserve"> </w:t>
      </w:r>
      <w:r>
        <w:t xml:space="preserve">that the framework, given the same phenology calendar the published interpretations use, returns the same fall-month emphasis, not as evidence the framework predicts seasonality.</w:t>
      </w:r>
    </w:p>
    <w:p>
      <w:pPr>
        <w:pStyle w:val="BodyText"/>
      </w:pPr>
      <w:r>
        <w:t xml:space="preserve">The script’s broader-window output (substantial aggregation share in spring fish-spawn months and summer aquatic months) is</w:t>
      </w:r>
      <w:r>
        <w:t xml:space="preserve"> </w:t>
      </w:r>
      <w:r>
        <w:rPr>
          <w:i/>
          <w:iCs/>
        </w:rPr>
        <w:t xml:space="preserve">not</w:t>
      </w:r>
      <w:r>
        <w:t xml:space="preserve"> </w:t>
      </w:r>
      <w:r>
        <w:t xml:space="preserve">tautological in the same way: the framework’s multi-zone access enables aggregation throughout the year, while published peripheral-site plant-remains interpretations emphasize fall-winter as the documented season and infer spring dispersal. This generates a genuine falsifiable prediction. Because acidic soils have dissolved bone at the type-site core, the test cannot run on existing faunal collections. It requires new research using non-faunal seasonality proxies (macrobotanical assemblages from new excavations, phytolith and pollen records from contexts that preserve those signatures, stable-isotope sequencing of preserved tooth or shell where present, and microbotanical residues). A multi-peak signal across mast, fish-spawning, and summer aquatic months across multiple such proxies would be consistent with the framework. An exclusively fall-winter signal would tension with it.</w:t>
      </w:r>
    </w:p>
    <w:p>
      <w:pPr>
        <w:pStyle w:val="BodyText"/>
      </w:pPr>
      <w:r>
        <w:t xml:space="preserve">Reproducible from</w:t>
      </w:r>
      <w:r>
        <w:t xml:space="preserve"> </w:t>
      </w:r>
      <w:r>
        <w:rPr>
          <w:rStyle w:val="VerbatimChar"/>
        </w:rPr>
        <w:t xml:space="preserve">scripts/analysis/seasonal_aggregation_timing.py</w:t>
      </w:r>
      <w:r>
        <w:t xml:space="preserve">, with outputs in</w:t>
      </w:r>
      <w:r>
        <w:t xml:space="preserve"> </w:t>
      </w:r>
      <w:r>
        <w:rPr>
          <w:rStyle w:val="VerbatimChar"/>
        </w:rPr>
        <w:t xml:space="preserve">results/sensitivity/seasonal_aggregation_timing.json</w:t>
      </w:r>
      <w:r>
        <w:t xml:space="preserve">. The full version (within-month time resolution, species-resolved subsistence dynamics, non-LMV-derived phenology calendar) remains as future work that would test the framework’s seasonality prediction non-circularly.</w:t>
      </w:r>
    </w:p>
    <w:bookmarkEnd w:id="100"/>
    <w:bookmarkStart w:id="101" w:name="Xb3d12c0ca8d5c240fada9f9a6fe85afecdfd9b8"/>
    <w:p>
      <w:pPr>
        <w:pStyle w:val="Heading3"/>
      </w:pPr>
      <w:r>
        <w:t xml:space="preserve">S17.7 Maintenance-to-new-construction ratio under signal depreciation</w:t>
      </w:r>
    </w:p>
    <w:p>
      <w:pPr>
        <w:pStyle w:val="FirstParagraph"/>
      </w:pPr>
      <w:r>
        <w:t xml:space="preserve">(Main text §6.8; falsifiable prediction §7.4(h).) Derived from the geometric depreciation recurrence</w:t>
      </w:r>
      <w:r>
        <w:t xml:space="preserve"> </w:t>
      </w:r>
      <m:oMath>
        <m:sSub>
          <m:e>
            <m:r>
              <m:t>M</m:t>
            </m:r>
          </m:e>
          <m:sub>
            <m:r>
              <m:t>g</m:t>
            </m:r>
          </m:sub>
        </m:sSub>
        <m:r>
          <m:rPr>
            <m:sty m:val="p"/>
          </m:rPr>
          <m:t>(</m:t>
        </m:r>
        <m:r>
          <m:t>t</m:t>
        </m:r>
        <m:r>
          <m:rPr>
            <m:sty m:val="p"/>
          </m:rPr>
          <m:t>+</m:t>
        </m:r>
        <m:r>
          <m:t>1</m:t>
        </m:r>
        <m:r>
          <m:rPr>
            <m:sty m:val="p"/>
          </m:rPr>
          <m:t>)</m:t>
        </m:r>
        <m:r>
          <m:rPr>
            <m:sty m:val="p"/>
          </m:rPr>
          <m:t>=</m:t>
        </m:r>
        <m:r>
          <m:rPr>
            <m:sty m:val="p"/>
          </m:rPr>
          <m:t>(</m:t>
        </m:r>
        <m:r>
          <m:t>1</m:t>
        </m:r>
        <m:r>
          <m:rPr>
            <m:sty m:val="p"/>
          </m:rPr>
          <m:t>−</m:t>
        </m:r>
        <m:r>
          <m:t>δ</m:t>
        </m:r>
        <m:r>
          <m:rPr>
            <m:sty m:val="p"/>
          </m:rPr>
          <m:t>)</m:t>
        </m:r>
        <m:sSub>
          <m:e>
            <m:r>
              <m:t>M</m:t>
            </m:r>
          </m:e>
          <m:sub>
            <m:r>
              <m:t>g</m:t>
            </m:r>
          </m:sub>
        </m:sSub>
        <m:r>
          <m:rPr>
            <m:sty m:val="p"/>
          </m:rPr>
          <m:t>(</m:t>
        </m:r>
        <m:r>
          <m:t>t</m:t>
        </m:r>
        <m:r>
          <m:rPr>
            <m:sty m:val="p"/>
          </m:rPr>
          <m:t>)</m:t>
        </m:r>
        <m:r>
          <m:rPr>
            <m:sty m:val="p"/>
          </m:rPr>
          <m:t>+</m:t>
        </m:r>
        <m:sSub>
          <m:e>
            <m:r>
              <m:t>I</m:t>
            </m:r>
          </m:e>
          <m:sub>
            <m:r>
              <m:t>g</m:t>
            </m:r>
          </m:sub>
        </m:sSub>
      </m:oMath>
      <w:r>
        <w:t xml:space="preserve">, each period’s investment flow decomposes into the share that offsets depreciation,</w:t>
      </w:r>
      <w:r>
        <w:t xml:space="preserve"> </w:t>
      </w:r>
      <m:oMath>
        <m:r>
          <m:t>δ</m:t>
        </m:r>
        <m:sSub>
          <m:e>
            <m:r>
              <m:t>M</m:t>
            </m:r>
          </m:e>
          <m:sub>
            <m:r>
              <m:t>g</m:t>
            </m:r>
          </m:sub>
        </m:sSub>
      </m:oMath>
      <w:r>
        <w:t xml:space="preserve"> </w:t>
      </w:r>
      <w:r>
        <w:t xml:space="preserve">(maintenance / signal renewal), and the share</w:t>
      </w:r>
      <w:r>
        <w:t xml:space="preserve"> </w:t>
      </w:r>
      <m:oMath>
        <m:sSub>
          <m:e>
            <m:r>
              <m:t>I</m:t>
            </m:r>
          </m:e>
          <m:sub>
            <m:r>
              <m:t>g</m:t>
            </m:r>
          </m:sub>
        </m:sSub>
        <m:r>
          <m:rPr>
            <m:sty m:val="p"/>
          </m:rPr>
          <m:t>−</m:t>
        </m:r>
        <m:r>
          <m:t>δ</m:t>
        </m:r>
        <m:sSub>
          <m:e>
            <m:r>
              <m:t>M</m:t>
            </m:r>
          </m:e>
          <m:sub>
            <m:r>
              <m:t>g</m:t>
            </m:r>
          </m:sub>
        </m:sSub>
      </m:oMath>
      <w:r>
        <w:t xml:space="preserve"> </w:t>
      </w:r>
      <w:r>
        <w:t xml:space="preserve">that is net new construction. Their ratio is</w:t>
      </w:r>
    </w:p>
    <w:p>
      <w:pPr>
        <w:pStyle w:val="BodyText"/>
      </w:pPr>
      <m:oMathPara>
        <m:oMathParaPr>
          <m:jc m:val="center"/>
        </m:oMathParaPr>
        <m:oMath>
          <m:r>
            <m:t>R</m:t>
          </m:r>
          <m:r>
            <m:rPr>
              <m:sty m:val="p"/>
            </m:rPr>
            <m:t>(</m:t>
          </m:r>
          <m:sSub>
            <m:e>
              <m:r>
                <m:t>M</m:t>
              </m:r>
            </m:e>
            <m:sub>
              <m:r>
                <m:t>g</m:t>
              </m:r>
            </m:sub>
          </m:sSub>
          <m:r>
            <m:rPr>
              <m:sty m:val="p"/>
            </m:rPr>
            <m:t>)</m:t>
          </m:r>
          <m:r>
            <m:rPr>
              <m:sty m:val="p"/>
            </m:rPr>
            <m:t>=</m:t>
          </m:r>
          <m:f>
            <m:fPr>
              <m:type m:val="bar"/>
            </m:fPr>
            <m:num>
              <m:r>
                <m:t>δ</m:t>
              </m:r>
              <m:sSub>
                <m:e>
                  <m:r>
                    <m:t>M</m:t>
                  </m:r>
                </m:e>
                <m:sub>
                  <m:r>
                    <m:t>g</m:t>
                  </m:r>
                </m:sub>
              </m:sSub>
            </m:num>
            <m:den>
              <m:sSub>
                <m:e>
                  <m:r>
                    <m:t>I</m:t>
                  </m:r>
                </m:e>
                <m:sub>
                  <m:r>
                    <m:t>g</m:t>
                  </m:r>
                </m:sub>
              </m:sSub>
              <m:r>
                <m:rPr>
                  <m:sty m:val="p"/>
                </m:rPr>
                <m:t>−</m:t>
              </m:r>
              <m:r>
                <m:t>δ</m:t>
              </m:r>
              <m:sSub>
                <m:e>
                  <m:r>
                    <m:t>M</m:t>
                  </m:r>
                </m:e>
                <m:sub>
                  <m:r>
                    <m:t>g</m:t>
                  </m:r>
                </m:sub>
              </m:sSub>
            </m:den>
          </m:f>
        </m:oMath>
      </m:oMathPara>
    </w:p>
    <w:p>
      <w:pPr>
        <w:pStyle w:val="FirstParagraph"/>
      </w:pPr>
      <w:r>
        <w:t xml:space="preserve">defined on the growth regime</w:t>
      </w:r>
      <w:r>
        <w:t xml:space="preserve"> </w:t>
      </w:r>
      <m:oMath>
        <m:r>
          <m:t>0</m:t>
        </m:r>
        <m:r>
          <m:rPr>
            <m:sty m:val="p"/>
          </m:rPr>
          <m:t>≤</m:t>
        </m:r>
        <m:r>
          <m:t>δ</m:t>
        </m:r>
        <m:sSub>
          <m:e>
            <m:r>
              <m:t>M</m:t>
            </m:r>
          </m:e>
          <m:sub>
            <m:r>
              <m:t>g</m:t>
            </m:r>
          </m:sub>
        </m:sSub>
        <m:r>
          <m:rPr>
            <m:sty m:val="p"/>
          </m:rPr>
          <m:t>&lt;</m:t>
        </m:r>
        <m:sSub>
          <m:e>
            <m:r>
              <m:t>I</m:t>
            </m:r>
          </m:e>
          <m:sub>
            <m:r>
              <m:t>g</m:t>
            </m:r>
          </m:sub>
        </m:sSub>
      </m:oMath>
      <w:r>
        <w:t xml:space="preserve">, monotonically increasing in</w:t>
      </w:r>
      <w:r>
        <w:t xml:space="preserve"> </w:t>
      </w:r>
      <m:oMath>
        <m:sSub>
          <m:e>
            <m:r>
              <m:t>M</m:t>
            </m:r>
          </m:e>
          <m:sub>
            <m:r>
              <m:t>g</m:t>
            </m:r>
          </m:sub>
        </m:sSub>
      </m:oMath>
      <w:r>
        <w:t xml:space="preserve">, and diverging at the steady state</w:t>
      </w:r>
      <w:r>
        <w:t xml:space="preserve"> </w:t>
      </w:r>
      <m:oMath>
        <m:sSubSup>
          <m:e>
            <m:r>
              <m:t>M</m:t>
            </m:r>
          </m:e>
          <m:sub>
            <m:r>
              <m:t>g</m:t>
            </m:r>
          </m:sub>
          <m:sup>
            <m:r>
              <m:rPr>
                <m:sty m:val="p"/>
              </m:rPr>
              <m:t>*</m:t>
            </m:r>
          </m:sup>
        </m:sSubSup>
        <m:r>
          <m:rPr>
            <m:sty m:val="p"/>
          </m:rPr>
          <m:t>=</m:t>
        </m:r>
        <m:sSub>
          <m:e>
            <m:r>
              <m:t>I</m:t>
            </m:r>
          </m:e>
          <m:sub>
            <m:r>
              <m:t>g</m:t>
            </m:r>
          </m:sub>
        </m:sSub>
        <m:r>
          <m:rPr>
            <m:sty m:val="p"/>
          </m:rPr>
          <m:t>/</m:t>
        </m:r>
        <m:r>
          <m:t>δ</m:t>
        </m:r>
      </m:oMath>
      <w:r>
        <w:t xml:space="preserve"> </w:t>
      </w:r>
      <w:r>
        <w:t xml:space="preserve">(at saturation all investment is maintenance). Positive depreciation</w:t>
      </w:r>
      <w:r>
        <w:t xml:space="preserve"> </w:t>
      </w:r>
      <m:oMath>
        <m:r>
          <m:t>δ</m:t>
        </m:r>
        <m:r>
          <m:rPr>
            <m:sty m:val="p"/>
          </m:rPr>
          <m:t>&gt;</m:t>
        </m:r>
        <m:r>
          <m:t>0</m:t>
        </m:r>
      </m:oMath>
      <w:r>
        <w:t xml:space="preserve"> </w:t>
      </w:r>
      <w:r>
        <w:t xml:space="preserve">follows from the multi-period Spence condition under durable signals (Bliege Bird and Smith 2005). Identifying the model’s maintenance flow with archaeologically observed renovation labor (and net growth with initial construction) is an interpretive mapping, not part of the derivation.</w:t>
      </w:r>
    </w:p>
    <w:p>
      <w:pPr>
        <w:pStyle w:val="BodyText"/>
      </w:pPr>
      <w:r>
        <w:rPr>
          <w:b/>
          <w:bCs/>
        </w:rPr>
        <w:t xml:space="preserve">PP-scenario trajectory.</w:t>
      </w:r>
      <w:r>
        <w:t xml:space="preserve"> </w:t>
      </w:r>
      <w:r>
        <w:t xml:space="preserve">At PP-calibrated parameters (</w:t>
      </w:r>
      <m:oMath>
        <m:r>
          <m:t>σ</m:t>
        </m:r>
        <m:r>
          <m:rPr>
            <m:sty m:val="p"/>
          </m:rPr>
          <m:t>=</m:t>
        </m:r>
        <m:r>
          <m:t>0.64</m:t>
        </m:r>
      </m:oMath>
      <w:r>
        <w:t xml:space="preserve">,</w:t>
      </w:r>
      <w:r>
        <w:t xml:space="preserve"> </w:t>
      </w:r>
      <m:oMath>
        <m:sSub>
          <m:e>
            <m:r>
              <m:t>n</m:t>
            </m:r>
          </m:e>
          <m:sub>
            <m:r>
              <m:t>a</m:t>
            </m:r>
            <m:r>
              <m:t>g</m:t>
            </m:r>
            <m:r>
              <m:t>g</m:t>
            </m:r>
          </m:sub>
        </m:sSub>
        <m:r>
          <m:rPr>
            <m:sty m:val="p"/>
          </m:rPr>
          <m:t>=</m:t>
        </m:r>
        <m:r>
          <m:t>25</m:t>
        </m:r>
      </m:oMath>
      <w:r>
        <w:t xml:space="preserve">,</w:t>
      </w:r>
      <w:r>
        <w:t xml:space="preserve"> </w:t>
      </w:r>
      <m:oMath>
        <m:r>
          <m:t>δ</m:t>
        </m:r>
        <m:r>
          <m:rPr>
            <m:sty m:val="p"/>
          </m:rPr>
          <m:t>=</m:t>
        </m:r>
        <m:r>
          <m:t>0.08</m:t>
        </m:r>
      </m:oMath>
      <w:r>
        <w:t xml:space="preserve">), the lambda-sigma fixed point gives</w:t>
      </w:r>
      <w:r>
        <w:t xml:space="preserve"> </w:t>
      </w:r>
      <m:oMath>
        <m:sSubSup>
          <m:e>
            <m:r>
              <m:t>M</m:t>
            </m:r>
          </m:e>
          <m:sub>
            <m:r>
              <m:t>g</m:t>
            </m:r>
          </m:sub>
          <m:sup>
            <m:r>
              <m:rPr>
                <m:sty m:val="p"/>
              </m:rPr>
              <m:t>*</m:t>
            </m:r>
          </m:sup>
        </m:sSubSup>
        <m:r>
          <m:rPr>
            <m:sty m:val="p"/>
          </m:rPr>
          <m:t>=</m:t>
        </m:r>
        <m:r>
          <m:t>129.8</m:t>
        </m:r>
      </m:oMath>
      <w:r>
        <w:t xml:space="preserve"> </w:t>
      </w:r>
      <w:r>
        <w:t xml:space="preserve">units and</w:t>
      </w:r>
      <w:r>
        <w:t xml:space="preserve"> </w:t>
      </w:r>
      <m:oMath>
        <m:sSub>
          <m:e>
            <m:r>
              <m:t>I</m:t>
            </m:r>
          </m:e>
          <m:sub>
            <m:r>
              <m:t>g</m:t>
            </m:r>
          </m:sub>
        </m:sSub>
        <m:r>
          <m:rPr>
            <m:sty m:val="p"/>
          </m:rPr>
          <m:t>=</m:t>
        </m:r>
        <m:r>
          <m:t>10.38</m:t>
        </m:r>
      </m:oMath>
      <w:r>
        <w:t xml:space="preserve"> </w:t>
      </w:r>
      <w:r>
        <w:t xml:space="preserve">units/yr. Depreciation timescale</w:t>
      </w:r>
      <w:r>
        <w:t xml:space="preserve"> </w:t>
      </w:r>
      <m:oMath>
        <m:r>
          <m:t>1</m:t>
        </m:r>
        <m:r>
          <m:rPr>
            <m:sty m:val="p"/>
          </m:rPr>
          <m:t>/</m:t>
        </m:r>
        <m:r>
          <m:t>δ</m:t>
        </m:r>
        <m:r>
          <m:rPr>
            <m:sty m:val="p"/>
          </m:rPr>
          <m:t>=</m:t>
        </m:r>
        <m:r>
          <m:t>12.5</m:t>
        </m:r>
      </m:oMath>
      <w:r>
        <w:t xml:space="preserve"> </w:t>
      </w:r>
      <w:r>
        <w:t xml:space="preserve">yr. Starting from</w:t>
      </w:r>
      <w:r>
        <w:t xml:space="preserve"> </w:t>
      </w:r>
      <m:oMath>
        <m:sSub>
          <m:e>
            <m:r>
              <m:t>M</m:t>
            </m:r>
          </m:e>
          <m:sub>
            <m:r>
              <m:t>g</m:t>
            </m:r>
          </m:sub>
        </m:sSub>
        <m:r>
          <m:rPr>
            <m:sty m:val="p"/>
          </m:rPr>
          <m:t>(</m:t>
        </m:r>
        <m:r>
          <m:t>0</m:t>
        </m:r>
        <m:r>
          <m:rPr>
            <m:sty m:val="p"/>
          </m:rPr>
          <m:t>)</m:t>
        </m:r>
        <m:r>
          <m:rPr>
            <m:sty m:val="p"/>
          </m:rPr>
          <m:t>=</m:t>
        </m:r>
        <m:r>
          <m:t>0</m:t>
        </m:r>
      </m:oMath>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r>
              <w:t xml:space="preserve"> </w:t>
            </w:r>
            <m:oMath>
              <m:r>
                <m:t>t</m:t>
              </m:r>
            </m:oMath>
          </w:p>
        </w:tc>
        <w:tc>
          <w:tcPr/>
          <w:p>
            <w:pPr>
              <w:pStyle w:val="Compact"/>
            </w:pPr>
            <m:oMath>
              <m:sSub>
                <m:e>
                  <m:r>
                    <m:t>M</m:t>
                  </m:r>
                </m:e>
                <m:sub>
                  <m:r>
                    <m:t>g</m:t>
                  </m:r>
                </m:sub>
              </m:sSub>
              <m:r>
                <m:rPr>
                  <m:sty m:val="p"/>
                </m:rPr>
                <m:t>(</m:t>
              </m:r>
              <m:r>
                <m:t>t</m:t>
              </m:r>
              <m:r>
                <m:rPr>
                  <m:sty m:val="p"/>
                </m:rPr>
                <m:t>)</m:t>
              </m:r>
            </m:oMath>
          </w:p>
        </w:tc>
        <w:tc>
          <w:tcPr/>
          <w:p>
            <w:pPr>
              <w:pStyle w:val="Compact"/>
            </w:pPr>
            <m:oMath>
              <m:r>
                <m:t>δ</m:t>
              </m:r>
              <m:sSub>
                <m:e>
                  <m:r>
                    <m:t>M</m:t>
                  </m:r>
                </m:e>
                <m:sub>
                  <m:r>
                    <m:t>g</m:t>
                  </m:r>
                </m:sub>
              </m:sSub>
            </m:oMath>
            <w:r>
              <w:t xml:space="preserve"> </w:t>
            </w:r>
            <w:r>
              <w:t xml:space="preserve">(maint.)</w:t>
            </w:r>
          </w:p>
        </w:tc>
        <w:tc>
          <w:tcPr/>
          <w:p>
            <w:pPr>
              <w:pStyle w:val="Compact"/>
            </w:pPr>
            <m:oMath>
              <m:sSub>
                <m:e>
                  <m:r>
                    <m:t>I</m:t>
                  </m:r>
                </m:e>
                <m:sub>
                  <m:r>
                    <m:t>g</m:t>
                  </m:r>
                </m:sub>
              </m:sSub>
              <m:r>
                <m:rPr>
                  <m:sty m:val="p"/>
                </m:rPr>
                <m:t>−</m:t>
              </m:r>
              <m:r>
                <m:t>δ</m:t>
              </m:r>
              <m:sSub>
                <m:e>
                  <m:r>
                    <m:t>M</m:t>
                  </m:r>
                </m:e>
                <m:sub>
                  <m:r>
                    <m:t>g</m:t>
                  </m:r>
                </m:sub>
              </m:sSub>
            </m:oMath>
            <w:r>
              <w:t xml:space="preserve"> </w:t>
            </w:r>
            <w:r>
              <w:t xml:space="preserve">(new)</w:t>
            </w:r>
          </w:p>
        </w:tc>
        <w:tc>
          <w:tcPr/>
          <w:p>
            <w:pPr>
              <w:pStyle w:val="Compact"/>
            </w:pPr>
            <m:oMath>
              <m:r>
                <m:t>R</m:t>
              </m:r>
              <m:r>
                <m:rPr>
                  <m:sty m:val="p"/>
                </m:rPr>
                <m:t>(</m:t>
              </m:r>
              <m:sSub>
                <m:e>
                  <m:r>
                    <m:t>M</m:t>
                  </m:r>
                </m:e>
                <m:sub>
                  <m:r>
                    <m:t>g</m:t>
                  </m:r>
                </m:sub>
              </m:sSub>
              <m:r>
                <m:rPr>
                  <m:sty m:val="p"/>
                </m:rPr>
                <m:t>)</m:t>
              </m:r>
            </m:oMath>
          </w:p>
        </w:tc>
      </w:tr>
      <w:tr>
        <w:tc>
          <w:tcPr/>
          <w:p>
            <w:pPr>
              <w:pStyle w:val="Compact"/>
            </w:pPr>
            <w:r>
              <w:t xml:space="preserve">12</w:t>
            </w:r>
          </w:p>
        </w:tc>
        <w:tc>
          <w:tcPr/>
          <w:p>
            <w:pPr>
              <w:pStyle w:val="Compact"/>
            </w:pPr>
            <w:r>
              <w:t xml:space="preserve">81</w:t>
            </w:r>
          </w:p>
        </w:tc>
        <w:tc>
          <w:tcPr/>
          <w:p>
            <w:pPr>
              <w:pStyle w:val="Compact"/>
            </w:pPr>
            <w:r>
              <w:t xml:space="preserve">6.5</w:t>
            </w:r>
          </w:p>
        </w:tc>
        <w:tc>
          <w:tcPr/>
          <w:p>
            <w:pPr>
              <w:pStyle w:val="Compact"/>
            </w:pPr>
            <w:r>
              <w:t xml:space="preserve">3.9</w:t>
            </w:r>
          </w:p>
        </w:tc>
        <w:tc>
          <w:tcPr/>
          <w:p>
            <w:pPr>
              <w:pStyle w:val="Compact"/>
            </w:pPr>
            <w:r>
              <w:t xml:space="preserve">1.65</w:t>
            </w:r>
          </w:p>
        </w:tc>
      </w:tr>
      <w:tr>
        <w:tc>
          <w:tcPr/>
          <w:p>
            <w:pPr>
              <w:pStyle w:val="Compact"/>
            </w:pPr>
            <w:r>
              <w:t xml:space="preserve">25</w:t>
            </w:r>
          </w:p>
        </w:tc>
        <w:tc>
          <w:tcPr/>
          <w:p>
            <w:pPr>
              <w:pStyle w:val="Compact"/>
            </w:pPr>
            <w:r>
              <w:t xml:space="preserve">112</w:t>
            </w:r>
          </w:p>
        </w:tc>
        <w:tc>
          <w:tcPr/>
          <w:p>
            <w:pPr>
              <w:pStyle w:val="Compact"/>
            </w:pPr>
            <w:r>
              <w:t xml:space="preserve">8.96</w:t>
            </w:r>
          </w:p>
        </w:tc>
        <w:tc>
          <w:tcPr/>
          <w:p>
            <w:pPr>
              <w:pStyle w:val="Compact"/>
            </w:pPr>
            <w:r>
              <w:t xml:space="preserve">1.44</w:t>
            </w:r>
          </w:p>
        </w:tc>
        <w:tc>
          <w:tcPr/>
          <w:p>
            <w:pPr>
              <w:pStyle w:val="Compact"/>
            </w:pPr>
            <w:r>
              <w:t xml:space="preserve">6.2</w:t>
            </w:r>
          </w:p>
        </w:tc>
      </w:tr>
      <w:tr>
        <w:tc>
          <w:tcPr/>
          <w:p>
            <w:pPr>
              <w:pStyle w:val="Compact"/>
            </w:pPr>
            <w:r>
              <w:t xml:space="preserve">50</w:t>
            </w:r>
          </w:p>
        </w:tc>
        <w:tc>
          <w:tcPr/>
          <w:p>
            <w:pPr>
              <w:pStyle w:val="Compact"/>
            </w:pPr>
            <w:r>
              <w:t xml:space="preserve">127</w:t>
            </w:r>
          </w:p>
        </w:tc>
        <w:tc>
          <w:tcPr/>
          <w:p>
            <w:pPr>
              <w:pStyle w:val="Compact"/>
            </w:pPr>
            <w:r>
              <w:t xml:space="preserve">10.16</w:t>
            </w:r>
          </w:p>
        </w:tc>
        <w:tc>
          <w:tcPr/>
          <w:p>
            <w:pPr>
              <w:pStyle w:val="Compact"/>
            </w:pPr>
            <w:r>
              <w:t xml:space="preserve">0.24</w:t>
            </w:r>
          </w:p>
        </w:tc>
        <w:tc>
          <w:tcPr/>
          <w:p>
            <w:pPr>
              <w:pStyle w:val="Compact"/>
            </w:pPr>
            <w:r>
              <w:t xml:space="preserve">42</w:t>
            </w:r>
          </w:p>
        </w:tc>
      </w:tr>
      <w:tr>
        <w:tc>
          <w:tcPr/>
          <w:p>
            <w:pPr>
              <w:pStyle w:val="Compact"/>
            </w:pPr>
            <w:r>
              <w:t xml:space="preserve">75</w:t>
            </w:r>
          </w:p>
        </w:tc>
        <w:tc>
          <w:tcPr/>
          <w:p>
            <w:pPr>
              <w:pStyle w:val="Compact"/>
            </w:pPr>
            <w:r>
              <w:t xml:space="preserve">129.5</w:t>
            </w:r>
          </w:p>
        </w:tc>
        <w:tc>
          <w:tcPr/>
          <w:p>
            <w:pPr>
              <w:pStyle w:val="Compact"/>
            </w:pPr>
            <w:r>
              <w:t xml:space="preserve">10.36</w:t>
            </w:r>
          </w:p>
        </w:tc>
        <w:tc>
          <w:tcPr/>
          <w:p>
            <w:pPr>
              <w:pStyle w:val="Compact"/>
            </w:pPr>
            <w:r>
              <w:t xml:space="preserve">0.02</w:t>
            </w:r>
          </w:p>
        </w:tc>
        <w:tc>
          <w:tcPr/>
          <w:p>
            <w:pPr>
              <w:pStyle w:val="Compact"/>
            </w:pPr>
            <w:r>
              <w:t xml:space="preserve">&gt;500</w:t>
            </w:r>
          </w:p>
        </w:tc>
      </w:tr>
    </w:tbl>
    <w:p>
      <w:pPr>
        <w:pStyle w:val="BodyText"/>
      </w:pPr>
      <w:r>
        <w:t xml:space="preserve">Over the 75-year active interval (Kidder and Grooms 2024 Bayesian-modeled active-construction window), cumulative maintenance is</w:t>
      </w:r>
      <w:r>
        <w:t xml:space="preserve"> </w:t>
      </w:r>
      <m:oMath>
        <m:r>
          <m:rPr>
            <m:sty m:val="p"/>
          </m:rPr>
          <m:t>≈</m:t>
        </m:r>
        <m:r>
          <m:t>5.0</m:t>
        </m:r>
      </m:oMath>
      <w:r>
        <w:t xml:space="preserve"> </w:t>
      </w:r>
      <w:r>
        <w:t xml:space="preserve">times cumulative net new construction (83% of total labor is renewal). PP therefore sits deep in the maintenance-dominated regime for most of its active interval, as predicted by the framework.</w:t>
      </w:r>
    </w:p>
    <w:p>
      <w:pPr>
        <w:pStyle w:val="BodyText"/>
      </w:pPr>
      <w:r>
        <w:rPr>
          <w:b/>
          <w:bCs/>
        </w:rPr>
        <w:t xml:space="preserve">WB-scenario trajectory.</w:t>
      </w:r>
      <w:r>
        <w:t xml:space="preserve"> </w:t>
      </w:r>
      <w:r>
        <w:t xml:space="preserve">At WB-scenario parameters (</w:t>
      </w:r>
      <m:oMath>
        <m:r>
          <m:t>σ</m:t>
        </m:r>
        <m:r>
          <m:rPr>
            <m:sty m:val="p"/>
          </m:rPr>
          <m:t>≈</m:t>
        </m:r>
        <m:r>
          <m:t>0.56</m:t>
        </m:r>
      </m:oMath>
      <w:r>
        <w:t xml:space="preserve">,</w:t>
      </w:r>
      <w:r>
        <w:t xml:space="preserve"> </w:t>
      </w:r>
      <m:oMath>
        <m:sSub>
          <m:e>
            <m:r>
              <m:t>n</m:t>
            </m:r>
          </m:e>
          <m:sub>
            <m:r>
              <m:t>a</m:t>
            </m:r>
            <m:r>
              <m:t>g</m:t>
            </m:r>
            <m:r>
              <m:t>g</m:t>
            </m:r>
          </m:sub>
        </m:sSub>
        <m:r>
          <m:rPr>
            <m:sty m:val="p"/>
          </m:rPr>
          <m:t>≈</m:t>
        </m:r>
        <m:r>
          <m:t>8</m:t>
        </m:r>
      </m:oMath>
      <w:r>
        <w:t xml:space="preserve">, same</w:t>
      </w:r>
      <w:r>
        <w:t xml:space="preserve"> </w:t>
      </w:r>
      <m:oMath>
        <m:r>
          <m:t>δ</m:t>
        </m:r>
      </m:oMath>
      <w:r>
        <w:t xml:space="preserve">),</w:t>
      </w:r>
      <w:r>
        <w:t xml:space="preserve"> </w:t>
      </w:r>
      <m:oMath>
        <m:sSubSup>
          <m:e>
            <m:r>
              <m:t>M</m:t>
            </m:r>
          </m:e>
          <m:sub>
            <m:r>
              <m:t>g</m:t>
            </m:r>
          </m:sub>
          <m:sup>
            <m:r>
              <m:rPr>
                <m:sty m:val="p"/>
              </m:rPr>
              <m:t>*</m:t>
            </m:r>
          </m:sup>
        </m:sSubSup>
        <m:r>
          <m:rPr>
            <m:sty m:val="p"/>
          </m:rPr>
          <m:t>=</m:t>
        </m:r>
        <m:r>
          <m:t>41.5</m:t>
        </m:r>
      </m:oMath>
      <w:r>
        <w:t xml:space="preserve"> </w:t>
      </w:r>
      <w:r>
        <w:t xml:space="preserve">units and</w:t>
      </w:r>
      <w:r>
        <w:t xml:space="preserve"> </w:t>
      </w:r>
      <m:oMath>
        <m:sSub>
          <m:e>
            <m:r>
              <m:t>I</m:t>
            </m:r>
          </m:e>
          <m:sub>
            <m:r>
              <m:t>g</m:t>
            </m:r>
          </m:sub>
        </m:sSub>
        <m:r>
          <m:rPr>
            <m:sty m:val="p"/>
          </m:rPr>
          <m:t>=</m:t>
        </m:r>
        <m:r>
          <m:t>3.32</m:t>
        </m:r>
      </m:oMath>
      <w:r>
        <w:t xml:space="preserve"> </w:t>
      </w:r>
      <w:r>
        <w:t xml:space="preserve">units/yr. Under the documented episodic regime (Saunders et al. 2005: 200+ year inter-stage gaps), each construction burst begins from a partly-depreciated stock and operates closer to initial construction than maintenance. Modeled as 4 episodes</w:t>
      </w:r>
      <w:r>
        <w:t xml:space="preserve"> </w:t>
      </w:r>
      <m:oMath>
        <m:r>
          <m:rPr>
            <m:sty m:val="p"/>
          </m:rPr>
          <m:t>×</m:t>
        </m:r>
      </m:oMath>
      <w:r>
        <w:t xml:space="preserve"> </w:t>
      </w:r>
      <w:r>
        <w:t xml:space="preserve">50 yr separated by 200 yr hiatuses (illustrative simplification of the actual chronology): within-episode</w:t>
      </w:r>
      <w:r>
        <w:t xml:space="preserve"> </w:t>
      </w:r>
      <m:oMath>
        <m:r>
          <m:t>R</m:t>
        </m:r>
        <m:r>
          <m:rPr>
            <m:sty m:val="p"/>
          </m:rPr>
          <m:t>≈</m:t>
        </m:r>
        <m:r>
          <m:t>4</m:t>
        </m:r>
      </m:oMath>
      <w:r>
        <w:t xml:space="preserve">, but the cumulative-across-700 yr event rate is dominated by the long silences.</w:t>
      </w:r>
    </w:p>
    <w:p>
      <w:pPr>
        <w:pStyle w:val="BodyText"/>
      </w:pPr>
      <w:r>
        <w:rPr>
          <w:b/>
          <w:bCs/>
        </w:rPr>
        <w:t xml:space="preserve">Event-density operationalization.</w:t>
      </w:r>
      <w:r>
        <w:t xml:space="preserve"> </w:t>
      </w:r>
      <m:oMath>
        <m:r>
          <m:t>R</m:t>
        </m:r>
        <m:r>
          <m:rPr>
            <m:sty m:val="p"/>
          </m:rPr>
          <m:t>(</m:t>
        </m:r>
        <m:sSub>
          <m:e>
            <m:r>
              <m:t>M</m:t>
            </m:r>
          </m:e>
          <m:sub>
            <m:r>
              <m:t>g</m:t>
            </m:r>
          </m:sub>
        </m:sSub>
        <m:r>
          <m:rPr>
            <m:sty m:val="p"/>
          </m:rPr>
          <m:t>)</m:t>
        </m:r>
      </m:oMath>
      <w:r>
        <w:t xml:space="preserve"> </w:t>
      </w:r>
      <w:r>
        <w:t xml:space="preserve">is not directly observable in the archaeological record because preserved evidence does not cleanly separate maintenance from new construction. The framework’s operational expression is event density per unit time: a maintenance-dominated regime produces many small renewal events per active year (re-cappings, surface preparations, post-circle rebuilds), while a growth-dominated regime produces fewer initial-construction events with long gaps.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Site</w:t>
            </w:r>
          </w:p>
        </w:tc>
        <w:tc>
          <w:tcPr/>
          <w:p>
            <w:pPr>
              <w:pStyle w:val="Compact"/>
            </w:pPr>
            <w:r>
              <w:t xml:space="preserve">Event count (lower bound)</w:t>
            </w:r>
          </w:p>
        </w:tc>
        <w:tc>
          <w:tcPr/>
          <w:p>
            <w:pPr>
              <w:pStyle w:val="Compact"/>
            </w:pPr>
            <w:r>
              <w:t xml:space="preserve">Active interval</w:t>
            </w:r>
          </w:p>
        </w:tc>
        <w:tc>
          <w:tcPr/>
          <w:p>
            <w:pPr>
              <w:pStyle w:val="Compact"/>
            </w:pPr>
            <w:r>
              <w:t xml:space="preserve">Event density (yr</w:t>
            </w:r>
            <m:oMath>
              <m:sSup>
                <m:e>
                  <m:r>
                    <m:t>​</m:t>
                  </m:r>
                </m:e>
                <m:sup>
                  <m:r>
                    <m:rPr>
                      <m:sty m:val="p"/>
                    </m:rPr>
                    <m:t>−</m:t>
                  </m:r>
                  <m:r>
                    <m:t>1</m:t>
                  </m:r>
                </m:sup>
              </m:sSup>
            </m:oMath>
            <w:r>
              <w:t xml:space="preserve">)</w:t>
            </w:r>
          </w:p>
        </w:tc>
        <w:tc>
          <w:tcPr/>
          <w:p>
            <w:pPr>
              <w:pStyle w:val="Compact"/>
            </w:pPr>
            <w:r>
              <w:t xml:space="preserve">Source</w:t>
            </w:r>
          </w:p>
        </w:tc>
      </w:tr>
      <w:tr>
        <w:tc>
          <w:tcPr/>
          <w:p>
            <w:pPr>
              <w:pStyle w:val="Compact"/>
            </w:pPr>
            <w:r>
              <w:t xml:space="preserve">Poverty Point</w:t>
            </w:r>
          </w:p>
        </w:tc>
        <w:tc>
          <w:tcPr/>
          <w:p>
            <w:pPr>
              <w:pStyle w:val="Compact"/>
            </w:pPr>
            <m:oMath>
              <m:r>
                <m:rPr>
                  <m:sty m:val="p"/>
                </m:rPr>
                <m:t>≥</m:t>
              </m:r>
              <m:r>
                <m:t>100</m:t>
              </m:r>
            </m:oMath>
            <w:r>
              <w:t xml:space="preserve"> </w:t>
            </w:r>
            <w:r>
              <w:t xml:space="preserve">(64 ridge components + 16 prepared surfaces beneath Mound C + plaza post-circle build-decommission-rebuild cycles)</w:t>
            </w:r>
          </w:p>
        </w:tc>
        <w:tc>
          <w:tcPr/>
          <w:p>
            <w:pPr>
              <w:pStyle w:val="Compact"/>
            </w:pPr>
            <w:r>
              <w:t xml:space="preserve">75 yr</w:t>
            </w:r>
          </w:p>
        </w:tc>
        <w:tc>
          <w:tcPr/>
          <w:p>
            <w:pPr>
              <w:pStyle w:val="Compact"/>
            </w:pPr>
            <m:oMath>
              <m:r>
                <m:rPr>
                  <m:sty m:val="p"/>
                </m:rPr>
                <m:t>≥</m:t>
              </m:r>
              <m:r>
                <m:t>1.33</m:t>
              </m:r>
            </m:oMath>
          </w:p>
        </w:tc>
        <w:tc>
          <w:tcPr/>
          <w:p>
            <w:pPr>
              <w:pStyle w:val="Compact"/>
            </w:pPr>
            <w:r>
              <w:t xml:space="preserve">Hargrave et al. 2021; Clay 2023; Ortmann and Kidder 2013; Kidder and Grooms 2024</w:t>
            </w:r>
          </w:p>
        </w:tc>
      </w:tr>
      <w:tr>
        <w:tc>
          <w:tcPr/>
          <w:p>
            <w:pPr>
              <w:pStyle w:val="Compact"/>
            </w:pPr>
            <w:r>
              <w:t xml:space="preserve">Watson Brake</w:t>
            </w:r>
          </w:p>
        </w:tc>
        <w:tc>
          <w:tcPr/>
          <w:p>
            <w:pPr>
              <w:pStyle w:val="Compact"/>
            </w:pPr>
            <w:r>
              <w:t xml:space="preserve">11-20 (11 mounds + connecting ridges, 200+ yr inter-stage gaps)</w:t>
            </w:r>
          </w:p>
        </w:tc>
        <w:tc>
          <w:tcPr/>
          <w:p>
            <w:pPr>
              <w:pStyle w:val="Compact"/>
            </w:pPr>
            <w:r>
              <w:t xml:space="preserve">700 yr</w:t>
            </w:r>
          </w:p>
        </w:tc>
        <w:tc>
          <w:tcPr/>
          <w:p>
            <w:pPr>
              <w:pStyle w:val="Compact"/>
            </w:pPr>
            <w:r>
              <w:t xml:space="preserve">0.016-0.029</w:t>
            </w:r>
          </w:p>
        </w:tc>
        <w:tc>
          <w:tcPr/>
          <w:p>
            <w:pPr>
              <w:pStyle w:val="Compact"/>
            </w:pPr>
            <w:r>
              <w:t xml:space="preserve">Saunders et al. 2005</w:t>
            </w:r>
          </w:p>
        </w:tc>
      </w:tr>
    </w:tbl>
    <w:p>
      <w:pPr>
        <w:pStyle w:val="BodyText"/>
      </w:pPr>
      <w:r>
        <w:t xml:space="preserve">PP-to-WB event-density ratio:</w:t>
      </w:r>
      <w:r>
        <w:t xml:space="preserve"> </w:t>
      </w:r>
      <m:oMath>
        <m:r>
          <m:rPr>
            <m:sty m:val="p"/>
          </m:rPr>
          <m:t>≈</m:t>
        </m:r>
      </m:oMath>
      <w:r>
        <w:t xml:space="preserve"> </w:t>
      </w:r>
      <w:r>
        <w:t xml:space="preserve">47-85</w:t>
      </w:r>
      <m:oMath>
        <m:r>
          <m:rPr>
            <m:sty m:val="p"/>
          </m:rPr>
          <m:t>×</m:t>
        </m:r>
      </m:oMath>
      <w:r>
        <w:t xml:space="preserve">. The framework predicts a ratio substantially greater than unity, given that PP held</w:t>
      </w:r>
      <w:r>
        <w:t xml:space="preserve"> </w:t>
      </w:r>
      <m:oMath>
        <m:sSub>
          <m:e>
            <m:r>
              <m:t>M</m:t>
            </m:r>
          </m:e>
          <m:sub>
            <m:r>
              <m:t>g</m:t>
            </m:r>
          </m:sub>
        </m:sSub>
      </m:oMath>
      <w:r>
        <w:t xml:space="preserve"> </w:t>
      </w:r>
      <w:r>
        <w:t xml:space="preserve">near saturation for the duration of its 75-year active interval while WB operated episodically with depreciation gaps that reset the system toward zero between bursts. The observed contrast matches.</w:t>
      </w:r>
    </w:p>
    <w:p>
      <w:pPr>
        <w:pStyle w:val="BodyText"/>
      </w:pPr>
      <w:r>
        <w:rPr>
          <w:b/>
          <w:bCs/>
        </w:rPr>
        <w:t xml:space="preserve">Status: independently weighted test.</w:t>
      </w:r>
      <w:r>
        <w:t xml:space="preserve"> </w:t>
      </w:r>
      <w:r>
        <w:t xml:space="preserve">The PP-vs-WB event-density contrast is a second-axis test on top of the §6.3 magnitude contrast: both predictions follow from the same lambda-sigma fixed point plus the geometric depreciation recurrence, without additional free parameters. A reversal of the contrast (WB showing higher event density than PP) or its reduction below an order of magnitude would weaken the signal-half-life mechanism. The mechanism is currently supported.</w:t>
      </w:r>
    </w:p>
    <w:p>
      <w:pPr>
        <w:pStyle w:val="BodyText"/>
      </w:pPr>
      <w:r>
        <w:rPr>
          <w:b/>
          <w:bCs/>
        </w:rPr>
        <w:t xml:space="preserve">Caveats.</w:t>
      </w:r>
      <w:r>
        <w:t xml:space="preserve"> </w:t>
      </w:r>
      <w:r>
        <w:t xml:space="preserve">- The constant-</w:t>
      </w:r>
      <m:oMath>
        <m:sSub>
          <m:e>
            <m:r>
              <m:t>I</m:t>
            </m:r>
          </m:e>
          <m:sub>
            <m:r>
              <m:t>g</m:t>
            </m:r>
          </m:sub>
        </m:sSub>
      </m:oMath>
      <w:r>
        <w:t xml:space="preserve"> </w:t>
      </w:r>
      <w:r>
        <w:t xml:space="preserve">approximation does not capture within-interval labor variation. Mound A’s compressed $</w:t>
      </w:r>
      <m:oMath>
        <m:r>
          <m:t>90</m:t>
        </m:r>
        <m:r>
          <m:rPr>
            <m:sty m:val="p"/>
          </m:rPr>
          <m:t>−</m:t>
        </m:r>
        <m:r>
          <m:t>d</m:t>
        </m:r>
        <m:r>
          <m:t>a</m:t>
        </m:r>
        <m:r>
          <m:t>y</m:t>
        </m:r>
        <m:r>
          <m:t>c</m:t>
        </m:r>
        <m:r>
          <m:t>o</m:t>
        </m:r>
        <m:r>
          <m:t>n</m:t>
        </m:r>
        <m:r>
          <m:t>s</m:t>
        </m:r>
        <m:r>
          <m:t>t</m:t>
        </m:r>
        <m:r>
          <m:t>r</m:t>
        </m:r>
        <m:r>
          <m:t>u</m:t>
        </m:r>
        <m:r>
          <m:t>c</m:t>
        </m:r>
        <m:r>
          <m:t>t</m:t>
        </m:r>
        <m:r>
          <m:t>i</m:t>
        </m:r>
        <m:r>
          <m:t>o</m:t>
        </m:r>
        <m:r>
          <m:t>n</m:t>
        </m:r>
        <m:r>
          <m:rPr>
            <m:sty m:val="p"/>
          </m:rPr>
          <m:t>(</m:t>
        </m:r>
        <m:r>
          <m:t>O</m:t>
        </m:r>
        <m:r>
          <m:t>r</m:t>
        </m:r>
        <m:r>
          <m:t>t</m:t>
        </m:r>
        <m:r>
          <m:t>m</m:t>
        </m:r>
        <m:r>
          <m:t>a</m:t>
        </m:r>
        <m:r>
          <m:t>n</m:t>
        </m:r>
        <m:r>
          <m:t>n</m:t>
        </m:r>
        <m:r>
          <m:t>a</m:t>
        </m:r>
        <m:r>
          <m:t>n</m:t>
        </m:r>
        <m:r>
          <m:t>d</m:t>
        </m:r>
        <m:r>
          <m:t>K</m:t>
        </m:r>
        <m:r>
          <m:t>i</m:t>
        </m:r>
        <m:r>
          <m:t>d</m:t>
        </m:r>
        <m:r>
          <m:t>d</m:t>
        </m:r>
        <m:r>
          <m:t>e</m:t>
        </m:r>
        <m:r>
          <m:t>r</m:t>
        </m:r>
        <m:r>
          <m:t>2013</m:t>
        </m:r>
        <m:r>
          <m:rPr>
            <m:sty m:val="p"/>
          </m:rPr>
          <m:t>)</m:t>
        </m:r>
        <m:r>
          <m:t>a</m:t>
        </m:r>
        <m:r>
          <m:t>n</m:t>
        </m:r>
        <m:r>
          <m:t>d</m:t>
        </m:r>
        <m:r>
          <m:t>t</m:t>
        </m:r>
        <m:r>
          <m:t>h</m:t>
        </m:r>
        <m:r>
          <m:t>e</m:t>
        </m:r>
        <m:r>
          <m:t>d</m:t>
        </m:r>
        <m:r>
          <m:t>e</m:t>
        </m:r>
        <m:r>
          <m:t>n</m:t>
        </m:r>
        <m:r>
          <m:t>s</m:t>
        </m:r>
        <m:r>
          <m:t>e</m:t>
        </m:r>
        <m:r>
          <m:t>e</m:t>
        </m:r>
        <m:r>
          <m:t>a</m:t>
        </m:r>
        <m:r>
          <m:t>r</m:t>
        </m:r>
        <m:r>
          <m:t>l</m:t>
        </m:r>
        <m:r>
          <m:t>y</m:t>
        </m:r>
        <m:r>
          <m:rPr>
            <m:sty m:val="p"/>
          </m:rPr>
          <m:t>−</m:t>
        </m:r>
        <m:r>
          <m:t>a</m:t>
        </m:r>
        <m:r>
          <m:t>c</m:t>
        </m:r>
        <m:r>
          <m:t>t</m:t>
        </m:r>
        <m:r>
          <m:t>i</m:t>
        </m:r>
        <m:r>
          <m:t>v</m:t>
        </m:r>
        <m:r>
          <m:t>e</m:t>
        </m:r>
        <m:r>
          <m:rPr>
            <m:sty m:val="p"/>
          </m:rPr>
          <m:t>−</m:t>
        </m:r>
        <m:r>
          <m:t>i</m:t>
        </m:r>
        <m:r>
          <m:t>n</m:t>
        </m:r>
        <m:r>
          <m:t>t</m:t>
        </m:r>
        <m:r>
          <m:t>e</m:t>
        </m:r>
        <m:r>
          <m:t>r</m:t>
        </m:r>
        <m:r>
          <m:t>v</m:t>
        </m:r>
        <m:r>
          <m:t>a</m:t>
        </m:r>
        <m:r>
          <m:t>l</m:t>
        </m:r>
        <m:r>
          <m:t>c</m:t>
        </m:r>
        <m:r>
          <m:t>o</m:t>
        </m:r>
        <m:r>
          <m:t>n</m:t>
        </m:r>
        <m:r>
          <m:t>s</m:t>
        </m:r>
        <m:r>
          <m:t>t</m:t>
        </m:r>
        <m:r>
          <m:t>r</m:t>
        </m:r>
        <m:r>
          <m:t>u</m:t>
        </m:r>
        <m:r>
          <m:t>c</m:t>
        </m:r>
        <m:r>
          <m:t>t</m:t>
        </m:r>
        <m:r>
          <m:t>i</m:t>
        </m:r>
        <m:r>
          <m:t>o</m:t>
        </m:r>
        <m:r>
          <m:t>n</m:t>
        </m:r>
        <m:r>
          <m:t>a</m:t>
        </m:r>
        <m:r>
          <m:t>t</m:t>
        </m:r>
        <m:r>
          <m:t>R</m:t>
        </m:r>
        <m:r>
          <m:t>i</m:t>
        </m:r>
        <m:r>
          <m:t>d</m:t>
        </m:r>
        <m:r>
          <m:t>g</m:t>
        </m:r>
        <m:r>
          <m:t>e</m:t>
        </m:r>
        <m:r>
          <m:t>3</m:t>
        </m:r>
        <m:r>
          <m:t>W</m:t>
        </m:r>
        <m:r>
          <m:t>e</m:t>
        </m:r>
        <m:r>
          <m:t>s</m:t>
        </m:r>
        <m:r>
          <m:t>t</m:t>
        </m:r>
        <m:r>
          <m:rPr>
            <m:sty m:val="p"/>
          </m:rPr>
          <m:t>(</m:t>
        </m:r>
        <m:r>
          <m:t>K</m:t>
        </m:r>
        <m:r>
          <m:t>i</m:t>
        </m:r>
        <m:r>
          <m:t>d</m:t>
        </m:r>
        <m:r>
          <m:t>d</m:t>
        </m:r>
        <m:r>
          <m:t>e</m:t>
        </m:r>
        <m:r>
          <m:t>r</m:t>
        </m:r>
        <m:r>
          <m:t>e</m:t>
        </m:r>
        <m:r>
          <m:t>t</m:t>
        </m:r>
        <m:r>
          <m:t>a</m:t>
        </m:r>
        <m:r>
          <m:t>l</m:t>
        </m:r>
        <m:r>
          <m:rPr>
            <m:sty m:val="p"/>
          </m:rPr>
          <m:t>.</m:t>
        </m:r>
        <m:r>
          <m:t>2021</m:t>
        </m:r>
        <m:r>
          <m:rPr>
            <m:sty m:val="p"/>
          </m:rPr>
          <m:t>)</m:t>
        </m:r>
        <m:r>
          <m:t>s</m:t>
        </m:r>
        <m:r>
          <m:t>u</m:t>
        </m:r>
        <m:r>
          <m:t>g</m:t>
        </m:r>
        <m:r>
          <m:t>g</m:t>
        </m:r>
        <m:r>
          <m:t>e</m:t>
        </m:r>
        <m:r>
          <m:t>s</m:t>
        </m:r>
        <m:r>
          <m:t>t</m:t>
        </m:r>
        <m:r>
          <m:t>p</m:t>
        </m:r>
        <m:r>
          <m:t>e</m:t>
        </m:r>
        <m:r>
          <m:t>a</m:t>
        </m:r>
        <m:r>
          <m:t>k</m:t>
        </m:r>
        <m:r>
          <m:t>l</m:t>
        </m:r>
        <m:r>
          <m:t>a</m:t>
        </m:r>
        <m:r>
          <m:t>b</m:t>
        </m:r>
        <m:r>
          <m:t>o</m:t>
        </m:r>
        <m:r>
          <m:t>r</m:t>
        </m:r>
        <m:r>
          <m:t>e</m:t>
        </m:r>
        <m:r>
          <m:t>a</m:t>
        </m:r>
        <m:r>
          <m:t>r</m:t>
        </m:r>
        <m:r>
          <m:t>l</m:t>
        </m:r>
        <m:r>
          <m:t>y</m:t>
        </m:r>
        <m:r>
          <m:t>f</m:t>
        </m:r>
        <m:r>
          <m:t>o</m:t>
        </m:r>
        <m:r>
          <m:t>l</m:t>
        </m:r>
        <m:r>
          <m:t>l</m:t>
        </m:r>
        <m:r>
          <m:t>o</m:t>
        </m:r>
        <m:r>
          <m:t>w</m:t>
        </m:r>
        <m:r>
          <m:t>e</m:t>
        </m:r>
        <m:r>
          <m:t>d</m:t>
        </m:r>
        <m:r>
          <m:t>b</m:t>
        </m:r>
        <m:r>
          <m:t>y</m:t>
        </m:r>
        <m:r>
          <m:t>t</m:t>
        </m:r>
        <m:r>
          <m:t>a</m:t>
        </m:r>
        <m:r>
          <m:t>i</m:t>
        </m:r>
        <m:r>
          <m:t>l</m:t>
        </m:r>
        <m:r>
          <m:rPr>
            <m:sty m:val="p"/>
          </m:rPr>
          <m:t>,</m:t>
        </m:r>
        <m:r>
          <m:t>w</m:t>
        </m:r>
        <m:r>
          <m:t>h</m:t>
        </m:r>
        <m:r>
          <m:t>i</m:t>
        </m:r>
        <m:r>
          <m:t>c</m:t>
        </m:r>
        <m:r>
          <m:t>h</m:t>
        </m:r>
        <m:r>
          <m:t>t</m:t>
        </m:r>
        <m:r>
          <m:t>h</m:t>
        </m:r>
        <m:r>
          <m:t>e</m:t>
        </m:r>
        <m:r>
          <m:t>c</m:t>
        </m:r>
        <m:r>
          <m:t>o</m:t>
        </m:r>
        <m:r>
          <m:t>n</m:t>
        </m:r>
        <m:r>
          <m:t>s</m:t>
        </m:r>
        <m:r>
          <m:t>t</m:t>
        </m:r>
        <m:r>
          <m:t>a</m:t>
        </m:r>
        <m:r>
          <m:t>n</m:t>
        </m:r>
        <m:r>
          <m:t>t</m:t>
        </m:r>
        <m:r>
          <m:rPr>
            <m:sty m:val="p"/>
          </m:rPr>
          <m:t>−</m:t>
        </m:r>
      </m:oMath>
      <w:r>
        <w:t xml:space="preserve">I_g$ model does not capture. The cumulative-labor decomposition is unaffected, but the year-by-year</w:t>
      </w:r>
      <w:r>
        <w:t xml:space="preserve"> </w:t>
      </w:r>
      <m:oMath>
        <m:r>
          <m:t>R</m:t>
        </m:r>
        <m:r>
          <m:rPr>
            <m:sty m:val="p"/>
          </m:rPr>
          <m:t>(</m:t>
        </m:r>
        <m:r>
          <m:t>t</m:t>
        </m:r>
        <m:r>
          <m:rPr>
            <m:sty m:val="p"/>
          </m:rPr>
          <m:t>)</m:t>
        </m:r>
      </m:oMath>
      <w:r>
        <w:t xml:space="preserve"> </w:t>
      </w:r>
      <w:r>
        <w:t xml:space="preserve">trajectory is approximate.</w:t>
      </w:r>
      <w:r>
        <w:t xml:space="preserve"> </w:t>
      </w:r>
      <w:r>
        <w:t xml:space="preserve">- The published event counts mix renewal and new-construction events without a clean separator. The framework’s maintenance-vs-new split cannot be directly verified at per-event resolution from the existing archaeology.</w:t>
      </w:r>
      <w:r>
        <w:t xml:space="preserve"> </w:t>
      </w:r>
      <w:r>
        <w:t xml:space="preserve">- The WB episodic structure is approximated as four equal-spaced 50-year blocks. The published WB chronology (Saunders et al. 2005) shows actual episode timing differing from this simplification. The qualitative event-density contrast does not depend on the specific episode schedule.</w:t>
      </w:r>
      <w:r>
        <w:t xml:space="preserve"> </w:t>
      </w:r>
      <w:r>
        <w:t xml:space="preserve">- The depreciation rate</w:t>
      </w:r>
      <w:r>
        <w:t xml:space="preserve"> </w:t>
      </w:r>
      <m:oMath>
        <m:r>
          <m:t>δ</m:t>
        </m:r>
        <m:r>
          <m:rPr>
            <m:sty m:val="p"/>
          </m:rPr>
          <m:t>=</m:t>
        </m:r>
        <m:r>
          <m:t>0.08</m:t>
        </m:r>
      </m:oMath>
      <w:r>
        <w:t xml:space="preserve"> </w:t>
      </w:r>
      <w:r>
        <w:t xml:space="preserve">is set from Table S2’s earthen-mound weathering-rate range</w:t>
      </w:r>
      <w:r>
        <w:t xml:space="preserve"> </w:t>
      </w:r>
      <m:oMath>
        <m:r>
          <m:rPr>
            <m:sty m:val="p"/>
          </m:rPr>
          <m:t>[</m:t>
        </m:r>
        <m:r>
          <m:t>0.04</m:t>
        </m:r>
        <m:r>
          <m:rPr>
            <m:sty m:val="p"/>
          </m:rPr>
          <m:t>,</m:t>
        </m:r>
        <m:r>
          <m:t>0.16</m:t>
        </m:r>
        <m:r>
          <m:rPr>
            <m:sty m:val="p"/>
          </m:rPr>
          <m:t>]</m:t>
        </m:r>
      </m:oMath>
      <w:r>
        <w:t xml:space="preserve"> </w:t>
      </w:r>
      <w:r>
        <w:t xml:space="preserve">but is not derived from a per-site earthwork-decay study. The PP-vs-WB contrast is robust across this range. The precise</w:t>
      </w:r>
      <w:r>
        <w:t xml:space="preserve"> </w:t>
      </w:r>
      <m:oMath>
        <m:r>
          <m:t>R</m:t>
        </m:r>
      </m:oMath>
      <w:r>
        <w:t xml:space="preserve"> </w:t>
      </w:r>
      <w:r>
        <w:t xml:space="preserve">values are not.</w:t>
      </w:r>
    </w:p>
    <w:p>
      <w:pPr>
        <w:pStyle w:val="BodyText"/>
      </w:pPr>
      <w:r>
        <w:t xml:space="preserve">Reproducible from</w:t>
      </w:r>
      <w:r>
        <w:t xml:space="preserve"> </w:t>
      </w:r>
      <w:r>
        <w:rPr>
          <w:rStyle w:val="VerbatimChar"/>
        </w:rPr>
        <w:t xml:space="preserve">scripts/analysis/renovation_ratio.py</w:t>
      </w:r>
      <w:r>
        <w:t xml:space="preserve">, with outputs in</w:t>
      </w:r>
      <w:r>
        <w:t xml:space="preserve"> </w:t>
      </w:r>
      <w:r>
        <w:rPr>
          <w:rStyle w:val="VerbatimChar"/>
        </w:rPr>
        <w:t xml:space="preserve">results/sensitivity/renovation_ratio.json</w:t>
      </w:r>
      <w:r>
        <w:t xml:space="preserve">.</w:t>
      </w:r>
    </w:p>
    <w:bookmarkEnd w:id="101"/>
    <w:bookmarkStart w:id="102" w:name="s17.8-priority-follow-up-work"/>
    <w:p>
      <w:pPr>
        <w:pStyle w:val="Heading3"/>
      </w:pPr>
      <w:r>
        <w:t xml:space="preserve">S17.8 Priority follow-up work</w:t>
      </w:r>
    </w:p>
    <w:p>
      <w:pPr>
        <w:pStyle w:val="FirstParagraph"/>
      </w:pPr>
      <w:r>
        <w:t xml:space="preserve">The seven components above each identify a specific item of follow-up work that would either tighten the present implementation or convert a conditional consistency demonstration into a forward-prediction test. We consolidate the items here so that the empirical agenda the framework calls for is visible in one place, and so the §7 Discussion can refer to them collectively.</w:t>
      </w:r>
    </w:p>
    <w:p>
      <w:pPr>
        <w:numPr>
          <w:ilvl w:val="0"/>
          <w:numId w:val="1005"/>
        </w:numPr>
      </w:pPr>
      <w:r>
        <w:rPr>
          <w:b/>
          <w:bCs/>
        </w:rPr>
        <w:t xml:space="preserve">Full ABM-level regime switching</w:t>
      </w:r>
      <w:r>
        <w:t xml:space="preserve"> </w:t>
      </w:r>
      <w:r>
        <w:t xml:space="preserve">with endogenous strategy choice and explicit annual fitness comparison, replacing the analytical-stochastic version implemented in §S17.1. This would derive the band-coordination persistence parameter</w:t>
      </w:r>
      <w:r>
        <w:t xml:space="preserve"> </w:t>
      </w:r>
      <m:oMath>
        <m:r>
          <m:t>K</m:t>
        </m:r>
      </m:oMath>
      <w:r>
        <w:t xml:space="preserve"> </w:t>
      </w:r>
      <w:r>
        <w:t xml:space="preserve">from agent dynamics rather than treating it as a free parameter.</w:t>
      </w:r>
    </w:p>
    <w:p>
      <w:pPr>
        <w:numPr>
          <w:ilvl w:val="0"/>
          <w:numId w:val="1005"/>
        </w:numPr>
      </w:pPr>
      <w:r>
        <w:rPr>
          <w:b/>
          <w:bCs/>
        </w:rPr>
        <w:t xml:space="preserve">Independent ethnographic anchoring of the labor-scaling exponent</w:t>
      </w:r>
      <w:r>
        <w:t xml:space="preserve"> </w:t>
      </w:r>
      <m:oMath>
        <m:r>
          <m:t>α</m:t>
        </m:r>
      </m:oMath>
      <w:r>
        <w:t xml:space="preserve"> </w:t>
      </w:r>
      <w:r>
        <w:t xml:space="preserve">(§S17.2) at the crew sizes relevant for Watson Brake versus Poverty Point. The current</w:t>
      </w:r>
      <w:r>
        <w:t xml:space="preserve"> </w:t>
      </w:r>
      <m:oMath>
        <m:r>
          <m:t>α</m:t>
        </m:r>
        <m:r>
          <m:rPr>
            <m:sty m:val="p"/>
          </m:rPr>
          <m:t>=</m:t>
        </m:r>
        <m:r>
          <m:t>2</m:t>
        </m:r>
      </m:oMath>
      <w:r>
        <w:t xml:space="preserve"> </w:t>
      </w:r>
      <w:r>
        <w:t xml:space="preserve">closure exceeds the Erasmus (1965) baseline of</w:t>
      </w:r>
      <w:r>
        <w:t xml:space="preserve"> </w:t>
      </w:r>
      <m:oMath>
        <m:r>
          <m:t>α</m:t>
        </m:r>
        <m:r>
          <m:rPr>
            <m:sty m:val="p"/>
          </m:rPr>
          <m:t>≈</m:t>
        </m:r>
        <m:r>
          <m:t>1</m:t>
        </m:r>
      </m:oMath>
      <w:r>
        <w:t xml:space="preserve"> </w:t>
      </w:r>
      <w:r>
        <w:t xml:space="preserve">and is calibrated to the eleven-site sample rather than derived independently.</w:t>
      </w:r>
    </w:p>
    <w:p>
      <w:pPr>
        <w:numPr>
          <w:ilvl w:val="0"/>
          <w:numId w:val="1005"/>
        </w:numPr>
      </w:pPr>
      <w:r>
        <w:rPr>
          <w:b/>
          <w:bCs/>
        </w:rPr>
        <w:t xml:space="preserve">Full hydrographic-routing regional ABM</w:t>
      </w:r>
      <w:r>
        <w:t xml:space="preserve"> </w:t>
      </w:r>
      <w:r>
        <w:t xml:space="preserve">with carrying-capacity dynamics, path dependence over multi-century timescales, and stochastic exploration-exploitation balance, extending the minimal band-allocation version in §S17.3. The full version would soften the winner-takes-most outcome and produce more graded</w:t>
      </w:r>
      <w:r>
        <w:t xml:space="preserve"> </w:t>
      </w:r>
      <m:oMath>
        <m:sSub>
          <m:e>
            <m:r>
              <m:t>n</m:t>
            </m:r>
          </m:e>
          <m:sub>
            <m:r>
              <m:t>a</m:t>
            </m:r>
            <m:r>
              <m:t>g</m:t>
            </m:r>
            <m:r>
              <m:t>g</m:t>
            </m:r>
          </m:sub>
        </m:sSub>
      </m:oMath>
      <w:r>
        <w:t xml:space="preserve"> </w:t>
      </w:r>
      <w:r>
        <w:t xml:space="preserve">predictions.</w:t>
      </w:r>
    </w:p>
    <w:p>
      <w:pPr>
        <w:numPr>
          <w:ilvl w:val="0"/>
          <w:numId w:val="1005"/>
        </w:numPr>
      </w:pPr>
      <w:r>
        <w:rPr>
          <w:b/>
          <w:bCs/>
        </w:rPr>
        <w:t xml:space="preserve">Paleo-discharge-resolved</w:t>
      </w:r>
      <w:r>
        <w:rPr>
          <w:b/>
          <w:bCs/>
        </w:rPr>
        <w:t xml:space="preserve"> </w:t>
      </w:r>
      <m:oMath>
        <m:r>
          <m:t>ε</m:t>
        </m:r>
      </m:oMath>
      <w:r>
        <w:t xml:space="preserve"> </w:t>
      </w:r>
      <w:r>
        <w:t xml:space="preserve">using sediment-yield reconstructions or paleo-flood-frequency proxies per drainage at each focal site, replacing the modern hydrograph-as-proxy treatment in §S17.4. Pre-Holocene drainage correlations may differ from modern values conditioned on artificial levee systems and 19th–20th century channelization.</w:t>
      </w:r>
    </w:p>
    <w:p>
      <w:pPr>
        <w:numPr>
          <w:ilvl w:val="0"/>
          <w:numId w:val="1005"/>
        </w:numPr>
      </w:pPr>
      <w:r>
        <w:rPr>
          <w:b/>
          <w:bCs/>
        </w:rPr>
        <w:t xml:space="preserve">Footprint-independent</w:t>
      </w:r>
      <w:r>
        <w:rPr>
          <w:b/>
          <w:bCs/>
        </w:rPr>
        <w:t xml:space="preserve"> </w:t>
      </w:r>
      <m:oMath>
        <m:sSub>
          <m:e>
            <m:r>
              <m:t>n</m:t>
            </m:r>
          </m:e>
          <m:sub>
            <m:r>
              <m:t>a</m:t>
            </m:r>
            <m:r>
              <m:t>g</m:t>
            </m:r>
            <m:r>
              <m:t>g</m:t>
            </m:r>
          </m:sub>
        </m:sSub>
      </m:oMath>
      <w:r>
        <w:rPr>
          <w:b/>
          <w:bCs/>
        </w:rPr>
        <w:t xml:space="preserve"> </w:t>
      </w:r>
      <w:r>
        <w:rPr>
          <w:b/>
          <w:bCs/>
        </w:rPr>
        <w:t xml:space="preserve">estimates</w:t>
      </w:r>
      <w:r>
        <w:t xml:space="preserve"> </w:t>
      </w:r>
      <w:r>
        <w:t xml:space="preserve">(Bayesian-modeled radiocarbon density per site, lithic-density catchment estimates) and out-of-sample tests at non-LMV sites with independently-derived</w:t>
      </w:r>
      <w:r>
        <w:t xml:space="preserve"> </w:t>
      </w:r>
      <m:oMath>
        <m:sSub>
          <m:e>
            <m:r>
              <m:t>n</m:t>
            </m:r>
          </m:e>
          <m:sub>
            <m:r>
              <m:t>a</m:t>
            </m:r>
            <m:r>
              <m:t>g</m:t>
            </m:r>
            <m:r>
              <m:t>g</m:t>
            </m:r>
          </m:sub>
        </m:sSub>
      </m:oMath>
      <w:r>
        <w:t xml:space="preserve">, addressing the partial-correlation result in §S17.5 that the joint</w:t>
      </w:r>
      <w:r>
        <w:t xml:space="preserve"> </w:t>
      </w:r>
      <m:oMath>
        <m:r>
          <m:t>ρ</m:t>
        </m:r>
        <m:r>
          <m:rPr>
            <m:sty m:val="p"/>
          </m:rPr>
          <m:t>=</m:t>
        </m:r>
        <m:r>
          <m:rPr>
            <m:sty m:val="p"/>
          </m:rPr>
          <m:t>+</m:t>
        </m:r>
        <m:r>
          <m:t>0.91</m:t>
        </m:r>
      </m:oMath>
      <w:r>
        <w:t xml:space="preserve"> </w:t>
      </w:r>
      <w:r>
        <w:t xml:space="preserve">is dominated by the literature</w:t>
      </w:r>
      <w:r>
        <w:t xml:space="preserve"> </w:t>
      </w:r>
      <m:oMath>
        <m:sSub>
          <m:e>
            <m:r>
              <m:t>n</m:t>
            </m:r>
          </m:e>
          <m:sub>
            <m:r>
              <m:t>a</m:t>
            </m:r>
            <m:r>
              <m:t>g</m:t>
            </m:r>
            <m:r>
              <m:t>g</m:t>
            </m:r>
          </m:sub>
        </m:sSub>
      </m:oMath>
      <w:r>
        <w:t xml:space="preserve"> </w:t>
      </w:r>
      <w:r>
        <w:t xml:space="preserve">values rather than by the framework’s</w:t>
      </w:r>
      <w:r>
        <w:t xml:space="preserve"> </w:t>
      </w:r>
      <m:oMath>
        <m:r>
          <m:t>ε</m:t>
        </m:r>
      </m:oMath>
      <w:r>
        <w:t xml:space="preserve">.</w:t>
      </w:r>
    </w:p>
    <w:p>
      <w:pPr>
        <w:numPr>
          <w:ilvl w:val="0"/>
          <w:numId w:val="1005"/>
        </w:numPr>
      </w:pPr>
      <w:r>
        <w:rPr>
          <w:b/>
          <w:bCs/>
        </w:rPr>
        <w:t xml:space="preserve">Non-LMV-derived phenology calendar</w:t>
      </w:r>
      <w:r>
        <w:t xml:space="preserve"> </w:t>
      </w:r>
      <w:r>
        <w:t xml:space="preserve">for a non-circular seasonality test, extending the minimal version in §S17.6. The current top-3-months prediction is partly tautological because the script reads its phenology windows from the same Webb (1982) and Jackson (1986) sources that the published interpretations use.</w:t>
      </w:r>
    </w:p>
    <w:p>
      <w:pPr>
        <w:numPr>
          <w:ilvl w:val="0"/>
          <w:numId w:val="1005"/>
        </w:numPr>
      </w:pPr>
      <w:r>
        <w:rPr>
          <w:b/>
          <w:bCs/>
        </w:rPr>
        <w:t xml:space="preserve">Per-site earthwork-decay calibration of</w:t>
      </w:r>
      <w:r>
        <w:rPr>
          <w:b/>
          <w:bCs/>
        </w:rPr>
        <w:t xml:space="preserve"> </w:t>
      </w:r>
      <m:oMath>
        <m:r>
          <m:t>δ</m:t>
        </m:r>
      </m:oMath>
      <w:r>
        <w:t xml:space="preserve"> </w:t>
      </w:r>
      <w:r>
        <w:t xml:space="preserve">and labor-resolved chronology for the</w:t>
      </w:r>
      <w:r>
        <w:t xml:space="preserve"> </w:t>
      </w:r>
      <m:oMath>
        <m:r>
          <m:t>R</m:t>
        </m:r>
        <m:r>
          <m:rPr>
            <m:sty m:val="p"/>
          </m:rPr>
          <m:t>(</m:t>
        </m:r>
        <m:sSub>
          <m:e>
            <m:r>
              <m:t>M</m:t>
            </m:r>
          </m:e>
          <m:sub>
            <m:r>
              <m:t>g</m:t>
            </m:r>
          </m:sub>
        </m:sSub>
        <m:r>
          <m:rPr>
            <m:sty m:val="p"/>
          </m:rPr>
          <m:t>)</m:t>
        </m:r>
      </m:oMath>
      <w:r>
        <w:t xml:space="preserve"> </w:t>
      </w:r>
      <w:r>
        <w:t xml:space="preserve">event-density prediction (§S17.7). The current PP-vs-WB contrast uses Table S2’s earthen-mound weathering-rate range</w:t>
      </w:r>
      <w:r>
        <w:t xml:space="preserve"> </w:t>
      </w:r>
      <m:oMath>
        <m:r>
          <m:t>δ</m:t>
        </m:r>
        <m:r>
          <m:rPr>
            <m:sty m:val="p"/>
          </m:rPr>
          <m:t>∈</m:t>
        </m:r>
        <m:r>
          <m:rPr>
            <m:sty m:val="p"/>
          </m:rPr>
          <m:t>[</m:t>
        </m:r>
        <m:r>
          <m:t>0.04</m:t>
        </m:r>
        <m:r>
          <m:rPr>
            <m:sty m:val="p"/>
          </m:rPr>
          <m:t>,</m:t>
        </m:r>
        <m:r>
          <m:t>0.16</m:t>
        </m:r>
        <m:r>
          <m:rPr>
            <m:sty m:val="p"/>
          </m:rPr>
          <m:t>]</m:t>
        </m:r>
      </m:oMath>
      <w:r>
        <w:t xml:space="preserve"> </w:t>
      </w:r>
      <w:r>
        <w:t xml:space="preserve">rather than a site-specific decay estimate, and the published event counts mix maintenance/renewal with new construction without a clean separator. Per-site</w:t>
      </w:r>
      <w:r>
        <w:t xml:space="preserve"> </w:t>
      </w:r>
      <m:oMath>
        <m:r>
          <m:t>δ</m:t>
        </m:r>
      </m:oMath>
      <w:r>
        <w:t xml:space="preserve"> </w:t>
      </w:r>
      <w:r>
        <w:t xml:space="preserve">from sediment-cap weathering studies and event-resolved labor estimates (per-component fill volumes, per-stage labor budgets) would convert the structural event-density contrast into a quantitative</w:t>
      </w:r>
      <w:r>
        <w:t xml:space="preserve"> </w:t>
      </w:r>
      <m:oMath>
        <m:r>
          <m:t>R</m:t>
        </m:r>
      </m:oMath>
      <w:r>
        <w:t xml:space="preserve">-vs-</w:t>
      </w:r>
      <m:oMath>
        <m:r>
          <m:t>R</m:t>
        </m:r>
      </m:oMath>
      <w:r>
        <w:t xml:space="preserve"> </w:t>
      </w:r>
      <w:r>
        <w:t xml:space="preserve">comparison.</w:t>
      </w:r>
    </w:p>
    <w:p>
      <w:pPr>
        <w:pStyle w:val="FirstParagraph"/>
      </w:pPr>
      <w:r>
        <w:t xml:space="preserve">The framework’s contribution sits in the structural register: the threshold-crossing necessity claim, the asymmetric-flow signature, the screening claim across LMV sites, and the event-density contrast under depreciation are all defended by the analyses in the main text. The predictive register at the magnitude scale awaits the full implementations of items 1, 3, 4, 6, and 7.</w:t>
      </w:r>
    </w:p>
    <w:p>
      <w:r>
        <w:pict>
          <v:rect style="width:0;height:1.5pt" o:hralign="center" o:hrstd="t" o:hr="t"/>
        </w:pict>
      </w:r>
    </w:p>
    <w:p>
      <w:r>
        <w:pict>
          <v:rect style="width:0;height:1.5pt" o:hralign="center" o:hrstd="t" o:hr="t"/>
        </w:pict>
      </w:r>
    </w:p>
    <w:bookmarkEnd w:id="102"/>
    <w:bookmarkEnd w:id="103"/>
    <w:bookmarkStart w:id="104" w:name="supplemental-references"/>
    <w:p>
      <w:pPr>
        <w:pStyle w:val="Heading2"/>
      </w:pPr>
      <w:r>
        <w:t xml:space="preserve">Supplemental References</w:t>
      </w:r>
    </w:p>
    <w:p>
      <w:pPr>
        <w:pStyle w:val="FirstParagraph"/>
      </w:pPr>
      <w:r>
        <w:t xml:space="preserve">In addition to the references in the main paper:</w:t>
      </w:r>
    </w:p>
    <w:p>
      <w:pPr>
        <w:pStyle w:val="BodyText"/>
      </w:pPr>
      <w:r>
        <w:t xml:space="preserve">Conkey, M.W., 1980. The identification of prehistoric hunter-gatherer aggregation sites: The case of Altamira. Current Anthropology 21, 609-630.</w:t>
      </w:r>
    </w:p>
    <w:p>
      <w:pPr>
        <w:pStyle w:val="BodyText"/>
      </w:pPr>
      <w:r>
        <w:t xml:space="preserve">Erasmus, C.J., 1965. Monument building: Some field experiments. Southwestern Journal of Anthropology 21, 277-301.</w:t>
      </w:r>
    </w:p>
    <w:p>
      <w:pPr>
        <w:pStyle w:val="BodyText"/>
      </w:pPr>
      <w:r>
        <w:t xml:space="preserve">Ford, J.A., Phillips, P., Haag, W.G., 1955. The Jaketown Site in West-Central Mississippi. Anthropological Papers of the American Museum of Natural History 45(1).</w:t>
      </w:r>
    </w:p>
    <w:p>
      <w:pPr>
        <w:pStyle w:val="BodyText"/>
      </w:pPr>
      <w:r>
        <w:t xml:space="preserve">Grimm, V., Berger, U., DeAngelis, D.L., Polhill, J.G., Giske, J., Railsback, S.F., 2010. The ODD protocol: A review and first update. Ecological Modelling 221, 2760-2768.</w:t>
      </w:r>
    </w:p>
    <w:p>
      <w:pPr>
        <w:pStyle w:val="BodyText"/>
      </w:pPr>
      <w:r>
        <w:t xml:space="preserve">Hawkes, K., 2000. Hunting and the evolution of egalitarian societies: Lessons from the Hadza. In Hierarchies in Action (M.W. Diehl, ed.), pp. 59-83. Center for Archaeological Investigations, Carbondale.</w:t>
      </w:r>
    </w:p>
    <w:p>
      <w:pPr>
        <w:pStyle w:val="BodyText"/>
      </w:pPr>
      <w:r>
        <w:t xml:space="preserve">Liefert, D.T., Shuman, B.N., 2022. Pervasive Late Holocene ENSO-Like Hydroclimate in the U.S. Lower Mississippi Valley. Geophysical Research Letters 49, e2022GL098345.</w:t>
      </w:r>
    </w:p>
    <w:p>
      <w:pPr>
        <w:pStyle w:val="BodyText"/>
      </w:pPr>
      <w:r>
        <w:t xml:space="preserve">Saunders, J.W., Allen, T., Labatt, D., Jones, R., Griffing, D., 2001. An assessment of the antiquity of the Lower Jackson Mound. Southeastern Archaeology 20, 67-77.</w:t>
      </w:r>
    </w:p>
    <w:p>
      <w:pPr>
        <w:pStyle w:val="BodyText"/>
      </w:pPr>
      <w:r>
        <w:t xml:space="preserve">Sherwood, S.C., Kidder, T.R., 2011. The DaVincis of dirt: Geoarchaeological perspectives on Native American mound building in the Mississippi River basin. Journal of Anthropological Archaeology 30, 69-87.</w:t>
      </w:r>
    </w:p>
    <w:p>
      <w:pPr>
        <w:pStyle w:val="BodyText"/>
      </w:pPr>
      <w:r>
        <w:t xml:space="preserve">Wiessner, P., 2002. Hunting, healing, and hxaro exchange: A long-term perspective on !Kung (Ju/’hoansi) large-game hunting. Evolution and Human Behavior 23, 407-436.</w:t>
      </w:r>
    </w:p>
    <w:bookmarkEnd w:id="104"/>
    <w:bookmarkEnd w:id="105"/>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6" w:lineRule="auto"/>
    </w:pPr>
    <w:rPr>
      <w:rFonts w:ascii="Times New Roman" w:hAnsi="Times New Roman"/>
      <w:color w:val="00000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60"/>
      <w:outlineLvl w:val="0"/>
    </w:pPr>
    <w:rPr>
      <w:rFonts w:ascii="Times New Roman" w:asciiTheme="majorHAnsi" w:cstheme="majorBidi" w:eastAsiaTheme="majorEastAsia" w:hAnsi="Times New Roman" w:hAnsiTheme="majorHAnsi"/>
      <w:b/>
      <w:bCs/>
      <w:i w:val="0"/>
      <w:color w:val="000000"/>
      <w:sz w:val="28"/>
      <w:szCs w:val="28"/>
      <w:u w:val="none"/>
    </w:rPr>
  </w:style>
  <w:style w:styleId="Heading2" w:type="paragraph">
    <w:name w:val="heading 2"/>
    <w:basedOn w:val="Normal"/>
    <w:next w:val="Normal"/>
    <w:link w:val="Heading2Char"/>
    <w:uiPriority w:val="9"/>
    <w:unhideWhenUsed/>
    <w:qFormat/>
    <w:rsid w:val="00FC693F"/>
    <w:pPr>
      <w:keepNext/>
      <w:keepLines/>
      <w:spacing w:after="120" w:before="280"/>
      <w:outlineLvl w:val="1"/>
    </w:pPr>
    <w:rPr>
      <w:rFonts w:ascii="Times New Roman" w:asciiTheme="majorHAnsi" w:cstheme="majorBidi" w:eastAsiaTheme="majorEastAsia" w:hAnsi="Times New Roman" w:hAnsiTheme="majorHAnsi"/>
      <w:b w:val="0"/>
      <w:bCs/>
      <w:i/>
      <w:color w:val="000000"/>
      <w:sz w:val="24"/>
      <w:szCs w:val="26"/>
      <w:u w:val="none"/>
    </w:rPr>
  </w:style>
  <w:style w:styleId="Heading3" w:type="paragraph">
    <w:name w:val="heading 3"/>
    <w:basedOn w:val="Normal"/>
    <w:next w:val="Normal"/>
    <w:link w:val="Heading3Char"/>
    <w:uiPriority w:val="9"/>
    <w:unhideWhenUsed/>
    <w:qFormat/>
    <w:rsid w:val="00FC693F"/>
    <w:pPr>
      <w:keepNext/>
      <w:keepLines/>
      <w:spacing w:after="120" w:before="240"/>
      <w:outlineLvl w:val="2"/>
    </w:pPr>
    <w:rPr>
      <w:rFonts w:ascii="Times New Roman" w:asciiTheme="majorHAnsi" w:cstheme="majorBidi" w:eastAsiaTheme="majorEastAsia" w:hAnsi="Times New Roman" w:hAnsiTheme="majorHAnsi"/>
      <w:b w:val="0"/>
      <w:bCs/>
      <w:i w:val="0"/>
      <w:color w:val="000000"/>
      <w:sz w:val="22"/>
      <w:u w:val="single"/>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imes New Roman" w:asciiTheme="majorHAnsi" w:cstheme="majorBidi" w:eastAsiaTheme="majorEastAsia" w:hAnsi="Times New Roman" w:hAnsiTheme="majorHAnsi"/>
      <w:b w:val="0"/>
      <w:bCs/>
      <w:i/>
      <w:iCs/>
      <w:color w:val="000000"/>
      <w:sz w:val="22"/>
      <w:u w:val="none"/>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b/>
      <w:color w:val="000000"/>
      <w:spacing w:val="5"/>
      <w:kern w:val="28"/>
      <w:sz w:val="3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imes New Roman" w:asciiTheme="majorHAnsi" w:cstheme="majorBidi" w:eastAsiaTheme="majorEastAsia" w:hAnsi="Times New Roman" w:hAnsiTheme="majorHAnsi"/>
      <w:i/>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line="276" w:lineRule="auto"/>
    </w:pPr>
    <w:rPr>
      <w:rFonts w:ascii="Times New Roman" w:hAnsi="Times New Roman"/>
      <w:color w:val="00000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Times New Roman" w:hAnsi="Times New Roman"/>
      <w:b/>
      <w:bCs/>
      <w:i/>
      <w:color w:val="000000"/>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pPr>
      <w:spacing w:after="120" w:line="276" w:lineRule="auto"/>
    </w:pPr>
    <w:rPr>
      <w:rFonts w:ascii="Times New Roman" w:hAnsi="Times New Roman"/>
      <w:color w:val="000000"/>
      <w:sz w:val="22"/>
    </w:rPr>
  </w:style>
  <w:style w:customStyle="1" w:styleId="ImageCaption" w:type="paragraph">
    <w:name w:val="Image Caption"/>
    <w:rPr>
      <w:rFonts w:ascii="Times New Roman" w:hAnsi="Times New Roman"/>
      <w:i/>
      <w:color w:val="000000"/>
      <w:sz w:val="20"/>
    </w:rPr>
  </w:style>
  <w:style w:customStyle="1" w:styleId="Abstract" w:type="paragraph">
    <w:name w:val="Abstract"/>
    <w:rPr>
      <w:rFonts w:ascii="Times New Roman" w:hAnsi="Times New Roman"/>
      <w:i/>
      <w:color w:val="000000"/>
      <w:sz w:val="20"/>
    </w:rPr>
  </w:style>
  <w:style w:customStyle="1" w:styleId="Author" w:type="paragraph">
    <w:name w:val="Author"/>
    <w:rPr>
      <w:rFonts w:ascii="Times New Roman" w:hAnsi="Times New Roman"/>
      <w:color w:val="00000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60" Target="media/rId60.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82" Target="media/rId8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2026-08-20T20:27:12Z</dcterms:created>
  <dcterms:modified xsi:type="dcterms:W3CDTF">2026-08-20T20:27:12Z</dcterms:modified>
</cp:coreProperties>
</file>

<file path=docProps/custom.xml><?xml version="1.0" encoding="utf-8"?>
<Properties xmlns="http://schemas.openxmlformats.org/officeDocument/2006/custom-properties" xmlns:vt="http://schemas.openxmlformats.org/officeDocument/2006/docPropsVTypes"/>
</file>