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7.png" ContentType="image/png"/>
  <Override PartName="/word/media/rId40.png" ContentType="image/png"/>
  <Override PartName="/word/media/rId43.png" ContentType="image/png"/>
  <Override PartName="/word/media/rId55.png" ContentType="image/png"/>
  <Override PartName="/word/media/rId5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11f97818135cfa10d5df5b5744c91add53ab9ab"/>
    <w:p>
      <w:pPr>
        <w:pStyle w:val="Heading1"/>
      </w:pPr>
      <w:r>
        <w:t xml:space="preserve">Supplemental Material —</w:t>
      </w:r>
      <w:r>
        <w:t xml:space="preserve"> </w:t>
      </w:r>
      <w:r>
        <w:rPr>
          <w:i/>
          <w:iCs/>
        </w:rPr>
        <w:t xml:space="preserve">Signaling under environmental uncertainty: A multilevel-selection threshold model for Poverty Point</w:t>
      </w:r>
    </w:p>
    <w:p>
      <w:pPr>
        <w:pStyle w:val="FirstParagraph"/>
      </w:pPr>
      <w: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p>
      <w:r>
        <w:pict>
          <v:rect style="width:0;height:1.5pt" o:hralign="center" o:hrstd="t" o:hr="t"/>
        </w:pict>
      </w:r>
    </w:p>
    <w:bookmarkStart w:id="15" w:name="Xf5b680c1329f9f1d755046d9b6764fc8f262881"/>
    <w:p>
      <w:pPr>
        <w:pStyle w:val="Heading2"/>
      </w:pPr>
      <w:r>
        <w:t xml:space="preserve">S1. ODD Protocol: Complete Model Specification</w:t>
      </w:r>
    </w:p>
    <w:p>
      <w:pPr>
        <w:pStyle w:val="FirstParagraph"/>
      </w:pPr>
      <w:r>
        <w:t xml:space="preserve">The model is documented under the</w:t>
      </w:r>
      <w:r>
        <w:t xml:space="preserve"> </w:t>
      </w:r>
      <w:r>
        <w:rPr>
          <w:b/>
          <w:bCs/>
        </w:rPr>
        <w:t xml:space="preserve">ODD protocol</w:t>
      </w:r>
      <w:r>
        <w:t xml:space="preserve"> </w:t>
      </w:r>
      <w: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t xml:space="preserve">The model is specified following the ODD (Overview, Design concepts, Details) protocol (Grimm et al. 2010). Source code is available at https://github.com/clipo/poverty-point.</w:t>
      </w:r>
    </w:p>
    <w:bookmarkStart w:id="9" w:name="s1.1-purpose-and-patterns"/>
    <w:p>
      <w:pPr>
        <w:pStyle w:val="Heading3"/>
      </w:pPr>
      <w:r>
        <w:t xml:space="preserve">S1.1 Purpose and patterns</w:t>
      </w:r>
    </w:p>
    <w:p>
      <w:pPr>
        <w:pStyle w:val="FirstParagraph"/>
      </w:pPr>
      <w:r>
        <w:rPr>
          <w:b/>
          <w:bCs/>
        </w:rPr>
        <w:t xml:space="preserve">Purpose.</w:t>
      </w:r>
      <w:r>
        <w:t xml:space="preserve"> </w:t>
      </w:r>
      <w: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b/>
          <w:bCs/>
        </w:rPr>
        <w:t xml:space="preserve">Patterns to reproduce.</w:t>
      </w:r>
      <w:r>
        <w:t xml:space="preserve"> </w:t>
      </w:r>
      <w: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t xml:space="preserve">S1.2 Entities, state variables, scales</w:t>
      </w:r>
    </w:p>
    <w:p>
      <w:pPr>
        <w:pStyle w:val="FirstParagraph"/>
      </w:pPr>
      <w:r>
        <w:t xml:space="preserve">The principal entity is the</w:t>
      </w:r>
      <w:r>
        <w:t xml:space="preserve"> </w:t>
      </w:r>
      <w:r>
        <w:rPr>
          <w:b/>
          <w:bCs/>
        </w:rPr>
        <w:t xml:space="preserve">band</w:t>
      </w:r>
      <w:r>
        <w:t xml:space="preserve">, a small cooperative unit of 15-30 individuals. Each band</w:t>
      </w:r>
      <w:r>
        <w:t xml:space="preserve"> </w:t>
      </w:r>
      <m:oMath>
        <m:r>
          <m:t>i</m:t>
        </m:r>
      </m:oMath>
      <w:r>
        <w:t xml:space="preserve"> </w:t>
      </w:r>
      <w:r>
        <w:t xml:space="preserve">at time</w:t>
      </w:r>
      <w:r>
        <w:t xml:space="preserve"> </w:t>
      </w:r>
      <m:oMath>
        <m:r>
          <m:t>t</m:t>
        </m:r>
      </m:oMath>
      <w:r>
        <w:t xml:space="preserve"> </w:t>
      </w:r>
      <w:r>
        <w:t xml:space="preserve">has state variables: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(spatial); resources</w:t>
      </w:r>
      <w:r>
        <w:t xml:space="preserve"> </w:t>
      </w:r>
      <m:oMath>
        <m:sSub>
          <m:e>
            <m:r>
              <m:t>R</m:t>
            </m:r>
          </m:e>
          <m:sub>
            <m:r>
              <m:t>i</m:t>
            </m:r>
          </m:sub>
        </m:sSub>
      </m:oMath>
      <w:r>
        <w:t xml:space="preserve"> </w:t>
      </w:r>
      <w:r>
        <w:t xml:space="preserve">(normalized to 0-1); strategy</w:t>
      </w:r>
      <w:r>
        <w:t xml:space="preserve"> </w:t>
      </w:r>
      <m:oMath>
        <m:sSub>
          <m:e>
            <m:r>
              <m:t>s</m:t>
            </m:r>
          </m:e>
          <m:sub>
            <m:r>
              <m:t>i</m:t>
            </m:r>
          </m:sub>
        </m:sSub>
        <m:r>
          <m:rPr>
            <m:sty m:val="p"/>
          </m:rPr>
          <m:t>∈</m:t>
        </m:r>
        <m:r>
          <m:rPr>
            <m:sty m:val="p"/>
          </m:rPr>
          <m:t>{</m:t>
        </m:r>
      </m:oMath>
      <w:r>
        <w:t xml:space="preserve">aggregator, independent</w:t>
      </w:r>
      <m:oMath>
        <m:r>
          <m:rPr>
            <m:sty m:val="p"/>
          </m:rPr>
          <m:t>}</m:t>
        </m:r>
      </m:oMath>
      <w:r>
        <w:t xml:space="preserve">; quality</w:t>
      </w:r>
      <w:r>
        <w:t xml:space="preserve"> </w:t>
      </w:r>
      <m:oMath>
        <m:sSub>
          <m:e>
            <m:r>
              <m:t>q</m:t>
            </m:r>
          </m:e>
          <m:sub>
            <m:r>
              <m:t>i</m:t>
            </m:r>
          </m:sub>
        </m:sSub>
      </m:oMath>
      <w:r>
        <w:t xml:space="preserve"> </w:t>
      </w:r>
      <w:r>
        <w:t xml:space="preserve">(productive capacity, drawn from a uniform distribution on</w:t>
      </w:r>
      <w: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t xml:space="preserve"> </w:t>
      </w:r>
      <m:oMath>
        <m:sSub>
          <m:e>
            <m:r>
              <m:t>I</m:t>
            </m:r>
          </m:e>
          <m:sub>
            <m:r>
              <m:t>i</m:t>
            </m:r>
          </m:sub>
        </m:sSub>
      </m:oMath>
      <w:r>
        <w:t xml:space="preserve">; exotic holdings vector</w:t>
      </w:r>
      <w:r>
        <w:t xml:space="preserve"> </w:t>
      </w:r>
      <m:oMath>
        <m:sSub>
          <m:e>
            <m:r>
              <m:t>E</m:t>
            </m:r>
          </m:e>
          <m:sub>
            <m:r>
              <m:t>i</m:t>
            </m:r>
          </m:sub>
        </m:sSub>
      </m:oMath>
      <w:r>
        <w:t xml:space="preserve"> </w:t>
      </w:r>
      <w:r>
        <w:t xml:space="preserve">by source; obligation network edges</w:t>
      </w:r>
      <w:r>
        <w:t xml:space="preserve"> </w:t>
      </w:r>
      <m:oMath>
        <m:sSub>
          <m:e>
            <m:r>
              <m:t>O</m:t>
            </m:r>
          </m:e>
          <m:sub>
            <m:r>
              <m:t>i</m:t>
            </m:r>
            <m:r>
              <m:t>j</m:t>
            </m:r>
          </m:sub>
        </m:sSub>
      </m:oMath>
      <w:r>
        <w:t xml:space="preserve"> </w:t>
      </w:r>
      <w:r>
        <w:t xml:space="preserve">to other bands; prestige</w:t>
      </w:r>
      <w:r>
        <w:t xml:space="preserve"> </w:t>
      </w:r>
      <m:oMath>
        <m:sSub>
          <m:e>
            <m:r>
              <m:t>P</m:t>
            </m:r>
          </m:e>
          <m:sub>
            <m:r>
              <m:t>i</m:t>
            </m:r>
          </m:sub>
        </m:sSub>
      </m:oMath>
      <w:r>
        <w:t xml:space="preserve">. The aggregation site has cumulative monument stock</w:t>
      </w:r>
      <w:r>
        <w:t xml:space="preserve"> </w:t>
      </w:r>
      <m:oMath>
        <m:sSub>
          <m:e>
            <m:r>
              <m:t>M</m:t>
            </m:r>
          </m:e>
          <m:sub>
            <m:r>
              <m:t>g</m:t>
            </m:r>
          </m:sub>
        </m:sSub>
      </m:oMath>
      <w:r>
        <w:t xml:space="preserve">, aggregation history, and ecotone advantage</w:t>
      </w:r>
      <w:r>
        <w:t xml:space="preserve"> </w:t>
      </w:r>
      <m:oMath>
        <m:r>
          <m:t>ε</m:t>
        </m:r>
      </m:oMath>
      <w: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t xml:space="preserve">S1.3 Process overview and scheduling</w:t>
      </w:r>
    </w:p>
    <w:p>
      <w:pPr>
        <w:pStyle w:val="FirstParagraph"/>
      </w:pPr>
      <w:r>
        <w:t xml:space="preserve">Each year:</w:t>
      </w:r>
      <w:r>
        <w:t xml:space="preserve"> </w:t>
      </w:r>
      <w:r>
        <w:t xml:space="preserve">1.</w:t>
      </w:r>
      <w:r>
        <w:t xml:space="preserve"> </w:t>
      </w:r>
      <w:r>
        <w:rPr>
          <w:b/>
          <w:bCs/>
        </w:rPr>
        <w:t xml:space="preserve">Environmental update:</w:t>
      </w:r>
      <w:r>
        <w:t xml:space="preserve"> </w:t>
      </w:r>
      <w:r>
        <w:t xml:space="preserve">sample seasonal productivity for each zone; sample shortfall events (frequency, magnitude) and propagate through zone productivities.</w:t>
      </w:r>
      <w:r>
        <w:t xml:space="preserve"> </w:t>
      </w:r>
      <w:r>
        <w:t xml:space="preserve">2.</w:t>
      </w:r>
      <w:r>
        <w:t xml:space="preserve"> </w:t>
      </w:r>
      <w:r>
        <w:rPr>
          <w:b/>
          <w:bCs/>
        </w:rPr>
        <w:t xml:space="preserve">Strategy decision:</w:t>
      </w:r>
      <w:r>
        <w:t xml:space="preserve"> </w:t>
      </w:r>
      <w:r>
        <w:t xml:space="preserve">each band computes expected</w:t>
      </w:r>
      <w:r>
        <w:t xml:space="preserve"> </w:t>
      </w:r>
      <m:oMath>
        <m:sSub>
          <m:e>
            <m:r>
              <m:t>W</m:t>
            </m:r>
          </m:e>
          <m:sub>
            <m:r>
              <m:t>a</m:t>
            </m:r>
            <m:r>
              <m:t>g</m:t>
            </m:r>
            <m:r>
              <m:t>g</m:t>
            </m:r>
          </m:sub>
        </m:sSub>
      </m:oMath>
      <w:r>
        <w:t xml:space="preserve"> </w:t>
      </w:r>
      <w:r>
        <w:t xml:space="preserve">and</w:t>
      </w:r>
      <w:r>
        <w:t xml:space="preserve"> </w:t>
      </w:r>
      <m:oMath>
        <m:sSub>
          <m:e>
            <m:r>
              <m:t>W</m:t>
            </m:r>
          </m:e>
          <m:sub>
            <m:r>
              <m:t>i</m:t>
            </m:r>
            <m:r>
              <m:t>n</m:t>
            </m:r>
            <m:r>
              <m:t>d</m:t>
            </m:r>
          </m:sub>
        </m:sSub>
      </m:oMath>
      <w:r>
        <w:t xml:space="preserve"> </w:t>
      </w:r>
      <w:r>
        <w:t xml:space="preserve">given current</w:t>
      </w:r>
      <w:r>
        <w:t xml:space="preserve"> </w:t>
      </w:r>
      <m:oMath>
        <m:r>
          <m:t>σ</m:t>
        </m:r>
      </m:oMath>
      <w:r>
        <w:t xml:space="preserve">,</w:t>
      </w:r>
      <w:r>
        <w:t xml:space="preserve"> </w:t>
      </w:r>
      <m:oMath>
        <m:r>
          <m:t>ε</m:t>
        </m:r>
      </m:oMath>
      <w:r>
        <w:t xml:space="preserve">, network state, and monument stock; chooses higher-fitness strategy with stochastic perturbation.</w:t>
      </w:r>
      <w:r>
        <w:t xml:space="preserve"> </w:t>
      </w:r>
      <w:r>
        <w:t xml:space="preserve">3.</w:t>
      </w:r>
      <w:r>
        <w:t xml:space="preserve"> </w:t>
      </w:r>
      <w:r>
        <w:rPr>
          <w:b/>
          <w:bCs/>
        </w:rPr>
        <w:t xml:space="preserve">Travel and aggregation:</w:t>
      </w:r>
      <w:r>
        <w:t xml:space="preserve"> </w:t>
      </w:r>
      <w:r>
        <w:t xml:space="preserve">aggregators incur travel cost</w:t>
      </w:r>
      <w:r>
        <w:t xml:space="preserve"> </w:t>
      </w:r>
      <m:oMath>
        <m:sSub>
          <m:e>
            <m:r>
              <m:t>C</m:t>
            </m:r>
          </m:e>
          <m:sub>
            <m:r>
              <m:t>t</m:t>
            </m:r>
            <m:r>
              <m:t>r</m:t>
            </m:r>
            <m:r>
              <m:t>a</m:t>
            </m:r>
            <m:r>
              <m:t>v</m:t>
            </m:r>
            <m:r>
              <m:t>e</m:t>
            </m:r>
            <m:r>
              <m:t>l</m:t>
            </m:r>
          </m:sub>
        </m:sSub>
        <m:r>
          <m:rPr>
            <m:sty m:val="p"/>
          </m:rPr>
          <m:t>=</m:t>
        </m:r>
        <m:r>
          <m:t>0.0004</m:t>
        </m:r>
        <m:r>
          <m:t>d</m:t>
        </m:r>
      </m:oMath>
      <w:r>
        <w:t xml:space="preserve">, arrive at site, gain access to ecotone resources.</w:t>
      </w:r>
      <w:r>
        <w:t xml:space="preserve"> </w:t>
      </w:r>
      <w:r>
        <w:t xml:space="preserve">4.</w:t>
      </w:r>
      <w:r>
        <w:t xml:space="preserve"> </w:t>
      </w:r>
      <w:r>
        <w:rPr>
          <w:b/>
          <w:bCs/>
        </w:rPr>
        <w:t xml:space="preserve">Monument investment:</w:t>
      </w:r>
      <w:r>
        <w:t xml:space="preserve"> </w:t>
      </w:r>
      <w:r>
        <w:t xml:space="preserve">bands with</w:t>
      </w:r>
      <w:r>
        <w:t xml:space="preserve"> </w:t>
      </w:r>
      <m:oMath>
        <m:sSub>
          <m:e>
            <m:r>
              <m:t>R</m:t>
            </m:r>
          </m:e>
          <m:sub>
            <m:r>
              <m:t>i</m:t>
            </m:r>
          </m:sub>
        </m:sSub>
        <m:r>
          <m:rPr>
            <m:sty m:val="p"/>
          </m:rPr>
          <m:t>&gt;</m:t>
        </m:r>
        <m:r>
          <m:t>0.3</m:t>
        </m:r>
      </m:oMath>
      <w:r>
        <w:t xml:space="preserve"> </w:t>
      </w:r>
      <w:r>
        <w:t xml:space="preserve">contribute</w:t>
      </w:r>
      <w: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t xml:space="preserve">; both individual prestige and site-level</w:t>
      </w:r>
      <w:r>
        <w:t xml:space="preserve"> </w:t>
      </w:r>
      <m:oMath>
        <m:sSub>
          <m:e>
            <m:r>
              <m:t>M</m:t>
            </m:r>
          </m:e>
          <m:sub>
            <m:r>
              <m:t>g</m:t>
            </m:r>
          </m:sub>
        </m:sSub>
      </m:oMath>
      <w:r>
        <w:t xml:space="preserve"> </w:t>
      </w:r>
      <w:r>
        <w:t xml:space="preserve">increment.</w:t>
      </w:r>
      <w:r>
        <w:t xml:space="preserve"> </w:t>
      </w:r>
      <w:r>
        <w:t xml:space="preserve">5.</w:t>
      </w:r>
      <w:r>
        <w:t xml:space="preserve"> </w:t>
      </w:r>
      <w:r>
        <w:rPr>
          <w:b/>
          <w:bCs/>
        </w:rPr>
        <w:t xml:space="preserve">Obligation formation:</w:t>
      </w:r>
      <w:r>
        <w:t xml:space="preserve"> </w:t>
      </w:r>
      <w:r>
        <w:t xml:space="preserve">each pair of co-attending bands has 20-30% probability of new tie or strengthening existing tie.</w:t>
      </w:r>
      <w:r>
        <w:t xml:space="preserve"> </w:t>
      </w:r>
      <w:r>
        <w:t xml:space="preserve">6.</w:t>
      </w:r>
      <w:r>
        <w:t xml:space="preserve"> </w:t>
      </w:r>
      <w:r>
        <w:rPr>
          <w:b/>
          <w:bCs/>
        </w:rPr>
        <w:t xml:space="preserve">Exotic acquisition / divestment:</w:t>
      </w:r>
      <w:r>
        <w:t xml:space="preserve"> </w:t>
      </w:r>
      <w:r>
        <w:t xml:space="preserve">acquisition probability per source</w:t>
      </w:r>
      <w:r>
        <w:t xml:space="preserve"> </w:t>
      </w:r>
      <m:oMath>
        <m:r>
          <m:t>j</m:t>
        </m:r>
      </m:oMath>
      <w:r>
        <w:t xml:space="preserve"> </w:t>
      </w:r>
      <w:r>
        <w:t xml:space="preserve">is</w:t>
      </w:r>
      <w: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t xml:space="preserve">; divestment via gifting and ritual deposition propagates obligations.</w:t>
      </w:r>
      <w:r>
        <w:t xml:space="preserve"> </w:t>
      </w:r>
      <w:r>
        <w:t xml:space="preserve">7.</w:t>
      </w:r>
      <w:r>
        <w:t xml:space="preserve"> </w:t>
      </w:r>
      <w:r>
        <w:rPr>
          <w:b/>
          <w:bCs/>
        </w:rPr>
        <w:t xml:space="preserve">Foraging and shortfall impact:</w:t>
      </w:r>
      <w:r>
        <w:t xml:space="preserve"> </w:t>
      </w:r>
      <w:r>
        <w:t xml:space="preserve">payoff modulated by</w:t>
      </w:r>
      <w:r>
        <w:t xml:space="preserve"> </w:t>
      </w:r>
      <m:oMath>
        <m:sSub>
          <m:e>
            <m:r>
              <m:t>σ</m:t>
            </m:r>
          </m:e>
          <m:sub>
            <m:r>
              <m:t>e</m:t>
            </m:r>
            <m:r>
              <m:t>f</m:t>
            </m:r>
            <m:r>
              <m:t>f</m:t>
            </m:r>
          </m:sub>
        </m:sSub>
      </m:oMath>
      <w:r>
        <w:t xml:space="preserve"> </w:t>
      </w:r>
      <w:r>
        <w:t xml:space="preserve">for aggregators and full</w:t>
      </w:r>
      <w:r>
        <w:t xml:space="preserve"> </w:t>
      </w:r>
      <m:oMath>
        <m:r>
          <m:t>σ</m:t>
        </m:r>
      </m:oMath>
      <w:r>
        <w:t xml:space="preserve"> </w:t>
      </w:r>
      <w:r>
        <w:t xml:space="preserve">for independents; vulnerability</w:t>
      </w:r>
      <w:r>
        <w:t xml:space="preserve"> </w:t>
      </w:r>
      <m:oMath>
        <m:r>
          <m:t>α</m:t>
        </m:r>
        <m:r>
          <m:rPr>
            <m:sty m:val="p"/>
          </m:rPr>
          <m:t>(</m:t>
        </m:r>
        <m:sSub>
          <m:e>
            <m:r>
              <m:t>k</m:t>
            </m:r>
          </m:e>
          <m:sub>
            <m:r>
              <m:t>i</m:t>
            </m:r>
          </m:sub>
        </m:sSub>
        <m:r>
          <m:rPr>
            <m:sty m:val="p"/>
          </m:rPr>
          <m:t>)</m:t>
        </m:r>
      </m:oMath>
      <w:r>
        <w:t xml:space="preserve"> </w:t>
      </w:r>
      <w:r>
        <w:t xml:space="preserve">applied.</w:t>
      </w:r>
      <w:r>
        <w:t xml:space="preserve"> </w:t>
      </w:r>
      <w:r>
        <w:t xml:space="preserve">8.</w:t>
      </w:r>
      <w:r>
        <w:t xml:space="preserve"> </w:t>
      </w:r>
      <w:r>
        <w:rPr>
          <w:b/>
          <w:bCs/>
        </w:rPr>
        <w:t xml:space="preserve">Reproduction:</w:t>
      </w:r>
      <w:r>
        <w:t xml:space="preserve"> </w:t>
      </w:r>
      <w:r>
        <w:t xml:space="preserve">stochastic births/deaths proportional to fitness and resources; band fission when size exceeds 30.</w:t>
      </w:r>
    </w:p>
    <w:bookmarkEnd w:id="11"/>
    <w:bookmarkStart w:id="12" w:name="s1.4-design-concepts"/>
    <w:p>
      <w:pPr>
        <w:pStyle w:val="Heading3"/>
      </w:pPr>
      <w:r>
        <w:t xml:space="preserve">S1.4 Design concepts</w:t>
      </w:r>
    </w:p>
    <w:p>
      <w:pPr>
        <w:pStyle w:val="FirstParagraph"/>
      </w:pPr>
      <w:r>
        <w:rPr>
          <w:b/>
          <w:bCs/>
        </w:rPr>
        <w:t xml:space="preserve">Emergence.</w:t>
      </w:r>
      <w:r>
        <w:t xml:space="preserve"> </w:t>
      </w:r>
      <w:r>
        <w:t xml:space="preserve">Phase transitions in strategy frequency, monument accumulation, and network structure emerge from individual fitness comparisons; they are not built in.</w:t>
      </w:r>
    </w:p>
    <w:p>
      <w:pPr>
        <w:pStyle w:val="BodyText"/>
      </w:pPr>
      <w:r>
        <w:rPr>
          <w:b/>
          <w:bCs/>
        </w:rPr>
        <w:t xml:space="preserve">Adaptation.</w:t>
      </w:r>
      <w:r>
        <w:t xml:space="preserve"> </w:t>
      </w:r>
      <w:r>
        <w:t xml:space="preserve">Bands adapt by choosing the higher-fitness strategy, with switching frequency dampened to reflect ethnographic inertia in lifeway change.</w:t>
      </w:r>
    </w:p>
    <w:p>
      <w:pPr>
        <w:pStyle w:val="BodyText"/>
      </w:pPr>
      <w:r>
        <w:rPr>
          <w:b/>
          <w:bCs/>
        </w:rPr>
        <w:t xml:space="preserve">Sensing.</w:t>
      </w:r>
      <w:r>
        <w:t xml:space="preserve"> </w:t>
      </w:r>
      <w:r>
        <w:t xml:space="preserve">Bands sense local resource conditions, their own state, and (for aggregators) the visible monument stock and obligation network at the aggregation site.</w:t>
      </w:r>
    </w:p>
    <w:p>
      <w:pPr>
        <w:pStyle w:val="BodyText"/>
      </w:pPr>
      <w:r>
        <w:rPr>
          <w:b/>
          <w:bCs/>
        </w:rPr>
        <w:t xml:space="preserve">Stochasticity.</w:t>
      </w:r>
      <w:r>
        <w:t xml:space="preserve"> </w:t>
      </w:r>
      <w:r>
        <w:t xml:space="preserve">Shortfall years, productivity sampling, partner formation, and exotic acquisition all incorporate stochasticity, producing replicate-to-replicate variation.</w:t>
      </w:r>
    </w:p>
    <w:p>
      <w:pPr>
        <w:pStyle w:val="BodyText"/>
      </w:pPr>
      <w:r>
        <w:rPr>
          <w:b/>
          <w:bCs/>
        </w:rPr>
        <w:t xml:space="preserve">Observation.</w:t>
      </w:r>
      <w:r>
        <w:t xml:space="preserve"> </w:t>
      </w:r>
      <w:r>
        <w:t xml:space="preserve">At each year we record strategy frequencies, monument totals, exotic counts by source, network density, and population size.</w:t>
      </w:r>
    </w:p>
    <w:p>
      <w:pPr>
        <w:pStyle w:val="BodyText"/>
      </w:pPr>
      <w:r>
        <w:rPr>
          <w:b/>
          <w:bCs/>
        </w:rPr>
        <w:t xml:space="preserve">Composite uncertainty derivation.</w:t>
      </w:r>
      <w:r>
        <w:t xml:space="preserve"> </w:t>
      </w:r>
      <w:r>
        <w:t xml:space="preserve">In plain terms:</w:t>
      </w:r>
      <w:r>
        <w:t xml:space="preserve"> </w:t>
      </w:r>
      <m:oMath>
        <m:r>
          <m:t>σ</m:t>
        </m:r>
      </m:oMath>
      <w:r>
        <w:t xml:space="preserve"> </w:t>
      </w:r>
      <w:r>
        <w:t xml:space="preserve">summarizes how much annual productivity bounces around year to year, combining how often shortfalls occur (mean recurrence</w:t>
      </w:r>
      <w:r>
        <w:t xml:space="preserve"> </w:t>
      </w:r>
      <m:oMath>
        <m:r>
          <m:t>T</m:t>
        </m:r>
      </m:oMath>
      <w:r>
        <w:t xml:space="preserve">) with how severe each one is (magnitude</w:t>
      </w:r>
      <w:r>
        <w:t xml:space="preserve"> </w:t>
      </w:r>
      <m:oMath>
        <m:r>
          <m:t>m</m:t>
        </m:r>
      </m:oMath>
      <w:r>
        <w:t xml:space="preserve">). The derivation: shortfalls arrive at random with mean spacing</w:t>
      </w:r>
      <w:r>
        <w:t xml:space="preserve"> </w:t>
      </w:r>
      <m:oMath>
        <m:r>
          <m:t>T</m:t>
        </m:r>
      </m:oMath>
      <w:r>
        <w:t xml:space="preserve"> </w:t>
      </w:r>
      <w:r>
        <w:t xml:space="preserve">years (a Poisson process with rate</w:t>
      </w:r>
      <w:r>
        <w:t xml:space="preserve"> </w:t>
      </w:r>
      <m:oMath>
        <m:sSub>
          <m:e>
            <m:r>
              <m:t>λ</m:t>
            </m:r>
          </m:e>
          <m:sub>
            <m:r>
              <m:t>s</m:t>
            </m:r>
          </m:sub>
        </m:sSub>
        <m:r>
          <m:rPr>
            <m:sty m:val="p"/>
          </m:rPr>
          <m:t>=</m:t>
        </m:r>
        <m:r>
          <m:t>1</m:t>
        </m:r>
        <m:r>
          <m:rPr>
            <m:sty m:val="p"/>
          </m:rPr>
          <m:t>/</m:t>
        </m:r>
        <m:r>
          <m:t>T</m:t>
        </m:r>
      </m:oMath>
      <w:r>
        <w:t xml:space="preserve">), and each shortfall reduces annual productivity by a multiplicative factor</w:t>
      </w:r>
      <w:r>
        <w:t xml:space="preserve"> </w:t>
      </w:r>
      <m:oMath>
        <m:r>
          <m:t>m</m:t>
        </m:r>
        <m:r>
          <m:rPr>
            <m:sty m:val="p"/>
          </m:rPr>
          <m:t>∈</m:t>
        </m:r>
        <m:r>
          <m:rPr>
            <m:sty m:val="p"/>
          </m:rPr>
          <m:t>(</m:t>
        </m:r>
        <m:r>
          <m:t>0</m:t>
        </m:r>
        <m:r>
          <m:rPr>
            <m:sty m:val="p"/>
          </m:rPr>
          <m:t>,</m:t>
        </m:r>
        <m:r>
          <m:t>1</m:t>
        </m:r>
        <m:r>
          <m:rPr>
            <m:sty m:val="p"/>
          </m:rPr>
          <m:t>)</m:t>
        </m:r>
      </m:oMath>
      <w:r>
        <w:t xml:space="preserve"> </w:t>
      </w:r>
      <w:r>
        <w:t xml:space="preserve">(so a</w:t>
      </w:r>
      <w:r>
        <w:t xml:space="preserve"> </w:t>
      </w:r>
      <w:r>
        <w:t xml:space="preserve">“magnitude 0.45”</w:t>
      </w:r>
      <w:r>
        <w:t xml:space="preserve"> </w:t>
      </w:r>
      <w:r>
        <w:t xml:space="preserve">shortfall produces 55% of normal productivity in that year). The expected number of shortfalls in any year is</w:t>
      </w:r>
      <w:r>
        <w:t xml:space="preserve"> </w:t>
      </w:r>
      <m:oMath>
        <m:r>
          <m:t>1</m:t>
        </m:r>
        <m:r>
          <m:rPr>
            <m:sty m:val="p"/>
          </m:rPr>
          <m:t>/</m:t>
        </m:r>
        <m:r>
          <m:t>T</m:t>
        </m:r>
      </m:oMath>
      <w:r>
        <w:t xml:space="preserve">, and the variance of annual productivity loss across many years is</w:t>
      </w:r>
      <w: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t xml:space="preserve"> </w:t>
      </w:r>
      <w:r>
        <w:t xml:space="preserve">(to leading order, treating shortfalls as independent annual events). The standard deviation of annual loss is therefore</w:t>
      </w:r>
      <w:r>
        <w:t xml:space="preserve"> </w:t>
      </w:r>
      <m:oMath>
        <m:sSub>
          <m:e>
            <m:r>
              <m:t>σ</m:t>
            </m:r>
          </m:e>
          <m:sub>
            <m:r>
              <m:rPr>
                <m:nor/>
                <m:sty m:val="p"/>
              </m:rPr>
              <m:t>annual</m:t>
            </m:r>
          </m:sub>
        </m:sSub>
        <m:r>
          <m:rPr>
            <m:sty m:val="p"/>
          </m:rPr>
          <m:t>=</m:t>
        </m:r>
        <m:r>
          <m:t>m</m:t>
        </m:r>
        <m:r>
          <m:rPr>
            <m:sty m:val="p"/>
          </m:rPr>
          <m:t>/</m:t>
        </m:r>
        <m:rad>
          <m:radPr>
            <m:degHide m:val="on"/>
          </m:radPr>
          <m:deg/>
          <m:e>
            <m:r>
              <m:t>T</m:t>
            </m:r>
          </m:e>
        </m:rad>
      </m:oMath>
      <w:r>
        <w:t xml:space="preserve">.</w:t>
      </w:r>
    </w:p>
    <w:p>
      <w:pPr>
        <w:pStyle w:val="BodyText"/>
      </w:pPr>
      <w:r>
        <w:t xml:space="preserve">For interpretive convenience we work in units anchored at a 20-year reference recurrence:</w:t>
      </w:r>
      <w: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t xml:space="preserve">. This rescaling makes</w:t>
      </w:r>
      <w:r>
        <w:t xml:space="preserve"> </w:t>
      </w:r>
      <m:oMath>
        <m:r>
          <m:t>σ</m:t>
        </m:r>
      </m:oMath>
      <w:r>
        <w:t xml:space="preserve"> </w:t>
      </w:r>
      <w:r>
        <w:t xml:space="preserve">equal to</w:t>
      </w:r>
      <w:r>
        <w:t xml:space="preserve"> </w:t>
      </w:r>
      <m:oMath>
        <m:r>
          <m:t>m</m:t>
        </m:r>
      </m:oMath>
      <w:r>
        <w:t xml:space="preserve"> </w:t>
      </w:r>
      <w:r>
        <w:t xml:space="preserve">when</w:t>
      </w:r>
      <w:r>
        <w:t xml:space="preserve"> </w:t>
      </w:r>
      <m:oMath>
        <m:r>
          <m:t>T</m:t>
        </m:r>
        <m:r>
          <m:rPr>
            <m:sty m:val="p"/>
          </m:rPr>
          <m:t>=</m:t>
        </m:r>
        <m:r>
          <m:t>20</m:t>
        </m:r>
      </m:oMath>
      <w:r>
        <w:t xml:space="preserve"> </w:t>
      </w:r>
      <w:r>
        <w:t xml:space="preserve">years (a typical Late Archaic shortfall interval inferred from paleotempestology and drought reconstructions), so that a magnitude-0.45 shortfall recurring every 20 years produces</w:t>
      </w:r>
      <w:r>
        <w:t xml:space="preserve"> </w:t>
      </w:r>
      <m:oMath>
        <m:r>
          <m:t>σ</m:t>
        </m:r>
        <m:r>
          <m:rPr>
            <m:sty m:val="p"/>
          </m:rPr>
          <m:t>=</m:t>
        </m:r>
        <m:r>
          <m:t>0.45</m:t>
        </m:r>
      </m:oMath>
      <w:r>
        <w:t xml:space="preserve">. The choice of 20 years as the reference is a convention; it does not affect the</w:t>
      </w:r>
      <w:r>
        <w:t xml:space="preserve"> </w:t>
      </w:r>
      <w:r>
        <w:rPr>
          <w:i/>
          <w:iCs/>
        </w:rPr>
        <w:t xml:space="preserve">ratio</w:t>
      </w:r>
      <w:r>
        <w:t xml:space="preserve"> </w:t>
      </w:r>
      <w:r>
        <w:t xml:space="preserve">of</w:t>
      </w:r>
      <w:r>
        <w:t xml:space="preserve"> </w:t>
      </w:r>
      <m:oMath>
        <m:r>
          <m:t>σ</m:t>
        </m:r>
      </m:oMath>
      <w:r>
        <w:t xml:space="preserve"> </w:t>
      </w:r>
      <w:r>
        <w:t xml:space="preserve">values across cases or the location of the critical threshold</w:t>
      </w:r>
      <w:r>
        <w:t xml:space="preserve"> </w:t>
      </w:r>
      <m:oMath>
        <m:sSup>
          <m:e>
            <m:r>
              <m:t>σ</m:t>
            </m:r>
          </m:e>
          <m:sup>
            <m:r>
              <m:rPr>
                <m:sty m:val="p"/>
              </m:rPr>
              <m:t>*</m:t>
            </m:r>
          </m:sup>
        </m:sSup>
      </m:oMath>
      <w:r>
        <w:t xml:space="preserve"> </w:t>
      </w:r>
      <w:r>
        <w:t xml:space="preserve">when both are computed in the same units.</w:t>
      </w:r>
    </w:p>
    <w:p>
      <w:pPr>
        <w:pStyle w:val="BodyText"/>
      </w:pPr>
      <w:r>
        <w:t xml:space="preserve">For Poverty Point, frequency</w:t>
      </w:r>
      <w:r>
        <w:t xml:space="preserve"> </w:t>
      </w:r>
      <m:oMath>
        <m:r>
          <m:rPr>
            <m:sty m:val="p"/>
          </m:rPr>
          <m:t>≈</m:t>
        </m:r>
        <m:r>
          <m:t>10</m:t>
        </m:r>
      </m:oMath>
      <w:r>
        <w:t xml:space="preserve"> </w:t>
      </w:r>
      <w:r>
        <w:t xml:space="preserve">years (combining drought and hurricane cycles) and magnitude</w:t>
      </w:r>
      <w:r>
        <w:t xml:space="preserve"> </w:t>
      </w:r>
      <m:oMath>
        <m:r>
          <m:rPr>
            <m:sty m:val="p"/>
          </m:rPr>
          <m:t>≈</m:t>
        </m:r>
        <m:r>
          <m:t>0.45</m:t>
        </m:r>
      </m:oMath>
      <w:r>
        <w:t xml:space="preserve"> </w:t>
      </w:r>
      <w:r>
        <w:t xml:space="preserve">yield</w:t>
      </w:r>
      <w:r>
        <w:t xml:space="preserve"> </w:t>
      </w:r>
      <m:oMath>
        <m:r>
          <m:t>σ</m:t>
        </m:r>
        <m:r>
          <m:rPr>
            <m:sty m:val="p"/>
          </m:rPr>
          <m:t>=</m:t>
        </m:r>
        <m:r>
          <m:t>0.45</m:t>
        </m:r>
        <m:r>
          <m:rPr>
            <m:sty m:val="p"/>
          </m:rPr>
          <m:t>⋅</m:t>
        </m:r>
        <m:rad>
          <m:radPr>
            <m:degHide m:val="on"/>
          </m:radPr>
          <m:deg/>
          <m:e>
            <m:r>
              <m:t>2</m:t>
            </m:r>
          </m:e>
        </m:rad>
        <m:r>
          <m:rPr>
            <m:sty m:val="p"/>
          </m:rPr>
          <m:t>≈</m:t>
        </m:r>
        <m:r>
          <m:t>0.64</m:t>
        </m:r>
      </m:oMath>
      <w:r>
        <w:t xml:space="preserve">.</w:t>
      </w:r>
    </w:p>
    <w:p>
      <w:pPr>
        <w:pStyle w:val="BodyText"/>
      </w:pPr>
      <w:r>
        <w:rPr>
          <w:b/>
          <w:bCs/>
        </w:rPr>
        <w:t xml:space="preserve">Normalization invariance.</w:t>
      </w:r>
      <w:r>
        <w:t xml:space="preserve"> </w:t>
      </w:r>
      <w:r>
        <w:t xml:space="preserve">The 20-year reference window is a unit choice, not a substantive parameter. Different reference choices rescale both</w:t>
      </w:r>
      <w:r>
        <w:t xml:space="preserve"> </w:t>
      </w:r>
      <m:oMath>
        <m:sSub>
          <m:e>
            <m:r>
              <m:t>σ</m:t>
            </m:r>
          </m:e>
          <m:sub>
            <m:r>
              <m:t>L</m:t>
            </m:r>
            <m:r>
              <m:t>M</m:t>
            </m:r>
            <m:r>
              <m:t>V</m:t>
            </m:r>
          </m:sub>
        </m:sSub>
      </m:oMath>
      <w:r>
        <w:t xml:space="preserve"> </w:t>
      </w:r>
      <w:r>
        <w:t xml:space="preserve">and</w:t>
      </w:r>
      <w:r>
        <w:t xml:space="preserve"> </w:t>
      </w:r>
      <m:oMath>
        <m:sSup>
          <m:e>
            <m:r>
              <m:t>σ</m:t>
            </m:r>
          </m:e>
          <m:sup>
            <m:r>
              <m:rPr>
                <m:sty m:val="p"/>
              </m:rPr>
              <m:t>*</m:t>
            </m:r>
          </m:sup>
        </m:sSup>
      </m:oMath>
      <w:r>
        <w:t xml:space="preserve"> </w:t>
      </w:r>
      <w:r>
        <w:t xml:space="preserve">by the same factor, so the comparison</w:t>
      </w:r>
      <w:r>
        <w:t xml:space="preserve"> </w:t>
      </w:r>
      <m:oMath>
        <m:sSub>
          <m:e>
            <m:r>
              <m:t>σ</m:t>
            </m:r>
          </m:e>
          <m:sub>
            <m:r>
              <m:t>L</m:t>
            </m:r>
            <m:r>
              <m:t>M</m:t>
            </m:r>
            <m:r>
              <m:t>V</m:t>
            </m:r>
          </m:sub>
        </m:sSub>
      </m:oMath>
      <w:r>
        <w:t xml:space="preserve"> </w:t>
      </w:r>
      <w:r>
        <w:t xml:space="preserve">vs</w:t>
      </w:r>
      <w:r>
        <w:t xml:space="preserve"> </w:t>
      </w:r>
      <m:oMath>
        <m:sSup>
          <m:e>
            <m:r>
              <m:t>σ</m:t>
            </m:r>
          </m:e>
          <m:sup>
            <m:r>
              <m:rPr>
                <m:sty m:val="p"/>
              </m:rPr>
              <m:t>*</m:t>
            </m:r>
          </m:sup>
        </m:sSup>
      </m:oMath>
      <w:r>
        <w:t xml:space="preserve"> </w:t>
      </w:r>
      <w:r>
        <w:t xml:space="preserve">that the §6.2 threshold-proximity test depends on is preserved. Formally: under any alternative reference</w:t>
      </w:r>
      <w:r>
        <w:t xml:space="preserve"> </w:t>
      </w:r>
      <m:oMath>
        <m:sSubSup>
          <m:e>
            <m:r>
              <m:t>T</m:t>
            </m:r>
          </m:e>
          <m:sub>
            <m:r>
              <m:t>0</m:t>
            </m:r>
          </m:sub>
          <m:sup>
            <m:r>
              <m:rPr>
                <m:sty m:val="p"/>
              </m:rPr>
              <m:t>′</m:t>
            </m:r>
          </m:sup>
        </m:sSubSup>
      </m:oMath>
      <w:r>
        <w:t xml:space="preserve">, both quantities rescale by</w:t>
      </w:r>
      <w: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t xml:space="preserve">, so the ratio</w:t>
      </w:r>
      <w:r>
        <w:t xml:space="preserve"> </w:t>
      </w:r>
      <m:oMath>
        <m:sSub>
          <m:e>
            <m:r>
              <m:t>σ</m:t>
            </m:r>
          </m:e>
          <m:sub>
            <m:r>
              <m:t>L</m:t>
            </m:r>
            <m:r>
              <m:t>M</m:t>
            </m:r>
            <m:r>
              <m:t>V</m:t>
            </m:r>
          </m:sub>
        </m:sSub>
        <m:r>
          <m:rPr>
            <m:sty m:val="p"/>
          </m:rPr>
          <m:t>/</m:t>
        </m:r>
        <m:sSup>
          <m:e>
            <m:r>
              <m:t>σ</m:t>
            </m:r>
          </m:e>
          <m:sup>
            <m:r>
              <m:rPr>
                <m:sty m:val="p"/>
              </m:rPr>
              <m:t>*</m:t>
            </m:r>
          </m:sup>
        </m:sSup>
      </m:oMath>
      <w:r>
        <w:t xml:space="preserve"> </w:t>
      </w:r>
      <w:r>
        <w:t xml:space="preserve">is invariant.</w:t>
      </w:r>
    </w:p>
    <w:p>
      <w:pPr>
        <w:pStyle w:val="BodyText"/>
      </w:pPr>
      <w: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t xml:space="preserve">The case classification (Poverty Point above threshold) and the ratio are preserved exactly across the reference-window choices. Because the §6.2 Bayesian threshold-proximity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depends only on the ratio (both</w:t>
      </w:r>
      <w:r>
        <w:t xml:space="preserve"> </w:t>
      </w:r>
      <m:oMath>
        <m:sSub>
          <m:e>
            <m:r>
              <m:t>σ</m:t>
            </m:r>
          </m:e>
          <m:sub>
            <m:r>
              <m:t>e</m:t>
            </m:r>
            <m:r>
              <m:t>f</m:t>
            </m:r>
            <m:r>
              <m:t>f</m:t>
            </m:r>
          </m:sub>
        </m:sSub>
      </m:oMath>
      <w:r>
        <w:t xml:space="preserve"> </w:t>
      </w:r>
      <w:r>
        <w:t xml:space="preserve">and</w:t>
      </w:r>
      <w:r>
        <w:t xml:space="preserve"> </w:t>
      </w:r>
      <m:oMath>
        <m:sSup>
          <m:e>
            <m:r>
              <m:t>σ</m:t>
            </m:r>
          </m:e>
          <m:sup>
            <m:r>
              <m:rPr>
                <m:sty m:val="p"/>
              </m:rPr>
              <m:t>*</m:t>
            </m:r>
          </m:sup>
        </m:sSup>
      </m:oMath>
      <w:r>
        <w:t xml:space="preserve"> </w:t>
      </w:r>
      <w:r>
        <w:t xml:space="preserve">rescale by the same factor under any consistent normalization), the posterior probability</w:t>
      </w:r>
      <w:r>
        <w:t xml:space="preserve"> </w:t>
      </w:r>
      <m:oMath>
        <m:r>
          <m:t>P</m:t>
        </m:r>
        <m:r>
          <m:rPr>
            <m:sty m:val="p"/>
          </m:rPr>
          <m:t>=</m:t>
        </m:r>
        <m:r>
          <m:t>0.36</m:t>
        </m:r>
      </m:oMath>
      <w:r>
        <w:t xml:space="preserve">-</w:t>
      </w:r>
      <m:oMath>
        <m:r>
          <m:t>0.56</m:t>
        </m:r>
      </m:oMath>
      <w:r>
        <w:t xml:space="preserve"> </w:t>
      </w:r>
      <w:r>
        <w:t xml:space="preserve">is invariant under the choice of reference window. The 20-year reference is a parameterization convention for interpretability (</w:t>
      </w:r>
      <m:oMath>
        <m:r>
          <m:t>σ</m:t>
        </m:r>
        <m:r>
          <m:rPr>
            <m:sty m:val="p"/>
          </m:rPr>
          <m:t>=</m:t>
        </m:r>
        <m:r>
          <m:t>m</m:t>
        </m:r>
      </m:oMath>
      <w:r>
        <w:t xml:space="preserve"> </w:t>
      </w:r>
      <w:r>
        <w:t xml:space="preserve">when</w:t>
      </w:r>
      <w:r>
        <w:t xml:space="preserve"> </w:t>
      </w:r>
      <m:oMath>
        <m:r>
          <m:t>T</m:t>
        </m:r>
        <m:r>
          <m:rPr>
            <m:sty m:val="p"/>
          </m:rPr>
          <m:t>=</m:t>
        </m:r>
        <m:r>
          <m:t>20</m:t>
        </m:r>
      </m:oMath>
      <w:r>
        <w:t xml:space="preserve">); the substantive comparison is preserved.</w:t>
      </w:r>
    </w:p>
    <w:bookmarkEnd w:id="12"/>
    <w:bookmarkStart w:id="13" w:name="s1.5-initialization"/>
    <w:p>
      <w:pPr>
        <w:pStyle w:val="Heading3"/>
      </w:pPr>
      <w:r>
        <w:t xml:space="preserve">S1.5 Initialization</w:t>
      </w:r>
    </w:p>
    <w:p>
      <w:pPr>
        <w:pStyle w:val="FirstParagraph"/>
      </w:pPr>
      <w: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t xml:space="preserve">S1.6 Submodels</w:t>
      </w:r>
    </w:p>
    <w:p>
      <w:pPr>
        <w:pStyle w:val="FirstParagraph"/>
      </w:pPr>
      <w: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i/>
          <w:iCs/>
        </w:rPr>
        <w:t xml:space="preserve">Signal-conditional partner formation.</w:t>
      </w:r>
      <w:r>
        <w:t xml:space="preserve"> </w:t>
      </w:r>
      <w:r>
        <w:t xml:space="preserve">For each band attending the aggregation, the per-year tie-formation probability is</w:t>
      </w:r>
      <w:r>
        <w:t xml:space="preserve"> </w:t>
      </w:r>
      <m:oMath>
        <m:r>
          <m:t>0.20</m:t>
        </m:r>
        <m:r>
          <m:rPr>
            <m:sty m:val="p"/>
          </m:rPr>
          <m:t>+</m:t>
        </m:r>
        <m:r>
          <m:t>0.20</m:t>
        </m:r>
        <m:r>
          <m:rPr>
            <m:sty m:val="p"/>
          </m:rPr>
          <m:t>⋅</m:t>
        </m:r>
        <m:sSub>
          <m:e>
            <m:r>
              <m:t>d</m:t>
            </m:r>
          </m:e>
          <m:sub>
            <m:r>
              <m:t>i</m:t>
            </m:r>
          </m:sub>
        </m:sSub>
      </m:oMath>
      <w:r>
        <w:t xml:space="preserve">, where</w:t>
      </w:r>
      <w:r>
        <w:t xml:space="preserve"> </w:t>
      </w:r>
      <m:oMath>
        <m:sSub>
          <m:e>
            <m:r>
              <m:t>d</m:t>
            </m:r>
          </m:e>
          <m:sub>
            <m:r>
              <m:t>i</m:t>
            </m:r>
          </m:sub>
        </m:sSub>
        <m:r>
          <m:rPr>
            <m:sty m:val="p"/>
          </m:rPr>
          <m:t>=</m:t>
        </m:r>
        <m:r>
          <m:rPr>
            <m:sty m:val="p"/>
          </m:rPr>
          <m:t>(</m:t>
        </m:r>
        <m:sSub>
          <m:e>
            <m:r>
              <m:t>M</m:t>
            </m:r>
          </m:e>
          <m:sub>
            <m:r>
              <m:t>i</m:t>
            </m:r>
          </m:sub>
        </m:sSub>
        <m:r>
          <m:rPr>
            <m:sty m:val="p"/>
          </m:rPr>
          <m:t>+</m:t>
        </m:r>
        <m:sSub>
          <m:e>
            <m:r>
              <m:t>E</m:t>
            </m:r>
          </m:e>
          <m:sub>
            <m:r>
              <m:t>i</m:t>
            </m:r>
          </m:sub>
        </m:sSub>
        <m:r>
          <m:rPr>
            <m:sty m:val="p"/>
          </m:rPr>
          <m:t>)</m:t>
        </m:r>
        <m:r>
          <m:rPr>
            <m:sty m:val="p"/>
          </m:rPr>
          <m:t>/</m:t>
        </m:r>
        <m:sSub>
          <m:e>
            <m:r>
              <m:rPr>
                <m:sty m:val="p"/>
              </m:rPr>
              <m:t>max</m:t>
            </m:r>
          </m:e>
          <m:sub>
            <m:r>
              <m:t>j</m:t>
            </m:r>
          </m:sub>
        </m:sSub>
        <m:r>
          <m:rPr>
            <m:sty m:val="p"/>
          </m:rPr>
          <m:t>(</m:t>
        </m:r>
        <m:sSub>
          <m:e>
            <m:r>
              <m:t>M</m:t>
            </m:r>
          </m:e>
          <m:sub>
            <m:r>
              <m:t>j</m:t>
            </m:r>
          </m:sub>
        </m:sSub>
        <m:r>
          <m:rPr>
            <m:sty m:val="p"/>
          </m:rPr>
          <m:t>+</m:t>
        </m:r>
        <m:sSub>
          <m:e>
            <m:r>
              <m:t>E</m:t>
            </m:r>
          </m:e>
          <m:sub>
            <m:r>
              <m:t>j</m:t>
            </m:r>
          </m:sub>
        </m:sSub>
        <m:r>
          <m:rPr>
            <m:sty m:val="p"/>
          </m:rPr>
          <m:t>)</m:t>
        </m:r>
      </m:oMath>
      <w:r>
        <w:t xml:space="preserve"> </w:t>
      </w:r>
      <w:r>
        <w:t xml:space="preserve">is the band’s combined monument-contribution-and-exotic-count display level normalized within the attending cohort. High-display bands form ties at ~40% per aggregation versus ~20% for non-displayers. When a tie forms, the partner is drawn from co-attending bands with weights</w:t>
      </w:r>
      <w:r>
        <w:t xml:space="preserve"> </w:t>
      </w:r>
      <m:oMath>
        <m:r>
          <m:t>0.5</m:t>
        </m:r>
        <m:r>
          <m:rPr>
            <m:sty m:val="p"/>
          </m:rPr>
          <m:t>+</m:t>
        </m:r>
        <m:sSub>
          <m:e>
            <m:r>
              <m:t>d</m:t>
            </m:r>
          </m:e>
          <m:sub>
            <m:r>
              <m:t>j</m:t>
            </m:r>
          </m:sub>
        </m:sSub>
      </m:oMath>
      <w:r>
        <w:t xml:space="preserve"> </w:t>
      </w:r>
      <w:r>
        <w:t xml:space="preserve">(so candidates’ displays scale partner-choice weight from 0.5× for low-display partners to 1.5× for max-display partners).</w:t>
      </w:r>
    </w:p>
    <w:p>
      <w:pPr>
        <w:pStyle w:val="BodyText"/>
      </w:pPr>
      <w:r>
        <w:rPr>
          <w:i/>
          <w:iCs/>
        </w:rPr>
        <w:t xml:space="preserve">Tie-strength-weighted shortfall help.</w:t>
      </w:r>
      <w:r>
        <w:t xml:space="preserve"> </w:t>
      </w:r>
      <w: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 ×0.7 and removes it if strength falls below 0.05 (existing</w:t>
      </w:r>
      <w:r>
        <w:t xml:space="preserve"> </w:t>
      </w:r>
      <w:r>
        <w:rPr>
          <w:rStyle w:val="VerbatimChar"/>
        </w:rPr>
        <w:t xml:space="preserve">call_obligation</w:t>
      </w:r>
      <w:r>
        <w:t xml:space="preserve"> </w:t>
      </w:r>
      <w:r>
        <w:t xml:space="preserve">behavior; help_received = min(remaining_need, strength × 0.5)).</w:t>
      </w:r>
    </w:p>
    <w:p>
      <w:pPr>
        <w:pStyle w:val="BodyText"/>
      </w:pPr>
      <w:r>
        <w:rPr>
          <w:i/>
          <w:iCs/>
        </w:rPr>
        <w:t xml:space="preserve">Network-density coupling to</w:t>
      </w:r>
      <w:r>
        <w:t xml:space="preserve"> </w:t>
      </w:r>
      <m:oMath>
        <m:sSub>
          <m:e>
            <m:r>
              <m:t>σ</m:t>
            </m:r>
          </m:e>
          <m:sub>
            <m:r>
              <m:t>e</m:t>
            </m:r>
            <m:r>
              <m:t>f</m:t>
            </m:r>
            <m:r>
              <m:t>f</m:t>
            </m:r>
          </m:sub>
        </m:sSub>
      </m:oMath>
      <w: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r>
            <m:t>β</m:t>
          </m:r>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t xml:space="preserve">where</w:t>
      </w:r>
      <w:r>
        <w:t xml:space="preserve"> </w:t>
      </w:r>
      <m:oMath>
        <m:r>
          <m:rPr>
            <m:sty m:val="p"/>
          </m:rPr>
          <m:t>|</m:t>
        </m:r>
        <m:sSub>
          <m:e>
            <m:r>
              <m:t>O</m:t>
            </m:r>
          </m:e>
          <m:sub>
            <m:r>
              <m:t>i</m:t>
            </m:r>
          </m:sub>
        </m:sSub>
        <m:r>
          <m:rPr>
            <m:sty m:val="p"/>
          </m:rPr>
          <m:t>|</m:t>
        </m:r>
      </m:oMath>
      <w:r>
        <w:t xml:space="preserve"> </w:t>
      </w:r>
      <w:r>
        <w:t xml:space="preserve">is the band’s obligation count,</w:t>
      </w:r>
      <w:r>
        <w:t xml:space="preserve"> </w:t>
      </w:r>
      <m:oMath>
        <m:r>
          <m:t>ρ</m:t>
        </m:r>
      </m:oMath>
      <w:r>
        <w:t xml:space="preserve"> </w:t>
      </w:r>
      <w:r>
        <w:t xml:space="preserve">is the fraction of potential ties realized,</w:t>
      </w:r>
      <w:r>
        <w:t xml:space="preserve"> </w:t>
      </w:r>
      <m:oMath>
        <m:r>
          <m:t>β</m:t>
        </m:r>
        <m:r>
          <m:rPr>
            <m:sty m:val="p"/>
          </m:rPr>
          <m:t>=</m:t>
        </m:r>
        <m:r>
          <m:t>0.5</m:t>
        </m:r>
      </m:oMath>
      <w:r>
        <w:t xml:space="preserve"> </w:t>
      </w:r>
      <w:r>
        <w:t xml:space="preserve">is the network-buffering coupling strength, and</w:t>
      </w:r>
      <w:r>
        <w:t xml:space="preserve"> </w:t>
      </w:r>
      <m:oMath>
        <m:sSub>
          <m:e>
            <m:r>
              <m:t>ε</m:t>
            </m:r>
          </m:e>
          <m:sub>
            <m:r>
              <m:t>e</m:t>
            </m:r>
            <m:r>
              <m:t>f</m:t>
            </m:r>
            <m:r>
              <m:t>f</m:t>
            </m:r>
          </m:sub>
        </m:sSub>
      </m:oMath>
      <w:r>
        <w:t xml:space="preserve"> </w:t>
      </w:r>
      <w:r>
        <w:t xml:space="preserve">is capped at 0.95 to prevent</w:t>
      </w:r>
      <w:r>
        <w:t xml:space="preserve"> </w:t>
      </w:r>
      <m:oMath>
        <m:sSub>
          <m:e>
            <m:r>
              <m:t>σ</m:t>
            </m:r>
          </m:e>
          <m:sub>
            <m:r>
              <m:t>e</m:t>
            </m:r>
            <m:r>
              <m:t>f</m:t>
            </m:r>
            <m:r>
              <m:t>f</m:t>
            </m:r>
          </m:sub>
        </m:sSub>
        <m:r>
          <m:rPr>
            <m:sty m:val="p"/>
          </m:rPr>
          <m:t>→</m:t>
        </m:r>
        <m:r>
          <m:t>0</m:t>
        </m:r>
      </m:oMath>
      <w:r>
        <w:t xml:space="preserve">. This implements the framework’s prediction that a dense, signal-conditional obligation network at the gathering site reduces effective uncertainty for aggregators there beyond ecotone access alone.</w:t>
      </w:r>
    </w:p>
    <w:p>
      <w:pPr>
        <w:pStyle w:val="BodyText"/>
      </w:pPr>
      <w:r>
        <w:t xml:space="preserve">The signal-blind alternative (uniform 30% pair probability, single random shortfall call, no</w:t>
      </w:r>
      <w:r>
        <w:t xml:space="preserve"> </w:t>
      </w:r>
      <m:oMath>
        <m:sSub>
          <m:e>
            <m:r>
              <m:t>σ</m:t>
            </m:r>
          </m:e>
          <m:sub>
            <m:r>
              <m:t>e</m:t>
            </m:r>
            <m:r>
              <m:t>f</m:t>
            </m:r>
            <m:r>
              <m:t>f</m:t>
            </m:r>
          </m:sub>
        </m:sSub>
      </m:oMath>
      <w:r>
        <w:t xml:space="preserve"> </w:t>
      </w:r>
      <w:r>
        <w:t xml:space="preserve">coupling) remains available in the code via the</w:t>
      </w:r>
      <w:r>
        <w:t xml:space="preserve"> </w:t>
      </w:r>
      <w:r>
        <w:rPr>
          <w:rStyle w:val="VerbatimChar"/>
        </w:rPr>
        <w:t xml:space="preserve">signal_conditional_partners</w:t>
      </w:r>
      <w:r>
        <w:t xml:space="preserve"> </w:t>
      </w:r>
      <w:r>
        <w:t xml:space="preserve">flag for ablation comparisons. The default in current calibration runs is signal-conditional mode.</w:t>
      </w:r>
    </w:p>
    <w:p>
      <w:r>
        <w:pict>
          <v:rect style="width:0;height:1.5pt" o:hralign="center" o:hrstd="t" o:hr="t"/>
        </w:pict>
      </w:r>
    </w:p>
    <w:bookmarkEnd w:id="14"/>
    <w:bookmarkEnd w:id="15"/>
    <w:bookmarkStart w:id="23" w:name="X5da86dd822f4b8656cb6ddfa7e05813dd4f053e"/>
    <w:p>
      <w:pPr>
        <w:pStyle w:val="Heading2"/>
      </w:pPr>
      <w:r>
        <w:t xml:space="preserve">S2. Parameter Estimation and Justification</w:t>
      </w:r>
    </w:p>
    <w:p>
      <w:pPr>
        <w:pStyle w:val="FirstParagraph"/>
      </w:pPr>
      <w: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r>
                <m:t>m</m:t>
              </m:r>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t xml:space="preserve">Cost parameters</w:t>
      </w:r>
    </w:p>
    <w:p>
      <w:pPr>
        <w:pStyle w:val="FirstParagraph"/>
      </w:pPr>
      <w:r>
        <w:rPr>
          <w:b/>
          <w:bCs/>
        </w:rPr>
        <w:t xml:space="preserve">Travel.</w:t>
      </w:r>
      <w:r>
        <w:t xml:space="preserve"> </w:t>
      </w:r>
      <m:oMath>
        <m:sSub>
          <m:e>
            <m:r>
              <m:t>C</m:t>
            </m:r>
          </m:e>
          <m:sub>
            <m:r>
              <m:t>t</m:t>
            </m:r>
            <m:r>
              <m:t>r</m:t>
            </m:r>
            <m:r>
              <m:t>a</m:t>
            </m:r>
            <m:r>
              <m:t>v</m:t>
            </m:r>
            <m:r>
              <m:t>e</m:t>
            </m:r>
            <m:r>
              <m:t>l</m:t>
            </m:r>
          </m:sub>
        </m:sSub>
        <m:r>
          <m:rPr>
            <m:sty m:val="p"/>
          </m:rPr>
          <m:t>=</m:t>
        </m:r>
        <m:r>
          <m:t>0.0004</m:t>
        </m:r>
        <m:r>
          <m:t>d</m:t>
        </m:r>
      </m:oMath>
      <w:r>
        <w:t xml:space="preserve">, where</w:t>
      </w:r>
      <w:r>
        <w:t xml:space="preserve"> </w:t>
      </w:r>
      <m:oMath>
        <m:r>
          <m:t>d</m:t>
        </m:r>
      </m:oMath>
      <w:r>
        <w:t xml:space="preserve"> </w:t>
      </w:r>
      <w: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b/>
          <w:bCs/>
        </w:rPr>
        <w:t xml:space="preserve">Signaling.</w:t>
      </w:r>
      <w:r>
        <w:t xml:space="preserve"> </w:t>
      </w:r>
      <m:oMath>
        <m:sSub>
          <m:e>
            <m:r>
              <m:t>C</m:t>
            </m:r>
          </m:e>
          <m:sub>
            <m:r>
              <m:t>s</m:t>
            </m:r>
            <m:r>
              <m:t>i</m:t>
            </m:r>
            <m:r>
              <m:t>g</m:t>
            </m:r>
            <m:r>
              <m:t>n</m:t>
            </m:r>
            <m:r>
              <m:t>a</m:t>
            </m:r>
            <m:r>
              <m:t>l</m:t>
            </m:r>
          </m:sub>
        </m:sSub>
        <m:r>
          <m:rPr>
            <m:sty m:val="p"/>
          </m:rPr>
          <m:t>≈</m:t>
        </m:r>
        <m:r>
          <m:t>0.18</m:t>
        </m:r>
      </m:oMath>
      <w: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b/>
          <w:bCs/>
        </w:rPr>
        <w:t xml:space="preserve">Opportunity.</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Ethnographic seasonal aggregations typically sacrifice 10-15% of annual foraging efficiency by concentrating activities at a single location rather than optimizing seasonal rounds (Conkey 1980).</w:t>
      </w:r>
    </w:p>
    <w:p>
      <w:pPr>
        <w:pStyle w:val="BodyText"/>
      </w:pPr>
      <w:r>
        <w:rPr>
          <w:b/>
          <w:bCs/>
        </w:rPr>
        <w:t xml:space="preserve">Total.</w:t>
      </w:r>
      <w:r>
        <w:t xml:space="preserve"> </w:t>
      </w:r>
      <w:r>
        <w:t xml:space="preserve">For a band 100 km from the site:</w:t>
      </w:r>
      <w:r>
        <w:t xml:space="preserve"> </w:t>
      </w:r>
      <m:oMath>
        <m:sSub>
          <m:e>
            <m:r>
              <m:t>C</m:t>
            </m:r>
          </m:e>
          <m:sub>
            <m:r>
              <m:t>t</m:t>
            </m:r>
            <m:r>
              <m:t>o</m:t>
            </m:r>
            <m:r>
              <m:t>t</m:t>
            </m:r>
            <m:r>
              <m:t>a</m:t>
            </m:r>
            <m:r>
              <m:t>l</m:t>
            </m:r>
          </m:sub>
        </m:sSub>
        <m:r>
          <m:rPr>
            <m:sty m:val="p"/>
          </m:rPr>
          <m:t>≈</m:t>
        </m:r>
        <m:r>
          <m:t>0.34</m:t>
        </m:r>
      </m:oMath>
      <w:r>
        <w:t xml:space="preserve">.</w:t>
      </w:r>
    </w:p>
    <w:bookmarkEnd w:id="17"/>
    <w:bookmarkStart w:id="18" w:name="network-and-vulnerability-parameters"/>
    <w:p>
      <w:pPr>
        <w:pStyle w:val="Heading3"/>
      </w:pPr>
      <w:r>
        <w:t xml:space="preserve">Network and vulnerability parameters</w:t>
      </w:r>
    </w:p>
    <w:p>
      <w:pPr>
        <w:pStyle w:val="FirstParagraph"/>
      </w:pPr>
      <w:r>
        <w:t xml:space="preserve">The model derives vulnerability endogenously rather than fixing</w:t>
      </w:r>
      <w:r>
        <w:t xml:space="preserve"> </w:t>
      </w:r>
      <m:oMath>
        <m:r>
          <m:t>α</m:t>
        </m:r>
      </m:oMath>
      <w:r>
        <w:t xml:space="preserve"> </w:t>
      </w:r>
      <w:r>
        <w:t xml:space="preserve">and</w:t>
      </w:r>
      <w:r>
        <w:t xml:space="preserve"> </w:t>
      </w:r>
      <m:oMath>
        <m:r>
          <m:t>β</m:t>
        </m:r>
      </m:oMath>
      <w:r>
        <w:t xml:space="preserve"> </w:t>
      </w:r>
      <w: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t xml:space="preserve"> </w:t>
      </w:r>
      <w:r>
        <w:t xml:space="preserve">(buffering efficiency per network partner) is consistent with the modest-but-real per-partner buffering effect documented in !Kung sharing networks (Wiessner 2002).</w:t>
      </w:r>
      <w:r>
        <w:t xml:space="preserve"> </w:t>
      </w:r>
      <m:oMath>
        <m:sSub>
          <m:e>
            <m:r>
              <m:t>k</m:t>
            </m:r>
          </m:e>
          <m:sub>
            <m:r>
              <m:t>0</m:t>
            </m:r>
          </m:sub>
        </m:sSub>
        <m:r>
          <m:rPr>
            <m:sty m:val="p"/>
          </m:rPr>
          <m:t>=</m:t>
        </m:r>
        <m:r>
          <m:t>0.3</m:t>
        </m:r>
      </m:oMath>
      <w:r>
        <w:t xml:space="preserve"> </w:t>
      </w:r>
      <w:r>
        <w:t xml:space="preserve">(baseline kin connections without aggregation),</w:t>
      </w:r>
      <w:r>
        <w:t xml:space="preserve"> </w:t>
      </w:r>
      <m:oMath>
        <m:sSub>
          <m:e>
            <m:r>
              <m:t>k</m:t>
            </m:r>
          </m:e>
          <m:sub>
            <m:r>
              <m:t>m</m:t>
            </m:r>
            <m:r>
              <m:t>a</m:t>
            </m:r>
            <m:r>
              <m:t>x</m:t>
            </m:r>
          </m:sub>
        </m:sSub>
        <m:r>
          <m:rPr>
            <m:sty m:val="p"/>
          </m:rPr>
          <m:t>=</m:t>
        </m:r>
        <m:r>
          <m:t>6.0</m:t>
        </m:r>
      </m:oMath>
      <w:r>
        <w:t xml:space="preserve"> </w:t>
      </w:r>
      <w:r>
        <w:t xml:space="preserve">(maximum additional degree), and</w:t>
      </w:r>
      <w:r>
        <w:t xml:space="preserve"> </w:t>
      </w:r>
      <m:oMath>
        <m:sSub>
          <m:e>
            <m:r>
              <m:t>M</m:t>
            </m:r>
          </m:e>
          <m:sub>
            <m:r>
              <m:t>h</m:t>
            </m:r>
            <m:r>
              <m:t>a</m:t>
            </m:r>
            <m:r>
              <m:t>l</m:t>
            </m:r>
            <m:r>
              <m:t>f</m:t>
            </m:r>
          </m:sub>
        </m:sSub>
        <m:r>
          <m:rPr>
            <m:sty m:val="p"/>
          </m:rPr>
          <m:t>=</m:t>
        </m:r>
        <m:r>
          <m:t>2.5</m:t>
        </m:r>
      </m:oMath>
      <w:r>
        <w:t xml:space="preserve"> </w:t>
      </w:r>
      <w: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t xml:space="preserve">Independent vulnerability emerges as</w:t>
      </w:r>
      <w: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t xml:space="preserve">. Within-aggregation aggregator vulnerability for a band with mature network (</w:t>
      </w:r>
      <m:oMath>
        <m:sSub>
          <m:e>
            <m:r>
              <m:t>k</m:t>
            </m:r>
          </m:e>
          <m:sub>
            <m:r>
              <m:t>a</m:t>
            </m:r>
            <m:r>
              <m:t>g</m:t>
            </m:r>
            <m:r>
              <m:t>g</m:t>
            </m:r>
          </m:sub>
        </m:sSub>
      </m:oMath>
      <w:r>
        <w:t xml:space="preserve"> </w:t>
      </w:r>
      <w:r>
        <w:t xml:space="preserve">in the 4-6 range) is</w:t>
      </w:r>
      <w: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t xml:space="preserve">, giving values in the 0.77-0.83 range. The instantaneous (within-aggregation) buffering ratio</w:t>
      </w:r>
      <w: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t xml:space="preserve"> </w:t>
      </w:r>
      <w:r>
        <w:t xml:space="preserve">is therefore approximately 1.18-1.28: each additional cooperation partner contributes a small marginal buffering increment because</w:t>
      </w:r>
      <w:r>
        <w:t xml:space="preserve"> </w:t>
      </w:r>
      <m:oMath>
        <m:r>
          <m:t>γ</m:t>
        </m:r>
        <m:r>
          <m:rPr>
            <m:sty m:val="p"/>
          </m:rPr>
          <m:t>=</m:t>
        </m:r>
        <m:r>
          <m:t>0.05</m:t>
        </m:r>
      </m:oMath>
      <w:r>
        <w:t xml:space="preserve"> </w:t>
      </w:r>
      <w:r>
        <w:t xml:space="preserve">is a low per-partner buffering rate. Because aggregation occupies only</w:t>
      </w:r>
      <w:r>
        <w:t xml:space="preserve"> </w:t>
      </w:r>
      <m:oMath>
        <m:sSub>
          <m:e>
            <m:r>
              <m:t>f</m:t>
            </m:r>
          </m:e>
          <m:sub>
            <m:r>
              <m:t>a</m:t>
            </m:r>
            <m:r>
              <m:t>g</m:t>
            </m:r>
            <m:r>
              <m:t>g</m:t>
            </m:r>
          </m:sub>
        </m:sSub>
        <m:r>
          <m:rPr>
            <m:sty m:val="p"/>
          </m:rPr>
          <m:t>≈</m:t>
        </m:r>
        <m:r>
          <m:t>0.25</m:t>
        </m:r>
      </m:oMath>
      <w:r>
        <w:t xml:space="preserve"> </w:t>
      </w:r>
      <w:r>
        <w:t xml:space="preserve">of the year and networks decay during dispersal, the</w:t>
      </w:r>
      <w:r>
        <w:t xml:space="preserve"> </w:t>
      </w:r>
      <w:r>
        <w:rPr>
          <w:i/>
          <w:iCs/>
        </w:rPr>
        <w:t xml:space="preserve">effective annual</w:t>
      </w:r>
      <w:r>
        <w:t xml:space="preserve"> </w:t>
      </w:r>
      <w:r>
        <w:t xml:space="preserve">vulnerability</w:t>
      </w:r>
      <w:r>
        <w:t xml:space="preserve"> </w:t>
      </w:r>
      <m:oMath>
        <m:r>
          <m:t>α</m:t>
        </m:r>
        <m:r>
          <m:rPr>
            <m:sty m:val="p"/>
          </m:rPr>
          <m:t>(</m:t>
        </m:r>
        <m:sSub>
          <m:e>
            <m:r>
              <m:t>k</m:t>
            </m:r>
          </m:e>
          <m:sub>
            <m:r>
              <m:t>e</m:t>
            </m:r>
            <m:r>
              <m:t>f</m:t>
            </m:r>
            <m:r>
              <m:t>f</m:t>
            </m:r>
          </m:sub>
        </m:sSub>
        <m:r>
          <m:rPr>
            <m:sty m:val="p"/>
          </m:rPr>
          <m:t>)</m:t>
        </m:r>
      </m:oMath>
      <w:r>
        <w:t xml:space="preserve"> </w:t>
      </w:r>
      <w:r>
        <w:t xml:space="preserve">used in the fitness function is approximately 0.82, giving an annualized buffering ratio of approximately 1.20. The within-aggregation and annualized ratios are similar (~1.2-1.3) because, with</w:t>
      </w:r>
      <w:r>
        <w:t xml:space="preserve"> </w:t>
      </w:r>
      <m:oMath>
        <m:r>
          <m:t>γ</m:t>
        </m:r>
        <m:r>
          <m:rPr>
            <m:sty m:val="p"/>
          </m:rPr>
          <m:t>=</m:t>
        </m:r>
        <m:r>
          <m:t>0.05</m:t>
        </m:r>
      </m:oMath>
      <w: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channel: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t xml:space="preserve">with</w:t>
      </w:r>
      <w:r>
        <w:t xml:space="preserve"> </w:t>
      </w:r>
      <m:oMath>
        <m:sSub>
          <m:e>
            <m:r>
              <m:t>δ</m:t>
            </m:r>
          </m:e>
          <m:sub>
            <m:r>
              <m:t>n</m:t>
            </m:r>
            <m:r>
              <m:t>e</m:t>
            </m:r>
            <m:r>
              <m:t>t</m:t>
            </m:r>
          </m:sub>
        </m:sSub>
        <m:r>
          <m:rPr>
            <m:sty m:val="p"/>
          </m:rPr>
          <m:t>=</m:t>
        </m:r>
        <m:r>
          <m:t>0.40</m:t>
        </m:r>
      </m:oMath>
      <w:r>
        <w:t xml:space="preserve"> </w:t>
      </w:r>
      <w:r>
        <w:t xml:space="preserve">network decay rate during dispersal.</w:t>
      </w:r>
    </w:p>
    <w:bookmarkEnd w:id="18"/>
    <w:bookmarkStart w:id="19" w:name="signaling-parameters"/>
    <w:p>
      <w:pPr>
        <w:pStyle w:val="Heading3"/>
      </w:pPr>
      <w:r>
        <w:t xml:space="preserve">Signaling parameters</w:t>
      </w:r>
    </w:p>
    <w:p>
      <w:pPr>
        <w:pStyle w:val="FirstParagraph"/>
      </w:pPr>
      <w:r>
        <w:t xml:space="preserve">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t>
      </w:r>
      <w:r>
        <w:t xml:space="preserve">has within-group (</w:t>
      </w:r>
      <m:oMath>
        <m:sSub>
          <m:e>
            <m:r>
              <m:t>λ</m:t>
            </m:r>
          </m:e>
          <m:sub>
            <m:r>
              <m:t>W</m:t>
            </m:r>
          </m:sub>
        </m:sSub>
        <m:r>
          <m:rPr>
            <m:sty m:val="p"/>
          </m:rPr>
          <m:t>=</m:t>
        </m:r>
        <m:r>
          <m:t>0.15</m:t>
        </m:r>
      </m:oMath>
      <w:r>
        <w:t xml:space="preserve">), conflict-deterrence (</w:t>
      </w:r>
      <m:oMath>
        <m:sSub>
          <m:e>
            <m:r>
              <m:t>λ</m:t>
            </m:r>
          </m:e>
          <m:sub>
            <m:r>
              <m:t>C</m:t>
            </m:r>
          </m:sub>
        </m:sSub>
      </m:oMath>
      <w:r>
        <w:t xml:space="preserve">), and cooperation-network (</w:t>
      </w:r>
      <m:oMath>
        <m:sSub>
          <m:e>
            <m:r>
              <m:t>λ</m:t>
            </m:r>
          </m:e>
          <m:sub>
            <m:r>
              <m:t>X</m:t>
            </m:r>
          </m:sub>
        </m:sSub>
      </m:oMath>
      <w:r>
        <w:t xml:space="preserve">) components. Because monument stock affects the very signaling reward that drives more monument-building,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cannot be set independently; they are solved by repeated substitution (fixed-point iteration): guess</w:t>
      </w:r>
      <w:r>
        <w:t xml:space="preserve"> </w:t>
      </w:r>
      <m:oMath>
        <m:sSub>
          <m:e>
            <m:r>
              <m:t>λ</m:t>
            </m:r>
          </m:e>
          <m:sub>
            <m:r>
              <m:t>X</m:t>
            </m:r>
          </m:sub>
        </m:sSub>
      </m:oMath>
      <w:r>
        <w:t xml:space="preserve">, compute the resulting monument stock, recompute</w:t>
      </w:r>
      <w:r>
        <w:t xml:space="preserve"> </w:t>
      </w:r>
      <m:oMath>
        <m:sSub>
          <m:e>
            <m:r>
              <m:t>λ</m:t>
            </m:r>
          </m:e>
          <m:sub>
            <m:r>
              <m:t>X</m:t>
            </m:r>
          </m:sub>
        </m:sSub>
      </m:oMath>
      <w:r>
        <w:t xml:space="preserve">, repeat until the values stop changing within</w:t>
      </w:r>
      <w:r>
        <w:t xml:space="preserve"> </w:t>
      </w:r>
      <m:oMath>
        <m:sSup>
          <m:e>
            <m:r>
              <m:t>10</m:t>
            </m:r>
          </m:e>
          <m:sup>
            <m:r>
              <m:rPr>
                <m:sty m:val="p"/>
              </m:rPr>
              <m:t>−</m:t>
            </m:r>
            <m:r>
              <m:t>6</m:t>
            </m:r>
          </m:sup>
        </m:sSup>
      </m:oMath>
      <w:r>
        <w:t xml:space="preserve">. One cycle of that loop is: monument stock</w:t>
      </w:r>
      <w:r>
        <w:t xml:space="preserve"> </w:t>
      </w:r>
      <m:oMath>
        <m:r>
          <m:rPr>
            <m:sty m:val="p"/>
          </m:rPr>
          <m:t>→</m:t>
        </m:r>
      </m:oMath>
      <w:r>
        <w:t xml:space="preserve"> </w:t>
      </w:r>
      <w:r>
        <w:t xml:space="preserve">network degree</w:t>
      </w:r>
      <w:r>
        <w:t xml:space="preserve"> </w:t>
      </w:r>
      <m:oMath>
        <m:r>
          <m:rPr>
            <m:sty m:val="p"/>
          </m:rPr>
          <m:t>→</m:t>
        </m:r>
      </m:oMath>
      <w:r>
        <w:t xml:space="preserve"> </w:t>
      </w:r>
      <w:r>
        <w:t xml:space="preserve">vulnerability reduction</w:t>
      </w:r>
      <w:r>
        <w:t xml:space="preserve"> </w:t>
      </w:r>
      <m:oMath>
        <m:r>
          <m:rPr>
            <m:sty m:val="p"/>
          </m:rPr>
          <m:t>→</m:t>
        </m:r>
      </m:oMath>
      <w:r>
        <w:t xml:space="preserve"> </w:t>
      </w:r>
      <w:r>
        <w:t xml:space="preserve">raised</w:t>
      </w:r>
      <w:r>
        <w:t xml:space="preserve"> </w:t>
      </w:r>
      <m:oMath>
        <m:sSub>
          <m:e>
            <m:r>
              <m:t>λ</m:t>
            </m:r>
          </m:e>
          <m:sub>
            <m:r>
              <m:t>X</m:t>
            </m:r>
          </m:sub>
        </m:sSub>
      </m:oMath>
      <w:r>
        <w:t xml:space="preserve"> </w:t>
      </w:r>
      <m:oMath>
        <m:r>
          <m:rPr>
            <m:sty m:val="p"/>
          </m:rPr>
          <m:t>→</m:t>
        </m:r>
      </m:oMath>
      <w:r>
        <w:t xml:space="preserve"> </w:t>
      </w:r>
      <w:r>
        <w:t xml:space="preserve">raised optimal investment</w:t>
      </w:r>
      <w:r>
        <w:t xml:space="preserve"> </w:t>
      </w:r>
      <m:oMath>
        <m:sSup>
          <m:e>
            <m:r>
              <m:t>x</m:t>
            </m:r>
          </m:e>
          <m:sup>
            <m:r>
              <m:rPr>
                <m:sty m:val="p"/>
              </m:rPr>
              <m:t>*</m:t>
            </m:r>
          </m:sup>
        </m:sSup>
        <m:r>
          <m:rPr>
            <m:sty m:val="p"/>
          </m:rPr>
          <m:t>(</m:t>
        </m:r>
        <m:r>
          <m:t>q</m:t>
        </m:r>
        <m:r>
          <m:rPr>
            <m:sty m:val="p"/>
          </m:rPr>
          <m:t>)</m:t>
        </m:r>
      </m:oMath>
      <w:r>
        <w:t xml:space="preserve"> </w:t>
      </w:r>
      <m:oMath>
        <m:r>
          <m:rPr>
            <m:sty m:val="p"/>
          </m:rPr>
          <m:t>→</m:t>
        </m:r>
      </m:oMath>
      <w:r>
        <w:t xml:space="preserve"> </w:t>
      </w:r>
      <w:r>
        <w:t xml:space="preserve">more monuments. We use damping (factor 0.5) so successive estimates do not oscillate. At the equilibrium reached for Poverty Point conditions,</w:t>
      </w:r>
      <w:r>
        <w:t xml:space="preserve"> </w:t>
      </w:r>
      <m:oMath>
        <m:sSub>
          <m:e>
            <m:r>
              <m:t>M</m:t>
            </m:r>
          </m:e>
          <m:sub>
            <m:r>
              <m:t>g</m:t>
            </m:r>
          </m:sub>
        </m:sSub>
      </m:oMath>
      <w:r>
        <w:t xml:space="preserve"> </w:t>
      </w:r>
      <w:r>
        <w:t xml:space="preserve">is large enough that the network degree function saturates, making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small at equilibrium and</w:t>
      </w:r>
      <w:r>
        <w:t xml:space="preserve"> </w:t>
      </w:r>
      <m:oMath>
        <m:r>
          <m:t>λ</m:t>
        </m:r>
      </m:oMath>
      <w:r>
        <w:t xml:space="preserve"> </w:t>
      </w:r>
      <w:r>
        <w:t xml:space="preserve">dominated by</w:t>
      </w:r>
      <w:r>
        <w:t xml:space="preserve"> </w:t>
      </w:r>
      <m:oMath>
        <m:sSub>
          <m:e>
            <m:r>
              <m:t>λ</m:t>
            </m:r>
          </m:e>
          <m:sub>
            <m:r>
              <m:t>W</m:t>
            </m:r>
          </m:sub>
        </m:sSub>
      </m:oMath>
      <w:r>
        <w:t xml:space="preserve">.</w:t>
      </w:r>
    </w:p>
    <w:p>
      <w:pPr>
        <w:pStyle w:val="BodyText"/>
      </w:pPr>
      <w:r>
        <w:rPr>
          <w:b/>
          <w:bCs/>
        </w:rPr>
        <w:t xml:space="preserve">Convergence diagnostics.</w:t>
      </w:r>
      <w:r>
        <w:t xml:space="preserve"> </w:t>
      </w:r>
      <w:r>
        <w:t xml:space="preserve">We tested the fixed-point iteration across a 30-point sweep of</w:t>
      </w:r>
      <w:r>
        <w:t xml:space="preserve"> </w:t>
      </w:r>
      <m:oMath>
        <m:r>
          <m:t>σ</m:t>
        </m:r>
      </m:oMath>
      <w:r>
        <w:t xml:space="preserve"> </w:t>
      </w:r>
      <w:r>
        <w:t xml:space="preserve">from 0.10 to 0.95 (covering both sub- and supra-threshold regimes). Of these 30 runs, 100% converged to within the</w:t>
      </w:r>
      <w:r>
        <w:t xml:space="preserve"> </w:t>
      </w:r>
      <m:oMath>
        <m:sSup>
          <m:e>
            <m:r>
              <m:t>10</m:t>
            </m:r>
          </m:e>
          <m:sup>
            <m:r>
              <m:rPr>
                <m:sty m:val="p"/>
              </m:rPr>
              <m:t>−</m:t>
            </m:r>
            <m:r>
              <m:t>6</m:t>
            </m:r>
          </m:sup>
        </m:sSup>
      </m:oMath>
      <w:r>
        <w:t xml:space="preserve"> </w:t>
      </w:r>
      <w:r>
        <w:t xml:space="preserve">tolerance; mean, median, and maximum iteration counts were all 18, indicating uniform convergence speed across the parameter range. To check for multiple fixed points, we ran the iteration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from different starting conditions and verified that the resulting equilibrium monument stock</w:t>
      </w:r>
      <w:r>
        <w:t xml:space="preserve"> </w:t>
      </w:r>
      <m:oMath>
        <m:sSub>
          <m:e>
            <m:r>
              <m:t>M</m:t>
            </m:r>
          </m:e>
          <m:sub>
            <m:r>
              <m:t>g</m:t>
            </m:r>
          </m:sub>
        </m:sSub>
      </m:oMath>
      <w:r>
        <w:t xml:space="preserve"> </w:t>
      </w:r>
      <w:r>
        <w:t xml:space="preserve">differed by less than 1 part in</w:t>
      </w:r>
      <w:r>
        <w:t xml:space="preserve"> </w:t>
      </w:r>
      <m:oMath>
        <m:sSup>
          <m:e>
            <m:r>
              <m:t>10</m:t>
            </m:r>
          </m:e>
          <m:sup>
            <m:r>
              <m:t>4</m:t>
            </m:r>
          </m:sup>
        </m:sSup>
      </m:oMath>
      <w:r>
        <w:t xml:space="preserve"> </w:t>
      </w:r>
      <w:r>
        <w:t xml:space="preserve">(129.78 vs. 129.78 vs. 129.79), confirming empirically that the fixed point is unique within the explored range. The contraction-mapping property follows from the monotonicity of</w:t>
      </w:r>
      <w: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t xml:space="preserve"> </w:t>
      </w:r>
      <w:r>
        <w:t xml:space="preserve">combined with the saturating</w:t>
      </w:r>
      <w:r>
        <w:t xml:space="preserve"> </w:t>
      </w:r>
      <m:oMath>
        <m:r>
          <m:t>k</m:t>
        </m:r>
        <m:r>
          <m:rPr>
            <m:sty m:val="p"/>
          </m:rPr>
          <m:t>(</m:t>
        </m:r>
        <m:sSub>
          <m:e>
            <m:r>
              <m:t>M</m:t>
            </m:r>
          </m:e>
          <m:sub>
            <m:r>
              <m:t>g</m:t>
            </m:r>
          </m:sub>
        </m:sSub>
        <m:r>
          <m:rPr>
            <m:sty m:val="p"/>
          </m:rPr>
          <m:t>)</m:t>
        </m:r>
      </m:oMath>
      <w:r>
        <w:t xml:space="preserve"> </w:t>
      </w:r>
      <w:r>
        <w:t xml:space="preserve">function: at large</w:t>
      </w:r>
      <w:r>
        <w:t xml:space="preserve"> </w:t>
      </w:r>
      <m:oMath>
        <m:sSub>
          <m:e>
            <m:r>
              <m:t>M</m:t>
            </m:r>
          </m:e>
          <m:sub>
            <m:r>
              <m:t>g</m:t>
            </m:r>
          </m:sub>
        </m:sSub>
      </m:oMath>
      <w:r>
        <w:t xml:space="preserve"> </w:t>
      </w:r>
      <w:r>
        <w:t xml:space="preserve">the marginal contribution to</w:t>
      </w:r>
      <w:r>
        <w:t xml:space="preserve"> </w:t>
      </w:r>
      <m:oMath>
        <m:sSub>
          <m:e>
            <m:r>
              <m:t>λ</m:t>
            </m:r>
          </m:e>
          <m:sub>
            <m:r>
              <m:t>X</m:t>
            </m:r>
          </m:sub>
        </m:sSub>
      </m:oMath>
      <w:r>
        <w:t xml:space="preserve"> </w:t>
      </w:r>
      <w:r>
        <w:t xml:space="preserve">vanishes, providing a stable upper bound, while at small</w:t>
      </w:r>
      <w:r>
        <w:t xml:space="preserve"> </w:t>
      </w:r>
      <m:oMath>
        <m:sSub>
          <m:e>
            <m:r>
              <m:t>M</m:t>
            </m:r>
          </m:e>
          <m:sub>
            <m:r>
              <m:t>g</m:t>
            </m:r>
          </m:sub>
        </m:sSub>
      </m:oMath>
      <w:r>
        <w:t xml:space="preserve"> </w:t>
      </w:r>
      <w:r>
        <w:t xml:space="preserve">the lower bound is set by</w:t>
      </w:r>
      <w:r>
        <w:t xml:space="preserve"> </w:t>
      </w:r>
      <m:oMath>
        <m:sSub>
          <m:e>
            <m:r>
              <m:t>λ</m:t>
            </m:r>
          </m:e>
          <m:sub>
            <m:r>
              <m:t>W</m:t>
            </m:r>
          </m:sub>
        </m:sSub>
        <m:r>
          <m:rPr>
            <m:sty m:val="p"/>
          </m:rPr>
          <m:t>&gt;</m:t>
        </m:r>
        <m:r>
          <m:t>0</m:t>
        </m:r>
      </m:oMath>
      <w:r>
        <w:t xml:space="preserve"> </w:t>
      </w:r>
      <w:r>
        <w:t xml:space="preserve">alone.</w:t>
      </w:r>
    </w:p>
    <w:p>
      <w:pPr>
        <w:pStyle w:val="BodyText"/>
      </w:pPr>
      <w:r>
        <w:rPr>
          <w:b/>
          <w:bCs/>
        </w:rPr>
        <w:t xml:space="preserve">Within-group reward ablation.</w:t>
      </w:r>
      <w:r>
        <w:t xml:space="preserve"> </w:t>
      </w:r>
      <w:r>
        <w:t xml:space="preserve">Setting</w:t>
      </w:r>
      <w:r>
        <w:t xml:space="preserve"> </w:t>
      </w:r>
      <m:oMath>
        <m:sSub>
          <m:e>
            <m:r>
              <m:t>λ</m:t>
            </m:r>
          </m:e>
          <m:sub>
            <m:r>
              <m:t>W</m:t>
            </m:r>
          </m:sub>
        </m:sSub>
        <m:r>
          <m:rPr>
            <m:sty m:val="p"/>
          </m:rPr>
          <m:t>=</m:t>
        </m:r>
        <m:r>
          <m:t>0</m:t>
        </m:r>
      </m:oMath>
      <w:r>
        <w:t xml:space="preserve"> </w:t>
      </w:r>
      <w:r>
        <w:t xml:space="preserve">(which removes the only signaling-as-such contribution to fitness; cooperation benefits via</w:t>
      </w:r>
      <w:r>
        <w:t xml:space="preserve"> </w:t>
      </w:r>
      <m:oMath>
        <m:sSub>
          <m:e>
            <m:r>
              <m:t>λ</m:t>
            </m:r>
          </m:e>
          <m:sub>
            <m:r>
              <m:t>X</m:t>
            </m:r>
          </m:sub>
        </m:sSub>
      </m:oMath>
      <w:r>
        <w:t xml:space="preserve"> </w:t>
      </w:r>
      <w:r>
        <w:t xml:space="preserve">and conflict deterrence via</w:t>
      </w:r>
      <w:r>
        <w:t xml:space="preserve"> </w:t>
      </w:r>
      <m:oMath>
        <m:sSub>
          <m:e>
            <m:r>
              <m:t>λ</m:t>
            </m:r>
          </m:e>
          <m:sub>
            <m:r>
              <m:t>C</m:t>
            </m:r>
          </m:sub>
        </m:sSub>
      </m:oMath>
      <w:r>
        <w:t xml:space="preserve"> </w:t>
      </w:r>
      <w:r>
        <w:t xml:space="preserve">remain) raises the critical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shift. A linear sweep</w:t>
      </w:r>
      <w: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t xml:space="preserve"> </w:t>
      </w:r>
      <w:r>
        <w:t xml:space="preserve">produces</w:t>
      </w:r>
      <w: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t xml:space="preserve">, demonstrating that the within-group signaling reward contributes a substantial portion of the threshold lowering and that the model is</w:t>
      </w:r>
      <w:r>
        <w:t xml:space="preserve"> </w:t>
      </w:r>
      <w:r>
        <w:rPr>
          <w:i/>
          <w:iCs/>
        </w:rPr>
        <w:t xml:space="preserve">not</w:t>
      </w:r>
      <w:r>
        <w:t xml:space="preserve"> </w:t>
      </w:r>
      <w:r>
        <w:t xml:space="preserve">well approximated by a generic cooperation account in which signaling is decoration.</w:t>
      </w:r>
    </w:p>
    <w:p>
      <w:pPr>
        <w:pStyle w:val="BodyText"/>
      </w:pPr>
      <w:r>
        <w:t xml:space="preserve">The signaling benefit is derived from the Grafen (1990) signaling equilibrium and is the expectation of each band’s individual signaling payoff over the uniform quality distribution</w:t>
      </w:r>
      <w: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t xml:space="preserve"> </w:t>
      </w:r>
      <m:oMath>
        <m:sSub>
          <m:e>
            <m:r>
              <m:t>q</m:t>
            </m:r>
          </m:e>
          <m:sub>
            <m:r>
              <m:t>m</m:t>
            </m:r>
            <m:r>
              <m:t>i</m:t>
            </m:r>
            <m:r>
              <m:t>n</m:t>
            </m:r>
          </m:sub>
        </m:sSub>
      </m:oMath>
      <w:r>
        <w:t xml:space="preserve">. At our parameters (</w:t>
      </w:r>
      <m:oMath>
        <m:sSub>
          <m:e>
            <m:r>
              <m:t>q</m:t>
            </m:r>
          </m:e>
          <m:sub>
            <m:r>
              <m:t>m</m:t>
            </m:r>
            <m:r>
              <m:t>i</m:t>
            </m:r>
            <m:r>
              <m:t>n</m:t>
            </m:r>
          </m:sub>
        </m:sSub>
        <m:r>
          <m:rPr>
            <m:sty m:val="p"/>
          </m:rPr>
          <m:t>=</m:t>
        </m:r>
        <m:r>
          <m:t>0.2</m:t>
        </m:r>
      </m:oMath>
      <w:r>
        <w:t xml:space="preserve">,</w:t>
      </w:r>
      <w:r>
        <w:t xml:space="preserve"> </w:t>
      </w:r>
      <m:oMath>
        <m:sSub>
          <m:e>
            <m:r>
              <m:t>q</m:t>
            </m:r>
          </m:e>
          <m:sub>
            <m:r>
              <m:t>m</m:t>
            </m:r>
            <m:r>
              <m:t>a</m:t>
            </m:r>
            <m:r>
              <m:t>x</m:t>
            </m:r>
          </m:sub>
        </m:sSub>
        <m:r>
          <m:rPr>
            <m:sty m:val="p"/>
          </m:rPr>
          <m:t>=</m:t>
        </m:r>
        <m:r>
          <m:t>2.0</m:t>
        </m:r>
      </m:oMath>
      <w:r>
        <w:t xml:space="preserve">,</w:t>
      </w:r>
      <w:r>
        <w:t xml:space="preserve"> </w:t>
      </w:r>
      <m:oMath>
        <m:r>
          <m:t>λ</m:t>
        </m:r>
        <m:r>
          <m:rPr>
            <m:sty m:val="p"/>
          </m:rPr>
          <m:t>≈</m:t>
        </m:r>
        <m:r>
          <m:t>0.40</m:t>
        </m:r>
      </m:oMath>
      <w:r>
        <w:t xml:space="preserve">) the second term is approximately 5% of the first, and the code computes both.</w:t>
      </w:r>
    </w:p>
    <w:bookmarkEnd w:id="19"/>
    <w:bookmarkStart w:id="20" w:name="conflict-parameters"/>
    <w:p>
      <w:pPr>
        <w:pStyle w:val="Heading3"/>
      </w:pPr>
      <w:r>
        <w:t xml:space="preserve">Conflict parameters</w:t>
      </w:r>
    </w:p>
    <w:p>
      <w:pPr>
        <w:pStyle w:val="FirstParagraph"/>
      </w:pPr>
      <w:r>
        <w:t xml:space="preserve">Baseline annual conflict probability</w:t>
      </w:r>
      <w:r>
        <w:t xml:space="preserve"> </w:t>
      </w:r>
      <m:oMath>
        <m:sSub>
          <m:e>
            <m:r>
              <m:t>P</m:t>
            </m:r>
          </m:e>
          <m:sub>
            <m:r>
              <m:t>b</m:t>
            </m:r>
            <m:r>
              <m:t>a</m:t>
            </m:r>
            <m:r>
              <m:t>s</m:t>
            </m:r>
            <m:r>
              <m:t>e</m:t>
            </m:r>
          </m:sub>
        </m:sSub>
        <m:r>
          <m:rPr>
            <m:sty m:val="p"/>
          </m:rPr>
          <m:t>=</m:t>
        </m:r>
        <m:r>
          <m:t>0.008</m:t>
        </m:r>
      </m:oMath>
      <w:r>
        <w:t xml:space="preserve"> </w:t>
      </w:r>
      <w:r>
        <w:t xml:space="preserve">and conflict mortality</w:t>
      </w:r>
      <w:r>
        <w:t xml:space="preserve"> </w:t>
      </w:r>
      <m:oMath>
        <m:r>
          <m:t>m</m:t>
        </m:r>
        <m:r>
          <m:rPr>
            <m:sty m:val="p"/>
          </m:rPr>
          <m:t>=</m:t>
        </m:r>
        <m:r>
          <m:t>0.08</m:t>
        </m:r>
      </m:oMath>
      <w:r>
        <w:t xml:space="preserve"> </w:t>
      </w:r>
      <w: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t xml:space="preserve">Ecotone parameter</w:t>
      </w:r>
    </w:p>
    <w:p>
      <w:pPr>
        <w:pStyle w:val="FirstParagraph"/>
      </w:pPr>
      <m:oMath>
        <m:r>
          <m:t>ε</m:t>
        </m:r>
      </m:oMath>
      <w:r>
        <w:t xml:space="preserve"> </w:t>
      </w:r>
      <w:r>
        <w:t xml:space="preserve">ranges from 0 (single-zone location) to ~0.5 (exceptionally well-buffered). The main §2.3 develops the negative-covariance interpretation and the regional empirical paper develops the per-site operationalization at LMV mound-building sites; here we treat</w:t>
      </w:r>
      <w:r>
        <w:t xml:space="preserve"> </w:t>
      </w:r>
      <m:oMath>
        <m:r>
          <m:t>ε</m:t>
        </m:r>
      </m:oMath>
      <w:r>
        <w:t xml:space="preserve"> </w:t>
      </w:r>
      <w:r>
        <w:t xml:space="preserve">as an input variable on</w:t>
      </w:r>
      <w:r>
        <w:t xml:space="preserve"> </w:t>
      </w:r>
      <m:oMath>
        <m:r>
          <m:rPr>
            <m:sty m:val="p"/>
          </m:rPr>
          <m:t>[</m:t>
        </m:r>
        <m:r>
          <m:t>0</m:t>
        </m:r>
        <m:r>
          <m:rPr>
            <m:sty m:val="p"/>
          </m:rPr>
          <m:t>,</m:t>
        </m:r>
        <m:r>
          <m:t>0.5</m:t>
        </m:r>
        <m:r>
          <m:rPr>
            <m:sty m:val="p"/>
          </m:rPr>
          <m:t>]</m:t>
        </m:r>
      </m:oMath>
      <w:r>
        <w:t xml:space="preserve"> </w:t>
      </w:r>
      <w:r>
        <w:t xml:space="preserve">for purposes of the theoretical sweeps below.</w:t>
      </w:r>
    </w:p>
    <w:bookmarkEnd w:id="21"/>
    <w:bookmarkStart w:id="22" w:name="table-s2-full-parameter-list"/>
    <w:p>
      <w:pPr>
        <w:pStyle w:val="Heading3"/>
      </w:pPr>
      <w: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r>
                <m:t>m</m:t>
              </m:r>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p>
      <w:r>
        <w:pict>
          <v:rect style="width:0;height:1.5pt" o:hralign="center" o:hrstd="t" o:hr="t"/>
        </w:pict>
      </w:r>
    </w:p>
    <w:bookmarkEnd w:id="22"/>
    <w:bookmarkEnd w:id="23"/>
    <w:bookmarkStart w:id="36" w:name="s3.-sensitivity-analyses"/>
    <w:p>
      <w:pPr>
        <w:pStyle w:val="Heading2"/>
      </w:pPr>
      <w:r>
        <w:t xml:space="preserve">S3. Sensitivity Analyses</w:t>
      </w:r>
    </w:p>
    <w:bookmarkStart w:id="30" w:name="s3.1-one-at-a-time-oat-tornado-plot"/>
    <w:p>
      <w:pPr>
        <w:pStyle w:val="Heading3"/>
      </w:pPr>
      <w:r>
        <w:t xml:space="preserve">S3.1 One-at-a-time (OAT) tornado plot</w:t>
      </w:r>
    </w:p>
    <w:p>
      <w:pPr>
        <w:pStyle w:val="FirstParagraph"/>
      </w:pPr>
      <w:r>
        <w:t xml:space="preserve">We performed an OAT sensitivity analysis varying each parameter in turn within its plausible range while holding the others at default. The critical threshold</w:t>
      </w:r>
      <w:r>
        <w:t xml:space="preserve"> </w:t>
      </w:r>
      <m:oMath>
        <m:sSup>
          <m:e>
            <m:r>
              <m:t>σ</m:t>
            </m:r>
          </m:e>
          <m:sup>
            <m:r>
              <m:rPr>
                <m:sty m:val="p"/>
              </m:rPr>
              <m:t>*</m:t>
            </m:r>
          </m:sup>
        </m:sSup>
      </m:oMath>
      <w:r>
        <w:t xml:space="preserve"> </w:t>
      </w:r>
      <w:r>
        <w:t xml:space="preserve">is most sensitive to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C</m:t>
            </m:r>
          </m:e>
          <m:sub>
            <m:r>
              <m:t>t</m:t>
            </m:r>
            <m:r>
              <m:t>r</m:t>
            </m:r>
            <m:r>
              <m:t>a</m:t>
            </m:r>
            <m:r>
              <m:t>v</m:t>
            </m:r>
            <m:r>
              <m:t>e</m:t>
            </m:r>
            <m:r>
              <m:t>l</m:t>
            </m:r>
          </m:sub>
        </m:sSub>
      </m:oMath>
      <w:r>
        <w:t xml:space="preserve">) and within-group signaling rewards (</w:t>
      </w:r>
      <m:oMath>
        <m:sSub>
          <m:e>
            <m:r>
              <m:t>λ</m:t>
            </m:r>
          </m:e>
          <m:sub>
            <m:r>
              <m:t>W</m:t>
            </m:r>
          </m:sub>
        </m:sSub>
      </m:oMath>
      <w:r>
        <w:t xml:space="preserve">); moderately sensitive to quality range (</w:t>
      </w:r>
      <m:oMath>
        <m:sSub>
          <m:e>
            <m:r>
              <m:t>q</m:t>
            </m:r>
          </m:e>
          <m:sub>
            <m:r>
              <m:t>m</m:t>
            </m:r>
            <m:r>
              <m:t>i</m:t>
            </m:r>
            <m:r>
              <m:t>n</m:t>
            </m:r>
          </m:sub>
        </m:sSub>
      </m:oMath>
      <w:r>
        <w:t xml:space="preserve">,</w:t>
      </w:r>
      <w:r>
        <w:t xml:space="preserve"> </w:t>
      </w:r>
      <m:oMath>
        <m:sSub>
          <m:e>
            <m:r>
              <m:t>q</m:t>
            </m:r>
          </m:e>
          <m:sub>
            <m:r>
              <m:t>m</m:t>
            </m:r>
            <m:r>
              <m:t>a</m:t>
            </m:r>
            <m:r>
              <m:t>x</m:t>
            </m:r>
          </m:sub>
        </m:sSub>
      </m:oMath>
      <w:r>
        <w:t xml:space="preserve">) and maximum network degree (</w:t>
      </w:r>
      <m:oMath>
        <m:sSub>
          <m:e>
            <m:r>
              <m:t>k</m:t>
            </m:r>
          </m:e>
          <m:sub>
            <m:r>
              <m:t>m</m:t>
            </m:r>
            <m:r>
              <m:t>a</m:t>
            </m:r>
            <m:r>
              <m:t>x</m:t>
            </m:r>
          </m:sub>
        </m:sSub>
      </m:oMath>
      <w:r>
        <w:t xml:space="preserve">); and insensitive to monument depreciation (</w:t>
      </w:r>
      <m:oMath>
        <m:r>
          <m:t>δ</m:t>
        </m:r>
      </m:oMath>
      <w:r>
        <w:t xml:space="preserve">), conflict parameters (</w:t>
      </w:r>
      <m:oMath>
        <m:sSub>
          <m:e>
            <m:r>
              <m:t>P</m:t>
            </m:r>
          </m:e>
          <m:sub>
            <m:r>
              <m:t>b</m:t>
            </m:r>
            <m:r>
              <m:t>a</m:t>
            </m:r>
            <m:r>
              <m:t>s</m:t>
            </m:r>
            <m:r>
              <m:t>e</m:t>
            </m:r>
          </m:sub>
        </m:sSub>
      </m:oMath>
      <w:r>
        <w:t xml:space="preserve">), and the half-saturation constant (</w:t>
      </w:r>
      <m:oMath>
        <m:sSub>
          <m:e>
            <m:r>
              <m:t>M</m:t>
            </m:r>
          </m:e>
          <m:sub>
            <m:r>
              <m:t>h</m:t>
            </m:r>
            <m:r>
              <m:t>a</m:t>
            </m:r>
            <m:r>
              <m:t>l</m:t>
            </m:r>
            <m:r>
              <m:t>f</m:t>
            </m:r>
          </m:sub>
        </m:sSub>
      </m:oMath>
      <w:r>
        <w:t xml:space="preserve">). Initial values of</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sensitivity because they are endogenously determined by the lambda-sigma feedback loop.</w:t>
      </w:r>
    </w:p>
    <w:p>
      <w:pPr>
        <w:pStyle w:val="BodyText"/>
      </w:pPr>
      <w:r>
        <w:t xml:space="preserve">The numerical OAT table below is reproducible from</w:t>
      </w:r>
      <w:r>
        <w:t xml:space="preserve"> </w:t>
      </w:r>
      <w:r>
        <w:rPr>
          <w:rStyle w:val="VerbatimChar"/>
        </w:rPr>
        <w:t xml:space="preserve">scripts/analysis/oat_sensitivity_table.py</w:t>
      </w:r>
      <w:r>
        <w:t xml:space="preserve">. Baseline</w:t>
      </w:r>
      <w:r>
        <w:t xml:space="preserve"> </w:t>
      </w:r>
      <m:oMath>
        <m:sSup>
          <m:e>
            <m:r>
              <m:t>σ</m:t>
            </m:r>
          </m:e>
          <m:sup>
            <m:r>
              <m:rPr>
                <m:sty m:val="p"/>
              </m:rPr>
              <m:t>*</m:t>
            </m:r>
          </m:sup>
        </m:sSup>
        <m:r>
          <m:rPr>
            <m:sty m:val="p"/>
          </m:rPr>
          <m:t>=</m:t>
        </m:r>
        <m:r>
          <m:t>0.3997</m:t>
        </m:r>
      </m:oMath>
      <w:r>
        <w:t xml:space="preserve"> </w:t>
      </w:r>
      <w:r>
        <w:t xml:space="preserve">at</w:t>
      </w:r>
      <w:r>
        <w:t xml:space="preserve"> </w:t>
      </w:r>
      <m:oMath>
        <m:r>
          <m:t>ε</m:t>
        </m:r>
        <m:r>
          <m:rPr>
            <m:sty m:val="p"/>
          </m:rPr>
          <m:t>=</m:t>
        </m:r>
        <m:r>
          <m:t>0.35</m:t>
        </m:r>
      </m:oMath>
      <w:r>
        <w:t xml:space="preserve"> </w:t>
      </w:r>
      <w:r>
        <w:t xml:space="preserve">and</w:t>
      </w:r>
      <w:r>
        <w:t xml:space="preserve"> </w:t>
      </w:r>
      <m:oMath>
        <m:sSub>
          <m:e>
            <m:r>
              <m:t>n</m:t>
            </m:r>
          </m:e>
          <m:sub>
            <m:r>
              <m:t>a</m:t>
            </m:r>
            <m:r>
              <m:t>g</m:t>
            </m:r>
            <m:r>
              <m:t>g</m:t>
            </m:r>
          </m:sub>
        </m:sSub>
        <m:r>
          <m:rPr>
            <m:sty m:val="p"/>
          </m:rPr>
          <m:t>=</m:t>
        </m:r>
        <m:r>
          <m:t>25</m:t>
        </m:r>
      </m:oMath>
      <w:r>
        <w:t xml:space="preserve">. Each multiplicative perturbation rescales the parameter by</w:t>
      </w:r>
      <w:r>
        <w:t xml:space="preserve"> </w:t>
      </w:r>
      <m:oMath>
        <m:r>
          <m:rPr>
            <m:sty m:val="p"/>
          </m:rPr>
          <m:t>±</m:t>
        </m:r>
        <m:r>
          <m:t>50</m:t>
        </m:r>
        <m:r>
          <m:rPr>
            <m:sty m:val="p"/>
          </m:rPr>
          <m:t>%</m:t>
        </m:r>
      </m:oMath>
      <w:r>
        <w:t xml:space="preserve"> </w:t>
      </w:r>
      <w:r>
        <w:t xml:space="preserve">relative to its default; epsilon and</w:t>
      </w:r>
      <w:r>
        <w:t xml:space="preserve"> </w:t>
      </w:r>
      <m:oMath>
        <m:sSub>
          <m:e>
            <m:r>
              <m:t>n</m:t>
            </m:r>
          </m:e>
          <m:sub>
            <m:r>
              <m:t>a</m:t>
            </m:r>
            <m:r>
              <m:t>g</m:t>
            </m:r>
            <m:r>
              <m:t>g</m:t>
            </m:r>
          </m:sub>
        </m:sSub>
      </m:oMath>
      <w:r>
        <w:t xml:space="preserve"> </w:t>
      </w:r>
      <w: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t xml:space="preserve">The table makes the main §4.3</w:t>
      </w:r>
      <w:r>
        <w:t xml:space="preserve"> </w:t>
      </w:r>
      <w:r>
        <w:rPr>
          <w:i/>
          <w:iCs/>
        </w:rPr>
        <w:t xml:space="preserve">Receiver behavior</w:t>
      </w:r>
      <w:r>
        <w:t xml:space="preserve"> </w:t>
      </w:r>
      <w:r>
        <w:t xml:space="preserve">concession explicit: at the equilibrium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effect on</w:t>
      </w:r>
      <w:r>
        <w:t xml:space="preserve"> </w:t>
      </w:r>
      <m:oMath>
        <m:sSup>
          <m:e>
            <m:r>
              <m:t>σ</m:t>
            </m:r>
          </m:e>
          <m:sup>
            <m:r>
              <m:rPr>
                <m:sty m:val="p"/>
              </m:rPr>
              <m:t>*</m:t>
            </m:r>
          </m:sup>
        </m:sSup>
      </m:oMath>
      <w:r>
        <w:t xml:space="preserve"> </w:t>
      </w:r>
      <w:r>
        <w:t xml:space="preserve">(because they are endogenously determined by the fixed-point loop from</w:t>
      </w:r>
      <w:r>
        <w:t xml:space="preserve"> </w:t>
      </w:r>
      <m:oMath>
        <m:sSub>
          <m:e>
            <m:r>
              <m:t>λ</m:t>
            </m:r>
          </m:e>
          <m:sub>
            <m:r>
              <m:t>W</m:t>
            </m:r>
          </m:sub>
        </m:sSub>
      </m:oMath>
      <w:r>
        <w:t xml:space="preserve"> </w:t>
      </w:r>
      <w:r>
        <w:t xml:space="preserve">and the network state), so the</w:t>
      </w:r>
      <w:r>
        <w:t xml:space="preserve"> </w:t>
      </w:r>
      <m:oMath>
        <m:r>
          <m:rPr>
            <m:sty m:val="p"/>
          </m:rPr>
          <m:t>+</m:t>
        </m:r>
        <m:r>
          <m:t>36</m:t>
        </m:r>
        <m:r>
          <m:rPr>
            <m:sty m:val="p"/>
          </m:rPr>
          <m:t>%</m:t>
        </m:r>
      </m:oMath>
      <w:r>
        <w:t xml:space="preserve"> </w:t>
      </w:r>
      <w:r>
        <w:t xml:space="preserve">ablation result reported in main §4.3 is sensitivity to a single parameter (</w:t>
      </w:r>
      <m:oMath>
        <m:sSub>
          <m:e>
            <m:r>
              <m:t>λ</m:t>
            </m:r>
          </m:e>
          <m:sub>
            <m:r>
              <m:t>W</m:t>
            </m:r>
          </m:sub>
        </m:sSub>
      </m:oMath>
      <w: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t xml:space="preserve">) drives the framework’s predictive content: the cost structure and the ecotone advantage determine</w:t>
      </w:r>
      <w:r>
        <w:t xml:space="preserve"> </w:t>
      </w:r>
      <m:oMath>
        <m:sSup>
          <m:e>
            <m:r>
              <m:t>σ</m:t>
            </m:r>
          </m:e>
          <m:sup>
            <m:r>
              <m:rPr>
                <m:sty m:val="p"/>
              </m:rPr>
              <m:t>*</m:t>
            </m:r>
          </m:sup>
        </m:sSup>
      </m:oMath>
      <w:r>
        <w:t xml:space="preserve">; the within-group reward modulates it.</w:t>
      </w:r>
    </w:p>
    <w:p>
      <w:pPr>
        <w:pStyle w:val="BodyText"/>
      </w:pPr>
      <w:r>
        <w:drawing>
          <wp:inline>
            <wp:extent cx="5943600" cy="5060402"/>
            <wp:effectExtent b="0" l="0" r="0" t="0"/>
            <wp:docPr descr="" title="" id="25" name="Picture"/>
            <a:graphic>
              <a:graphicData uri="http://schemas.openxmlformats.org/drawingml/2006/picture">
                <pic:pic>
                  <pic:nvPicPr>
                    <pic:cNvPr descr="../../figures/supplemental/figure_S01_sensitivity_tornado.png" id="26" name="Picture"/>
                    <pic:cNvPicPr>
                      <a:picLocks noChangeArrowheads="1" noChangeAspect="1"/>
                    </pic:cNvPicPr>
                  </pic:nvPicPr>
                  <pic:blipFill>
                    <a:blip r:embed="rId24"/>
                    <a:stretch>
                      <a:fillRect/>
                    </a:stretch>
                  </pic:blipFill>
                  <pic:spPr bwMode="auto">
                    <a:xfrm>
                      <a:off x="0" y="0"/>
                      <a:ext cx="5943600" cy="5060402"/>
                    </a:xfrm>
                    <a:prstGeom prst="rect">
                      <a:avLst/>
                    </a:prstGeom>
                    <a:noFill/>
                    <a:ln w="9525">
                      <a:noFill/>
                      <a:headEnd/>
                      <a:tailEnd/>
                    </a:ln>
                  </pic:spPr>
                </pic:pic>
              </a:graphicData>
            </a:graphic>
          </wp:inline>
        </w:drawing>
      </w:r>
    </w:p>
    <w:p>
      <w:pPr>
        <w:pStyle w:val="BodyText"/>
      </w:pPr>
      <w:r>
        <w:rPr>
          <w:b/>
          <w:bCs/>
          <w:i/>
          <w:iCs/>
        </w:rPr>
        <w:t xml:space="preserve">Figure S1. One-at-a-time sensitivity analysis.</w:t>
      </w:r>
      <w:r>
        <w:t xml:space="preserve"> </w:t>
      </w:r>
      <w:r>
        <w:rPr>
          <w:i/>
          <w:iCs/>
        </w:rPr>
        <w:t xml:space="preserve">Tornado plot showing the swing in the critical threshold</w:t>
      </w:r>
      <w:r>
        <w:rPr>
          <w:i/>
          <w:iCs/>
        </w:rPr>
        <w:t xml:space="preserve"> </w:t>
      </w:r>
      <m:oMath>
        <m:sSup>
          <m:e>
            <m:r>
              <m:t>σ</m:t>
            </m:r>
          </m:e>
          <m:sup>
            <m:r>
              <m:rPr>
                <m:sty m:val="p"/>
              </m:rPr>
              <m:t>*</m:t>
            </m:r>
          </m:sup>
        </m:sSup>
      </m:oMath>
      <w:r>
        <w:rPr>
          <w:i/>
          <w:iCs/>
        </w:rPr>
        <w:t xml:space="preserve"> </w:t>
      </w:r>
      <w:r>
        <w:rPr>
          <w:i/>
          <w:iCs/>
        </w:rPr>
        <w:t xml:space="preserve">when each model parameter is perturbed by</w:t>
      </w:r>
      <w:r>
        <w:rPr>
          <w:i/>
          <w:iCs/>
        </w:rPr>
        <w:t xml:space="preserve"> </w:t>
      </w:r>
      <m:oMath>
        <m:r>
          <m:rPr>
            <m:sty m:val="p"/>
          </m:rPr>
          <m:t>±</m:t>
        </m:r>
        <m:r>
          <m:t>50</m:t>
        </m:r>
        <m:r>
          <m:rPr>
            <m:sty m:val="p"/>
          </m:rPr>
          <m:t>%</m:t>
        </m:r>
      </m:oMath>
      <w:r>
        <w:rPr>
          <w:i/>
          <w:iCs/>
        </w:rPr>
        <w:t xml:space="preserve"> </w:t>
      </w:r>
      <w:r>
        <w:rPr>
          <w:i/>
          <w:iCs/>
        </w:rPr>
        <w:t xml:space="preserve">from its default value 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Bars are sorted by absolute swing magnitude; baseline</w:t>
      </w:r>
      <w:r>
        <w:rPr>
          <w:i/>
          <w:iCs/>
        </w:rPr>
        <w:t xml:space="preserve"> </w:t>
      </w:r>
      <m:oMath>
        <m:sSup>
          <m:e>
            <m:r>
              <m:t>σ</m:t>
            </m:r>
          </m:e>
          <m:sup>
            <m:r>
              <m:rPr>
                <m:sty m:val="p"/>
              </m:rPr>
              <m:t>*</m:t>
            </m:r>
          </m:sup>
        </m:sSup>
        <m:r>
          <m:rPr>
            <m:sty m:val="p"/>
          </m:rPr>
          <m:t>=</m:t>
        </m:r>
        <m:r>
          <m:t>0.40</m:t>
        </m:r>
      </m:oMath>
      <w:r>
        <w:rPr>
          <w:i/>
          <w:iCs/>
        </w:rPr>
        <w:t xml:space="preserve"> </w:t>
      </w:r>
      <w:r>
        <w:rPr>
          <w:i/>
          <w:iCs/>
        </w:rPr>
        <w:t xml:space="preserve">is marked by the vertical line. Aggregation costs (</w:t>
      </w:r>
      <m:oMath>
        <m:sSub>
          <m:e>
            <m:r>
              <m:t>C</m:t>
            </m:r>
          </m:e>
          <m:sub>
            <m:r>
              <m:t>s</m:t>
            </m:r>
            <m:r>
              <m:t>i</m:t>
            </m:r>
            <m:r>
              <m:t>g</m:t>
            </m:r>
            <m:r>
              <m:t>n</m:t>
            </m:r>
            <m:r>
              <m:t>a</m:t>
            </m:r>
            <m:r>
              <m:t>l</m:t>
            </m:r>
          </m:sub>
        </m:sSub>
      </m:oMath>
      <w:r>
        <w:rPr>
          <w:i/>
          <w:iCs/>
        </w:rPr>
        <w:t xml:space="preserve">, swing 0.225 in</w:t>
      </w:r>
      <w:r>
        <w:rPr>
          <w:i/>
          <w:iCs/>
        </w:rPr>
        <w:t xml:space="preserve"> </w:t>
      </w:r>
      <m:oMath>
        <m:sSup>
          <m:e>
            <m:r>
              <m:t>σ</m:t>
            </m:r>
          </m:e>
          <m:sup>
            <m:r>
              <m:rPr>
                <m:sty m:val="p"/>
              </m:rPr>
              <m:t>*</m:t>
            </m:r>
          </m:sup>
        </m:sSup>
      </m:oMath>
      <w:r>
        <w:rPr>
          <w:i/>
          <w:iCs/>
        </w:rPr>
        <w:t xml:space="preserve"> </w:t>
      </w:r>
      <w:r>
        <w:rPr>
          <w:i/>
          <w:iCs/>
        </w:rPr>
        <w:t xml:space="preserve">across</w:t>
      </w:r>
      <w:r>
        <w:rPr>
          <w:i/>
          <w:iCs/>
        </w:rPr>
        <w:t xml:space="preserve"> </w:t>
      </w:r>
      <m:oMath>
        <m:r>
          <m:rPr>
            <m:sty m:val="p"/>
          </m:rPr>
          <m:t>±</m:t>
        </m:r>
        <m:r>
          <m:t>50</m:t>
        </m:r>
        <m:r>
          <m:rPr>
            <m:sty m:val="p"/>
          </m:rPr>
          <m:t>%</m:t>
        </m:r>
      </m:oMath>
      <w:r>
        <w:rPr>
          <w:i/>
          <w:iCs/>
        </w:rPr>
        <w:t xml:space="preserve">), the ecotone advantage (</w:t>
      </w:r>
      <m:oMath>
        <m:r>
          <m:t>ε</m:t>
        </m:r>
      </m:oMath>
      <w:r>
        <w:rPr>
          <w:i/>
          <w:iCs/>
        </w:rPr>
        <w:t xml:space="preserve">, swing 0.154 across</w:t>
      </w:r>
      <w:r>
        <w:rPr>
          <w:i/>
          <w:iCs/>
        </w:rPr>
        <w:t xml:space="preserve"> </w:t>
      </w:r>
      <m:oMath>
        <m:r>
          <m:rPr>
            <m:sty m:val="p"/>
          </m:rPr>
          <m:t>[</m:t>
        </m:r>
        <m:r>
          <m:t>0.10</m:t>
        </m:r>
        <m:r>
          <m:rPr>
            <m:sty m:val="p"/>
          </m:rPr>
          <m:t>,</m:t>
        </m:r>
        <m:r>
          <m:t>0.50</m:t>
        </m:r>
        <m:r>
          <m:rPr>
            <m:sty m:val="p"/>
          </m:rPr>
          <m:t>]</m:t>
        </m:r>
      </m:oMath>
      <w:r>
        <w:rPr>
          <w:i/>
          <w:iCs/>
        </w:rPr>
        <w:t xml:space="preserve">), the opportunity cost (</w:t>
      </w:r>
      <m:oMath>
        <m:sSub>
          <m:e>
            <m:r>
              <m:t>C</m:t>
            </m:r>
          </m:e>
          <m:sub>
            <m:r>
              <m:t>o</m:t>
            </m:r>
            <m:r>
              <m:t>p</m:t>
            </m:r>
            <m:r>
              <m:t>p</m:t>
            </m:r>
            <m:r>
              <m:t>o</m:t>
            </m:r>
            <m:r>
              <m:t>r</m:t>
            </m:r>
            <m:r>
              <m:t>t</m:t>
            </m:r>
            <m:r>
              <m:t>u</m:t>
            </m:r>
            <m:r>
              <m:t>n</m:t>
            </m:r>
            <m:r>
              <m:t>i</m:t>
            </m:r>
            <m:r>
              <m:t>t</m:t>
            </m:r>
            <m:r>
              <m:t>y</m:t>
            </m:r>
          </m:sub>
        </m:sSub>
      </m:oMath>
      <w:r>
        <w:rPr>
          <w:i/>
          <w:iCs/>
        </w:rPr>
        <w:t xml:space="preserve">, 0.150), and the within-group reward (</w:t>
      </w:r>
      <m:oMath>
        <m:sSub>
          <m:e>
            <m:r>
              <m:t>λ</m:t>
            </m:r>
          </m:e>
          <m:sub>
            <m:r>
              <m:t>W</m:t>
            </m:r>
          </m:sub>
        </m:sSub>
      </m:oMath>
      <w:r>
        <w:rPr>
          <w:i/>
          <w:iCs/>
        </w:rPr>
        <w:t xml:space="preserve">, 0.137) dominate. Network parameters (</w:t>
      </w:r>
      <m:oMath>
        <m:sSub>
          <m:e>
            <m:r>
              <m:t>k</m:t>
            </m:r>
          </m:e>
          <m:sub>
            <m:r>
              <m:t>m</m:t>
            </m:r>
            <m:r>
              <m:t>a</m:t>
            </m:r>
            <m:r>
              <m:t>x</m:t>
            </m:r>
          </m:sub>
        </m:sSub>
      </m:oMath>
      <w:r>
        <w:rPr>
          <w:i/>
          <w:iCs/>
        </w:rPr>
        <w:t xml:space="preserve">,</w:t>
      </w:r>
      <w:r>
        <w:rPr>
          <w:i/>
          <w:iCs/>
        </w:rPr>
        <w:t xml:space="preserve"> </w:t>
      </w:r>
      <m:oMath>
        <m:r>
          <m:t>γ</m:t>
        </m:r>
      </m:oMath>
      <w:r>
        <w:rPr>
          <w:i/>
          <w:iCs/>
        </w:rPr>
        <w:t xml:space="preserve">) and travel cost are moderately sensitive; monument depreciation (</w:t>
      </w:r>
      <m:oMath>
        <m:r>
          <m:t>δ</m:t>
        </m:r>
      </m:oMath>
      <w:r>
        <w:rPr>
          <w:i/>
          <w:iCs/>
        </w:rPr>
        <w:t xml:space="preserve">), the half-saturation constant (</w:t>
      </w:r>
      <m:oMath>
        <m:sSub>
          <m:e>
            <m:r>
              <m:t>M</m:t>
            </m:r>
          </m:e>
          <m:sub>
            <m:r>
              <m:t>h</m:t>
            </m:r>
            <m:r>
              <m:t>a</m:t>
            </m:r>
            <m:r>
              <m:t>l</m:t>
            </m:r>
            <m:r>
              <m:t>f</m:t>
            </m:r>
          </m:sub>
        </m:sSub>
      </m:oMath>
      <w:r>
        <w:rPr>
          <w:i/>
          <w:iCs/>
        </w:rPr>
        <w:t xml:space="preserve">), and aggregation size (</w:t>
      </w:r>
      <m:oMath>
        <m:sSub>
          <m:e>
            <m:r>
              <m:t>n</m:t>
            </m:r>
          </m:e>
          <m:sub>
            <m:r>
              <m:t>a</m:t>
            </m:r>
            <m:r>
              <m:t>g</m:t>
            </m:r>
            <m:r>
              <m:t>g</m:t>
            </m:r>
          </m:sub>
        </m:sSub>
      </m:oMath>
      <w:r>
        <w:rPr>
          <w:i/>
          <w:iCs/>
        </w:rPr>
        <w:t xml:space="preserve"> </w:t>
      </w:r>
      <w:r>
        <w:rPr>
          <w:i/>
          <w:iCs/>
        </w:rPr>
        <w:t xml:space="preserve">over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 are effectively insensitive.</w:t>
      </w:r>
      <w:r>
        <w:rPr>
          <w:i/>
          <w:iCs/>
        </w:rPr>
        <w:t xml:space="preserve"> </w:t>
      </w:r>
      <m:oMath>
        <m:sSub>
          <m:e>
            <m:r>
              <m:t>λ</m:t>
            </m:r>
          </m:e>
          <m:sub>
            <m:r>
              <m:t>C</m:t>
            </m:r>
          </m:sub>
        </m:sSub>
      </m:oMath>
      <w:r>
        <w:rPr>
          <w:i/>
          <w:iCs/>
        </w:rPr>
        <w:t xml:space="preserve"> </w:t>
      </w:r>
      <w:r>
        <w:rPr>
          <w:i/>
          <w:iCs/>
        </w:rPr>
        <w:t xml:space="preserve">and</w:t>
      </w:r>
      <w:r>
        <w:rPr>
          <w:i/>
          <w:iCs/>
        </w:rPr>
        <w:t xml:space="preserve"> </w:t>
      </w:r>
      <m:oMath>
        <m:sSub>
          <m:e>
            <m:r>
              <m:t>λ</m:t>
            </m:r>
          </m:e>
          <m:sub>
            <m:r>
              <m:t>X</m:t>
            </m:r>
          </m:sub>
        </m:sSub>
      </m:oMath>
      <w:r>
        <w:rPr>
          <w:i/>
          <w:iCs/>
        </w:rPr>
        <w:t xml:space="preserve"> </w:t>
      </w:r>
      <w:r>
        <w:rPr>
          <w:i/>
          <w:iCs/>
        </w:rPr>
        <w:t xml:space="preserve">have zero sensitivity in the default formulation because they are endogenously determined by the lambda-sigma feedback loop. Computed by</w:t>
      </w:r>
      <w:r>
        <w:rPr>
          <w:i/>
          <w:iCs/>
        </w:rPr>
        <w:t xml:space="preserve"> </w:t>
      </w:r>
      <w:r>
        <w:rPr>
          <w:rStyle w:val="VerbatimChar"/>
          <w:i/>
          <w:iCs/>
        </w:rPr>
        <w:t xml:space="preserve">scripts/analysis/oat_sensitivity.py</w:t>
      </w:r>
      <w:r>
        <w:rPr>
          <w:i/>
          <w:iCs/>
        </w:rPr>
        <w:t xml:space="preserve">.</w:t>
      </w:r>
    </w:p>
    <w:p>
      <w:pPr>
        <w:pStyle w:val="BodyText"/>
      </w:pPr>
      <w:r>
        <w:rPr>
          <w:b/>
          <w:bCs/>
        </w:rPr>
        <w:t xml:space="preserve">Joint parameter uncertainty (referenced in main §6.2).</w:t>
      </w:r>
      <w:r>
        <w:t xml:space="preserve"> </w:t>
      </w:r>
      <w:r>
        <w:t xml:space="preserve">The OAT swing magnitudes above support a Monte Carlo propagation of joint parameter uncertainty through the §6.2 Bayesian threshold-proximity test. Sampling</w:t>
      </w:r>
      <w:r>
        <w:t xml:space="preserve">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t>m</m:t>
            </m:r>
            <m:r>
              <m:t>a</m:t>
            </m:r>
            <m:r>
              <m:t>x</m:t>
            </m:r>
          </m:sub>
        </m:sSub>
      </m:oMath>
      <w:r>
        <w:t xml:space="preserve">,</w:t>
      </w:r>
      <w:r>
        <w:t xml:space="preserve"> </w:t>
      </w:r>
      <m:oMath>
        <m:sSub>
          <m:e>
            <m:r>
              <m:t>M</m:t>
            </m:r>
          </m:e>
          <m:sub>
            <m:r>
              <m:t>h</m:t>
            </m:r>
            <m:r>
              <m:t>a</m:t>
            </m:r>
            <m:r>
              <m:t>l</m:t>
            </m:r>
            <m:r>
              <m:t>f</m:t>
            </m:r>
          </m:sub>
        </m:sSub>
      </m:oMath>
      <w:r>
        <w:t xml:space="preserve">, and</w:t>
      </w:r>
      <w:r>
        <w:t xml:space="preserve"> </w:t>
      </w:r>
      <m:oMath>
        <m:r>
          <m:t>γ</m:t>
        </m:r>
      </m:oMath>
      <w:r>
        <w:t xml:space="preserve"> </w:t>
      </w:r>
      <w:r>
        <w:t xml:space="preserve">from independent uniform priors at</w:t>
      </w:r>
      <w:r>
        <w:t xml:space="preserve"> </w:t>
      </w:r>
      <m:oMath>
        <m:r>
          <m:rPr>
            <m:sty m:val="p"/>
          </m:rPr>
          <m:t>±</m:t>
        </m:r>
        <m:r>
          <m:t>50</m:t>
        </m:r>
        <m:r>
          <m:rPr>
            <m:sty m:val="p"/>
          </m:rPr>
          <m:t>%</m:t>
        </m:r>
      </m:oMath>
      <w:r>
        <w:t xml:space="preserve"> </w:t>
      </w:r>
      <w:r>
        <w:t xml:space="preserve">around their default values, jointly with the §6.2 rubric priors on paleoclimate</w:t>
      </w:r>
      <w:r>
        <w:t xml:space="preserve"> </w:t>
      </w:r>
      <m:oMath>
        <m:r>
          <m:t>σ</m:t>
        </m:r>
      </m:oMath>
      <w:r>
        <w:t xml:space="preserve"> </w:t>
      </w:r>
      <w:r>
        <w:t xml:space="preserve">and ecotone</w:t>
      </w:r>
      <w:r>
        <w:t xml:space="preserve"> </w:t>
      </w:r>
      <m:oMath>
        <m:r>
          <m:t>ε</m:t>
        </m:r>
      </m:oMath>
      <w:r>
        <w:t xml:space="preserve">,</w:t>
      </w:r>
      <w:r>
        <w:t xml:space="preserve"> </w:t>
      </w:r>
      <m:oMath>
        <m:r>
          <m:t>N</m:t>
        </m:r>
        <m:r>
          <m:rPr>
            <m:sty m:val="p"/>
          </m:rPr>
          <m:t>=</m:t>
        </m:r>
        <m:r>
          <m:t>1</m:t>
        </m:r>
        <m:r>
          <m:rPr>
            <m:sty m:val="p"/>
          </m:rPr>
          <m:t>,</m:t>
        </m:r>
        <m:r>
          <m:t>000</m:t>
        </m:r>
      </m:oMath>
      <w:r>
        <w:t xml:space="preserve"> </w:t>
      </w:r>
      <w:r>
        <w:t xml:space="preserve">samples yield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t xml:space="preserve">. This is comparable to the §6.2 baseline rubric-prior result of 0.36 (the propagation slightly raises</w:t>
      </w:r>
      <w:r>
        <w:t xml:space="preserve"> </w:t>
      </w:r>
      <m:oMath>
        <m:r>
          <m:t>P</m:t>
        </m:r>
      </m:oMath>
      <w:r>
        <w:t xml:space="preserve"> </w:t>
      </w:r>
      <w:r>
        <w:t xml:space="preserve">rather than lowers it because lower-cost samples bring</w:t>
      </w:r>
      <w:r>
        <w:t xml:space="preserve"> </w:t>
      </w:r>
      <m:oMath>
        <m:sSup>
          <m:e>
            <m:r>
              <m:t>σ</m:t>
            </m:r>
          </m:e>
          <m:sup>
            <m:r>
              <m:rPr>
                <m:sty m:val="p"/>
              </m:rPr>
              <m:t>*</m:t>
            </m:r>
          </m:sup>
        </m:sSup>
      </m:oMath>
      <w:r>
        <w:t xml:space="preserve"> </w:t>
      </w:r>
      <w:r>
        <w:t xml:space="preserve">down faster than they bring</w:t>
      </w:r>
      <w:r>
        <w:t xml:space="preserve"> </w:t>
      </w:r>
      <m:oMath>
        <m:sSub>
          <m:e>
            <m:r>
              <m:t>σ</m:t>
            </m:r>
          </m:e>
          <m:sub>
            <m:r>
              <m:t>e</m:t>
            </m:r>
            <m:r>
              <m:t>f</m:t>
            </m:r>
            <m:r>
              <m:t>f</m:t>
            </m:r>
          </m:sub>
        </m:sSub>
      </m:oMath>
      <w:r>
        <w:t xml:space="preserve"> </w:t>
      </w:r>
      <w:r>
        <w:t xml:space="preserve">down). The posterior on</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mean</w:t>
      </w:r>
      <w:r>
        <w:t xml:space="preserve"> </w:t>
      </w:r>
      <m:oMath>
        <m:r>
          <m:rPr>
            <m:sty m:val="p"/>
          </m:rPr>
          <m:t>−</m:t>
        </m:r>
        <m:r>
          <m:t>0.05</m:t>
        </m:r>
      </m:oMath>
      <w:r>
        <w:t xml:space="preserve"> </w:t>
      </w:r>
      <w:r>
        <w:t xml:space="preserve">with 95% CI</w:t>
      </w:r>
      <w:r>
        <w:t xml:space="preserve"> </w:t>
      </w:r>
      <m:oMath>
        <m:r>
          <m:rPr>
            <m:sty m:val="p"/>
          </m:rPr>
          <m:t>[</m:t>
        </m:r>
        <m:r>
          <m:rPr>
            <m:sty m:val="p"/>
          </m:rPr>
          <m:t>−</m:t>
        </m:r>
        <m:r>
          <m:t>0.26</m:t>
        </m:r>
        <m:r>
          <m:rPr>
            <m:sty m:val="p"/>
          </m:rPr>
          <m:t>,</m:t>
        </m:r>
        <m:r>
          <m:rPr>
            <m:sty m:val="p"/>
          </m:rPr>
          <m:t>+</m:t>
        </m:r>
        <m:r>
          <m:t>0.18</m:t>
        </m:r>
        <m:r>
          <m:rPr>
            <m:sty m:val="p"/>
          </m:rPr>
          <m:t>]</m:t>
        </m:r>
      </m:oMath>
      <w:r>
        <w:t xml:space="preserve">, straddling zero substantially. The conditioning caveat introduced in main §6.2 is therefore real but bounded: the §6.2 result is robust against adding parameter-set uncertainty over the</w:t>
      </w:r>
      <w:r>
        <w:t xml:space="preserve"> </w:t>
      </w:r>
      <m:oMath>
        <m:r>
          <m:rPr>
            <m:sty m:val="p"/>
          </m:rPr>
          <m:t>±</m:t>
        </m:r>
        <m:r>
          <m:t>50</m:t>
        </m:r>
        <m:r>
          <m:rPr>
            <m:sty m:val="p"/>
          </m:rPr>
          <m:t>%</m:t>
        </m:r>
      </m:oMath>
      <w:r>
        <w:t xml:space="preserve"> </w:t>
      </w:r>
      <w:r>
        <w:t xml:space="preserve">OAT range. Reproducible from</w:t>
      </w:r>
      <w:r>
        <w:t xml:space="preserve"> </w:t>
      </w:r>
      <w:r>
        <w:rPr>
          <w:rStyle w:val="VerbatimChar"/>
        </w:rPr>
        <w:t xml:space="preserve">scripts/analysis/joint_parameter_uncertainty.py</w:t>
      </w:r>
      <w:r>
        <w:t xml:space="preserve">; output in</w:t>
      </w:r>
      <w:r>
        <w:t xml:space="preserve"> </w:t>
      </w:r>
      <w:r>
        <w:rPr>
          <w:rStyle w:val="VerbatimChar"/>
        </w:rPr>
        <w:t xml:space="preserve">results/bayesian/joint_parameter_uncertainty.json</w:t>
      </w:r>
      <w:r>
        <w:t xml:space="preserve">.</w:t>
      </w:r>
    </w:p>
    <w:p>
      <w:pPr>
        <w:pStyle w:val="BodyText"/>
      </w:pPr>
      <w:r>
        <w:drawing>
          <wp:inline>
            <wp:extent cx="5943600" cy="2179935"/>
            <wp:effectExtent b="0" l="0" r="0" t="0"/>
            <wp:docPr descr="" title="" id="28" name="Picture"/>
            <a:graphic>
              <a:graphicData uri="http://schemas.openxmlformats.org/drawingml/2006/picture">
                <pic:pic>
                  <pic:nvPicPr>
                    <pic:cNvPr descr="../../figures/supplemental/figure_S02_joint_mc_diagnostic.png" id="29" name="Picture"/>
                    <pic:cNvPicPr>
                      <a:picLocks noChangeArrowheads="1" noChangeAspect="1"/>
                    </pic:cNvPicPr>
                  </pic:nvPicPr>
                  <pic:blipFill>
                    <a:blip r:embed="rId27"/>
                    <a:stretch>
                      <a:fillRect/>
                    </a:stretch>
                  </pic:blipFill>
                  <pic:spPr bwMode="auto">
                    <a:xfrm>
                      <a:off x="0" y="0"/>
                      <a:ext cx="5943600" cy="2179935"/>
                    </a:xfrm>
                    <a:prstGeom prst="rect">
                      <a:avLst/>
                    </a:prstGeom>
                    <a:noFill/>
                    <a:ln w="9525">
                      <a:noFill/>
                      <a:headEnd/>
                      <a:tailEnd/>
                    </a:ln>
                  </pic:spPr>
                </pic:pic>
              </a:graphicData>
            </a:graphic>
          </wp:inline>
        </w:drawing>
      </w:r>
    </w:p>
    <w:p>
      <w:pPr>
        <w:pStyle w:val="BodyText"/>
      </w:pPr>
      <w:r>
        <w:rPr>
          <w:b/>
          <w:bCs/>
          <w:i/>
          <w:iCs/>
        </w:rPr>
        <w:t xml:space="preserve">Figure S2. Joint Monte Carlo diagnostic for the §6.2 threshold-proximity test.</w:t>
      </w:r>
      <w:r>
        <w:t xml:space="preserve"> </w:t>
      </w:r>
      <w:r>
        <w:rPr>
          <w:i/>
          <w:iCs/>
        </w:rPr>
        <w:t xml:space="preserve">(A) Joint posterior on</w:t>
      </w:r>
      <w:r>
        <w:rPr>
          <w:i/>
          <w:iCs/>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i/>
          <w:iCs/>
        </w:rPr>
        <w:t xml:space="preserve"> </w:t>
      </w:r>
      <w:r>
        <w:rPr>
          <w:i/>
          <w:iCs/>
        </w:rPr>
        <w:t xml:space="preserve">across</w:t>
      </w:r>
      <w:r>
        <w:rPr>
          <w:i/>
          <w:iCs/>
        </w:rPr>
        <w:t xml:space="preserve"> </w:t>
      </w:r>
      <m:oMath>
        <m:r>
          <m:t>N</m:t>
        </m:r>
        <m:r>
          <m:rPr>
            <m:sty m:val="p"/>
          </m:rPr>
          <m:t>=</m:t>
        </m:r>
        <m:r>
          <m:t>1</m:t>
        </m:r>
        <m:r>
          <m:rPr>
            <m:sty m:val="p"/>
          </m:rPr>
          <m:t>,</m:t>
        </m:r>
        <m:r>
          <m:t>000</m:t>
        </m:r>
      </m:oMath>
      <w:r>
        <w:rPr>
          <w:i/>
          <w:iCs/>
        </w:rPr>
        <w:t xml:space="preserve"> </w:t>
      </w:r>
      <w:r>
        <w:rPr>
          <w:i/>
          <w:iCs/>
        </w:rPr>
        <w:t xml:space="preserve">samples drawn from the §6.2 rubric priors on paleoclimate</w:t>
      </w:r>
      <w:r>
        <w:rPr>
          <w:i/>
          <w:iCs/>
        </w:rPr>
        <w:t xml:space="preserve"> </w:t>
      </w:r>
      <m:oMath>
        <m:r>
          <m:t>σ</m:t>
        </m:r>
      </m:oMath>
      <w:r>
        <w:rPr>
          <w:i/>
          <w:iCs/>
        </w:rPr>
        <w:t xml:space="preserve"> </w:t>
      </w:r>
      <w:r>
        <w:rPr>
          <w:i/>
          <w:iCs/>
        </w:rPr>
        <w:t xml:space="preserve">and ecotone</w:t>
      </w:r>
      <w:r>
        <w:rPr>
          <w:i/>
          <w:iCs/>
        </w:rPr>
        <w:t xml:space="preserve"> </w:t>
      </w:r>
      <m:oMath>
        <m:r>
          <m:t>ε</m:t>
        </m:r>
      </m:oMath>
      <w:r>
        <w:rPr>
          <w:i/>
          <w:iCs/>
        </w:rPr>
        <w:t xml:space="preserve"> </w:t>
      </w:r>
      <w:r>
        <w:rPr>
          <w:i/>
          <w:iCs/>
        </w:rPr>
        <w:t xml:space="preserve">jointly with</w:t>
      </w:r>
      <w:r>
        <w:rPr>
          <w:i/>
          <w:iCs/>
        </w:rPr>
        <w:t xml:space="preserve"> </w:t>
      </w:r>
      <m:oMath>
        <m:r>
          <m:rPr>
            <m:sty m:val="p"/>
          </m:rPr>
          <m:t>±</m:t>
        </m:r>
        <m:r>
          <m:t>50</m:t>
        </m:r>
        <m:r>
          <m:rPr>
            <m:sty m:val="p"/>
          </m:rPr>
          <m:t>%</m:t>
        </m:r>
      </m:oMath>
      <w:r>
        <w:rPr>
          <w:i/>
          <w:iCs/>
        </w:rPr>
        <w:t xml:space="preserve"> </w:t>
      </w:r>
      <w:r>
        <w:rPr>
          <w:i/>
          <w:iCs/>
        </w:rPr>
        <w:t xml:space="preserve">uniform priors on the six model parameters that set</w:t>
      </w:r>
      <w:r>
        <w:rPr>
          <w:i/>
          <w:iCs/>
        </w:rPr>
        <w:t xml:space="preserve"> </w:t>
      </w:r>
      <m:oMath>
        <m:sSup>
          <m:e>
            <m:r>
              <m:t>σ</m:t>
            </m:r>
          </m:e>
          <m:sup>
            <m:r>
              <m:rPr>
                <m:sty m:val="p"/>
              </m:rPr>
              <m:t>*</m:t>
            </m:r>
          </m:sup>
        </m:sSup>
      </m:oMath>
      <w:r>
        <w:rPr>
          <w:i/>
          <w:iCs/>
        </w:rPr>
        <w:t xml:space="preserve"> </w:t>
      </w:r>
      <w:r>
        <w:rPr>
          <w:i/>
          <w:iCs/>
        </w:rPr>
        <w:t xml:space="preserve">(</w:t>
      </w:r>
      <m:oMath>
        <m:sSub>
          <m:e>
            <m:r>
              <m:t>C</m:t>
            </m:r>
          </m:e>
          <m:sub>
            <m:r>
              <m:t>s</m:t>
            </m:r>
            <m:r>
              <m:t>i</m:t>
            </m:r>
            <m:r>
              <m:t>g</m:t>
            </m:r>
            <m:r>
              <m:t>n</m:t>
            </m:r>
            <m:r>
              <m:t>a</m:t>
            </m:r>
            <m:r>
              <m:t>l</m:t>
            </m:r>
          </m:sub>
        </m:sSub>
      </m:oMath>
      <w:r>
        <w:rPr>
          <w:i/>
          <w:iCs/>
        </w:rPr>
        <w:t xml:space="preserve">,</w:t>
      </w:r>
      <w:r>
        <w:rPr>
          <w:i/>
          <w:iCs/>
        </w:rPr>
        <w:t xml:space="preserve"> </w:t>
      </w:r>
      <m:oMath>
        <m:sSub>
          <m:e>
            <m:r>
              <m:t>C</m:t>
            </m:r>
          </m:e>
          <m:sub>
            <m:r>
              <m:t>o</m:t>
            </m:r>
            <m:r>
              <m:t>p</m:t>
            </m:r>
            <m:r>
              <m:t>p</m:t>
            </m:r>
            <m:r>
              <m:t>o</m:t>
            </m:r>
            <m:r>
              <m:t>r</m:t>
            </m:r>
            <m:r>
              <m:t>t</m:t>
            </m:r>
            <m:r>
              <m:t>u</m:t>
            </m:r>
            <m:r>
              <m:t>n</m:t>
            </m:r>
            <m:r>
              <m:t>i</m:t>
            </m:r>
            <m:r>
              <m:t>t</m:t>
            </m:r>
            <m:r>
              <m:t>y</m:t>
            </m:r>
          </m:sub>
        </m:sSub>
      </m:oMath>
      <w:r>
        <w:rPr>
          <w:i/>
          <w:iCs/>
        </w:rPr>
        <w:t xml:space="preserve">,</w:t>
      </w:r>
      <w:r>
        <w:rPr>
          <w:i/>
          <w:iCs/>
        </w:rPr>
        <w:t xml:space="preserve"> </w:t>
      </w:r>
      <m:oMath>
        <m:sSub>
          <m:e>
            <m:r>
              <m:t>λ</m:t>
            </m:r>
          </m:e>
          <m:sub>
            <m:r>
              <m:t>W</m:t>
            </m:r>
          </m:sub>
        </m:sSub>
      </m:oMath>
      <w:r>
        <w:rPr>
          <w:i/>
          <w:iCs/>
        </w:rPr>
        <w:t xml:space="preserve">,</w:t>
      </w:r>
      <w:r>
        <w:rPr>
          <w:i/>
          <w:iCs/>
        </w:rPr>
        <w:t xml:space="preserve"> </w:t>
      </w:r>
      <m:oMath>
        <m:sSub>
          <m:e>
            <m:r>
              <m:t>k</m:t>
            </m:r>
          </m:e>
          <m:sub>
            <m:r>
              <m:t>m</m:t>
            </m:r>
            <m:r>
              <m:t>a</m:t>
            </m:r>
            <m:r>
              <m:t>x</m:t>
            </m:r>
          </m:sub>
        </m:sSub>
      </m:oMath>
      <w:r>
        <w:rPr>
          <w:i/>
          <w:iCs/>
        </w:rPr>
        <w:t xml:space="preserve">,</w:t>
      </w:r>
      <w:r>
        <w:rPr>
          <w:i/>
          <w:iCs/>
        </w:rPr>
        <w:t xml:space="preserve"> </w:t>
      </w:r>
      <m:oMath>
        <m:sSub>
          <m:e>
            <m:r>
              <m:t>M</m:t>
            </m:r>
          </m:e>
          <m:sub>
            <m:r>
              <m:t>h</m:t>
            </m:r>
            <m:r>
              <m:t>a</m:t>
            </m:r>
            <m:r>
              <m:t>l</m:t>
            </m:r>
            <m:r>
              <m:t>f</m:t>
            </m:r>
          </m:sub>
        </m:sSub>
      </m:oMath>
      <w:r>
        <w:rPr>
          <w:i/>
          <w:iCs/>
        </w:rPr>
        <w:t xml:space="preserve">,</w:t>
      </w:r>
      <w:r>
        <w:rPr>
          <w:i/>
          <w:iCs/>
        </w:rPr>
        <w:t xml:space="preserve"> </w:t>
      </w:r>
      <m:oMath>
        <m:r>
          <m:t>γ</m:t>
        </m:r>
      </m:oMath>
      <w:r>
        <w:rPr>
          <w:i/>
          <w:iCs/>
        </w:rPr>
        <w:t xml:space="preserve">). Red dashed line is</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Blue points (above the line) are samples where aggregation is adaptive at the framework’s threshold criterion; gray points are below. The fraction above the line is</w:t>
      </w:r>
      <w:r>
        <w:rPr>
          <w:i/>
          <w:iCs/>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i/>
          <w:iCs/>
        </w:rPr>
        <w:t xml:space="preserve"> </w:t>
      </w:r>
      <w:r>
        <w:rPr>
          <w:i/>
          <w:iCs/>
        </w:rPr>
        <w:t xml:space="preserve">at this MC seed (0.33-0.36 across seeds; the §6.2 prose reports the lower-bound seed result of 0.33). (B) Marginal posterior on</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w:t>
      </w:r>
      <w:r>
        <w:rPr>
          <w:i/>
          <w:iCs/>
        </w:rPr>
        <w:t xml:space="preserve">(blue) overlaid against the priors-only baseline at fixed default parameters (gray). Adding parameter-set uncertainty broadens the marginal moderately and raises</w:t>
      </w:r>
      <w:r>
        <w:rPr>
          <w:i/>
          <w:iCs/>
        </w:rPr>
        <w:t xml:space="preserve"> </w:t>
      </w:r>
      <m:oMath>
        <m:r>
          <m:t>P</m:t>
        </m:r>
      </m:oMath>
      <w:r>
        <w:rPr>
          <w:i/>
          <w:iCs/>
        </w:rPr>
        <w:t xml:space="preserve"> </w:t>
      </w:r>
      <w:r>
        <w:rPr>
          <w:i/>
          <w:iCs/>
        </w:rPr>
        <w:t xml:space="preserve">from 0.26 (priors only) to 0.36 (joint), confirming that the parameter-set conditioning caveat is real but bounded. Red dashed line at zero. (C) Per-parameter posterior 95% CI conditional on the above-threshold subset (blue bars) vs the full</w:t>
      </w:r>
      <w:r>
        <w:rPr>
          <w:i/>
          <w:iCs/>
        </w:rPr>
        <w:t xml:space="preserve"> </w:t>
      </w:r>
      <m:oMath>
        <m:r>
          <m:rPr>
            <m:sty m:val="p"/>
          </m:rPr>
          <m:t>±</m:t>
        </m:r>
        <m:r>
          <m:t>50</m:t>
        </m:r>
        <m:r>
          <m:rPr>
            <m:sty m:val="p"/>
          </m:rPr>
          <m:t>%</m:t>
        </m:r>
      </m:oMath>
      <w:r>
        <w:rPr>
          <w:i/>
          <w:iCs/>
        </w:rPr>
        <w:t xml:space="preserve"> </w:t>
      </w:r>
      <w:r>
        <w:rPr>
          <w:i/>
          <w:iCs/>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i/>
          <w:iCs/>
        </w:rPr>
        <w:t xml:space="preserve"> </w:t>
      </w:r>
      <w:r>
        <w:rPr>
          <w:rStyle w:val="VerbatimChar"/>
          <w:i/>
          <w:iCs/>
        </w:rPr>
        <w:t xml:space="preserve">scripts/figure_generation/create_figure_joint_mc_diagnostic.py</w:t>
      </w:r>
      <w:r>
        <w:rPr>
          <w:i/>
          <w:iCs/>
        </w:rPr>
        <w:t xml:space="preserve">.</w:t>
      </w:r>
    </w:p>
    <w:p>
      <w:pPr>
        <w:pStyle w:val="BodyText"/>
      </w:pPr>
      <w:r>
        <w:rPr>
          <w:b/>
          <w:bCs/>
        </w:rPr>
        <w:t xml:space="preserve">Convergence diagnostics under perturbed draws.</w:t>
      </w:r>
      <w:r>
        <w:t xml:space="preserve"> </w:t>
      </w:r>
      <w:r>
        <w:t xml:space="preserve">The</w:t>
      </w:r>
      <w:r>
        <w:t xml:space="preserve"> </w:t>
      </w:r>
      <m:oMath>
        <m:sSup>
          <m:e>
            <m:r>
              <m:t>σ</m:t>
            </m:r>
          </m:e>
          <m:sup>
            <m:r>
              <m:rPr>
                <m:sty m:val="p"/>
              </m:rPr>
              <m:t>*</m:t>
            </m:r>
          </m:sup>
        </m:sSup>
      </m:oMath>
      <w:r>
        <w:t xml:space="preserve"> </w:t>
      </w:r>
      <w: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t xml:space="preserve">) within the iteration cap of 100 steps. Mean iteration count across the joint MC was 18.4 (SD 2.1, max 23); no sample failed to converge. Brent’s method bracketed a sign change in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for all 1,000 samples and returned</w:t>
      </w:r>
      <w:r>
        <w:t xml:space="preserve"> </w:t>
      </w:r>
      <m:oMath>
        <m:sSup>
          <m:e>
            <m:r>
              <m:t>σ</m:t>
            </m:r>
          </m:e>
          <m:sup>
            <m:r>
              <m:rPr>
                <m:sty m:val="p"/>
              </m:rPr>
              <m:t>*</m:t>
            </m:r>
          </m:sup>
        </m:sSup>
      </m:oMath>
      <w:r>
        <w:t xml:space="preserve"> </w:t>
      </w:r>
      <w:r>
        <w:t xml:space="preserve">to within</w:t>
      </w:r>
      <w:r>
        <w:t xml:space="preserve"> </w:t>
      </w:r>
      <m:oMath>
        <m:sSup>
          <m:e>
            <m:r>
              <m:t>10</m:t>
            </m:r>
          </m:e>
          <m:sup>
            <m:r>
              <m:rPr>
                <m:sty m:val="p"/>
              </m:rPr>
              <m:t>−</m:t>
            </m:r>
            <m:r>
              <m:t>4</m:t>
            </m:r>
          </m:sup>
        </m:sSup>
      </m:oMath>
      <w:r>
        <w:t xml:space="preserve"> </w:t>
      </w:r>
      <w:r>
        <w:t xml:space="preserve">in</w:t>
      </w:r>
      <w:r>
        <w:t xml:space="preserve"> </w:t>
      </w:r>
      <m:oMath>
        <m:r>
          <m:t>σ</m:t>
        </m:r>
      </m:oMath>
      <w:r>
        <w:t xml:space="preserve"> </w:t>
      </w:r>
      <w:r>
        <w:t xml:space="preserve">space. Across the OAT swings (parameter perturbed to</w:t>
      </w:r>
      <w:r>
        <w:t xml:space="preserve"> </w:t>
      </w:r>
      <m:oMath>
        <m:r>
          <m:rPr>
            <m:sty m:val="p"/>
          </m:rPr>
          <m:t>±</m:t>
        </m:r>
        <m:r>
          <m:t>50</m:t>
        </m:r>
        <m:r>
          <m:rPr>
            <m:sty m:val="p"/>
          </m:rPr>
          <m:t>%</m:t>
        </m:r>
      </m:oMath>
      <w:r>
        <w:t xml:space="preserve">, all others held at default), the same fixed-point convergence holds: mean iteration count 17.6 (SD 1.8, max 22) across 26 parameter</w:t>
      </w:r>
      <w:r>
        <w:t xml:space="preserve"> </w:t>
      </w:r>
      <m:oMath>
        <m:r>
          <m:rPr>
            <m:sty m:val="p"/>
          </m:rPr>
          <m:t>×</m:t>
        </m:r>
      </m:oMath>
      <w:r>
        <w:t xml:space="preserve"> </w:t>
      </w:r>
      <w: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t xml:space="preserve">S3.2 Aggregation size</w:t>
      </w:r>
    </w:p>
    <w:p>
      <w:pPr>
        <w:pStyle w:val="FirstParagraph"/>
      </w:pPr>
      <w:r>
        <w:t xml:space="preserve">The critical threshold drops sharply with aggregation size, from</w:t>
      </w:r>
      <w:r>
        <w:t xml:space="preserve"> </w:t>
      </w:r>
      <m:oMath>
        <m:sSup>
          <m:e>
            <m:r>
              <m:t>σ</m:t>
            </m:r>
          </m:e>
          <m:sup>
            <m:r>
              <m:rPr>
                <m:sty m:val="p"/>
              </m:rPr>
              <m:t>*</m:t>
            </m:r>
          </m:sup>
        </m:sSup>
        <m:r>
          <m:rPr>
            <m:sty m:val="p"/>
          </m:rPr>
          <m:t>≈</m:t>
        </m:r>
        <m:r>
          <m:t>0.55</m:t>
        </m:r>
      </m:oMath>
      <w:r>
        <w:t xml:space="preserve"> </w:t>
      </w:r>
      <w:r>
        <w:t xml:space="preserve">at</w:t>
      </w:r>
      <w:r>
        <w:t xml:space="preserve"> </w:t>
      </w:r>
      <m:oMath>
        <m:r>
          <m:t>n</m:t>
        </m:r>
        <m:r>
          <m:rPr>
            <m:sty m:val="p"/>
          </m:rPr>
          <m:t>=</m:t>
        </m:r>
        <m:r>
          <m:t>10</m:t>
        </m:r>
      </m:oMath>
      <w:r>
        <w:t xml:space="preserve"> </w:t>
      </w:r>
      <w:r>
        <w:t xml:space="preserve">to</w:t>
      </w:r>
      <w:r>
        <w:t xml:space="preserve"> </w:t>
      </w:r>
      <m:oMath>
        <m:sSup>
          <m:e>
            <m:r>
              <m:t>σ</m:t>
            </m:r>
          </m:e>
          <m:sup>
            <m:r>
              <m:rPr>
                <m:sty m:val="p"/>
              </m:rPr>
              <m:t>*</m:t>
            </m:r>
          </m:sup>
        </m:sSup>
        <m:r>
          <m:rPr>
            <m:sty m:val="p"/>
          </m:rPr>
          <m:t>≈</m:t>
        </m:r>
        <m:r>
          <m:t>0.40</m:t>
        </m:r>
      </m:oMath>
      <w:r>
        <w:t xml:space="preserve"> </w:t>
      </w:r>
      <w:r>
        <w:t xml:space="preserve">at</w:t>
      </w:r>
      <w:r>
        <w:t xml:space="preserve"> </w:t>
      </w:r>
      <m:oMath>
        <m:r>
          <m:t>n</m:t>
        </m:r>
        <m:r>
          <m:rPr>
            <m:sty m:val="p"/>
          </m:rPr>
          <m:t>=</m:t>
        </m:r>
        <m:r>
          <m:t>25</m:t>
        </m:r>
      </m:oMath>
      <w:r>
        <w:t xml:space="preserve"> </w:t>
      </w:r>
      <w:r>
        <w:t xml:space="preserve">(Poverty Point ecotone advantage). Below</w:t>
      </w:r>
      <w:r>
        <w:t xml:space="preserve"> </w:t>
      </w:r>
      <m:oMath>
        <m:r>
          <m:t>n</m:t>
        </m:r>
        <m:r>
          <m:rPr>
            <m:sty m:val="p"/>
          </m:rPr>
          <m:t>=</m:t>
        </m:r>
        <m:r>
          <m:t>15</m:t>
        </m:r>
      </m:oMath>
      <w:r>
        <w:t xml:space="preserve">, even high uncertainty fails to make signaling adaptive, because cooperation benefits are insufficient to offset costs.</w:t>
      </w:r>
    </w:p>
    <w:bookmarkEnd w:id="31"/>
    <w:bookmarkStart w:id="32" w:name="s3.3-signaling-cost"/>
    <w:p>
      <w:pPr>
        <w:pStyle w:val="Heading3"/>
      </w:pPr>
      <w:r>
        <w:t xml:space="preserve">S3.3 Signaling cost</w:t>
      </w:r>
    </w:p>
    <w:p>
      <w:pPr>
        <w:pStyle w:val="FirstParagraph"/>
      </w:pPr>
      <w:r>
        <w:t xml:space="preserve">At low costs (</w:t>
      </w:r>
      <m:oMath>
        <m:sSub>
          <m:e>
            <m:r>
              <m:t>C</m:t>
            </m:r>
          </m:e>
          <m:sub>
            <m:r>
              <m:t>s</m:t>
            </m:r>
            <m:r>
              <m:t>i</m:t>
            </m:r>
            <m:r>
              <m:t>g</m:t>
            </m:r>
            <m:r>
              <m:t>n</m:t>
            </m:r>
            <m:r>
              <m:t>a</m:t>
            </m:r>
            <m:r>
              <m:t>l</m:t>
            </m:r>
          </m:sub>
        </m:sSub>
        <m:r>
          <m:rPr>
            <m:sty m:val="p"/>
          </m:rPr>
          <m:t>&lt;</m:t>
        </m:r>
        <m:r>
          <m:t>0.10</m:t>
        </m:r>
      </m:oMath>
      <w:r>
        <w:t xml:space="preserve">), aggregation becomes adaptive under mild uncertainty (</w:t>
      </w:r>
      <m:oMath>
        <m:sSup>
          <m:e>
            <m:r>
              <m:t>σ</m:t>
            </m:r>
          </m:e>
          <m:sup>
            <m:r>
              <m:rPr>
                <m:sty m:val="p"/>
              </m:rPr>
              <m:t>*</m:t>
            </m:r>
          </m:sup>
        </m:sSup>
        <m:r>
          <m:rPr>
            <m:sty m:val="p"/>
          </m:rPr>
          <m:t>&lt;</m:t>
        </m:r>
        <m:r>
          <m:t>0.45</m:t>
        </m:r>
      </m:oMath>
      <w:r>
        <w:t xml:space="preserve">). At high costs (</w:t>
      </w:r>
      <m:oMath>
        <m:r>
          <m:rPr>
            <m:sty m:val="p"/>
          </m:rPr>
          <m:t>&gt;</m:t>
        </m:r>
        <m:r>
          <m:t>0.30</m:t>
        </m:r>
      </m:oMath>
      <w: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t xml:space="preserve">S3.4 Disease costs</w:t>
      </w:r>
    </w:p>
    <w:p>
      <w:pPr>
        <w:pStyle w:val="FirstParagraph"/>
      </w:pPr>
      <w:r>
        <w:t xml:space="preserve">Adding a 5-10% disease cost to aggregation raises</w:t>
      </w:r>
      <w:r>
        <w:t xml:space="preserve"> </w:t>
      </w:r>
      <m:oMath>
        <m:sSup>
          <m:e>
            <m:r>
              <m:t>σ</m:t>
            </m:r>
          </m:e>
          <m:sup>
            <m:r>
              <m:rPr>
                <m:sty m:val="p"/>
              </m:rPr>
              <m:t>*</m:t>
            </m:r>
          </m:sup>
        </m:sSup>
      </m:oMath>
      <w:r>
        <w:t xml:space="preserve"> </w:t>
      </w:r>
      <w: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t xml:space="preserve">S3.5 Ecotone advantage</w:t>
      </w:r>
    </w:p>
    <w:p>
      <w:pPr>
        <w:pStyle w:val="FirstParagraph"/>
      </w:pPr>
      <w:r>
        <w:t xml:space="preserve">The model is most sensitive to the asserted ecotone advantage. At</w:t>
      </w:r>
      <w:r>
        <w:t xml:space="preserve"> </w:t>
      </w:r>
      <m:oMath>
        <m:r>
          <m:t>ε</m:t>
        </m:r>
        <m:r>
          <m:rPr>
            <m:sty m:val="p"/>
          </m:rPr>
          <m:t>=</m:t>
        </m:r>
        <m:r>
          <m:t>0.20</m:t>
        </m:r>
      </m:oMath>
      <w:r>
        <w:t xml:space="preserve">,</w:t>
      </w:r>
      <w:r>
        <w:t xml:space="preserve"> </w:t>
      </w:r>
      <m:oMath>
        <m:sSup>
          <m:e>
            <m:r>
              <m:t>σ</m:t>
            </m:r>
          </m:e>
          <m:sup>
            <m:r>
              <m:rPr>
                <m:sty m:val="p"/>
              </m:rPr>
              <m:t>*</m:t>
            </m:r>
          </m:sup>
        </m:sSup>
      </m:oMath>
      <w:r>
        <w:t xml:space="preserve"> </w:t>
      </w:r>
      <w:r>
        <w:t xml:space="preserve">rises to ~0.50, still below typical regional estimates but with reduced margin. At</w:t>
      </w:r>
      <w:r>
        <w:t xml:space="preserve"> </w:t>
      </w:r>
      <m:oMath>
        <m:r>
          <m:t>ε</m:t>
        </m:r>
        <m:r>
          <m:rPr>
            <m:sty m:val="p"/>
          </m:rPr>
          <m:t>=</m:t>
        </m:r>
        <m:r>
          <m:t>0</m:t>
        </m:r>
      </m:oMath>
      <w:r>
        <w:t xml:space="preserve">,</w:t>
      </w:r>
      <w:r>
        <w:t xml:space="preserve"> </w:t>
      </w:r>
      <m:oMath>
        <m:sSup>
          <m:e>
            <m:r>
              <m:t>σ</m:t>
            </m:r>
          </m:e>
          <m:sup>
            <m:r>
              <m:rPr>
                <m:sty m:val="p"/>
              </m:rPr>
              <m:t>*</m:t>
            </m:r>
          </m:sup>
        </m:sSup>
      </m:oMath>
      <w:r>
        <w:t xml:space="preserve"> </w:t>
      </w:r>
      <w:r>
        <w:t xml:space="preserve">rises to ~0.57, comparable to mid-Holocene LMV</w:t>
      </w:r>
      <w:r>
        <w:t xml:space="preserve"> </w:t>
      </w:r>
      <m:oMath>
        <m:r>
          <m:t>σ</m:t>
        </m:r>
      </m:oMath>
      <w:r>
        <w:t xml:space="preserve"> </w:t>
      </w:r>
      <w:r>
        <w:t xml:space="preserve">estimates. The empirical operationalization of</w:t>
      </w:r>
      <w:r>
        <w:t xml:space="preserve"> </w:t>
      </w:r>
      <m:oMath>
        <m:r>
          <m:t>ε</m:t>
        </m:r>
      </m:oMath>
      <w:r>
        <w:t xml:space="preserve"> </w:t>
      </w:r>
      <w:r>
        <w:t xml:space="preserve">across LMV sites is developed in the regional empirical paper.</w:t>
      </w:r>
    </w:p>
    <w:bookmarkEnd w:id="34"/>
    <w:bookmarkStart w:id="35" w:name="s3.6-coupling-form-sensitivity"/>
    <w:p>
      <w:pPr>
        <w:pStyle w:val="Heading3"/>
      </w:pPr>
      <w:r>
        <w:t xml:space="preserve">S3.6 Coupling-form sensitivity</w:t>
      </w:r>
    </w:p>
    <w:p>
      <w:pPr>
        <w:pStyle w:val="FirstParagraph"/>
      </w:pPr>
      <w:r>
        <w:t xml:space="preserve">The aggregator fitness function combines vulnerability and shortfall severity through the multiplicative term</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in</w:t>
      </w:r>
      <w:r>
        <w:t xml:space="preserve"> </w:t>
      </w:r>
      <m:oMath>
        <m:sSub>
          <m:e>
            <m:r>
              <m:t>W</m:t>
            </m:r>
          </m:e>
          <m:sub>
            <m:r>
              <m:t>a</m:t>
            </m:r>
            <m:r>
              <m:t>g</m:t>
            </m:r>
            <m:r>
              <m:t>g</m:t>
            </m:r>
          </m:sub>
        </m:sSub>
      </m:oMath>
      <w:r>
        <w:t xml:space="preserve">. The main text §3 (paragraph following the</w:t>
      </w:r>
      <w:r>
        <w:t xml:space="preserve"> </w:t>
      </w:r>
      <m:oMath>
        <m:r>
          <m:t>σ</m:t>
        </m:r>
      </m:oMath>
      <w:r>
        <w:t xml:space="preserve"> </w:t>
      </w:r>
      <w:r>
        <w:t xml:space="preserve">derivation) flags that this is one of three couplings discussed in the risk-pooling literature, the others being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Here we document the result of substituting each alternative into the existing fitness machinery and explain why the multiplicative form is the principled choice given the meanings of the two factors.</w:t>
      </w:r>
    </w:p>
    <w:p>
      <w:pPr>
        <w:pStyle w:val="BodyText"/>
      </w:pPr>
      <w:r>
        <w:t xml:space="preserve">Computing</w:t>
      </w:r>
      <w:r>
        <w:t xml:space="preserve"> </w:t>
      </w:r>
      <m:oMath>
        <m:sSup>
          <m:e>
            <m:r>
              <m:t>σ</m:t>
            </m:r>
          </m:e>
          <m:sup>
            <m:r>
              <m:rPr>
                <m:sty m:val="p"/>
              </m:rPr>
              <m:t>*</m:t>
            </m:r>
          </m:sup>
        </m:sSup>
      </m:oMath>
      <w:r>
        <w:t xml:space="preserve"> </w:t>
      </w:r>
      <w:r>
        <w:t xml:space="preserve">under each coupling at PP-scenario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all other parameters at their default values) using Brent’s method on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over</w:t>
      </w:r>
      <w:r>
        <w:t xml:space="preserve"> </w:t>
      </w:r>
      <m:oMath>
        <m:r>
          <m:t>σ</m:t>
        </m:r>
        <m:r>
          <m:rPr>
            <m:sty m:val="p"/>
          </m:rPr>
          <m:t>∈</m:t>
        </m:r>
        <m:r>
          <m:rPr>
            <m:sty m:val="p"/>
          </m:rPr>
          <m:t>[</m:t>
        </m:r>
        <m:r>
          <m:t>0.05</m:t>
        </m:r>
        <m:r>
          <m:rPr>
            <m:sty m:val="p"/>
          </m:rPr>
          <m:t>,</m:t>
        </m:r>
        <m:r>
          <m:t>1.5</m:t>
        </m:r>
        <m:r>
          <m:rPr>
            <m:sty m:val="p"/>
          </m:rPr>
          <m:t>]</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t xml:space="preserve">The additive form has no meaningful</w:t>
      </w:r>
      <w:r>
        <w:t xml:space="preserve"> </w:t>
      </w:r>
      <m:oMath>
        <m:sSup>
          <m:e>
            <m:r>
              <m:t>σ</m:t>
            </m:r>
          </m:e>
          <m:sup>
            <m:r>
              <m:rPr>
                <m:sty m:val="p"/>
              </m:rPr>
              <m:t>*</m:t>
            </m:r>
          </m:sup>
        </m:sSup>
      </m:oMath>
      <w:r>
        <w:t xml:space="preserve"> </w:t>
      </w:r>
      <w:r>
        <w:t xml:space="preserve">in the empirically relevant range. The survival factor</w:t>
      </w:r>
      <w:r>
        <w:t xml:space="preserve"> </w:t>
      </w:r>
      <m:oMath>
        <m:r>
          <m:t>1</m:t>
        </m:r>
        <m:r>
          <m:rPr>
            <m:sty m:val="p"/>
          </m:rPr>
          <m:t>−</m:t>
        </m:r>
        <m:r>
          <m:t>α</m:t>
        </m:r>
        <m:r>
          <m:rPr>
            <m:sty m:val="p"/>
          </m:rPr>
          <m:t>−</m:t>
        </m:r>
        <m:sSub>
          <m:e>
            <m:r>
              <m:t>σ</m:t>
            </m:r>
          </m:e>
          <m:sub>
            <m:r>
              <m:t>e</m:t>
            </m:r>
            <m:r>
              <m:t>f</m:t>
            </m:r>
            <m:r>
              <m:t>f</m:t>
            </m:r>
          </m:sub>
        </m:sSub>
      </m:oMath>
      <w:r>
        <w:t xml:space="preserve"> </w:t>
      </w:r>
      <w:r>
        <w:t xml:space="preserve">goes negative as soon as</w:t>
      </w:r>
      <w:r>
        <w:t xml:space="preserve"> </w:t>
      </w:r>
      <m:oMath>
        <m:sSub>
          <m:e>
            <m:r>
              <m:t>σ</m:t>
            </m:r>
          </m:e>
          <m:sub>
            <m:r>
              <m:t>e</m:t>
            </m:r>
            <m:r>
              <m:t>f</m:t>
            </m:r>
            <m:r>
              <m:t>f</m:t>
            </m:r>
          </m:sub>
        </m:sSub>
        <m:r>
          <m:rPr>
            <m:sty m:val="p"/>
          </m:rPr>
          <m:t>&gt;</m:t>
        </m:r>
        <m:r>
          <m:t>1</m:t>
        </m:r>
        <m:r>
          <m:rPr>
            <m:sty m:val="p"/>
          </m:rPr>
          <m:t>−</m:t>
        </m:r>
        <m:r>
          <m:t>α</m:t>
        </m:r>
      </m:oMath>
      <w:r>
        <w:t xml:space="preserve">, and at the equilibrium</w:t>
      </w:r>
      <w:r>
        <w:t xml:space="preserve"> </w:t>
      </w:r>
      <m:oMath>
        <m:r>
          <m:t>α</m:t>
        </m:r>
        <m:r>
          <m:rPr>
            <m:sty m:val="p"/>
          </m:rPr>
          <m:t>(</m:t>
        </m:r>
        <m:sSub>
          <m:e>
            <m:r>
              <m:t>k</m:t>
            </m:r>
          </m:e>
          <m:sub>
            <m:r>
              <m:t>e</m:t>
            </m:r>
            <m:r>
              <m:t>f</m:t>
            </m:r>
            <m:r>
              <m:t>f</m:t>
            </m:r>
          </m:sub>
        </m:sSub>
        <m:r>
          <m:rPr>
            <m:sty m:val="p"/>
          </m:rPr>
          <m:t>)</m:t>
        </m:r>
        <m:r>
          <m:rPr>
            <m:sty m:val="p"/>
          </m:rPr>
          <m:t>≈</m:t>
        </m:r>
        <m:r>
          <m:t>0.82</m:t>
        </m:r>
      </m:oMath>
      <w:r>
        <w:t xml:space="preserve"> </w:t>
      </w:r>
      <w:r>
        <w:t xml:space="preserve">for aggregators (and</w:t>
      </w:r>
      <w:r>
        <w:t xml:space="preserve"> </w:t>
      </w:r>
      <m:oMath>
        <m:r>
          <m:t>β</m:t>
        </m:r>
        <m:r>
          <m:rPr>
            <m:sty m:val="p"/>
          </m:rPr>
          <m:t>(</m:t>
        </m:r>
        <m:sSub>
          <m:e>
            <m:r>
              <m:t>k</m:t>
            </m:r>
          </m:e>
          <m:sub>
            <m:r>
              <m:t>0</m:t>
            </m:r>
          </m:sub>
        </m:sSub>
        <m:r>
          <m:rPr>
            <m:sty m:val="p"/>
          </m:rPr>
          <m:t>)</m:t>
        </m:r>
        <m:r>
          <m:rPr>
            <m:sty m:val="p"/>
          </m:rPr>
          <m:t>≈</m:t>
        </m:r>
        <m:r>
          <m:t>0.985</m:t>
        </m:r>
      </m:oMath>
      <w:r>
        <w:t xml:space="preserve"> </w:t>
      </w:r>
      <w:r>
        <w:t xml:space="preserve">for independents), this happens almost immediately. The Brent-method root-finder returns the upper bracket value of 1.5 as an artifact:</w:t>
      </w:r>
      <w:r>
        <w:t xml:space="preserve"> </w:t>
      </w:r>
      <m:oMath>
        <m:sSub>
          <m:e>
            <m:r>
              <m:t>W</m:t>
            </m:r>
          </m:e>
          <m:sub>
            <m:r>
              <m:t>a</m:t>
            </m:r>
            <m:r>
              <m:t>g</m:t>
            </m:r>
            <m:r>
              <m:t>g</m:t>
            </m:r>
          </m:sub>
        </m:sSub>
      </m:oMath>
      <w:r>
        <w:t xml:space="preserve"> </w:t>
      </w:r>
      <w:r>
        <w:t xml:space="preserve">saturates at the signaling-benefit floor</w:t>
      </w:r>
      <w:r>
        <w:t xml:space="preserve"> </w:t>
      </w:r>
      <m:oMath>
        <m:r>
          <m:t>B</m:t>
        </m:r>
        <m:r>
          <m:rPr>
            <m:sty m:val="p"/>
          </m:rPr>
          <m:t>(</m:t>
        </m:r>
        <m:r>
          <m:t>λ</m:t>
        </m:r>
        <m:r>
          <m:rPr>
            <m:sty m:val="p"/>
          </m:rPr>
          <m:t>)</m:t>
        </m:r>
      </m:oMath>
      <w:r>
        <w:t xml:space="preserve"> </w:t>
      </w:r>
      <w:r>
        <w:t xml:space="preserve">throughout the range while</w:t>
      </w:r>
      <w:r>
        <w:t xml:space="preserve"> </w:t>
      </w:r>
      <m:oMath>
        <m:sSub>
          <m:e>
            <m:r>
              <m:t>W</m:t>
            </m:r>
          </m:e>
          <m:sub>
            <m:r>
              <m:t>i</m:t>
            </m:r>
            <m:r>
              <m:t>n</m:t>
            </m:r>
            <m:r>
              <m:t>d</m:t>
            </m:r>
          </m:sub>
        </m:sSub>
      </m:oMath>
      <w:r>
        <w:t xml:space="preserve"> </w:t>
      </w:r>
      <w:r>
        <w:t xml:space="preserve">collapses to zero only at the upper end, producing a nominal sign change at the boundary that is not a substantive threshold. The hazard-composition form returns a finite</w:t>
      </w:r>
      <w:r>
        <w:t xml:space="preserve"> </w:t>
      </w:r>
      <m:oMath>
        <m:sSup>
          <m:e>
            <m:r>
              <m:t>σ</m:t>
            </m:r>
          </m:e>
          <m:sup>
            <m:r>
              <m:rPr>
                <m:sty m:val="p"/>
              </m:rPr>
              <m:t>*</m:t>
            </m:r>
          </m:sup>
        </m:sSup>
        <m:r>
          <m:rPr>
            <m:sty m:val="p"/>
          </m:rPr>
          <m:t>=</m:t>
        </m:r>
        <m:r>
          <m:t>0.875</m:t>
        </m:r>
      </m:oMath>
      <w:r>
        <w:t xml:space="preserve">, far above the multiplicative threshold and far above any plausible LMV</w:t>
      </w:r>
      <w:r>
        <w:t xml:space="preserve"> </w:t>
      </w:r>
      <m:oMath>
        <m:r>
          <m:t>σ</m:t>
        </m:r>
      </m:oMath>
      <w:r>
        <w:t xml:space="preserve">.</w:t>
      </w:r>
    </w:p>
    <w:p>
      <w:pPr>
        <w:pStyle w:val="BodyText"/>
      </w:pPr>
      <w:r>
        <w:t xml:space="preserve">Neither alternative is a clean drop-in replacement, and the reason is conceptual rather than numerical:</w:t>
      </w:r>
      <w:r>
        <w:t xml:space="preserve"> </w:t>
      </w:r>
      <m:oMath>
        <m:r>
          <m:t>α</m:t>
        </m:r>
      </m:oMath>
      <w:r>
        <w:t xml:space="preserve"> </w:t>
      </w:r>
      <w:r>
        <w:t xml:space="preserve">is a</w:t>
      </w:r>
      <w:r>
        <w:t xml:space="preserve"> </w:t>
      </w:r>
      <w:r>
        <w:rPr>
          <w:i/>
          <w:iCs/>
        </w:rPr>
        <w:t xml:space="preserve">vulnerability coefficient</w:t>
      </w:r>
      <w:r>
        <w:t xml:space="preserve"> </w:t>
      </w:r>
      <w:r>
        <w:t xml:space="preserve">on</w:t>
      </w:r>
      <w:r>
        <w:t xml:space="preserve"> </w:t>
      </w:r>
      <m:oMath>
        <m:r>
          <m:rPr>
            <m:sty m:val="p"/>
          </m:rPr>
          <m:t>(</m:t>
        </m:r>
        <m:r>
          <m:t>0</m:t>
        </m:r>
        <m:r>
          <m:rPr>
            <m:sty m:val="p"/>
          </m:rPr>
          <m:t>,</m:t>
        </m:r>
        <m:r>
          <m:t>1</m:t>
        </m:r>
        <m:r>
          <m:rPr>
            <m:sty m:val="p"/>
          </m:rPr>
          <m:t>]</m:t>
        </m:r>
      </m:oMath>
      <w:r>
        <w:t xml:space="preserve"> </w:t>
      </w:r>
      <w:r>
        <w:t xml:space="preserve">that modulates the magnitude of a shortfall-induced loss, not a fractional loss in its own right and not an independent hazard rate. Combining it additively with</w:t>
      </w:r>
      <w:r>
        <w:t xml:space="preserve"> </w:t>
      </w:r>
      <m:oMath>
        <m:sSub>
          <m:e>
            <m:r>
              <m:t>σ</m:t>
            </m:r>
          </m:e>
          <m:sub>
            <m:r>
              <m:t>e</m:t>
            </m:r>
            <m:r>
              <m:t>f</m:t>
            </m:r>
            <m:r>
              <m:t>f</m:t>
            </m:r>
          </m:sub>
        </m:sSub>
      </m:oMath>
      <w:r>
        <w:t xml:space="preserve"> </w:t>
      </w:r>
      <w:r>
        <w:t xml:space="preserve">presupposes that both denote fractional losses on the same scale, which is not what</w:t>
      </w:r>
      <w:r>
        <w:t xml:space="preserve"> </w:t>
      </w:r>
      <m:oMath>
        <m:r>
          <m:t>α</m:t>
        </m:r>
      </m:oMath>
      <w:r>
        <w:t xml:space="preserve"> </w:t>
      </w:r>
      <w:r>
        <w:t xml:space="preserve">represents in the framework. Combining it via hazard composition presupposes that</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independent survival probabilities, which is also not what they represent (the network buffers the</w:t>
      </w:r>
      <w:r>
        <w:t xml:space="preserve"> </w:t>
      </w:r>
      <w:r>
        <w:rPr>
          <w:i/>
          <w:iCs/>
        </w:rPr>
        <w:t xml:space="preserve">magnitude</w:t>
      </w:r>
      <w:r>
        <w:t xml:space="preserve"> </w:t>
      </w:r>
      <w:r>
        <w:t xml:space="preserve">of the same shortfall, not a separate hazard). The multiplicative form</w:t>
      </w:r>
      <w:r>
        <w:t xml:space="preserve"> </w:t>
      </w:r>
      <m:oMath>
        <m:r>
          <m:t>α</m:t>
        </m:r>
        <m:r>
          <m:rPr>
            <m:sty m:val="p"/>
          </m:rPr>
          <m:t>⋅</m:t>
        </m:r>
        <m:sSub>
          <m:e>
            <m:r>
              <m:t>σ</m:t>
            </m:r>
          </m:e>
          <m:sub>
            <m:r>
              <m:t>e</m:t>
            </m:r>
            <m:r>
              <m:t>f</m:t>
            </m:r>
            <m:r>
              <m:t>f</m:t>
            </m:r>
          </m:sub>
        </m:sSub>
      </m:oMath>
      <w:r>
        <w:t xml:space="preserve"> </w:t>
      </w:r>
      <w:r>
        <w:t xml:space="preserve">is the unique form consistent with the framework’s substantive interpretation:</w:t>
      </w:r>
      <w:r>
        <w:t xml:space="preserve"> </w:t>
      </w:r>
      <w:r>
        <w:t xml:space="preserve">“fraction of productivity lost equals vulnerability times severity.”</w:t>
      </w:r>
    </w:p>
    <w:p>
      <w:pPr>
        <w:pStyle w:val="BodyText"/>
      </w:pPr>
      <w:r>
        <w:t xml:space="preserve">A fair coupling-form sensitivity analysis would therefore require reformulating</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as probability-like quantities on a common scale (e.g., redefining</w:t>
      </w:r>
      <w:r>
        <w:t xml:space="preserve"> </w:t>
      </w:r>
      <m:oMath>
        <m:r>
          <m:t>α</m:t>
        </m:r>
      </m:oMath>
      <w:r>
        <w:t xml:space="preserve"> </w:t>
      </w:r>
      <w: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t xml:space="preserve"> </w:t>
      </w:r>
      <m:oMath>
        <m:sSup>
          <m:e>
            <m:r>
              <m:t>σ</m:t>
            </m:r>
          </m:e>
          <m:sup>
            <m:r>
              <m:rPr>
                <m:sty m:val="p"/>
              </m:rPr>
              <m:t>*</m:t>
            </m:r>
          </m:sup>
        </m:sSup>
      </m:oMath>
      <w:r>
        <w:t xml:space="preserve"> </w:t>
      </w:r>
      <w:r>
        <w:t xml:space="preserve">is functional-form dependent. The empirical comparisons in §6 use the multiplicative coupling throughout. Reproducible from</w:t>
      </w:r>
      <w:r>
        <w:t xml:space="preserve"> </w:t>
      </w:r>
      <w:r>
        <w:rPr>
          <w:rStyle w:val="VerbatimChar"/>
        </w:rPr>
        <w:t xml:space="preserve">scripts/analysis/coupling_sensitivity.py</w:t>
      </w:r>
      <w:r>
        <w:t xml:space="preserve">.</w:t>
      </w:r>
    </w:p>
    <w:p>
      <w:r>
        <w:pict>
          <v:rect style="width:0;height:1.5pt" o:hralign="center" o:hrstd="t" o:hr="t"/>
        </w:pict>
      </w:r>
    </w:p>
    <w:bookmarkEnd w:id="35"/>
    <w:bookmarkEnd w:id="36"/>
    <w:bookmarkStart w:id="46" w:name="s4.-supplemental-theoretical-figures"/>
    <w:p>
      <w:pPr>
        <w:pStyle w:val="Heading2"/>
      </w:pPr>
      <w:r>
        <w:t xml:space="preserve">S4. Supplemental theoretical figures</w:t>
      </w:r>
    </w:p>
    <w:p>
      <w:pPr>
        <w:pStyle w:val="FirstParagraph"/>
      </w:pPr>
      <w:r>
        <w:t xml:space="preserve">In addition to the figures referenced inline above (and to the multilevel-selection decomposition, ecotone advantage schematic, and agent-based model architecture in main-text Figures 3, 4, and 6 respectively):</w:t>
      </w:r>
    </w:p>
    <w:p>
      <w:pPr>
        <w:pStyle w:val="BodyText"/>
      </w:pPr>
      <w:r>
        <w:drawing>
          <wp:inline>
            <wp:extent cx="5943600" cy="5746734"/>
            <wp:effectExtent b="0" l="0" r="0" t="0"/>
            <wp:docPr descr="" title="" id="38" name="Picture"/>
            <a:graphic>
              <a:graphicData uri="http://schemas.openxmlformats.org/drawingml/2006/picture">
                <pic:pic>
                  <pic:nvPicPr>
                    <pic:cNvPr descr="../../figures/supplemental/figure_S03_conceptual_signaling_system.png" id="39" name="Picture"/>
                    <pic:cNvPicPr>
                      <a:picLocks noChangeArrowheads="1" noChangeAspect="1"/>
                    </pic:cNvPicPr>
                  </pic:nvPicPr>
                  <pic:blipFill>
                    <a:blip r:embed="rId37"/>
                    <a:stretch>
                      <a:fillRect/>
                    </a:stretch>
                  </pic:blipFill>
                  <pic:spPr bwMode="auto">
                    <a:xfrm>
                      <a:off x="0" y="0"/>
                      <a:ext cx="5943600" cy="5746734"/>
                    </a:xfrm>
                    <a:prstGeom prst="rect">
                      <a:avLst/>
                    </a:prstGeom>
                    <a:noFill/>
                    <a:ln w="9525">
                      <a:noFill/>
                      <a:headEnd/>
                      <a:tailEnd/>
                    </a:ln>
                  </pic:spPr>
                </pic:pic>
              </a:graphicData>
            </a:graphic>
          </wp:inline>
        </w:drawing>
      </w:r>
    </w:p>
    <w:p>
      <w:pPr>
        <w:pStyle w:val="BodyText"/>
      </w:pPr>
      <w:r>
        <w:rPr>
          <w:b/>
          <w:bCs/>
          <w:i/>
          <w:iCs/>
        </w:rPr>
        <w:t xml:space="preserve">Figure S3. The aggregation-based signaling system.</w:t>
      </w:r>
      <w:r>
        <w:t xml:space="preserve"> </w:t>
      </w:r>
      <w:r>
        <w:rPr>
          <w:i/>
          <w:iCs/>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drawing>
          <wp:inline>
            <wp:extent cx="5943600" cy="4002950"/>
            <wp:effectExtent b="0" l="0" r="0" t="0"/>
            <wp:docPr descr="" title="" id="41" name="Picture"/>
            <a:graphic>
              <a:graphicData uri="http://schemas.openxmlformats.org/drawingml/2006/picture">
                <pic:pic>
                  <pic:nvPicPr>
                    <pic:cNvPr descr="../../figures/supplemental/figure_S04_network_feedback_loop.png" id="42" name="Picture"/>
                    <pic:cNvPicPr>
                      <a:picLocks noChangeArrowheads="1" noChangeAspect="1"/>
                    </pic:cNvPicPr>
                  </pic:nvPicPr>
                  <pic:blipFill>
                    <a:blip r:embed="rId40"/>
                    <a:stretch>
                      <a:fillRect/>
                    </a:stretch>
                  </pic:blipFill>
                  <pic:spPr bwMode="auto">
                    <a:xfrm>
                      <a:off x="0" y="0"/>
                      <a:ext cx="5943600" cy="4002950"/>
                    </a:xfrm>
                    <a:prstGeom prst="rect">
                      <a:avLst/>
                    </a:prstGeom>
                    <a:noFill/>
                    <a:ln w="9525">
                      <a:noFill/>
                      <a:headEnd/>
                      <a:tailEnd/>
                    </a:ln>
                  </pic:spPr>
                </pic:pic>
              </a:graphicData>
            </a:graphic>
          </wp:inline>
        </w:drawing>
      </w:r>
    </w:p>
    <w:p>
      <w:pPr>
        <w:pStyle w:val="BodyText"/>
      </w:pPr>
      <w:r>
        <w:rPr>
          <w:b/>
          <w:bCs/>
          <w:i/>
          <w:iCs/>
        </w:rPr>
        <w:t xml:space="preserve">Figure S4. Network feedback loop.</w:t>
      </w:r>
      <w:r>
        <w:t xml:space="preserve"> </w:t>
      </w:r>
      <w:r>
        <w:rPr>
          <w:i/>
          <w:iCs/>
        </w:rPr>
        <w:t xml:space="preserve">Monument investment</w:t>
      </w:r>
      <w:r>
        <w:rPr>
          <w:i/>
          <w:iCs/>
        </w:rPr>
        <w:t xml:space="preserve"> </w:t>
      </w:r>
      <m:oMath>
        <m:sSub>
          <m:e>
            <m:r>
              <m:t>I</m:t>
            </m:r>
          </m:e>
          <m:sub>
            <m:r>
              <m:t>g</m:t>
            </m:r>
          </m:sub>
        </m:sSub>
      </m:oMath>
      <w:r>
        <w:rPr>
          <w:i/>
          <w:iCs/>
        </w:rPr>
        <w:t xml:space="preserve"> </w:t>
      </w:r>
      <w:r>
        <w:rPr>
          <w:i/>
          <w:iCs/>
        </w:rPr>
        <w:t xml:space="preserve">builds cumulative stock</w:t>
      </w:r>
      <w:r>
        <w:rPr>
          <w:i/>
          <w:iCs/>
        </w:rPr>
        <w:t xml:space="preserve"> </w:t>
      </w:r>
      <m:oMath>
        <m:sSub>
          <m:e>
            <m:r>
              <m:t>M</m:t>
            </m:r>
          </m:e>
          <m:sub>
            <m:r>
              <m:t>g</m:t>
            </m:r>
          </m:sub>
        </m:sSub>
      </m:oMath>
      <w:r>
        <w:rPr>
          <w:i/>
          <w:iCs/>
        </w:rPr>
        <w:t xml:space="preserve">, which attracts cooperation partners and expands network degree</w:t>
      </w:r>
      <w:r>
        <w:rPr>
          <w:i/>
          <w:iCs/>
        </w:rPr>
        <w:t xml:space="preserve"> </w:t>
      </w:r>
      <m:oMath>
        <m:r>
          <m:t>k</m:t>
        </m:r>
        <m:r>
          <m:rPr>
            <m:sty m:val="p"/>
          </m:rPr>
          <m:t>(</m:t>
        </m:r>
        <m:sSub>
          <m:e>
            <m:r>
              <m:t>M</m:t>
            </m:r>
          </m:e>
          <m:sub>
            <m:r>
              <m:t>g</m:t>
            </m:r>
          </m:sub>
        </m:sSub>
        <m:r>
          <m:rPr>
            <m:sty m:val="p"/>
          </m:rPr>
          <m:t>)</m:t>
        </m:r>
      </m:oMath>
      <w:r>
        <w:rPr>
          <w:i/>
          <w:iCs/>
        </w:rPr>
        <w:t xml:space="preserve">. Higher network degree reduces vulnerability</w:t>
      </w:r>
      <w:r>
        <w:rPr>
          <w:i/>
          <w:iCs/>
        </w:rPr>
        <w:t xml:space="preserve"> </w:t>
      </w:r>
      <m:oMath>
        <m:r>
          <m:t>α</m:t>
        </m:r>
        <m:r>
          <m:rPr>
            <m:sty m:val="p"/>
          </m:rPr>
          <m:t>(</m:t>
        </m:r>
        <m:r>
          <m:t>k</m:t>
        </m:r>
        <m:r>
          <m:rPr>
            <m:sty m:val="p"/>
          </m:rPr>
          <m:t>)</m:t>
        </m:r>
      </m:oMath>
      <w:r>
        <w:rPr>
          <w:i/>
          <w:iCs/>
        </w:rPr>
        <w:t xml:space="preserve">, raising the cooperation-network signaling component</w:t>
      </w:r>
      <w:r>
        <w:rPr>
          <w:i/>
          <w:iCs/>
        </w:rPr>
        <w:t xml:space="preserve"> </w:t>
      </w:r>
      <m:oMath>
        <m:sSub>
          <m:e>
            <m:r>
              <m:t>λ</m:t>
            </m:r>
          </m:e>
          <m:sub>
            <m:r>
              <m:t>X</m:t>
            </m:r>
          </m:sub>
        </m:sSub>
      </m:oMath>
      <w:r>
        <w:rPr>
          <w:i/>
          <w:iCs/>
        </w:rPr>
        <w:t xml:space="preserve">, which raises optimal investment</w:t>
      </w:r>
      <w:r>
        <w:rPr>
          <w:i/>
          <w:iCs/>
        </w:rPr>
        <w:t xml:space="preserve"> </w:t>
      </w:r>
      <m:oMath>
        <m:sSup>
          <m:e>
            <m:r>
              <m:t>x</m:t>
            </m:r>
          </m:e>
          <m:sup>
            <m:r>
              <m:rPr>
                <m:sty m:val="p"/>
              </m:rPr>
              <m:t>*</m:t>
            </m:r>
          </m:sup>
        </m:sSup>
        <m:r>
          <m:rPr>
            <m:sty m:val="p"/>
          </m:rPr>
          <m:t>(</m:t>
        </m:r>
        <m:r>
          <m:t>q</m:t>
        </m:r>
        <m:r>
          <m:rPr>
            <m:sty m:val="p"/>
          </m:rPr>
          <m:t>)</m:t>
        </m:r>
      </m:oMath>
      <w:r>
        <w:rPr>
          <w:i/>
          <w:iCs/>
        </w:rPr>
        <w:t xml:space="preserve">, completing the feedback. Resolved by fixed-point iteration.</w:t>
      </w:r>
    </w:p>
    <w:p>
      <w:pPr>
        <w:pStyle w:val="BodyText"/>
      </w:pPr>
      <w:r>
        <w:drawing>
          <wp:inline>
            <wp:extent cx="5943600" cy="3670712"/>
            <wp:effectExtent b="0" l="0" r="0" t="0"/>
            <wp:docPr descr="" title="" id="44" name="Picture"/>
            <a:graphic>
              <a:graphicData uri="http://schemas.openxmlformats.org/drawingml/2006/picture">
                <pic:pic>
                  <pic:nvPicPr>
                    <pic:cNvPr descr="../../figures/supplemental/figure_S05_predictions_summary.png" id="45" name="Picture"/>
                    <pic:cNvPicPr>
                      <a:picLocks noChangeArrowheads="1" noChangeAspect="1"/>
                    </pic:cNvPicPr>
                  </pic:nvPicPr>
                  <pic:blipFill>
                    <a:blip r:embed="rId43"/>
                    <a:stretch>
                      <a:fillRect/>
                    </a:stretch>
                  </pic:blipFill>
                  <pic:spPr bwMode="auto">
                    <a:xfrm>
                      <a:off x="0" y="0"/>
                      <a:ext cx="5943600" cy="3670712"/>
                    </a:xfrm>
                    <a:prstGeom prst="rect">
                      <a:avLst/>
                    </a:prstGeom>
                    <a:noFill/>
                    <a:ln w="9525">
                      <a:noFill/>
                      <a:headEnd/>
                      <a:tailEnd/>
                    </a:ln>
                  </pic:spPr>
                </pic:pic>
              </a:graphicData>
            </a:graphic>
          </wp:inline>
        </w:drawing>
      </w:r>
    </w:p>
    <w:p>
      <w:pPr>
        <w:pStyle w:val="BodyText"/>
      </w:pPr>
      <w:r>
        <w:rPr>
          <w:b/>
          <w:bCs/>
          <w:i/>
          <w:iCs/>
        </w:rPr>
        <w:t xml:space="preserve">Figure S5. Testable predictions summary.</w:t>
      </w:r>
      <w:r>
        <w:t xml:space="preserve"> </w:t>
      </w:r>
      <w:r>
        <w:rPr>
          <w:i/>
          <w:iCs/>
        </w:rPr>
        <w:t xml:space="preserve">Six-panel schematic illustrating the framework’s predictions across the categories enumerated in §S8. Top row: (left) temporal — pulsed construction tempo with episodes at the timescale of band turnover, not steady accumulation; (center) spatial — concentration at high-</w:t>
      </w:r>
      <m:oMath>
        <m:r>
          <m:t>ε</m:t>
        </m:r>
      </m:oMath>
      <w:r>
        <w:rPr>
          <w:i/>
          <w:iCs/>
        </w:rPr>
        <w:t xml:space="preserve"> </w:t>
      </w:r>
      <w:r>
        <w:rPr>
          <w:i/>
          <w:iCs/>
        </w:rPr>
        <w:t xml:space="preserve">confluence locations with above-threshold</w:t>
      </w:r>
      <w:r>
        <w:rPr>
          <w:i/>
          <w:iCs/>
        </w:rPr>
        <w:t xml:space="preserve"> </w:t>
      </w:r>
      <m:oMath>
        <m:r>
          <m:t>σ</m:t>
        </m:r>
      </m:oMath>
      <w:r>
        <w:rPr>
          <w:i/>
          <w:iCs/>
        </w:rPr>
        <w:t xml:space="preserve">, absence at low-</w:t>
      </w:r>
      <m:oMath>
        <m:r>
          <m:t>ε</m:t>
        </m:r>
      </m:oMath>
      <w:r>
        <w:rPr>
          <w:i/>
          <w:iCs/>
        </w:rPr>
        <w:t xml:space="preserve"> </w:t>
      </w:r>
      <w:r>
        <w:rPr>
          <w:i/>
          <w:iCs/>
        </w:rPr>
        <w:t xml:space="preserve">or below-threshold settings; (right) material — non-local geochemically traceable exotic goods accumulating at the gathering, with asymmetric flow into the site rather than reciprocal exchange. Bottom row: (left) demographic — population dynamics tied to threshold-crossing rather than continuous in environmental uncertainty; (center) network — cooperation-network density tracking with</w:t>
      </w:r>
      <w:r>
        <w:rPr>
          <w:i/>
          <w:iCs/>
        </w:rPr>
        <w:t xml:space="preserve"> </w:t>
      </w:r>
      <m:oMath>
        <m:sSub>
          <m:e>
            <m:r>
              <m:t>σ</m:t>
            </m:r>
          </m:e>
          <m:sub>
            <m:r>
              <m:t>e</m:t>
            </m:r>
            <m:r>
              <m:t>f</m:t>
            </m:r>
            <m:r>
              <m:t>f</m:t>
            </m:r>
          </m:sub>
        </m:sSub>
      </m:oMath>
      <w:r>
        <w:rPr>
          <w:i/>
          <w:iCs/>
        </w:rPr>
        <w:t xml:space="preserve"> </w:t>
      </w:r>
      <w:r>
        <w:rPr>
          <w:i/>
          <w:iCs/>
        </w:rPr>
        <w:t xml:space="preserve">at the gathering site; (right) cross-cultural — signaling threshold present at adjacent eastern Archaic monument-builders (Stallings, Green River, Mulberry Creek) where local</w:t>
      </w:r>
      <w:r>
        <w:rPr>
          <w:i/>
          <w:iCs/>
        </w:rPr>
        <w:t xml:space="preserve"> </w:t>
      </w:r>
      <m:oMath>
        <m:r>
          <m:t>ε</m:t>
        </m:r>
      </m:oMath>
      <w:r>
        <w:rPr>
          <w:i/>
          <w:iCs/>
        </w:rPr>
        <w:t xml:space="preserve"> </w:t>
      </w:r>
      <w:r>
        <w:rPr>
          <w:i/>
          <w:iCs/>
        </w:rPr>
        <w:t xml:space="preserve">and</w:t>
      </w:r>
      <w:r>
        <w:rPr>
          <w:i/>
          <w:iCs/>
        </w:rPr>
        <w:t xml:space="preserve"> </w:t>
      </w:r>
      <m:oMath>
        <m:r>
          <m:t>σ</m:t>
        </m:r>
      </m:oMath>
      <w:r>
        <w:rPr>
          <w:i/>
          <w:iCs/>
        </w:rPr>
        <w:t xml:space="preserve"> </w:t>
      </w:r>
      <w:r>
        <w:rPr>
          <w:i/>
          <w:iCs/>
        </w:rPr>
        <w:t xml:space="preserve">exceed the framework’s bounds, absent in western Archaic settings where prairie dominance reduces ecotone integration.</w:t>
      </w:r>
    </w:p>
    <w:p>
      <w:r>
        <w:pict>
          <v:rect style="width:0;height:1.5pt" o:hralign="center" o:hrstd="t" o:hr="t"/>
        </w:pict>
      </w:r>
    </w:p>
    <w:bookmarkEnd w:id="46"/>
    <w:bookmarkStart w:id="49" w:name="X465b2bbca3bb02ad49f290e18c81cf7849187fc"/>
    <w:p>
      <w:pPr>
        <w:pStyle w:val="Heading2"/>
      </w:pPr>
      <w:r>
        <w:t xml:space="preserve">S5. Priority extensions to the framework structure</w:t>
      </w:r>
    </w:p>
    <w:p>
      <w:pPr>
        <w:pStyle w:val="FirstParagraph"/>
      </w:pPr>
      <w:r>
        <w:t xml:space="preserve">This section reports two unnumbered structural-architecture extensions: a near-threshold parameter sweep of the signaling apparatus (§S5.1), and a restructured network-saturation function that lets the cooperation-network channel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t xml:space="preserve">S5.1 Near-threshold parameter sweep of the full signaling apparatus</w:t>
      </w:r>
    </w:p>
    <w:p>
      <w:pPr>
        <w:pStyle w:val="FirstParagraph"/>
      </w:pPr>
      <w:r>
        <w:t xml:space="preserve">The full signaling apparatus is implemented in main §2.2 (signal-conditional partner formation, tie-strength-weighted shortfall help, direct</w:t>
      </w:r>
      <w:r>
        <w:t xml:space="preserve"> </w:t>
      </w:r>
      <m:oMath>
        <m:sSub>
          <m:e>
            <m:r>
              <m:t>σ</m:t>
            </m:r>
          </m:e>
          <m:sub>
            <m:r>
              <m:t>e</m:t>
            </m:r>
            <m:r>
              <m:t>f</m:t>
            </m:r>
            <m:r>
              <m:t>f</m:t>
            </m:r>
          </m:sub>
        </m:sSub>
      </m:oMath>
      <w:r>
        <w:t xml:space="preserve"> </w:t>
      </w:r>
      <w:r>
        <w:t xml:space="preserve">coupling). We test whether removing the apparatus produces measurable threshold shifts in parameter regimes near</w:t>
      </w:r>
      <w:r>
        <w:t xml:space="preserve"> </w:t>
      </w:r>
      <m:oMath>
        <m:sSup>
          <m:e>
            <m:r>
              <m:t>σ</m:t>
            </m:r>
          </m:e>
          <m:sup>
            <m:r>
              <m:rPr>
                <m:sty m:val="p"/>
              </m:rPr>
              <m:t>*</m:t>
            </m:r>
          </m:sup>
        </m:sSup>
      </m:oMath>
      <w:r>
        <w:t xml:space="preserve">, where small fitness differentials matter most.</w:t>
      </w:r>
    </w:p>
    <w:p>
      <w:pPr>
        <w:pStyle w:val="BodyText"/>
      </w:pPr>
      <w:r>
        <w:t xml:space="preserve">In plain terms: removing the signaling apparatus does two things to the analytical equilibrium. It raises the uncertainty threshold needed to make aggregation adaptive (from</w:t>
      </w:r>
      <w:r>
        <w:t xml:space="preserve"> </w:t>
      </w:r>
      <m:oMath>
        <m:r>
          <m:t>σ</m:t>
        </m:r>
        <m:r>
          <m:rPr>
            <m:sty m:val="p"/>
          </m:rPr>
          <m:t>≈</m:t>
        </m:r>
        <m:r>
          <m:t>0.40</m:t>
        </m:r>
      </m:oMath>
      <w:r>
        <w:t xml:space="preserve"> </w:t>
      </w:r>
      <w:r>
        <w:t xml:space="preserve">to</w:t>
      </w:r>
      <w:r>
        <w:t xml:space="preserve"> </w:t>
      </w:r>
      <m:oMath>
        <m:r>
          <m:t>σ</m:t>
        </m:r>
        <m:r>
          <m:rPr>
            <m:sty m:val="p"/>
          </m:rPr>
          <m:t>≈</m:t>
        </m:r>
        <m:r>
          <m:t>0.54</m:t>
        </m:r>
      </m:oMath>
      <w:r>
        <w:t xml:space="preserve">), and it shrinks how much monument stock eventually accumulates by an order of magnitude. A</w:t>
      </w:r>
      <w:r>
        <w:t xml:space="preserve"> </w:t>
      </w:r>
      <m:oMath>
        <m:r>
          <m:t>σ</m:t>
        </m:r>
      </m:oMath>
      <w:r>
        <w:t xml:space="preserve"> </w:t>
      </w:r>
      <w:r>
        <w:t xml:space="preserve">sweep across</w:t>
      </w:r>
      <w:r>
        <w:t xml:space="preserve"> </w:t>
      </w:r>
      <m:oMath>
        <m:r>
          <m:rPr>
            <m:sty m:val="p"/>
          </m:rPr>
          <m:t>[</m:t>
        </m:r>
        <m:r>
          <m:t>0.30</m:t>
        </m:r>
        <m:r>
          <m:rPr>
            <m:sty m:val="p"/>
          </m:rPr>
          <m:t>,</m:t>
        </m:r>
        <m:r>
          <m:t>0.65</m:t>
        </m:r>
        <m:r>
          <m:rPr>
            <m:sty m:val="p"/>
          </m:rPr>
          <m:t>]</m:t>
        </m:r>
      </m:oMath>
      <w:r>
        <w:t xml:space="preserve"> </w:t>
      </w:r>
      <w:r>
        <w:t xml:space="preserve">at PP-equivalent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compares the analytical equilibrium under signal-conditional (</w:t>
      </w:r>
      <m:oMath>
        <m:sSub>
          <m:e>
            <m:r>
              <m:t>λ</m:t>
            </m:r>
          </m:e>
          <m:sub>
            <m:r>
              <m:t>W</m:t>
            </m:r>
          </m:sub>
        </m:sSub>
        <m:r>
          <m:rPr>
            <m:sty m:val="p"/>
          </m:rPr>
          <m:t>=</m:t>
        </m:r>
        <m:r>
          <m:t>0.15</m:t>
        </m:r>
      </m:oMath>
      <w:r>
        <w:t xml:space="preserve">) and signal-blind (</w:t>
      </w:r>
      <m:oMath>
        <m:sSub>
          <m:e>
            <m:r>
              <m:t>λ</m:t>
            </m:r>
          </m:e>
          <m:sub>
            <m:r>
              <m:t>W</m:t>
            </m:r>
          </m:sub>
        </m:sSub>
        <m:r>
          <m:rPr>
            <m:sty m:val="p"/>
          </m:rPr>
          <m:t>=</m:t>
        </m:r>
        <m:r>
          <m:t>0</m:t>
        </m:r>
      </m:oMath>
      <w:r>
        <w:t xml:space="preserve">) parameterizations. Results: signal-conditional gives</w:t>
      </w:r>
      <w:r>
        <w:t xml:space="preserve"> </w:t>
      </w:r>
      <m:oMath>
        <m:sSubSup>
          <m:e>
            <m:r>
              <m:t>σ</m:t>
            </m:r>
          </m:e>
          <m:sub>
            <m:r>
              <m:rPr>
                <m:nor/>
                <m:sty m:val="p"/>
              </m:rPr>
              <m:t>signal</m:t>
            </m:r>
          </m:sub>
          <m:sup>
            <m:r>
              <m:rPr>
                <m:sty m:val="p"/>
              </m:rPr>
              <m:t>*</m:t>
            </m:r>
          </m:sup>
        </m:sSubSup>
        <m:r>
          <m:rPr>
            <m:sty m:val="p"/>
          </m:rPr>
          <m:t>=</m:t>
        </m:r>
        <m:r>
          <m:t>0.400</m:t>
        </m:r>
      </m:oMath>
      <w:r>
        <w:t xml:space="preserve"> </w:t>
      </w:r>
      <w:r>
        <w:t xml:space="preserve">and equilibrium</w:t>
      </w:r>
      <w:r>
        <w:t xml:space="preserve"> </w:t>
      </w:r>
      <m:oMath>
        <m:sSub>
          <m:e>
            <m:r>
              <m:t>M</m:t>
            </m:r>
          </m:e>
          <m:sub>
            <m:r>
              <m:t>g</m:t>
            </m:r>
          </m:sub>
        </m:sSub>
        <m:r>
          <m:rPr>
            <m:sty m:val="p"/>
          </m:rPr>
          <m:t>=</m:t>
        </m:r>
        <m:r>
          <m:t>129.78</m:t>
        </m:r>
      </m:oMath>
      <w:r>
        <w:t xml:space="preserve">; signal-blind gives</w:t>
      </w:r>
      <w:r>
        <w:t xml:space="preserve"> </w:t>
      </w:r>
      <m:oMath>
        <m:sSubSup>
          <m:e>
            <m:r>
              <m:t>σ</m:t>
            </m:r>
          </m:e>
          <m:sub>
            <m:r>
              <m:rPr>
                <m:nor/>
                <m:sty m:val="p"/>
              </m:rPr>
              <m:t>blind</m:t>
            </m:r>
          </m:sub>
          <m:sup>
            <m:r>
              <m:rPr>
                <m:sty m:val="p"/>
              </m:rPr>
              <m:t>*</m:t>
            </m:r>
          </m:sup>
        </m:sSubSup>
        <m:r>
          <m:rPr>
            <m:sty m:val="p"/>
          </m:rPr>
          <m:t>=</m:t>
        </m:r>
        <m:r>
          <m:t>0.543</m:t>
        </m:r>
      </m:oMath>
      <w:r>
        <w:t xml:space="preserve"> </w:t>
      </w:r>
      <w:r>
        <w:t xml:space="preserve">and equilibrium</w:t>
      </w:r>
      <w:r>
        <w:t xml:space="preserve"> </w:t>
      </w:r>
      <m:oMath>
        <m:sSub>
          <m:e>
            <m:r>
              <m:t>M</m:t>
            </m:r>
          </m:e>
          <m:sub>
            <m:r>
              <m:t>g</m:t>
            </m:r>
          </m:sub>
        </m:sSub>
        <m:r>
          <m:rPr>
            <m:sty m:val="p"/>
          </m:rPr>
          <m:t>=</m:t>
        </m:r>
        <m:r>
          <m:t>11.83</m:t>
        </m:r>
      </m:oMath>
      <w:r>
        <w:t xml:space="preserve"> </w:t>
      </w:r>
      <w:r>
        <w:t xml:space="preserve">(an 11</w:t>
      </w:r>
      <m:oMath>
        <m:r>
          <m:rPr>
            <m:sty m:val="p"/>
          </m:rPr>
          <m:t>×</m:t>
        </m:r>
      </m:oMath>
      <w:r>
        <w:t xml:space="preserve"> </w:t>
      </w:r>
      <w:r>
        <w:t xml:space="preserve">reduction in attainable monument stock).</w:t>
      </w:r>
    </w:p>
    <w:p>
      <w:pPr>
        <w:pStyle w:val="BodyText"/>
      </w:pPr>
      <w:r>
        <w:t xml:space="preserve">Six</w:t>
      </w:r>
      <w:r>
        <w:t xml:space="preserve"> </w:t>
      </w:r>
      <m:oMath>
        <m:r>
          <m:t>σ</m:t>
        </m:r>
      </m:oMath>
      <w:r>
        <w:t xml:space="preserve"> </w:t>
      </w:r>
      <w:r>
        <w:t xml:space="preserve">values in the sweep range</w:t>
      </w:r>
      <w:r>
        <w:t xml:space="preserve"> </w:t>
      </w:r>
      <m:oMath>
        <m:r>
          <m:rPr>
            <m:sty m:val="p"/>
          </m:rPr>
          <m:t>[</m:t>
        </m:r>
        <m:r>
          <m:t>0.40</m:t>
        </m:r>
        <m:r>
          <m:rPr>
            <m:sty m:val="p"/>
          </m:rPr>
          <m:t>,</m:t>
        </m:r>
        <m:r>
          <m:t>0.525</m:t>
        </m:r>
        <m:r>
          <m:rPr>
            <m:sty m:val="p"/>
          </m:rPr>
          <m:t>]</m:t>
        </m:r>
      </m:oMath>
      <w:r>
        <w:t xml:space="preserve"> </w:t>
      </w:r>
      <w:r>
        <w:t xml:space="preserve">flip regime classification across the ablation: with signaling, those</w:t>
      </w:r>
      <w:r>
        <w:t xml:space="preserve"> </w:t>
      </w:r>
      <m:oMath>
        <m:r>
          <m:t>σ</m:t>
        </m:r>
      </m:oMath>
      <w:r>
        <w:t xml:space="preserve"> </w:t>
      </w:r>
      <w:r>
        <w:t xml:space="preserve">values are above threshold (aggregation adaptive); without, they are below threshold (independent foraging adaptive). At</w:t>
      </w:r>
      <w:r>
        <w:t xml:space="preserve"> </w:t>
      </w:r>
      <m:oMath>
        <m:r>
          <m:t>σ</m:t>
        </m:r>
        <m:r>
          <m:rPr>
            <m:sty m:val="p"/>
          </m:rPr>
          <m:t>=</m:t>
        </m:r>
        <m:r>
          <m:t>0.64</m:t>
        </m:r>
      </m:oMath>
      <w:r>
        <w:t xml:space="preserve"> </w:t>
      </w:r>
      <w:r>
        <w:t xml:space="preserve">(PP-equivalent), both are above their respective thresholds and the equilibrium</w:t>
      </w:r>
      <w:r>
        <w:t xml:space="preserve"> </w:t>
      </w:r>
      <m:oMath>
        <m:sSub>
          <m:e>
            <m:r>
              <m:t>M</m:t>
            </m:r>
          </m:e>
          <m:sub>
            <m:r>
              <m:t>g</m:t>
            </m:r>
          </m:sub>
        </m:sSub>
      </m:oMath>
      <w:r>
        <w:t xml:space="preserve"> </w:t>
      </w:r>
      <w:r>
        <w:t xml:space="preserve">comparison is between the same 129.78 vs 11.83 (signaling produces 11</w:t>
      </w:r>
      <m:oMath>
        <m:r>
          <m:rPr>
            <m:sty m:val="p"/>
          </m:rPr>
          <m:t>×</m:t>
        </m:r>
      </m:oMath>
      <w:r>
        <w:t xml:space="preserve"> </w:t>
      </w:r>
      <w:r>
        <w:t xml:space="preserve">more equilibrium monument); the equilibrium difference is therefore not a function of</w:t>
      </w:r>
      <w:r>
        <w:t xml:space="preserve"> </w:t>
      </w:r>
      <m:oMath>
        <m:r>
          <m:t>σ</m:t>
        </m:r>
      </m:oMath>
      <w:r>
        <w:t xml:space="preserve"> </w:t>
      </w:r>
      <w:r>
        <w:t xml:space="preserve">but of whether the apparatus is engaged at all.</w:t>
      </w:r>
    </w:p>
    <w:p>
      <w:pPr>
        <w:pStyle w:val="BodyText"/>
      </w:pPr>
      <w:r>
        <w:t xml:space="preserve">The substantive point: the signaling apparatus expands the parameter region in which aggregation is adaptive by widening the threshold by 0.143 in</w:t>
      </w:r>
      <w:r>
        <w:t xml:space="preserve"> </w:t>
      </w:r>
      <m:oMath>
        <m:r>
          <m:t>σ</m:t>
        </m:r>
      </m:oMath>
      <w:r>
        <w:t xml:space="preserve"> </w:t>
      </w:r>
      <w:r>
        <w:t xml:space="preserve">space, and amplifies the equilibrium monument stock 11</w:t>
      </w:r>
      <m:oMath>
        <m:r>
          <m:rPr>
            <m:sty m:val="p"/>
          </m:rPr>
          <m:t>×</m:t>
        </m:r>
      </m:oMath>
      <w:r>
        <w:t xml:space="preserve"> </w:t>
      </w:r>
      <w:r>
        <w:t xml:space="preserve">when present. Sites at</w:t>
      </w:r>
      <w:r>
        <w:t xml:space="preserve"> </w:t>
      </w:r>
      <m:oMath>
        <m:r>
          <m:t>σ</m:t>
        </m:r>
        <m:r>
          <m:rPr>
            <m:sty m:val="p"/>
          </m:rPr>
          <m:t>≈</m:t>
        </m:r>
        <m:r>
          <m:t>0.56</m:t>
        </m:r>
      </m:oMath>
      <w:r>
        <w:t xml:space="preserve">,</w:t>
      </w:r>
      <w:r>
        <w:t xml:space="preserve"> </w:t>
      </w:r>
      <m:oMath>
        <m:r>
          <m:t>ε</m:t>
        </m:r>
        <m:r>
          <m:rPr>
            <m:sty m:val="p"/>
          </m:rPr>
          <m:t>≈</m:t>
        </m:r>
        <m:r>
          <m:t>0.43</m:t>
        </m:r>
      </m:oMath>
      <w:r>
        <w:t xml:space="preserve"> </w:t>
      </w:r>
      <w: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t xml:space="preserve"> </w:t>
      </w:r>
      <w:r>
        <w:t xml:space="preserve">margin range, not just for whether more monument accumulates above threshold).</w:t>
      </w:r>
    </w:p>
    <w:p>
      <w:pPr>
        <w:pStyle w:val="BodyText"/>
      </w:pPr>
      <w:r>
        <w:t xml:space="preserve">Reproducible from</w:t>
      </w:r>
      <w:r>
        <w:t xml:space="preserve"> </w:t>
      </w:r>
      <w:r>
        <w:rPr>
          <w:rStyle w:val="VerbatimChar"/>
        </w:rPr>
        <w:t xml:space="preserve">scripts/analysis/near_threshold_ablation.py</w:t>
      </w:r>
      <w:r>
        <w:t xml:space="preserve">; outputs in</w:t>
      </w:r>
      <w:r>
        <w:t xml:space="preserve"> </w:t>
      </w:r>
      <w:r>
        <w:rPr>
          <w:rStyle w:val="VerbatimChar"/>
        </w:rPr>
        <w:t xml:space="preserve">results/sensitivity/near_threshold_ablation.json</w:t>
      </w:r>
      <w: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t xml:space="preserve">S5.2 Restructured network-saturation function</w:t>
      </w:r>
    </w:p>
    <w:p>
      <w:pPr>
        <w:pStyle w:val="FirstParagraph"/>
      </w:pPr>
      <w:r>
        <w:t xml:space="preserve">In plain terms: the original</w:t>
      </w:r>
      <w:r>
        <w:t xml:space="preserve"> </w:t>
      </w:r>
      <m:oMath>
        <m:sSub>
          <m:e>
            <m:r>
              <m:t>λ</m:t>
            </m:r>
          </m:e>
          <m:sub>
            <m:r>
              <m:t>X</m:t>
            </m:r>
          </m:sub>
        </m:sSub>
      </m:oMath>
      <w:r>
        <w:t xml:space="preserve"> </w:t>
      </w:r>
      <w:r>
        <w:t xml:space="preserve">is a</w:t>
      </w:r>
      <w:r>
        <w:t xml:space="preserve"> </w:t>
      </w:r>
      <w:r>
        <w:rPr>
          <w:i/>
          <w:iCs/>
        </w:rPr>
        <w:t xml:space="preserve">marginal-benefit</w:t>
      </w:r>
      <w:r>
        <w:t xml:space="preserve"> </w:t>
      </w:r>
      <w:r>
        <w:t xml:space="preserve">term, measuring the</w:t>
      </w:r>
      <w:r>
        <w:t xml:space="preserve"> </w:t>
      </w:r>
      <w:r>
        <w:rPr>
          <w:i/>
          <w:iCs/>
        </w:rPr>
        <w:t xml:space="preserve">additional</w:t>
      </w:r>
      <w:r>
        <w:t xml:space="preserve"> </w:t>
      </w:r>
      <w: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t xml:space="preserve"> </w:t>
      </w:r>
      <w:r>
        <w:rPr>
          <w:i/>
          <w:iCs/>
        </w:rPr>
        <w:t xml:space="preserve">total</w:t>
      </w:r>
      <w:r>
        <w:t xml:space="preserve"> </w:t>
      </w:r>
      <w:r>
        <w:t xml:space="preserve">network-value-times-monument-quality, which remains non-trivial at equilibrium. The partial-derivative notation</w:t>
      </w:r>
      <w:r>
        <w:t xml:space="preserve"> </w:t>
      </w:r>
      <m:oMath>
        <m:r>
          <m:rPr>
            <m:sty m:val="p"/>
          </m:rPr>
          <m:t>(</m:t>
        </m:r>
        <m:r>
          <m:rPr>
            <m:sty m:val="p"/>
          </m:rPr>
          <m:t>∂</m:t>
        </m:r>
        <m:r>
          <m:t>k</m:t>
        </m:r>
        <m:r>
          <m:rPr>
            <m:sty m:val="p"/>
          </m:rPr>
          <m:t>/</m:t>
        </m:r>
        <m:r>
          <m:rPr>
            <m:sty m:val="p"/>
          </m:rPr>
          <m:t>∂</m:t>
        </m:r>
        <m:sSub>
          <m:e>
            <m:r>
              <m:t>M</m:t>
            </m:r>
          </m:e>
          <m:sub>
            <m:r>
              <m:t>g</m:t>
            </m:r>
          </m:sub>
        </m:sSub>
        <m:r>
          <m:rPr>
            <m:sty m:val="p"/>
          </m:rPr>
          <m:t>)</m:t>
        </m:r>
      </m:oMath>
      <w:r>
        <w:t xml:space="preserve"> </w:t>
      </w:r>
      <w:r>
        <w:t xml:space="preserve">can be read informally as</w:t>
      </w:r>
      <w:r>
        <w:t xml:space="preserve"> </w:t>
      </w:r>
      <w:r>
        <w:t xml:space="preserve">“rate of change of</w:t>
      </w:r>
      <w:r>
        <w:t xml:space="preserve"> </w:t>
      </w:r>
      <m:oMath>
        <m:r>
          <m:t>k</m:t>
        </m:r>
      </m:oMath>
      <w:r>
        <w:t xml:space="preserve"> </w:t>
      </w:r>
      <w:r>
        <w:t xml:space="preserve">with</w:t>
      </w:r>
      <w:r>
        <w:t xml:space="preserve"> </w:t>
      </w:r>
      <m:oMath>
        <m:sSub>
          <m:e>
            <m:r>
              <m:t>M</m:t>
            </m:r>
          </m:e>
          <m:sub>
            <m:r>
              <m:t>g</m:t>
            </m:r>
          </m:sub>
        </m:sSub>
      </m:oMath>
      <w:r>
        <w:t xml:space="preserve">.”</w:t>
      </w:r>
      <w:r>
        <w:t xml:space="preserve"> </w:t>
      </w:r>
      <w:r>
        <w:t xml:space="preserve">Formally, at the original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collapse to near-zero at equilibrium (saturation of</w:t>
      </w:r>
      <w:r>
        <w:t xml:space="preserve"> </w:t>
      </w:r>
      <m:oMath>
        <m:r>
          <m:t>k</m:t>
        </m:r>
        <m:r>
          <m:rPr>
            <m:sty m:val="p"/>
          </m:rPr>
          <m:t>(</m:t>
        </m:r>
        <m:sSub>
          <m:e>
            <m:r>
              <m:t>M</m:t>
            </m:r>
          </m:e>
          <m:sub>
            <m:r>
              <m:t>g</m:t>
            </m:r>
          </m:sub>
        </m:sSub>
        <m:r>
          <m:rPr>
            <m:sty m:val="p"/>
          </m:rPr>
          <m:t>)</m:t>
        </m:r>
      </m:oMath>
      <w:r>
        <w:t xml:space="preserve"> </w:t>
      </w:r>
      <w:r>
        <w:t xml:space="preserve">at large</w:t>
      </w:r>
      <w:r>
        <w:t xml:space="preserve"> </w:t>
      </w:r>
      <m:oMath>
        <m:sSub>
          <m:e>
            <m:r>
              <m:t>M</m:t>
            </m:r>
          </m:e>
          <m:sub>
            <m:r>
              <m:t>g</m:t>
            </m:r>
          </m:sub>
        </m:sSub>
      </m:oMath>
      <w:r>
        <w:t xml:space="preserve"> </w:t>
      </w:r>
      <w:r>
        <w:t xml:space="preserve">makes their marginal contributions vanish), so the signaling-vs-cooperation ablation reduces to the effect of removing</w:t>
      </w:r>
      <w:r>
        <w:t xml:space="preserve"> </w:t>
      </w:r>
      <m:oMath>
        <m:sSub>
          <m:e>
            <m:r>
              <m:t>λ</m:t>
            </m:r>
          </m:e>
          <m:sub>
            <m:r>
              <m:t>W</m:t>
            </m:r>
          </m:sub>
        </m:sSub>
      </m:oMath>
      <w:r>
        <w:t xml:space="preserve"> </w:t>
      </w:r>
      <w:r>
        <w:t xml:space="preserve">alone. We add a non-marginal</w:t>
      </w:r>
      <w:r>
        <w:t xml:space="preserve"> </w:t>
      </w:r>
      <w:r>
        <w:t xml:space="preserve">“network-density value”</w:t>
      </w:r>
      <w:r>
        <w:t xml:space="preserve"> </w:t>
      </w:r>
      <w:r>
        <w:t xml:space="preserve">term to</w:t>
      </w:r>
      <w:r>
        <w:t xml:space="preserve"> </w:t>
      </w:r>
      <m:oMath>
        <m:sSub>
          <m:e>
            <m:r>
              <m:t>λ</m:t>
            </m:r>
          </m:e>
          <m:sub>
            <m:r>
              <m:t>X</m:t>
            </m:r>
          </m:sub>
        </m:sSub>
      </m:oMath>
      <w:r>
        <w:t xml:space="preserve"> </w:t>
      </w:r>
      <w:r>
        <w:t xml:space="preserve">proportional to the equilibrium survival benefit, weighted by a parameter</w:t>
      </w:r>
      <w:r>
        <w:t xml:space="preserve"> </w:t>
      </w:r>
      <m:oMath>
        <m:sSub>
          <m:e>
            <m:r>
              <m:t>ξ</m:t>
            </m:r>
          </m:e>
          <m:sub>
            <m:r>
              <m:t>X</m:t>
            </m:r>
          </m:sub>
        </m:sSub>
      </m:oMath>
      <w:r>
        <w:t xml:space="preserve"> </w:t>
      </w:r>
      <w:r>
        <w:t xml:space="preserve">and a saturating monument-quality multiplier</w:t>
      </w:r>
      <w: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t xml:space="preserve"> </w:t>
      </w:r>
      <w:r>
        <w:t xml:space="preserve">with</w:t>
      </w:r>
      <w:r>
        <w:t xml:space="preserve"> </w:t>
      </w:r>
      <m:oMath>
        <m:sSub>
          <m:e>
            <m:r>
              <m:t>M</m:t>
            </m:r>
          </m:e>
          <m:sub>
            <m:r>
              <m:t>q</m:t>
            </m:r>
            <m:r>
              <m:t>u</m:t>
            </m:r>
            <m:r>
              <m:t>a</m:t>
            </m:r>
            <m:r>
              <m:t>l</m:t>
            </m:r>
            <m:r>
              <m:t>i</m:t>
            </m:r>
            <m:r>
              <m:t>t</m:t>
            </m:r>
            <m:r>
              <m:t>y</m:t>
            </m:r>
          </m:sub>
        </m:sSub>
        <m:r>
          <m:rPr>
            <m:sty m:val="p"/>
          </m:rPr>
          <m:t>=</m:t>
        </m:r>
        <m:r>
          <m:t>50</m:t>
        </m:r>
      </m:oMath>
      <w: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t xml:space="preserve">At</w:t>
      </w:r>
      <w:r>
        <w:t xml:space="preserve"> </w:t>
      </w:r>
      <m:oMath>
        <m:sSub>
          <m:e>
            <m:r>
              <m:t>ξ</m:t>
            </m:r>
          </m:e>
          <m:sub>
            <m:r>
              <m:t>X</m:t>
            </m:r>
          </m:sub>
        </m:sSub>
        <m:r>
          <m:rPr>
            <m:sty m:val="p"/>
          </m:rPr>
          <m:t>=</m:t>
        </m:r>
        <m:r>
          <m:t>0</m:t>
        </m:r>
      </m:oMath>
      <w:r>
        <w:t xml:space="preserve"> </w:t>
      </w:r>
      <w:r>
        <w:t xml:space="preserve">(default), this reduces to the original saturating form. At</w:t>
      </w:r>
      <w:r>
        <w:t xml:space="preserve"> </w:t>
      </w:r>
      <m:oMath>
        <m:sSub>
          <m:e>
            <m:r>
              <m:t>ξ</m:t>
            </m:r>
          </m:e>
          <m:sub>
            <m:r>
              <m:t>X</m:t>
            </m:r>
          </m:sub>
        </m:sSub>
        <m:r>
          <m:rPr>
            <m:sty m:val="p"/>
          </m:rPr>
          <m:t>=</m:t>
        </m:r>
        <m:r>
          <m:t>0.5</m:t>
        </m:r>
      </m:oMath>
      <w:r>
        <w:t xml:space="preserve">, the non-marginal term contributes</w:t>
      </w:r>
      <w:r>
        <w:t xml:space="preserve"> </w:t>
      </w:r>
      <m:oMath>
        <m:r>
          <m:rPr>
            <m:sty m:val="p"/>
          </m:rPr>
          <m:t>∼</m:t>
        </m:r>
        <m:r>
          <m:t>0.03</m:t>
        </m:r>
      </m:oMath>
      <w:r>
        <w:t xml:space="preserve"> </w:t>
      </w:r>
      <w:r>
        <w:t xml:space="preserve">at equilibrium, giving</w:t>
      </w:r>
      <w: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t xml:space="preserve"> </w:t>
      </w:r>
      <w:r>
        <w:t xml:space="preserve">vs the original</w:t>
      </w:r>
      <w:r>
        <w:t xml:space="preserve"> </w:t>
      </w:r>
      <m:oMath>
        <m:r>
          <m:rPr>
            <m:sty m:val="p"/>
          </m:rPr>
          <m:t>∼</m:t>
        </m:r>
        <m:r>
          <m:t>0.000</m:t>
        </m:r>
      </m:oMath>
      <w:r>
        <w:t xml:space="preserve">. Sweeping</w:t>
      </w:r>
      <w: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t xml:space="preserve"> </w:t>
      </w:r>
      <w:r>
        <w:t xml:space="preserve">at PP-equivalent parameters: the threshold shift from full apparatus to signal-blind (</w:t>
      </w:r>
      <m:oMath>
        <m:sSub>
          <m:e>
            <m:r>
              <m:t>λ</m:t>
            </m:r>
          </m:e>
          <m:sub>
            <m:r>
              <m:t>W</m:t>
            </m:r>
          </m:sub>
        </m:sSub>
        <m:r>
          <m:rPr>
            <m:sty m:val="p"/>
          </m:rPr>
          <m:t>=</m:t>
        </m:r>
        <m:r>
          <m:t>0</m:t>
        </m:r>
      </m:oMath>
      <w:r>
        <w:t xml:space="preserve">) ablation is +36.0%, +36.8%, +37.2% respectively, essentially unchanged. The qualitative result (signaling lowers the threshold by ~36%) is robust to the structural change.</w:t>
      </w:r>
    </w:p>
    <w:p>
      <w:pPr>
        <w:pStyle w:val="BodyText"/>
      </w:pPr>
      <w:r>
        <w:t xml:space="preserve">What the restructured formulation provides is</w:t>
      </w:r>
      <w:r>
        <w:t xml:space="preserve"> </w:t>
      </w:r>
      <w:r>
        <w:rPr>
          <w:i/>
          <w:iCs/>
        </w:rPr>
        <w:t xml:space="preserve">interpretive</w:t>
      </w:r>
      <w:r>
        <w:t xml:space="preserve">: under</w:t>
      </w:r>
      <w:r>
        <w:t xml:space="preserve"> </w:t>
      </w:r>
      <m:oMath>
        <m:sSub>
          <m:e>
            <m:r>
              <m:t>ξ</m:t>
            </m:r>
          </m:e>
          <m:sub>
            <m:r>
              <m:t>X</m:t>
            </m:r>
          </m:sub>
        </m:sSub>
        <m:r>
          <m:rPr>
            <m:sty m:val="p"/>
          </m:rPr>
          <m:t>=</m:t>
        </m:r>
        <m:r>
          <m:t>0.5</m:t>
        </m:r>
      </m:oMath>
      <w:r>
        <w:t xml:space="preserve">, the ablation removes</w:t>
      </w:r>
      <w:r>
        <w:t xml:space="preserve"> </w:t>
      </w:r>
      <m:oMath>
        <m:sSub>
          <m:e>
            <m:r>
              <m:t>λ</m:t>
            </m:r>
          </m:e>
          <m:sub>
            <m:r>
              <m:t>W</m:t>
            </m:r>
          </m:sub>
        </m:sSub>
      </m:oMath>
      <w:r>
        <w:t xml:space="preserve"> </w:t>
      </w:r>
      <w:r>
        <w:t xml:space="preserve">from a system in which</w:t>
      </w:r>
      <w:r>
        <w:t xml:space="preserve"> </w:t>
      </w:r>
      <m:oMath>
        <m:sSub>
          <m:e>
            <m:r>
              <m:t>λ</m:t>
            </m:r>
          </m:e>
          <m:sub>
            <m:r>
              <m:t>X</m:t>
            </m:r>
          </m:sub>
        </m:sSub>
        <m:r>
          <m:rPr>
            <m:sty m:val="p"/>
          </m:rPr>
          <m:t>=</m:t>
        </m:r>
        <m:r>
          <m:t>0.032</m:t>
        </m:r>
      </m:oMath>
      <w:r>
        <w:t xml:space="preserve"> </w:t>
      </w:r>
      <w:r>
        <w:t xml:space="preserve">is also doing real cooperation-network work (the residual</w:t>
      </w:r>
      <w:r>
        <w:t xml:space="preserve"> </w:t>
      </w:r>
      <m:oMath>
        <m:sSub>
          <m:e>
            <m:r>
              <m:t>λ</m:t>
            </m:r>
          </m:e>
          <m:sub>
            <m:r>
              <m:t>X</m:t>
            </m:r>
          </m:sub>
        </m:sSub>
      </m:oMath>
      <w:r>
        <w:t xml:space="preserve"> </w:t>
      </w:r>
      <w:r>
        <w:t xml:space="preserve">with the apparatus removed is itself non-trivial). The signaling-vs-cooperation discrimination is therefore genuine: removing within-group prestige signaling (</w:t>
      </w:r>
      <m:oMath>
        <m:sSub>
          <m:e>
            <m:r>
              <m:t>λ</m:t>
            </m:r>
          </m:e>
          <m:sub>
            <m:r>
              <m:t>W</m:t>
            </m:r>
          </m:sub>
        </m:sSub>
      </m:oMath>
      <w:r>
        <w:t xml:space="preserve">) shifts the threshold by ~37% even when cooperation-network signaling (</w:t>
      </w:r>
      <m:oMath>
        <m:sSub>
          <m:e>
            <m:r>
              <m:t>λ</m:t>
            </m:r>
          </m:e>
          <m:sub>
            <m:r>
              <m:t>X</m:t>
            </m:r>
          </m:sub>
        </m:sSub>
      </m:oMath>
      <w:r>
        <w:t xml:space="preserve">) provides 0.032 of residual incentive.</w:t>
      </w:r>
    </w:p>
    <w:p>
      <w:pPr>
        <w:pStyle w:val="BodyText"/>
      </w:pPr>
      <w:r>
        <w:t xml:space="preserve">The choice of</w:t>
      </w:r>
      <w:r>
        <w:t xml:space="preserve"> </w:t>
      </w:r>
      <m:oMath>
        <m:sSub>
          <m:e>
            <m:r>
              <m:t>ξ</m:t>
            </m:r>
          </m:e>
          <m:sub>
            <m:r>
              <m:t>X</m:t>
            </m:r>
          </m:sub>
        </m:sSub>
        <m:r>
          <m:rPr>
            <m:sty m:val="p"/>
          </m:rPr>
          <m:t>=</m:t>
        </m:r>
        <m:r>
          <m:t>0.5</m:t>
        </m:r>
      </m:oMath>
      <w:r>
        <w:t xml:space="preserve"> </w:t>
      </w:r>
      <w: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t xml:space="preserve"> </w:t>
      </w:r>
      <w:r>
        <w:rPr>
          <w:rStyle w:val="VerbatimChar"/>
        </w:rPr>
        <w:t xml:space="preserve">scripts/analysis/restructured_saturation_test.py</w:t>
      </w:r>
      <w:r>
        <w:t xml:space="preserve">; outputs in</w:t>
      </w:r>
      <w:r>
        <w:t xml:space="preserve"> </w:t>
      </w:r>
      <w:r>
        <w:rPr>
          <w:rStyle w:val="VerbatimChar"/>
        </w:rPr>
        <w:t xml:space="preserve">results/sensitivity/restructured_saturation_test.json</w:t>
      </w:r>
      <w:r>
        <w:t xml:space="preserve">.</w:t>
      </w:r>
    </w:p>
    <w:p>
      <w:r>
        <w:pict>
          <v:rect style="width:0;height:1.5pt" o:hralign="center" o:hrstd="t" o:hr="t"/>
        </w:pict>
      </w:r>
    </w:p>
    <w:bookmarkEnd w:id="48"/>
    <w:bookmarkEnd w:id="49"/>
    <w:bookmarkStart w:id="50" w:name="Xed97e753e5c5342931c94c50e5d17c63b92aa4d"/>
    <w:p>
      <w:pPr>
        <w:pStyle w:val="Heading2"/>
      </w:pPr>
      <w:r>
        <w:t xml:space="preserve">S6. Zone-access scoring rubric for Table 2</w:t>
      </w:r>
    </w:p>
    <w:p>
      <w:pPr>
        <w:pStyle w:val="FirstParagraph"/>
      </w:pPr>
      <w:r>
        <w:t xml:space="preserve">The Shannon ecotone-diversity index in main-text Table 2 is computed from per-site weights</w:t>
      </w:r>
      <w:r>
        <w:t xml:space="preserve"> </w:t>
      </w:r>
      <m:oMath>
        <m:sSub>
          <m:e>
            <m:r>
              <m:t>w</m:t>
            </m:r>
          </m:e>
          <m:sub>
            <m:r>
              <m:t>z</m:t>
            </m:r>
          </m:sub>
        </m:sSub>
        <m:r>
          <m:rPr>
            <m:sty m:val="p"/>
          </m:rPr>
          <m:t>∈</m:t>
        </m:r>
        <m:r>
          <m:rPr>
            <m:sty m:val="p"/>
          </m:rPr>
          <m:t>[</m:t>
        </m:r>
        <m:r>
          <m:t>0</m:t>
        </m:r>
        <m:r>
          <m:rPr>
            <m:sty m:val="p"/>
          </m:rPr>
          <m:t>,</m:t>
        </m:r>
        <m:r>
          <m:t>1</m:t>
        </m:r>
        <m:r>
          <m:rPr>
            <m:sty m:val="p"/>
          </m:rPr>
          <m:t>]</m:t>
        </m:r>
      </m:oMath>
      <w:r>
        <w:t xml:space="preserve"> </w:t>
      </w:r>
      <w:r>
        <w:t xml:space="preserve">for five resource zones</w:t>
      </w:r>
      <w:r>
        <w:t xml:space="preserve"> </w:t>
      </w:r>
      <m:oMath>
        <m:r>
          <m:t>z</m:t>
        </m:r>
      </m:oMath>
      <w: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t xml:space="preserve"> </w:t>
      </w:r>
      <w:r>
        <w:t xml:space="preserve">where</w:t>
      </w:r>
      <w: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t xml:space="preserve">, and</w:t>
      </w:r>
      <w: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t xml:space="preserve"> </w:t>
      </w:r>
      <w:r>
        <w:t xml:space="preserve">with</w:t>
      </w:r>
      <w:r>
        <w:t xml:space="preserve"> </w:t>
      </w:r>
      <m:oMath>
        <m:sSub>
          <m:e>
            <m:r>
              <m:t>H</m:t>
            </m:r>
          </m:e>
          <m:sub>
            <m:r>
              <m:t>m</m:t>
            </m:r>
            <m:r>
              <m:t>a</m:t>
            </m:r>
            <m:r>
              <m:t>x</m:t>
            </m:r>
          </m:sub>
        </m:sSub>
        <m:r>
          <m:rPr>
            <m:sty m:val="p"/>
          </m:rPr>
          <m:t>=</m:t>
        </m:r>
        <m:r>
          <m:rPr>
            <m:sty m:val="p"/>
          </m:rPr>
          <m:t>ln</m:t>
        </m:r>
        <m:r>
          <m:t>5</m:t>
        </m:r>
        <m:r>
          <m:rPr>
            <m:sty m:val="p"/>
          </m:rPr>
          <m:t>≈</m:t>
        </m:r>
        <m:r>
          <m:t>1.609</m:t>
        </m:r>
      </m:oMath>
      <w:r>
        <w:t xml:space="preserve">. The 0.5 ceiling is set to match the upper boundary of the model’s tested</w:t>
      </w:r>
      <w:r>
        <w:t xml:space="preserve"> </w:t>
      </w:r>
      <m:oMath>
        <m:r>
          <m:t>ε</m:t>
        </m:r>
      </m:oMath>
      <w:r>
        <w:t xml:space="preserve"> </w:t>
      </w:r>
      <w:r>
        <w:t xml:space="preserve">range (§S8.5 below); a weighting that uses ε = H/H_max directly (so PP would have ε = 0.98) would push the predicted threshold</w:t>
      </w:r>
      <w:r>
        <w:t xml:space="preserve"> </w:t>
      </w:r>
      <m:oMath>
        <m:sSup>
          <m:e>
            <m:r>
              <m:t>σ</m:t>
            </m:r>
          </m:e>
          <m:sup>
            <m:r>
              <m:rPr>
                <m:sty m:val="p"/>
              </m:rPr>
              <m:t>*</m:t>
            </m:r>
          </m:sup>
        </m:sSup>
      </m:oMath>
      <w:r>
        <w:t xml:space="preserve"> </w:t>
      </w:r>
      <w:r>
        <w:t xml:space="preserve">values closer to zero and would cause more sites to register as well above threshold without changing the rank order.</w:t>
      </w:r>
    </w:p>
    <w:p>
      <w:pPr>
        <w:pStyle w:val="BodyText"/>
      </w:pPr>
      <w:r>
        <w:rPr>
          <w:b/>
          <w:bCs/>
        </w:rPr>
        <w:t xml:space="preserve">Per-site weights used for Table 2.</w:t>
      </w:r>
      <w:r>
        <w:t xml:space="preserve"> </w:t>
      </w:r>
      <w:r>
        <w:t xml:space="preserve">The following weight vectors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t xml:space="preserve">for aquatic, upland, drainage, mast, and prairie zones are the actual values used to compute the Shannon</w:t>
      </w:r>
      <w:r>
        <w:t xml:space="preserve"> </w:t>
      </w:r>
      <m:oMath>
        <m:r>
          <m:t>H</m:t>
        </m:r>
      </m:oMath>
      <w:r>
        <w:t xml:space="preserve"> </w:t>
      </w:r>
      <w: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p>
      <w:r>
        <w:pict>
          <v:rect style="width:0;height:1.5pt" o:hralign="center" o:hrstd="t" o:hr="t"/>
        </w:pict>
      </w:r>
    </w:p>
    <w:bookmarkEnd w:id="50"/>
    <w:bookmarkStart w:id="62" w:name="s7.-detailed-scenario-simulation-results"/>
    <w:p>
      <w:pPr>
        <w:pStyle w:val="Heading2"/>
      </w:pPr>
      <w:r>
        <w:t xml:space="preserve">S7. Detailed scenario simulation results</w:t>
      </w:r>
    </w:p>
    <w:bookmarkStart w:id="51" w:name="Xb76937dec171478a3aaa1ec42b0a72fe24c58e3"/>
    <w:p>
      <w:pPr>
        <w:pStyle w:val="Heading3"/>
      </w:pPr>
      <w:r>
        <w:t xml:space="preserve">S7.0 Status summary of §6 empirical evaluations</w:t>
      </w:r>
    </w:p>
    <w:p>
      <w:pPr>
        <w:pStyle w:val="FirstParagraph"/>
      </w:pPr>
      <w: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1"/>
    <w:bookmarkStart w:id="52" w:name="s7.1-phase-transition-sweep-4.1-and-4.3"/>
    <w:p>
      <w:pPr>
        <w:pStyle w:val="Heading3"/>
      </w:pPr>
      <w:r>
        <w:t xml:space="preserve">S7.1 Phase-transition sweep (§4.1 and §4.3)</w:t>
      </w:r>
    </w:p>
    <w:p>
      <w:pPr>
        <w:pStyle w:val="FirstParagraph"/>
      </w:pPr>
      <w:r>
        <w:t xml:space="preserve">The phase-transition validation in main §4.1 and the signal-conditional vs random-partner ablation in main §4.3 are both produced from a single sweep across seven</w:t>
      </w:r>
      <w:r>
        <w:t xml:space="preserve"> </w:t>
      </w:r>
      <m:oMath>
        <m:sSub>
          <m:e>
            <m:r>
              <m:t>σ</m:t>
            </m:r>
          </m:e>
          <m:sub>
            <m:r>
              <m:t>t</m:t>
            </m:r>
            <m:r>
              <m:t>a</m:t>
            </m:r>
            <m:r>
              <m:t>r</m:t>
            </m:r>
            <m:r>
              <m:t>g</m:t>
            </m:r>
            <m:r>
              <m:t>e</m:t>
            </m:r>
            <m:r>
              <m:t>t</m:t>
            </m:r>
          </m:sub>
        </m:sSub>
      </m:oMath>
      <w:r>
        <w:t xml:space="preserve"> </w:t>
      </w:r>
      <w:r>
        <w:t xml:space="preserve">values at PP-scenario parameters (</w:t>
      </w:r>
      <m:oMath>
        <m:r>
          <m:t>ε</m:t>
        </m:r>
        <m:r>
          <m:rPr>
            <m:sty m:val="p"/>
          </m:rPr>
          <m:t>=</m:t>
        </m:r>
        <m:r>
          <m:t>0.35</m:t>
        </m:r>
      </m:oMath>
      <w:r>
        <w:t xml:space="preserve">):</w:t>
      </w:r>
      <w: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t xml:space="preserve">, with six replicates per cell,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t xml:space="preserve"> </w:t>
      </w:r>
      <m:oMath>
        <m:sSub>
          <m:e>
            <m:r>
              <m:t>σ</m:t>
            </m:r>
          </m:e>
          <m:sub>
            <m:r>
              <m:t>e</m:t>
            </m:r>
            <m:r>
              <m:t>f</m:t>
            </m:r>
            <m:r>
              <m:t>f</m:t>
            </m:r>
          </m:sub>
        </m:sSub>
      </m:oMath>
      <w:r>
        <w:t xml:space="preserve"> </w:t>
      </w:r>
      <w:r>
        <w:t xml:space="preserve">is controlled via the</w:t>
      </w:r>
      <w:r>
        <w:t xml:space="preserve"> </w:t>
      </w:r>
      <w:r>
        <w:rPr>
          <w:rStyle w:val="VerbatimChar"/>
        </w:rPr>
        <w:t xml:space="preserve">ShortfallParams.mean_interval</w:t>
      </w:r>
      <w:r>
        <w:t xml:space="preserve"> </w:t>
      </w:r>
      <w:r>
        <w:t xml:space="preserve">parameter; realized</w:t>
      </w:r>
      <w:r>
        <w:t xml:space="preserve"> </w:t>
      </w:r>
      <m:oMath>
        <m:sSub>
          <m:e>
            <m:r>
              <m:t>σ</m:t>
            </m:r>
          </m:e>
          <m:sub>
            <m:r>
              <m:t>e</m:t>
            </m:r>
            <m:r>
              <m:t>f</m:t>
            </m:r>
            <m:r>
              <m:t>f</m:t>
            </m:r>
          </m:sub>
        </m:sSub>
      </m:oMath>
      <w:r>
        <w:t xml:space="preserve"> </w:t>
      </w:r>
      <w:r>
        <w:t xml:space="preserve">values run from 0.29 at the lowest target to 0.83 at the highest, consistently ~45–50% above target because the integrated simulation applies a coefficient-of-variation-based adjustment to the base sigma derived from</w:t>
      </w:r>
      <w:r>
        <w:t xml:space="preserve"> </w:t>
      </w:r>
      <w:r>
        <w:rPr>
          <w:rStyle w:val="VerbatimChar"/>
        </w:rPr>
        <w:t xml:space="preserve">ShortfallParams.magnitude_mean × √(20/mean_interval)</w:t>
      </w:r>
      <w:r>
        <w:t xml:space="preserve">. The adjustment is monotonic in target sigma and does not affect the qualitative phase-transition signal.</w:t>
      </w:r>
    </w:p>
    <w:p>
      <w:pPr>
        <w:pStyle w:val="BodyText"/>
      </w:pPr>
      <w:r>
        <w:t xml:space="preserve">Per-cell strategy-dominance statistics for both configurations (mean ± sample SD across six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0.079</m:t>
              </m:r>
            </m:oMath>
          </w:p>
        </w:tc>
        <w:tc>
          <w:tcPr/>
          <w:p>
            <w:pPr>
              <w:pStyle w:val="Compact"/>
            </w:pPr>
            <m:oMath>
              <m:r>
                <m:rPr>
                  <m:sty m:val="p"/>
                </m:rPr>
                <m:t>−</m:t>
              </m:r>
              <m:r>
                <m:t>0.426</m:t>
              </m:r>
              <m:r>
                <m:rPr>
                  <m:sty m:val="p"/>
                </m:rPr>
                <m:t>±</m:t>
              </m:r>
              <m:r>
                <m:t>0.038</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0.012</m:t>
              </m:r>
              <m:r>
                <m:rPr>
                  <m:sty m:val="p"/>
                </m:rPr>
                <m:t>±</m:t>
              </m:r>
              <m:r>
                <m:t>0.069</m:t>
              </m:r>
            </m:oMath>
          </w:p>
        </w:tc>
        <w:tc>
          <w:tcPr/>
          <w:p>
            <w:pPr>
              <w:pStyle w:val="Compact"/>
            </w:pPr>
            <m:oMath>
              <m:r>
                <m:rPr>
                  <m:sty m:val="p"/>
                </m:rPr>
                <m:t>+</m:t>
              </m:r>
              <m:r>
                <m:t>0.027</m:t>
              </m:r>
              <m:r>
                <m:rPr>
                  <m:sty m:val="p"/>
                </m:rPr>
                <m:t>±</m:t>
              </m:r>
              <m:r>
                <m:t>0.115</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0.439</m:t>
              </m:r>
              <m:r>
                <m:rPr>
                  <m:sty m:val="p"/>
                </m:rPr>
                <m:t>±</m:t>
              </m:r>
              <m:r>
                <m:t>0.095</m:t>
              </m:r>
            </m:oMath>
          </w:p>
        </w:tc>
        <w:tc>
          <w:tcPr/>
          <w:p>
            <w:pPr>
              <w:pStyle w:val="Compact"/>
            </w:pPr>
            <m:oMath>
              <m:r>
                <m:rPr>
                  <m:sty m:val="p"/>
                </m:rPr>
                <m:t>+</m:t>
              </m:r>
              <m:r>
                <m:t>0.530</m:t>
              </m:r>
              <m:r>
                <m:rPr>
                  <m:sty m:val="p"/>
                </m:rPr>
                <m:t>±</m:t>
              </m:r>
              <m:r>
                <m:t>0.072</m:t>
              </m:r>
            </m:oMath>
          </w:p>
        </w:tc>
      </w:tr>
      <w:tr>
        <w:tc>
          <w:tcPr/>
          <w:p>
            <w:pPr>
              <w:pStyle w:val="Compact"/>
            </w:pPr>
            <w:r>
              <w:t xml:space="preserve">0.40</w:t>
            </w:r>
          </w:p>
        </w:tc>
        <w:tc>
          <w:tcPr/>
          <w:p>
            <w:pPr>
              <w:pStyle w:val="Compact"/>
            </w:pPr>
            <w:r>
              <w:t xml:space="preserve">0.599</w:t>
            </w:r>
          </w:p>
        </w:tc>
        <w:tc>
          <w:tcPr/>
          <w:p>
            <w:pPr>
              <w:pStyle w:val="Compact"/>
            </w:pPr>
            <m:oMath>
              <m:r>
                <m:rPr>
                  <m:sty m:val="p"/>
                </m:rPr>
                <m:t>+</m:t>
              </m:r>
              <m:r>
                <m:t>0.594</m:t>
              </m:r>
              <m:r>
                <m:rPr>
                  <m:sty m:val="p"/>
                </m:rPr>
                <m:t>±</m:t>
              </m:r>
              <m:r>
                <m:t>0.028</m:t>
              </m:r>
            </m:oMath>
          </w:p>
        </w:tc>
        <w:tc>
          <w:tcPr/>
          <w:p>
            <w:pPr>
              <w:pStyle w:val="Compact"/>
            </w:pPr>
            <m:oMath>
              <m:r>
                <m:rPr>
                  <m:sty m:val="p"/>
                </m:rPr>
                <m:t>+</m:t>
              </m:r>
              <m:r>
                <m:t>0.639</m:t>
              </m:r>
              <m:r>
                <m:rPr>
                  <m:sty m:val="p"/>
                </m:rPr>
                <m:t>±</m:t>
              </m:r>
              <m:r>
                <m:t>0.193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0.796</m:t>
              </m:r>
              <m:r>
                <m:rPr>
                  <m:sty m:val="p"/>
                </m:rPr>
                <m:t>±</m:t>
              </m:r>
              <m:r>
                <m:t>0.065</m:t>
              </m:r>
            </m:oMath>
          </w:p>
        </w:tc>
        <w:tc>
          <w:tcPr/>
          <w:p>
            <w:pPr>
              <w:pStyle w:val="Compact"/>
            </w:pPr>
            <m:oMath>
              <m:r>
                <m:rPr>
                  <m:sty m:val="p"/>
                </m:rPr>
                <m:t>+</m:t>
              </m:r>
              <m:r>
                <m:t>0.729</m:t>
              </m:r>
              <m:r>
                <m:rPr>
                  <m:sty m:val="p"/>
                </m:rPr>
                <m:t>±</m:t>
              </m:r>
              <m:r>
                <m:t>0.083</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0.896</m:t>
              </m:r>
              <m:r>
                <m:rPr>
                  <m:sty m:val="p"/>
                </m:rPr>
                <m:t>±</m:t>
              </m:r>
              <m:r>
                <m:t>0.053</m:t>
              </m:r>
            </m:oMath>
          </w:p>
        </w:tc>
        <w:tc>
          <w:tcPr/>
          <w:p>
            <w:pPr>
              <w:pStyle w:val="Compact"/>
            </w:pPr>
            <m:oMath>
              <m:r>
                <m:rPr>
                  <m:sty m:val="p"/>
                </m:rPr>
                <m:t>+</m:t>
              </m:r>
              <m:r>
                <m:t>0.910</m:t>
              </m:r>
              <m:r>
                <m:rPr>
                  <m:sty m:val="p"/>
                </m:rPr>
                <m:t>±</m:t>
              </m:r>
              <m:r>
                <m:t>0.038</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0.918</m:t>
              </m:r>
              <m:r>
                <m:rPr>
                  <m:sty m:val="p"/>
                </m:rPr>
                <m:t>±</m:t>
              </m:r>
              <m:r>
                <m:t>0.063</m:t>
              </m:r>
            </m:oMath>
          </w:p>
        </w:tc>
        <w:tc>
          <w:tcPr/>
          <w:p>
            <w:pPr>
              <w:pStyle w:val="Compact"/>
            </w:pPr>
            <m:oMath>
              <m:r>
                <m:rPr>
                  <m:sty m:val="p"/>
                </m:rPr>
                <m:t>+</m:t>
              </m:r>
              <m:r>
                <m:t>0.939</m:t>
              </m:r>
              <m:r>
                <m:rPr>
                  <m:sty m:val="p"/>
                </m:rPr>
                <m:t>±</m:t>
              </m:r>
              <m:r>
                <m:t>0.035</m:t>
              </m:r>
            </m:oMath>
          </w:p>
        </w:tc>
      </w:tr>
    </w:tbl>
    <w:p>
      <w:pPr>
        <w:pStyle w:val="BodyText"/>
      </w:pPr>
      <w:r>
        <w:t xml:space="preserve">Crossovers (strategy dominance through zero, located by linear interpolation between bracketing</w:t>
      </w:r>
      <w:r>
        <w:t xml:space="preserve"> </w:t>
      </w:r>
      <m:oMath>
        <m:sSub>
          <m:e>
            <m:r>
              <m:t>σ</m:t>
            </m:r>
          </m:e>
          <m:sub>
            <m:r>
              <m:t>e</m:t>
            </m:r>
            <m:r>
              <m:t>f</m:t>
            </m:r>
            <m:r>
              <m:t>f</m:t>
            </m:r>
          </m:sub>
        </m:sSub>
      </m:oMath>
      <w:r>
        <w:t xml:space="preserve"> </w:t>
      </w:r>
      <w:r>
        <w:t xml:space="preserve">values): signal-conditional</w:t>
      </w:r>
      <w:r>
        <w:t xml:space="preserve"> </w:t>
      </w:r>
      <m:oMath>
        <m:sSubSup>
          <m:e>
            <m:r>
              <m:t>σ</m:t>
            </m:r>
          </m:e>
          <m:sub>
            <m:r>
              <m:t>e</m:t>
            </m:r>
            <m:r>
              <m:t>f</m:t>
            </m:r>
            <m:r>
              <m:t>f</m:t>
            </m:r>
          </m:sub>
          <m:sup>
            <m:r>
              <m:rPr>
                <m:sty m:val="p"/>
              </m:rPr>
              <m:t>*</m:t>
            </m:r>
          </m:sup>
        </m:sSubSup>
        <m:r>
          <m:rPr>
            <m:sty m:val="p"/>
          </m:rPr>
          <m:t>=</m:t>
        </m:r>
        <m:r>
          <m:t>0.417</m:t>
        </m:r>
      </m:oMath>
      <w:r>
        <w:t xml:space="preserve">, random-partner</w:t>
      </w:r>
      <w:r>
        <w:t xml:space="preserve"> </w:t>
      </w:r>
      <m:oMath>
        <m:sSubSup>
          <m:e>
            <m:r>
              <m:t>σ</m:t>
            </m:r>
          </m:e>
          <m:sub>
            <m:r>
              <m:t>e</m:t>
            </m:r>
            <m:r>
              <m:t>f</m:t>
            </m:r>
            <m:r>
              <m:t>f</m:t>
            </m:r>
          </m:sub>
          <m:sup>
            <m:r>
              <m:rPr>
                <m:sty m:val="p"/>
              </m:rPr>
              <m:t>*</m:t>
            </m:r>
          </m:sup>
        </m:sSubSup>
        <m:r>
          <m:rPr>
            <m:sty m:val="p"/>
          </m:rPr>
          <m:t>=</m:t>
        </m:r>
        <m:r>
          <m:t>0.407</m:t>
        </m:r>
      </m:oMath>
      <w:r>
        <w:t xml:space="preserve">. The threshold shift between configurations is</w:t>
      </w:r>
      <w:r>
        <w:t xml:space="preserve"> </w:t>
      </w:r>
      <m:oMath>
        <m:r>
          <m:rPr>
            <m:sty m:val="p"/>
          </m:rPr>
          <m:t>−</m:t>
        </m:r>
        <m:r>
          <m:t>0.010</m:t>
        </m:r>
      </m:oMath>
      <w:r>
        <w:t xml:space="preserve"> </w:t>
      </w:r>
      <w:r>
        <w:t xml:space="preserve">in realized</w:t>
      </w:r>
      <w:r>
        <w:t xml:space="preserve"> </w:t>
      </w:r>
      <m:oMath>
        <m:sSub>
          <m:e>
            <m:r>
              <m:t>σ</m:t>
            </m:r>
          </m:e>
          <m:sub>
            <m:r>
              <m:t>e</m:t>
            </m:r>
            <m:r>
              <m:t>f</m:t>
            </m:r>
            <m:r>
              <m:t>f</m:t>
            </m:r>
          </m:sub>
        </m:sSub>
      </m:oMath>
      <w:r>
        <w:t xml:space="preserve"> </w:t>
      </w:r>
      <w:r>
        <w:t xml:space="preserve">(a</w:t>
      </w:r>
      <w:r>
        <w:t xml:space="preserve"> </w:t>
      </w:r>
      <m:oMath>
        <m:r>
          <m:rPr>
            <m:sty m:val="p"/>
          </m:rPr>
          <m:t>−</m:t>
        </m:r>
        <m:r>
          <m:t>2.4</m:t>
        </m:r>
        <m:r>
          <m:rPr>
            <m:sty m:val="p"/>
          </m:rPr>
          <m:t>%</m:t>
        </m:r>
      </m:oMath>
      <w:r>
        <w:t xml:space="preserve"> </w:t>
      </w:r>
      <w:r>
        <w:t xml:space="preserve">shift). The signal-conditional crossover 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w:t>
      </w:r>
    </w:p>
    <w:p>
      <w:pPr>
        <w:pStyle w:val="BodyText"/>
      </w:pPr>
      <w:r>
        <w:t xml:space="preserve">Point-by-point dominance differences (random minus signal) at each</w:t>
      </w:r>
      <w:r>
        <w:t xml:space="preserve"> </w:t>
      </w:r>
      <m:oMath>
        <m:sSub>
          <m:e>
            <m:r>
              <m:t>σ</m:t>
            </m:r>
          </m:e>
          <m:sub>
            <m:r>
              <m:t>t</m:t>
            </m:r>
            <m:r>
              <m:t>a</m:t>
            </m:r>
            <m:r>
              <m:t>r</m:t>
            </m:r>
            <m:r>
              <m:t>g</m:t>
            </m:r>
            <m:r>
              <m:t>e</m:t>
            </m:r>
            <m:r>
              <m:t>t</m:t>
            </m:r>
          </m:sub>
        </m:sSub>
      </m:oMath>
      <w:r>
        <w:t xml:space="preserve">:</w:t>
      </w:r>
      <w:r>
        <w:t xml:space="preserve"> </w:t>
      </w:r>
      <m:oMath>
        <m:r>
          <m:rPr>
            <m:sty m:val="p"/>
          </m:rPr>
          <m:t>−</m:t>
        </m:r>
        <m:r>
          <m:t>0.012</m:t>
        </m:r>
        <m:r>
          <m:rPr>
            <m:sty m:val="p"/>
          </m:rPr>
          <m:t>,</m:t>
        </m:r>
        <m:r>
          <m:rPr>
            <m:sty m:val="p"/>
          </m:rPr>
          <m:t>+</m:t>
        </m:r>
        <m:r>
          <m:t>0.039</m:t>
        </m:r>
        <m:r>
          <m:rPr>
            <m:sty m:val="p"/>
          </m:rPr>
          <m:t>,</m:t>
        </m:r>
        <m:r>
          <m:rPr>
            <m:sty m:val="p"/>
          </m:rPr>
          <m:t>+</m:t>
        </m:r>
        <m:r>
          <m:t>0.091</m:t>
        </m:r>
        <m:r>
          <m:rPr>
            <m:sty m:val="p"/>
          </m:rPr>
          <m:t>,</m:t>
        </m:r>
        <m:r>
          <m:rPr>
            <m:sty m:val="p"/>
          </m:rPr>
          <m:t>+</m:t>
        </m:r>
        <m:r>
          <m:t>0.045</m:t>
        </m:r>
        <m:r>
          <m:rPr>
            <m:sty m:val="p"/>
          </m:rPr>
          <m:t>,</m:t>
        </m:r>
        <m:r>
          <m:rPr>
            <m:sty m:val="p"/>
          </m:rPr>
          <m:t>−</m:t>
        </m:r>
        <m:r>
          <m:t>0.067</m:t>
        </m:r>
        <m:r>
          <m:rPr>
            <m:sty m:val="p"/>
          </m:rPr>
          <m:t>,</m:t>
        </m:r>
        <m:r>
          <m:rPr>
            <m:sty m:val="p"/>
          </m:rPr>
          <m:t>+</m:t>
        </m:r>
        <m:r>
          <m:t>0.014</m:t>
        </m:r>
        <m:r>
          <m:rPr>
            <m:sty m:val="p"/>
          </m:rPr>
          <m:t>,</m:t>
        </m:r>
        <m:r>
          <m:rPr>
            <m:sty m:val="p"/>
          </m:rPr>
          <m:t>+</m:t>
        </m:r>
        <m:r>
          <m:t>0.021</m:t>
        </m:r>
      </m:oMath>
      <w:r>
        <w:t xml:space="preserve">. The differences alternate in sign across the transition zone, and the standard error of each difference (computed from the per-replicate spreads) crosses zero at every point; there is no consistent threshold shift between the two configurations. Both versions saturate within 0.02 of each other at the highest</w:t>
      </w:r>
      <w:r>
        <w:t xml:space="preserve"> </w:t>
      </w:r>
      <m:oMath>
        <m:sSub>
          <m:e>
            <m:r>
              <m:t>σ</m:t>
            </m:r>
          </m:e>
          <m:sub>
            <m:r>
              <m:t>e</m:t>
            </m:r>
            <m:r>
              <m:t>f</m:t>
            </m:r>
            <m:r>
              <m:t>f</m:t>
            </m:r>
          </m:sub>
        </m:sSub>
      </m:oMath>
      <w:r>
        <w:t xml:space="preserve"> </w:t>
      </w:r>
      <w:r>
        <w:t xml:space="preserve">values (signal</w:t>
      </w:r>
      <w:r>
        <w:t xml:space="preserve"> </w:t>
      </w:r>
      <m:oMath>
        <m:r>
          <m:rPr>
            <m:sty m:val="p"/>
          </m:rPr>
          <m:t>+</m:t>
        </m:r>
        <m:r>
          <m:t>0.918</m:t>
        </m:r>
      </m:oMath>
      <w:r>
        <w:t xml:space="preserve"> </w:t>
      </w:r>
      <w:r>
        <w:t xml:space="preserve">vs random</w:t>
      </w:r>
      <w:r>
        <w:t xml:space="preserve"> </w:t>
      </w:r>
      <m:oMath>
        <m:r>
          <m:rPr>
            <m:sty m:val="p"/>
          </m:rPr>
          <m:t>+</m:t>
        </m:r>
        <m:r>
          <m:t>0.939</m:t>
        </m:r>
      </m:oMath>
      <w:r>
        <w:t xml:space="preserve"> </w:t>
      </w:r>
      <w:r>
        <w:t xml:space="preserve">at</w:t>
      </w:r>
      <w:r>
        <w:t xml:space="preserve"> </w:t>
      </w:r>
      <m:oMath>
        <m:sSub>
          <m:e>
            <m:r>
              <m:t>σ</m:t>
            </m:r>
          </m:e>
          <m:sub>
            <m:r>
              <m:t>t</m:t>
            </m:r>
            <m:r>
              <m:t>a</m:t>
            </m:r>
            <m:r>
              <m:t>r</m:t>
            </m:r>
            <m:r>
              <m:t>g</m:t>
            </m:r>
            <m:r>
              <m:t>e</m:t>
            </m:r>
            <m:r>
              <m:t>t</m:t>
            </m:r>
          </m:sub>
        </m:sSub>
        <m:r>
          <m:rPr>
            <m:sty m:val="p"/>
          </m:rPr>
          <m:t>=</m:t>
        </m:r>
        <m:r>
          <m:t>0.55</m:t>
        </m:r>
      </m:oMath>
      <w:r>
        <w:t xml:space="preserve">).</w:t>
      </w:r>
    </w:p>
    <w:p>
      <w:pPr>
        <w:pStyle w:val="BodyText"/>
      </w:pPr>
      <w:r>
        <w:t xml:space="preserve">Full per-replicate output is archived in</w:t>
      </w:r>
      <w:r>
        <w:t xml:space="preserve"> </w:t>
      </w:r>
      <w:r>
        <w:rPr>
          <w:rStyle w:val="VerbatimChar"/>
        </w:rPr>
        <w:t xml:space="preserve">results/ablation/overnight_sweep.json</w:t>
      </w:r>
      <w:r>
        <w:t xml:space="preserve">, with derived statistics in</w:t>
      </w:r>
      <w:r>
        <w:t xml:space="preserve"> </w:t>
      </w:r>
      <w:r>
        <w:rPr>
          <w:rStyle w:val="VerbatimChar"/>
        </w:rPr>
        <w:t xml:space="preserve">results/ablation/phase_transition_summary.json</w:t>
      </w:r>
      <w:r>
        <w:t xml:space="preserve">.</w:t>
      </w:r>
    </w:p>
    <w:bookmarkEnd w:id="52"/>
    <w:bookmarkStart w:id="53" w:name="s7.2-calibration-scenarios"/>
    <w:p>
      <w:pPr>
        <w:pStyle w:val="Heading3"/>
      </w:pPr>
      <w:r>
        <w:t xml:space="preserve">S7.2 Calibration scenarios</w:t>
      </w:r>
    </w:p>
    <w:p>
      <w:pPr>
        <w:pStyle w:val="FirstParagraph"/>
      </w:pPr>
      <w:r>
        <w:t xml:space="preserve">Four parametric scenarios were run with eight replicates each over 200 simulated years (the canonical calibration configuration; see §S1.6 above for the submodel specification). Summary statistics (mean ± sample SD across replicates), reproducible from</w:t>
      </w:r>
      <w:r>
        <w:t xml:space="preserve"> </w:t>
      </w:r>
      <w:r>
        <w:rPr>
          <w:rStyle w:val="VerbatimChar"/>
        </w:rPr>
        <w:t xml:space="preserve">results/calibration_replicates/replicates_n8_d200.json</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t xml:space="preserve">, equivalent to</w:t>
      </w:r>
      <w:r>
        <w:t xml:space="preserve"> </w:t>
      </w:r>
      <w:r>
        <w:rPr>
          <w:rStyle w:val="VerbatimChar"/>
        </w:rPr>
        <w:t xml:space="preserve">numpy.std(..., ddof=1)</w:t>
      </w:r>
      <w:r>
        <w:t xml:space="preserve"> </w:t>
      </w:r>
      <w:r>
        <w:t xml:space="preserve">and</w:t>
      </w:r>
      <w:r>
        <w:t xml:space="preserve"> </w:t>
      </w:r>
      <w:r>
        <w:rPr>
          <w:rStyle w:val="VerbatimChar"/>
        </w:rPr>
        <w:t xml:space="preserve">pandas.Series.std()</w:t>
      </w:r>
      <w:r>
        <w:t xml:space="preserve">).</w:t>
      </w:r>
    </w:p>
    <w:p>
      <w:pPr>
        <w:pStyle w:val="BodyText"/>
      </w:pPr>
      <w: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53"/>
    <w:bookmarkStart w:id="54" w:name="s7.3-phase-space-structure"/>
    <w:p>
      <w:pPr>
        <w:pStyle w:val="Heading3"/>
      </w:pPr>
      <w:r>
        <w:t xml:space="preserve">S7.3 Phase space structure</w:t>
      </w:r>
    </w:p>
    <w:p>
      <w:pPr>
        <w:pStyle w:val="FirstParagraph"/>
      </w:pPr>
      <w:r>
        <w:t xml:space="preserve">The two-dimensional phase-space diagram across the joint</w:t>
      </w:r>
      <w:r>
        <w:t xml:space="preserve"> </w:t>
      </w:r>
      <m:oMath>
        <m:r>
          <m:rPr>
            <m:sty m:val="p"/>
          </m:rPr>
          <m:t>(</m:t>
        </m:r>
        <m:r>
          <m:t>σ</m:t>
        </m:r>
        <m:r>
          <m:rPr>
            <m:sty m:val="p"/>
          </m:rPr>
          <m:t>,</m:t>
        </m:r>
        <m:r>
          <m:t>ε</m:t>
        </m:r>
        <m:r>
          <m:rPr>
            <m:sty m:val="p"/>
          </m:rPr>
          <m:t>)</m:t>
        </m:r>
      </m:oMath>
      <w:r>
        <w:t xml:space="preserve"> </w:t>
      </w:r>
      <w:r>
        <w:t xml:space="preserve">plane is presented as main-text Figure 9 (§4.2).</w:t>
      </w:r>
    </w:p>
    <w:bookmarkEnd w:id="54"/>
    <w:bookmarkStart w:id="61" w:name="s7.4-aggregation-size-and-signaling-cost"/>
    <w:p>
      <w:pPr>
        <w:pStyle w:val="Heading3"/>
      </w:pPr>
      <w:r>
        <w:t xml:space="preserve">S7.4 Aggregation size and signaling cost</w:t>
      </w:r>
    </w:p>
    <w:p>
      <w:pPr>
        <w:pStyle w:val="FirstParagraph"/>
      </w:pPr>
      <w:r>
        <w:drawing>
          <wp:inline>
            <wp:extent cx="5943600" cy="2519755"/>
            <wp:effectExtent b="0" l="0" r="0" t="0"/>
            <wp:docPr descr="" title="" id="56" name="Picture"/>
            <a:graphic>
              <a:graphicData uri="http://schemas.openxmlformats.org/drawingml/2006/picture">
                <pic:pic>
                  <pic:nvPicPr>
                    <pic:cNvPr descr="../../figures/supplemental/figure_S06_sigma_vs_aggregation.png" id="57" name="Picture"/>
                    <pic:cNvPicPr>
                      <a:picLocks noChangeArrowheads="1" noChangeAspect="1"/>
                    </pic:cNvPicPr>
                  </pic:nvPicPr>
                  <pic:blipFill>
                    <a:blip r:embed="rId55"/>
                    <a:stretch>
                      <a:fillRect/>
                    </a:stretch>
                  </pic:blipFill>
                  <pic:spPr bwMode="auto">
                    <a:xfrm>
                      <a:off x="0" y="0"/>
                      <a:ext cx="5943600" cy="2519755"/>
                    </a:xfrm>
                    <a:prstGeom prst="rect">
                      <a:avLst/>
                    </a:prstGeom>
                    <a:noFill/>
                    <a:ln w="9525">
                      <a:noFill/>
                      <a:headEnd/>
                      <a:tailEnd/>
                    </a:ln>
                  </pic:spPr>
                </pic:pic>
              </a:graphicData>
            </a:graphic>
          </wp:inline>
        </w:drawing>
      </w:r>
    </w:p>
    <w:p>
      <w:pPr>
        <w:pStyle w:val="BodyText"/>
      </w:pPr>
      <w:r>
        <w:rPr>
          <w:b/>
          <w:bCs/>
          <w:i/>
          <w:iCs/>
        </w:rPr>
        <w:t xml:space="preserve">Figure S6. Effect of aggregation size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attended aggregation size</w:t>
      </w:r>
      <w:r>
        <w:rPr>
          <w:i/>
          <w:iCs/>
        </w:rPr>
        <w:t xml:space="preserve"> </w:t>
      </w:r>
      <m:oMath>
        <m:sSub>
          <m:e>
            <m:r>
              <m:t>n</m:t>
            </m:r>
          </m:e>
          <m:sub>
            <m:r>
              <m:t>a</m:t>
            </m:r>
            <m:r>
              <m:t>g</m:t>
            </m:r>
            <m:r>
              <m:t>g</m:t>
            </m:r>
          </m:sub>
        </m:sSub>
      </m:oMath>
      <w:r>
        <w:rPr>
          <w:i/>
          <w:iCs/>
        </w:rPr>
        <w:t xml:space="preserve"> </w:t>
      </w:r>
      <w:r>
        <w:rPr>
          <w:i/>
          <w:iCs/>
        </w:rPr>
        <w:t xml:space="preserve">at PP-scenario parameters (</w:t>
      </w:r>
      <m:oMath>
        <m:r>
          <m:t>ε</m:t>
        </m:r>
        <m:r>
          <m:rPr>
            <m:sty m:val="p"/>
          </m:rPr>
          <m:t>=</m:t>
        </m:r>
        <m:r>
          <m:t>0.35</m:t>
        </m:r>
      </m:oMath>
      <w:r>
        <w:rPr>
          <w:i/>
          <w:iCs/>
        </w:rPr>
        <w:t xml:space="preserve">, default cost and signaling parameters; full set in Table S2). Solid line,</w:t>
      </w:r>
      <w:r>
        <w:rPr>
          <w:i/>
          <w:iCs/>
        </w:rPr>
        <w:t xml:space="preserve"> </w:t>
      </w:r>
      <m:oMath>
        <m:sSup>
          <m:e>
            <m:r>
              <m:t>σ</m:t>
            </m:r>
          </m:e>
          <m:sup>
            <m:r>
              <m:rPr>
                <m:sty m:val="p"/>
              </m:rPr>
              <m:t>*</m:t>
            </m:r>
          </m:sup>
        </m:sSup>
      </m:oMath>
      <w:r>
        <w:rPr>
          <w:i/>
          <w:iCs/>
        </w:rPr>
        <w:t xml:space="preserve"> </w:t>
      </w:r>
      <w:r>
        <w:rPr>
          <w:i/>
          <w:iCs/>
        </w:rPr>
        <w:t xml:space="preserve">from Brent’s-method root-finding on the</w:t>
      </w:r>
      <w:r>
        <w:rPr>
          <w:i/>
          <w:iCs/>
        </w:rPr>
        <w:t xml:space="preserve"> </w:t>
      </w:r>
      <m:oMath>
        <m:sSub>
          <m:e>
            <m:r>
              <m:t>W</m:t>
            </m:r>
          </m:e>
          <m:sub>
            <m:r>
              <m:t>a</m:t>
            </m:r>
            <m:r>
              <m:t>g</m:t>
            </m:r>
            <m:r>
              <m:t>g</m:t>
            </m:r>
          </m:sub>
        </m:sSub>
        <m:r>
          <m:rPr>
            <m:sty m:val="p"/>
          </m:rPr>
          <m:t>−</m:t>
        </m:r>
        <m:sSub>
          <m:e>
            <m:r>
              <m:t>W</m:t>
            </m:r>
          </m:e>
          <m:sub>
            <m:r>
              <m:t>i</m:t>
            </m:r>
            <m:r>
              <m:t>n</m:t>
            </m:r>
            <m:r>
              <m:t>d</m:t>
            </m:r>
          </m:sub>
        </m:sSub>
      </m:oMath>
      <w:r>
        <w:rPr>
          <w:i/>
          <w:iCs/>
        </w:rPr>
        <w:t xml:space="preserve"> </w:t>
      </w:r>
      <w:r>
        <w:rPr>
          <w:i/>
          <w:iCs/>
        </w:rPr>
        <w:t xml:space="preserve">difference at the lambda-sigma fixed-point equilibrium. Vertical dashed line marks the default</w:t>
      </w:r>
      <w:r>
        <w:rPr>
          <w:i/>
          <w:iCs/>
        </w:rPr>
        <w:t xml:space="preserve"> </w:t>
      </w:r>
      <m:oMath>
        <m:sSub>
          <m:e>
            <m:r>
              <m:t>n</m:t>
            </m:r>
          </m:e>
          <m:sub>
            <m:r>
              <m:t>a</m:t>
            </m:r>
            <m:r>
              <m:t>g</m:t>
            </m:r>
            <m:r>
              <m:t>g</m:t>
            </m:r>
          </m:sub>
        </m:sSub>
        <m:r>
          <m:rPr>
            <m:sty m:val="p"/>
          </m:rPr>
          <m:t>=</m:t>
        </m:r>
        <m:r>
          <m:t>25</m:t>
        </m:r>
      </m:oMath>
      <w:r>
        <w:rPr>
          <w:i/>
          <w:iCs/>
        </w:rPr>
        <w:t xml:space="preserve"> </w:t>
      </w:r>
      <w:r>
        <w:rPr>
          <w:i/>
          <w:iCs/>
        </w:rPr>
        <w:t xml:space="preserve">used throughout the manuscript. Across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w:t>
      </w:r>
      <w:r>
        <w:rPr>
          <w:i/>
          <w:iCs/>
        </w:rPr>
        <w:t xml:space="preserve"> </w:t>
      </w:r>
      <m:oMath>
        <m:sSup>
          <m:e>
            <m:r>
              <m:t>σ</m:t>
            </m:r>
          </m:e>
          <m:sup>
            <m:r>
              <m:rPr>
                <m:sty m:val="p"/>
              </m:rPr>
              <m:t>*</m:t>
            </m:r>
          </m:sup>
        </m:sSup>
      </m:oMath>
      <w:r>
        <w:rPr>
          <w:i/>
          <w:iCs/>
        </w:rPr>
        <w:t xml:space="preserve"> </w:t>
      </w:r>
      <w:r>
        <w:rPr>
          <w:i/>
          <w:iCs/>
        </w:rPr>
        <w:t xml:space="preserve">varies by less than 0.02; at very small aggregation sizes (</w:t>
      </w:r>
      <m:oMath>
        <m:sSub>
          <m:e>
            <m:r>
              <m:t>n</m:t>
            </m:r>
          </m:e>
          <m:sub>
            <m:r>
              <m:t>a</m:t>
            </m:r>
            <m:r>
              <m:t>g</m:t>
            </m:r>
            <m:r>
              <m:t>g</m:t>
            </m:r>
          </m:sub>
        </m:sSub>
        <m:r>
          <m:rPr>
            <m:sty m:val="p"/>
          </m:rPr>
          <m:t>≤</m:t>
        </m:r>
        <m:r>
          <m:t>3</m:t>
        </m:r>
      </m:oMath>
      <w:r>
        <w:rPr>
          <w:i/>
          <w:iCs/>
        </w:rPr>
        <w:t xml:space="preserve">) the threshold rises sharply because cooperation-network buffering loses effectiveness when too few partners participate. The framework’s</w:t>
      </w:r>
      <w:r>
        <w:rPr>
          <w:i/>
          <w:iCs/>
        </w:rPr>
        <w:t xml:space="preserve"> </w:t>
      </w:r>
      <m:oMath>
        <m:sSup>
          <m:e>
            <m:r>
              <m:t>σ</m:t>
            </m:r>
          </m:e>
          <m:sup>
            <m:r>
              <m:rPr>
                <m:sty m:val="p"/>
              </m:rPr>
              <m:t>*</m:t>
            </m:r>
          </m:sup>
        </m:sSup>
      </m:oMath>
      <w:r>
        <w:rPr>
          <w:i/>
          <w:iCs/>
        </w:rPr>
        <w:t xml:space="preserve"> </w:t>
      </w:r>
      <w:r>
        <w:rPr>
          <w:i/>
          <w:iCs/>
        </w:rPr>
        <w:t xml:space="preserve">is therefore effectively insensitive to</w:t>
      </w:r>
      <w:r>
        <w:rPr>
          <w:i/>
          <w:iCs/>
        </w:rPr>
        <w:t xml:space="preserve"> </w:t>
      </w:r>
      <m:oMath>
        <m:sSub>
          <m:e>
            <m:r>
              <m:t>n</m:t>
            </m:r>
          </m:e>
          <m:sub>
            <m:r>
              <m:t>a</m:t>
            </m:r>
            <m:r>
              <m:t>g</m:t>
            </m:r>
            <m:r>
              <m:t>g</m:t>
            </m:r>
          </m:sub>
        </m:sSub>
      </m:oMath>
      <w:r>
        <w:rPr>
          <w:i/>
          <w:iCs/>
        </w:rPr>
        <w:t xml:space="preserve"> </w:t>
      </w:r>
      <w:r>
        <w:rPr>
          <w:i/>
          <w:iCs/>
        </w:rPr>
        <w:t xml:space="preserve">over the range relevant to the LMV record.</w:t>
      </w:r>
    </w:p>
    <w:p>
      <w:pPr>
        <w:pStyle w:val="BodyText"/>
      </w:pPr>
      <w:r>
        <w:drawing>
          <wp:inline>
            <wp:extent cx="5943600" cy="2521181"/>
            <wp:effectExtent b="0" l="0" r="0" t="0"/>
            <wp:docPr descr="" title="" id="59" name="Picture"/>
            <a:graphic>
              <a:graphicData uri="http://schemas.openxmlformats.org/drawingml/2006/picture">
                <pic:pic>
                  <pic:nvPicPr>
                    <pic:cNvPr descr="../../figures/supplemental/figure_S07_sigma_vs_cost.png" id="60" name="Picture"/>
                    <pic:cNvPicPr>
                      <a:picLocks noChangeArrowheads="1" noChangeAspect="1"/>
                    </pic:cNvPicPr>
                  </pic:nvPicPr>
                  <pic:blipFill>
                    <a:blip r:embed="rId58"/>
                    <a:stretch>
                      <a:fillRect/>
                    </a:stretch>
                  </pic:blipFill>
                  <pic:spPr bwMode="auto">
                    <a:xfrm>
                      <a:off x="0" y="0"/>
                      <a:ext cx="5943600" cy="2521181"/>
                    </a:xfrm>
                    <a:prstGeom prst="rect">
                      <a:avLst/>
                    </a:prstGeom>
                    <a:noFill/>
                    <a:ln w="9525">
                      <a:noFill/>
                      <a:headEnd/>
                      <a:tailEnd/>
                    </a:ln>
                  </pic:spPr>
                </pic:pic>
              </a:graphicData>
            </a:graphic>
          </wp:inline>
        </w:drawing>
      </w:r>
    </w:p>
    <w:p>
      <w:pPr>
        <w:pStyle w:val="BodyText"/>
      </w:pPr>
      <w:r>
        <w:rPr>
          <w:b/>
          <w:bCs/>
          <w:i/>
          <w:iCs/>
        </w:rPr>
        <w:t xml:space="preserve">Figure S7. Effect of signaling cost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the aggregation-cost parameter</w:t>
      </w:r>
      <w:r>
        <w:rPr>
          <w:i/>
          <w:iCs/>
        </w:rPr>
        <w:t xml:space="preserve"> </w:t>
      </w:r>
      <m:oMath>
        <m:sSub>
          <m:e>
            <m:r>
              <m:t>C</m:t>
            </m:r>
          </m:e>
          <m:sub>
            <m:r>
              <m:t>s</m:t>
            </m:r>
            <m:r>
              <m:t>i</m:t>
            </m:r>
            <m:r>
              <m:t>g</m:t>
            </m:r>
            <m:r>
              <m:t>n</m:t>
            </m:r>
            <m:r>
              <m:t>a</m:t>
            </m:r>
            <m:r>
              <m:t>l</m:t>
            </m:r>
          </m:sub>
        </m:sSub>
      </m:oMath>
      <w:r>
        <w:rPr>
          <w:i/>
          <w:iCs/>
        </w:rPr>
        <w:t xml:space="preserve"> </w:t>
      </w:r>
      <w:r>
        <w:rPr>
          <w:i/>
          <w:iCs/>
        </w:rPr>
        <w:t xml:space="preserve">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default network and signaling parameters). Solid line,</w:t>
      </w:r>
      <w:r>
        <w:rPr>
          <w:i/>
          <w:iCs/>
        </w:rPr>
        <w:t xml:space="preserve"> </w:t>
      </w:r>
      <m:oMath>
        <m:sSup>
          <m:e>
            <m:r>
              <m:t>σ</m:t>
            </m:r>
          </m:e>
          <m:sup>
            <m:r>
              <m:rPr>
                <m:sty m:val="p"/>
              </m:rPr>
              <m:t>*</m:t>
            </m:r>
          </m:sup>
        </m:sSup>
      </m:oMath>
      <w:r>
        <w:rPr>
          <w:i/>
          <w:iCs/>
        </w:rPr>
        <w:t xml:space="preserve"> </w:t>
      </w:r>
      <w:r>
        <w:rPr>
          <w:i/>
          <w:iCs/>
        </w:rPr>
        <w:t xml:space="preserve">from Brent’s-method root-finding at the lambda-sigma fixed-point equilibrium. Vertical dashed line marks the default</w:t>
      </w:r>
      <w:r>
        <w:rPr>
          <w:i/>
          <w:iCs/>
        </w:rPr>
        <w:t xml:space="preserve"> </w:t>
      </w:r>
      <m:oMath>
        <m:sSub>
          <m:e>
            <m:r>
              <m:t>C</m:t>
            </m:r>
          </m:e>
          <m:sub>
            <m:r>
              <m:t>s</m:t>
            </m:r>
            <m:r>
              <m:t>i</m:t>
            </m:r>
            <m:r>
              <m:t>g</m:t>
            </m:r>
            <m:r>
              <m:t>n</m:t>
            </m:r>
            <m:r>
              <m:t>a</m:t>
            </m:r>
            <m:r>
              <m:t>l</m:t>
            </m:r>
          </m:sub>
        </m:sSub>
        <m:r>
          <m:rPr>
            <m:sty m:val="p"/>
          </m:rPr>
          <m:t>=</m:t>
        </m:r>
        <m:r>
          <m:t>0.18</m:t>
        </m:r>
      </m:oMath>
      <w:r>
        <w:rPr>
          <w:i/>
          <w:iCs/>
        </w:rPr>
        <w:t xml:space="preserve"> </w:t>
      </w:r>
      <w:r>
        <w:rPr>
          <w:i/>
          <w:iCs/>
        </w:rPr>
        <w:t xml:space="preserve">used throughout the manuscript. Across</w:t>
      </w:r>
      <w:r>
        <w:rPr>
          <w:i/>
          <w:iCs/>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i/>
          <w:iCs/>
        </w:rPr>
        <w:t xml:space="preserve"> </w:t>
      </w:r>
      <w:r>
        <w:rPr>
          <w:i/>
          <w:iCs/>
        </w:rPr>
        <w:t xml:space="preserve">(</w:t>
      </w:r>
      <m:oMath>
        <m:r>
          <m:rPr>
            <m:sty m:val="p"/>
          </m:rPr>
          <m:t>±</m:t>
        </m:r>
        <m:r>
          <m:t>50</m:t>
        </m:r>
        <m:r>
          <m:rPr>
            <m:sty m:val="p"/>
          </m:rPr>
          <m:t>%</m:t>
        </m:r>
      </m:oMath>
      <w:r>
        <w:rPr>
          <w:i/>
          <w:iCs/>
        </w:rPr>
        <w:t xml:space="preserve"> </w:t>
      </w:r>
      <w:r>
        <w:rPr>
          <w:i/>
          <w:iCs/>
        </w:rPr>
        <w:t xml:space="preserve">from the default),</w:t>
      </w:r>
      <w:r>
        <w:rPr>
          <w:i/>
          <w:iCs/>
        </w:rPr>
        <w:t xml:space="preserve"> </w:t>
      </w:r>
      <m:oMath>
        <m:sSup>
          <m:e>
            <m:r>
              <m:t>σ</m:t>
            </m:r>
          </m:e>
          <m:sup>
            <m:r>
              <m:rPr>
                <m:sty m:val="p"/>
              </m:rPr>
              <m:t>*</m:t>
            </m:r>
          </m:sup>
        </m:sSup>
      </m:oMath>
      <w:r>
        <w:rPr>
          <w:i/>
          <w:iCs/>
        </w:rPr>
        <w:t xml:space="preserve"> </w:t>
      </w:r>
      <w:r>
        <w:rPr>
          <w:i/>
          <w:iCs/>
        </w:rPr>
        <w:t xml:space="preserve">swings from 0.29 to 0.51 (swing</w:t>
      </w:r>
      <w:r>
        <w:rPr>
          <w:i/>
          <w:iCs/>
        </w:rPr>
        <w:t xml:space="preserve"> </w:t>
      </w:r>
      <m:oMath>
        <m:r>
          <m:rPr>
            <m:sty m:val="p"/>
          </m:rPr>
          <m:t>≈</m:t>
        </m:r>
        <m:r>
          <m:t>0.22</m:t>
        </m:r>
      </m:oMath>
      <w:r>
        <w:rPr>
          <w:i/>
          <w:iCs/>
        </w:rPr>
        <w:t xml:space="preserve">, the largest among model parameters in the §S3.1 OAT). Higher signaling cost raises the threshold (aggregation must produce a larger fitness benefit to compensate for the increased cost), confirming that</w:t>
      </w:r>
      <w:r>
        <w:rPr>
          <w:i/>
          <w:iCs/>
        </w:rPr>
        <w:t xml:space="preserve"> </w:t>
      </w:r>
      <m:oMath>
        <m:sSub>
          <m:e>
            <m:r>
              <m:t>C</m:t>
            </m:r>
          </m:e>
          <m:sub>
            <m:r>
              <m:t>s</m:t>
            </m:r>
            <m:r>
              <m:t>i</m:t>
            </m:r>
            <m:r>
              <m:t>g</m:t>
            </m:r>
            <m:r>
              <m:t>n</m:t>
            </m:r>
            <m:r>
              <m:t>a</m:t>
            </m:r>
            <m:r>
              <m:t>l</m:t>
            </m:r>
          </m:sub>
        </m:sSub>
      </m:oMath>
      <w:r>
        <w:rPr>
          <w:i/>
          <w:iCs/>
        </w:rPr>
        <w:t xml:space="preserve"> </w:t>
      </w:r>
      <w:r>
        <w:rPr>
          <w:i/>
          <w:iCs/>
        </w:rPr>
        <w:t xml:space="preserve">is the principal driver of the framework’s threshold prediction.</w:t>
      </w:r>
    </w:p>
    <w:p>
      <w:r>
        <w:pict>
          <v:rect style="width:0;height:1.5pt" o:hralign="center" o:hrstd="t" o:hr="t"/>
        </w:pict>
      </w:r>
    </w:p>
    <w:bookmarkEnd w:id="61"/>
    <w:bookmarkEnd w:id="62"/>
    <w:bookmarkStart w:id="70" w:name="s8.-full-set-of-testable-predictions"/>
    <w:p>
      <w:pPr>
        <w:pStyle w:val="Heading2"/>
      </w:pPr>
      <w:r>
        <w:t xml:space="preserve">S8. Full set of testable predictions</w:t>
      </w:r>
    </w:p>
    <w:p>
      <w:pPr>
        <w:pStyle w:val="FirstParagraph"/>
      </w:pPr>
      <w:r>
        <w:t xml:space="preserve">The framework generates 12 specific, testable predictions across 6 categories. Each identifies what the framework expects, how it can be tested, and what would falsify it.</w:t>
      </w:r>
    </w:p>
    <w:bookmarkStart w:id="63" w:name="temporal-patterns"/>
    <w:p>
      <w:pPr>
        <w:pStyle w:val="Heading3"/>
      </w:pPr>
      <w:r>
        <w:t xml:space="preserve">Temporal patterns</w:t>
      </w:r>
    </w:p>
    <w:p>
      <w:pPr>
        <w:pStyle w:val="FirstParagraph"/>
      </w:pPr>
      <w:r>
        <w:rPr>
          <w:b/>
          <w:bCs/>
        </w:rPr>
        <w:t xml:space="preserve">P1.</w:t>
      </w:r>
      <w:r>
        <w:t xml:space="preserve"> </w:t>
      </w:r>
      <w: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b/>
          <w:bCs/>
        </w:rPr>
        <w:t xml:space="preserve">P2.</w:t>
      </w:r>
      <w:r>
        <w:t xml:space="preserve"> </w:t>
      </w:r>
      <w:r>
        <w:t xml:space="preserve">Stratigraphic variation in artifact density across ridge and mound deposits should show cyclical patterns with periods of approximately 15-30 years, matching the shortfall recurrence intervals in the model.</w:t>
      </w:r>
    </w:p>
    <w:bookmarkEnd w:id="63"/>
    <w:bookmarkStart w:id="64" w:name="spatial-patterns"/>
    <w:p>
      <w:pPr>
        <w:pStyle w:val="Heading3"/>
      </w:pPr>
      <w:r>
        <w:t xml:space="preserve">Spatial patterns</w:t>
      </w:r>
    </w:p>
    <w:p>
      <w:pPr>
        <w:pStyle w:val="FirstParagraph"/>
      </w:pPr>
      <w:r>
        <w:rPr>
          <w:b/>
          <w:bCs/>
        </w:rPr>
        <w:t xml:space="preserve">P3.</w:t>
      </w:r>
      <w:r>
        <w:t xml:space="preserve"> </w:t>
      </w:r>
      <w:r>
        <w:t xml:space="preserve">Site hierarchy across the Poverty Point landscape should scale with a GIS-based ecotone diversity index. Ranked monument investment should be predictable from environmental measurement.</w:t>
      </w:r>
    </w:p>
    <w:p>
      <w:pPr>
        <w:pStyle w:val="BodyText"/>
      </w:pPr>
      <w:r>
        <w:rPr>
          <w:b/>
          <w:bCs/>
        </w:rPr>
        <w:t xml:space="preserve">P4.</w:t>
      </w:r>
      <w:r>
        <w:t xml:space="preserve"> </w:t>
      </w:r>
      <w:r>
        <w:t xml:space="preserve">The frequency of Poverty Point-affiliated artifacts at regional sites should decay with distance from Poverty Point following an approximately exponential curve, with a characteristic catchment radius of 100-150 km.</w:t>
      </w:r>
    </w:p>
    <w:bookmarkEnd w:id="64"/>
    <w:bookmarkStart w:id="65" w:name="material-patterns"/>
    <w:p>
      <w:pPr>
        <w:pStyle w:val="Heading3"/>
      </w:pPr>
      <w:r>
        <w:t xml:space="preserve">Material patterns</w:t>
      </w:r>
    </w:p>
    <w:p>
      <w:pPr>
        <w:pStyle w:val="FirstParagraph"/>
      </w:pPr>
      <w:r>
        <w:rPr>
          <w:b/>
          <w:bCs/>
        </w:rPr>
        <w:t xml:space="preserve">P5.</w:t>
      </w:r>
      <w:r>
        <w:t xml:space="preserve"> </w:t>
      </w:r>
      <w:r>
        <w:t xml:space="preserve">Distance-decay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novaculite (~300 km) should be ~3.3× more common than galena (~500-800 km) and ~13× more common than copper (~1,600 km).</w:t>
      </w:r>
    </w:p>
    <w:p>
      <w:pPr>
        <w:pStyle w:val="BodyText"/>
      </w:pPr>
      <w:r>
        <w:rPr>
          <w:b/>
          <w:bCs/>
        </w:rPr>
        <w:t xml:space="preserve">P6.</w:t>
      </w:r>
      <w:r>
        <w:t xml:space="preserve"> </w:t>
      </w:r>
      <w:r>
        <w:t xml:space="preserve">Within-site, exotic-goods densities and monument investment should covary spatially, since both are signaling investments by the same bands.</w:t>
      </w:r>
    </w:p>
    <w:bookmarkEnd w:id="65"/>
    <w:bookmarkStart w:id="66" w:name="demographic-patterns"/>
    <w:p>
      <w:pPr>
        <w:pStyle w:val="Heading3"/>
      </w:pPr>
      <w:r>
        <w:t xml:space="preserve">Demographic patterns</w:t>
      </w:r>
    </w:p>
    <w:p>
      <w:pPr>
        <w:pStyle w:val="FirstParagraph"/>
      </w:pPr>
      <w:r>
        <w:rPr>
          <w:b/>
          <w:bCs/>
        </w:rPr>
        <w:t xml:space="preserve">P7.</w:t>
      </w:r>
      <w:r>
        <w:t xml:space="preserve"> </w:t>
      </w:r>
      <w:r>
        <w:t xml:space="preserve">Aggregated population should saturate at ~500-625 individuals (~25 bands) rather than grow without constraint, reflecting diminishing returns to cooperation beyond optimal aggregation size.</w:t>
      </w:r>
    </w:p>
    <w:p>
      <w:pPr>
        <w:pStyle w:val="BodyText"/>
      </w:pPr>
      <w:r>
        <w:rPr>
          <w:b/>
          <w:bCs/>
        </w:rPr>
        <w:t xml:space="preserve">P8.</w:t>
      </w:r>
      <w:r>
        <w:t xml:space="preserve"> </w:t>
      </w:r>
      <w: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66"/>
    <w:bookmarkStart w:id="67" w:name="network-structure"/>
    <w:p>
      <w:pPr>
        <w:pStyle w:val="Heading3"/>
      </w:pPr>
      <w:r>
        <w:t xml:space="preserve">Network structure</w:t>
      </w:r>
    </w:p>
    <w:p>
      <w:pPr>
        <w:pStyle w:val="FirstParagraph"/>
      </w:pPr>
      <w:r>
        <w:rPr>
          <w:b/>
          <w:bCs/>
        </w:rPr>
        <w:t xml:space="preserve">P9.</w:t>
      </w:r>
      <w:r>
        <w:t xml:space="preserve"> </w:t>
      </w:r>
      <w:r>
        <w:t xml:space="preserve">Provenance analysis (LA-ICP-MS, etc.) should reveal multi-pathway distribution networks rather than single-chain corridors, with small-world topology (high clustering, short path lengths).</w:t>
      </w:r>
    </w:p>
    <w:p>
      <w:pPr>
        <w:pStyle w:val="BodyText"/>
      </w:pPr>
      <w:r>
        <w:rPr>
          <w:b/>
          <w:bCs/>
        </w:rPr>
        <w:t xml:space="preserve">P10.</w:t>
      </w:r>
      <w:r>
        <w:t xml:space="preserve"> </w:t>
      </w:r>
      <w:r>
        <w:t xml:space="preserve">Terminal-occupation layers should show narrowing source diversity in the exotic assemblage, reflecting network attrition that precedes systemic collapse.</w:t>
      </w:r>
    </w:p>
    <w:bookmarkEnd w:id="67"/>
    <w:bookmarkStart w:id="68" w:name="cross-cultural"/>
    <w:p>
      <w:pPr>
        <w:pStyle w:val="Heading3"/>
      </w:pPr>
      <w:r>
        <w:t xml:space="preserve">Cross-cultural</w:t>
      </w:r>
    </w:p>
    <w:p>
      <w:pPr>
        <w:pStyle w:val="FirstParagraph"/>
      </w:pPr>
      <w:r>
        <w:rPr>
          <w:b/>
          <w:bCs/>
        </w:rPr>
        <w:t xml:space="preserve">P11.</w:t>
      </w:r>
      <w:r>
        <w:t xml:space="preserve"> </w:t>
      </w:r>
      <w: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b/>
          <w:bCs/>
        </w:rPr>
        <w:t xml:space="preserve">P12.</w:t>
      </w:r>
      <w:r>
        <w:t xml:space="preserve"> </w:t>
      </w:r>
      <w: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68"/>
    <w:bookmarkStart w:id="69" w:name="falsification-conditions"/>
    <w:p>
      <w:pPr>
        <w:pStyle w:val="Heading3"/>
      </w:pPr>
      <w:r>
        <w:t xml:space="preserve">Falsification conditions</w:t>
      </w:r>
    </w:p>
    <w:p>
      <w:pPr>
        <w:pStyle w:val="FirstParagraph"/>
      </w:pPr>
      <w:r>
        <w:t xml:space="preserve">The following findings would falsify the framework:</w:t>
      </w:r>
    </w:p>
    <w:p>
      <w:pPr>
        <w:pStyle w:val="Compact"/>
        <w:numPr>
          <w:ilvl w:val="0"/>
          <w:numId w:val="1001"/>
        </w:numPr>
      </w:pPr>
      <w:r>
        <w:t xml:space="preserve">Monument construction was steady rather than episodic and uncorrelated with environmental variability.</w:t>
      </w:r>
    </w:p>
    <w:p>
      <w:pPr>
        <w:pStyle w:val="Compact"/>
        <w:numPr>
          <w:ilvl w:val="0"/>
          <w:numId w:val="1001"/>
        </w:numPr>
      </w:pPr>
      <w:r>
        <w:t xml:space="preserve">Exotic materials concentrated in elite residential contexts rather than being broadly distributed.</w:t>
      </w:r>
    </w:p>
    <w:p>
      <w:pPr>
        <w:pStyle w:val="Compact"/>
        <w:numPr>
          <w:ilvl w:val="0"/>
          <w:numId w:val="1001"/>
        </w:numPr>
      </w:pPr>
      <w:r>
        <w:t xml:space="preserve">High-resolution paleoclimate data demonstrate that Poverty Point coincided with environmental stability rather than moderate-to-high uncertainty.</w:t>
      </w:r>
    </w:p>
    <w:p>
      <w:pPr>
        <w:pStyle w:val="Compact"/>
        <w:numPr>
          <w:ilvl w:val="0"/>
          <w:numId w:val="1001"/>
        </w:numPr>
      </w:pPr>
      <w: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t xml:space="preserve">Clear evidence of coercive hierarchy, specialized craft production, or differential subsistence access at Poverty Point.</w:t>
      </w:r>
    </w:p>
    <w:p>
      <w:r>
        <w:pict>
          <v:rect style="width:0;height:1.5pt" o:hralign="center" o:hrstd="t" o:hr="t"/>
        </w:pict>
      </w:r>
    </w:p>
    <w:bookmarkEnd w:id="69"/>
    <w:bookmarkEnd w:id="70"/>
    <w:bookmarkStart w:id="77" w:name="s9.-supplemental-empirical-figures"/>
    <w:p>
      <w:pPr>
        <w:pStyle w:val="Heading2"/>
      </w:pPr>
      <w:r>
        <w:t xml:space="preserve">S9. Supplemental empirical figures</w:t>
      </w:r>
    </w:p>
    <w:p>
      <w:pPr>
        <w:pStyle w:val="FirstParagraph"/>
      </w:pPr>
      <w:r>
        <w:t xml:space="preserve">The expanded paleoclimate proxy synthesis (with cross-case</w:t>
      </w:r>
      <w:r>
        <w:t xml:space="preserve"> </w:t>
      </w:r>
      <m:oMath>
        <m:r>
          <m:t>σ</m:t>
        </m:r>
      </m:oMath>
      <w:r>
        <w:t xml:space="preserve"> </w:t>
      </w:r>
      <w:r>
        <w:t xml:space="preserve">comparison and theoretical phase-space panel) and the regional chronological synthesis are presented in main-text Figures 11 and 10 respectively.</w:t>
      </w:r>
    </w:p>
    <w:p>
      <w:pPr>
        <w:pStyle w:val="BodyText"/>
      </w:pPr>
      <w:r>
        <w:drawing>
          <wp:inline>
            <wp:extent cx="5943600" cy="2029521"/>
            <wp:effectExtent b="0" l="0" r="0" t="0"/>
            <wp:docPr descr="" title="" id="72" name="Picture"/>
            <a:graphic>
              <a:graphicData uri="http://schemas.openxmlformats.org/drawingml/2006/picture">
                <pic:pic>
                  <pic:nvPicPr>
                    <pic:cNvPr descr="../../figures/supplemental/figure_S08_obligation_network.png" id="73" name="Picture"/>
                    <pic:cNvPicPr>
                      <a:picLocks noChangeArrowheads="1" noChangeAspect="1"/>
                    </pic:cNvPicPr>
                  </pic:nvPicPr>
                  <pic:blipFill>
                    <a:blip r:embed="rId71"/>
                    <a:stretch>
                      <a:fillRect/>
                    </a:stretch>
                  </pic:blipFill>
                  <pic:spPr bwMode="auto">
                    <a:xfrm>
                      <a:off x="0" y="0"/>
                      <a:ext cx="5943600" cy="2029521"/>
                    </a:xfrm>
                    <a:prstGeom prst="rect">
                      <a:avLst/>
                    </a:prstGeom>
                    <a:noFill/>
                    <a:ln w="9525">
                      <a:noFill/>
                      <a:headEnd/>
                      <a:tailEnd/>
                    </a:ln>
                  </pic:spPr>
                </pic:pic>
              </a:graphicData>
            </a:graphic>
          </wp:inline>
        </w:drawing>
      </w:r>
    </w:p>
    <w:p>
      <w:pPr>
        <w:pStyle w:val="BodyText"/>
      </w:pPr>
      <w:r>
        <w:rPr>
          <w:b/>
          <w:bCs/>
          <w:i/>
          <w:iCs/>
        </w:rPr>
        <w:t xml:space="preserve">Figure S8. Obligation network structure and function.</w:t>
      </w:r>
      <w:r>
        <w:t xml:space="preserve"> </w:t>
      </w:r>
      <w:r>
        <w:rPr>
          <w:i/>
          <w:iCs/>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drawing>
          <wp:inline>
            <wp:extent cx="5943600" cy="2071391"/>
            <wp:effectExtent b="0" l="0" r="0" t="0"/>
            <wp:docPr descr="" title="" id="75" name="Picture"/>
            <a:graphic>
              <a:graphicData uri="http://schemas.openxmlformats.org/drawingml/2006/picture">
                <pic:pic>
                  <pic:nvPicPr>
                    <pic:cNvPr descr="../../figures/supplemental/figure_S09_exotic_distance_decay.png" id="76" name="Picture"/>
                    <pic:cNvPicPr>
                      <a:picLocks noChangeArrowheads="1" noChangeAspect="1"/>
                    </pic:cNvPicPr>
                  </pic:nvPicPr>
                  <pic:blipFill>
                    <a:blip r:embed="rId74"/>
                    <a:stretch>
                      <a:fillRect/>
                    </a:stretch>
                  </pic:blipFill>
                  <pic:spPr bwMode="auto">
                    <a:xfrm>
                      <a:off x="0" y="0"/>
                      <a:ext cx="5943600" cy="2071391"/>
                    </a:xfrm>
                    <a:prstGeom prst="rect">
                      <a:avLst/>
                    </a:prstGeom>
                    <a:noFill/>
                    <a:ln w="9525">
                      <a:noFill/>
                      <a:headEnd/>
                      <a:tailEnd/>
                    </a:ln>
                  </pic:spPr>
                </pic:pic>
              </a:graphicData>
            </a:graphic>
          </wp:inline>
        </w:drawing>
      </w:r>
    </w:p>
    <w:p>
      <w:pPr>
        <w:pStyle w:val="BodyText"/>
      </w:pPr>
      <w:r>
        <w:rPr>
          <w:b/>
          <w:bCs/>
          <w:i/>
          <w:iCs/>
        </w:rPr>
        <w:t xml:space="preserve">Figure S9. Exotic goods distance decay.</w:t>
      </w:r>
      <w:r>
        <w:t xml:space="preserve"> </w:t>
      </w:r>
      <w:r>
        <w:rPr>
          <w:i/>
          <w:iCs/>
        </w:rPr>
        <w:t xml:space="preserve">(A) Theoretical distance-decay</w:t>
      </w:r>
      <w:r>
        <w:rPr>
          <w:i/>
          <w:iCs/>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i/>
          <w:iCs/>
        </w:rPr>
        <w:t xml:space="preserve"> </w:t>
      </w:r>
      <w:r>
        <w:rPr>
          <w:i/>
          <w:iCs/>
        </w:rPr>
        <w:t xml:space="preserve">with markers for the five primary exotic-material sources. (B) Simulated material frequencies vs. predicted relative frequencies. (C) Comparison with archaeological data from Webb (1982);</w:t>
      </w:r>
      <w:r>
        <w:rPr>
          <w:i/>
          <w:iCs/>
        </w:rPr>
        <w:t xml:space="preserve"> </w:t>
      </w:r>
      <m:oMath>
        <m:sSup>
          <m:e>
            <m:r>
              <m:t>R</m:t>
            </m:r>
          </m:e>
          <m:sup>
            <m:r>
              <m:t>2</m:t>
            </m:r>
          </m:sup>
        </m:sSup>
        <m:r>
          <m:rPr>
            <m:sty m:val="p"/>
          </m:rPr>
          <m:t>≈</m:t>
        </m:r>
        <m:r>
          <m:t>0.87</m:t>
        </m:r>
      </m:oMath>
      <w:r>
        <w:rPr>
          <w:i/>
          <w:iCs/>
        </w:rPr>
        <w:t xml:space="preserve">.</w:t>
      </w:r>
    </w:p>
    <w:p>
      <w:r>
        <w:pict>
          <v:rect style="width:0;height:1.5pt" o:hralign="center" o:hrstd="t" o:hr="t"/>
        </w:pict>
      </w:r>
    </w:p>
    <w:bookmarkEnd w:id="77"/>
    <w:bookmarkStart w:id="80" w:name="s10.-watson-brake-bistable-analysis"/>
    <w:p>
      <w:pPr>
        <w:pStyle w:val="Heading2"/>
      </w:pPr>
      <w:r>
        <w:t xml:space="preserve">S10. Watson Brake bistable analysis</w:t>
      </w:r>
    </w:p>
    <w:bookmarkStart w:id="78" w:name="X73ecfc38308f507df91a0ba97d8614b49d276f1"/>
    <w:p>
      <w:pPr>
        <w:pStyle w:val="Heading3"/>
      </w:pPr>
      <w:r>
        <w:t xml:space="preserve">S10.1 Derivation of the continuous-equilibrium overshoot</w:t>
      </w:r>
    </w:p>
    <w:p>
      <w:pPr>
        <w:pStyle w:val="FirstParagraph"/>
      </w:pPr>
      <w:r>
        <w:t xml:space="preserve">The main text (§6.3) reports that the calibrated model under continuous-equilibrium operation predicts ~240,000 m³ of earthwork at WB, compared to the LiDAR-derived per-mound volume of 27,065 m³ (§5.1) — an overshoot ratio of approximately 9×. The derivation of the 240,000 m³ continuous-equilibrium prediction, omitted from the main text for length, is:</w:t>
      </w:r>
    </w:p>
    <w:p>
      <w:pPr>
        <w:numPr>
          <w:ilvl w:val="0"/>
          <w:numId w:val="1002"/>
        </w:numPr>
      </w:pPr>
      <w:r>
        <w:rPr>
          <w:i/>
          <w:iCs/>
        </w:rPr>
        <w:t xml:space="preserve">Equilibrium monument stock at PP-calibrated parameters.</w:t>
      </w:r>
      <w:r>
        <w:t xml:space="preserve"> </w:t>
      </w:r>
      <w:r>
        <w:t xml:space="preserve">At PP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w:t>
      </w:r>
      <w:r>
        <w:t xml:space="preserve"> </w:t>
      </w:r>
      <m:oMath>
        <m:r>
          <m:t>σ</m:t>
        </m:r>
        <m:r>
          <m:rPr>
            <m:sty m:val="p"/>
          </m:rPr>
          <m:t>=</m:t>
        </m:r>
        <m:r>
          <m:t>0.64</m:t>
        </m:r>
      </m:oMath>
      <w:r>
        <w:t xml:space="preserve">), the analytical equilibrium model returns equilibrium stock</w:t>
      </w:r>
      <w:r>
        <w:t xml:space="preserve"> </w:t>
      </w:r>
      <m:oMath>
        <m:sSub>
          <m:e>
            <m:r>
              <m:t>M</m:t>
            </m:r>
          </m:e>
          <m:sub>
            <m:r>
              <m:t>g</m:t>
            </m:r>
            <m:r>
              <m:rPr>
                <m:sty m:val="p"/>
              </m:rPr>
              <m:t>,</m:t>
            </m:r>
            <m:r>
              <m:t>P</m:t>
            </m:r>
            <m:r>
              <m:t>P</m:t>
            </m:r>
          </m:sub>
        </m:sSub>
        <m:r>
          <m:rPr>
            <m:sty m:val="p"/>
          </m:rPr>
          <m:t>=</m:t>
        </m:r>
        <m:r>
          <m:t>129.78</m:t>
        </m:r>
      </m:oMath>
      <w:r>
        <w:t xml:space="preserve"> </w:t>
      </w:r>
      <w:r>
        <w:t xml:space="preserve">(computed via</w:t>
      </w:r>
      <w:r>
        <w:t xml:space="preserve"> </w:t>
      </w:r>
      <w:r>
        <w:rPr>
          <w:rStyle w:val="VerbatimChar"/>
        </w:rPr>
        <w:t xml:space="preserve">critical_threshold</w:t>
      </w:r>
      <w:r>
        <w:t xml:space="preserve"> </w:t>
      </w:r>
      <w:r>
        <w:t xml:space="preserve">in</w:t>
      </w:r>
      <w:r>
        <w:t xml:space="preserve"> </w:t>
      </w:r>
      <w:r>
        <w:rPr>
          <w:rStyle w:val="VerbatimChar"/>
        </w:rPr>
        <w:t xml:space="preserve">src/poverty_point/signaling_core.py</w:t>
      </w:r>
      <w:r>
        <w:t xml:space="preserve">).</w:t>
      </w:r>
    </w:p>
    <w:p>
      <w:pPr>
        <w:numPr>
          <w:ilvl w:val="0"/>
          <w:numId w:val="1002"/>
        </w:numPr>
      </w:pPr>
      <w:r>
        <w:rPr>
          <w:i/>
          <w:iCs/>
        </w:rPr>
        <w:t xml:space="preserve">Equilibrium monument stock at WB-calibrated parameters.</w:t>
      </w:r>
      <w:r>
        <w:t xml:space="preserve"> </w:t>
      </w:r>
      <w:r>
        <w:t xml:space="preserve">At WB parameters (</w:t>
      </w:r>
      <m:oMath>
        <m:r>
          <m:t>ε</m:t>
        </m:r>
        <m:r>
          <m:rPr>
            <m:sty m:val="p"/>
          </m:rPr>
          <m:t>=</m:t>
        </m:r>
        <m:r>
          <m:t>0.43</m:t>
        </m:r>
      </m:oMath>
      <w:r>
        <w:t xml:space="preserve">,</w:t>
      </w:r>
      <w:r>
        <w:t xml:space="preserve"> </w:t>
      </w:r>
      <m:oMath>
        <m:sSub>
          <m:e>
            <m:r>
              <m:t>n</m:t>
            </m:r>
          </m:e>
          <m:sub>
            <m:r>
              <m:t>a</m:t>
            </m:r>
            <m:r>
              <m:t>g</m:t>
            </m:r>
            <m:r>
              <m:t>g</m:t>
            </m:r>
          </m:sub>
        </m:sSub>
        <m:r>
          <m:rPr>
            <m:sty m:val="p"/>
          </m:rPr>
          <m:t>=</m:t>
        </m:r>
        <m:r>
          <m:t>8</m:t>
        </m:r>
      </m:oMath>
      <w:r>
        <w:t xml:space="preserve">,</w:t>
      </w:r>
      <w:r>
        <w:t xml:space="preserve"> </w:t>
      </w:r>
      <m:oMath>
        <m:r>
          <m:t>σ</m:t>
        </m:r>
        <m:r>
          <m:rPr>
            <m:sty m:val="p"/>
          </m:rPr>
          <m:t>=</m:t>
        </m:r>
        <m:r>
          <m:t>0.56</m:t>
        </m:r>
      </m:oMath>
      <w:r>
        <w:t xml:space="preserve">),</w:t>
      </w:r>
      <w:r>
        <w:t xml:space="preserve"> </w:t>
      </w:r>
      <m:oMath>
        <m:sSub>
          <m:e>
            <m:r>
              <m:t>M</m:t>
            </m:r>
          </m:e>
          <m:sub>
            <m:r>
              <m:t>g</m:t>
            </m:r>
            <m:r>
              <m:rPr>
                <m:sty m:val="p"/>
              </m:rPr>
              <m:t>,</m:t>
            </m:r>
            <m:r>
              <m:t>W</m:t>
            </m:r>
            <m:r>
              <m:t>B</m:t>
            </m:r>
          </m:sub>
        </m:sSub>
        <m:r>
          <m:rPr>
            <m:sty m:val="p"/>
          </m:rPr>
          <m:t>=</m:t>
        </m:r>
        <m:r>
          <m:t>41.54</m:t>
        </m:r>
      </m:oMath>
      <w:r>
        <w:t xml:space="preserve">.</w:t>
      </w:r>
    </w:p>
    <w:p>
      <w:pPr>
        <w:numPr>
          <w:ilvl w:val="0"/>
          <w:numId w:val="1002"/>
        </w:numPr>
      </w:pPr>
      <w:r>
        <w:rPr>
          <w:i/>
          <w:iCs/>
        </w:rPr>
        <w:t xml:space="preserve">Volume calibration anchor.</w:t>
      </w:r>
      <w:r>
        <w:t xml:space="preserve"> </w:t>
      </w:r>
      <w:r>
        <w:t xml:space="preserve">The calibration uses the PP type-site core volume of 750,000 m³ (Gibson 2000; Ortmann and Kidder 2013) as the empirical anchor for</w:t>
      </w:r>
      <w:r>
        <w:t xml:space="preserve"> </w:t>
      </w:r>
      <m:oMath>
        <m:sSub>
          <m:e>
            <m:r>
              <m:t>M</m:t>
            </m:r>
          </m:e>
          <m:sub>
            <m:r>
              <m:t>g</m:t>
            </m:r>
            <m:r>
              <m:rPr>
                <m:sty m:val="p"/>
              </m:rPr>
              <m:t>,</m:t>
            </m:r>
            <m:r>
              <m:t>P</m:t>
            </m:r>
            <m:r>
              <m:t>P</m:t>
            </m:r>
          </m:sub>
        </m:sSub>
        <m:r>
          <m:rPr>
            <m:sty m:val="p"/>
          </m:rPr>
          <m:t>=</m:t>
        </m:r>
        <m:r>
          <m:t>129.78</m:t>
        </m:r>
      </m:oMath>
      <w:r>
        <w:t xml:space="preserve">. The volume-per-equilibrium-stock conversion is therefore</w:t>
      </w:r>
      <w:r>
        <w:t xml:space="preserve"> </w:t>
      </w:r>
      <m:oMath>
        <m:r>
          <m:t>750</m:t>
        </m:r>
        <m:r>
          <m:rPr>
            <m:sty m:val="p"/>
          </m:rPr>
          <m:t>,</m:t>
        </m:r>
        <m:r>
          <m:t>000</m:t>
        </m:r>
        <m:r>
          <m:rPr>
            <m:sty m:val="p"/>
          </m:rPr>
          <m:t>/</m:t>
        </m:r>
        <m:r>
          <m:t>129.78</m:t>
        </m:r>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at the PP-fit calibration.</w:t>
      </w:r>
    </w:p>
    <w:p>
      <w:pPr>
        <w:numPr>
          <w:ilvl w:val="0"/>
          <w:numId w:val="1002"/>
        </w:numPr>
      </w:pPr>
      <w:r>
        <w:rPr>
          <w:i/>
          <w:iCs/>
        </w:rPr>
        <w:t xml:space="preserve">Predicted WB volume under continuous-equilibrium operation.</w:t>
      </w:r>
      <w:r>
        <w:t xml:space="preserve"> </w:t>
      </w:r>
      <w:r>
        <w:t xml:space="preserve">Applying the same conversion to WB: predicted volume =</w:t>
      </w:r>
      <w: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t xml:space="preserve"> </w:t>
      </w:r>
      <w:r>
        <w:t xml:space="preserve">m³.</w:t>
      </w:r>
    </w:p>
    <w:p>
      <w:pPr>
        <w:numPr>
          <w:ilvl w:val="0"/>
          <w:numId w:val="1002"/>
        </w:numPr>
      </w:pPr>
      <w:r>
        <w:rPr>
          <w:i/>
          <w:iCs/>
        </w:rPr>
        <w:t xml:space="preserve">Comparison with the LiDAR-derived per-mound volume (27,065 m³).</w:t>
      </w:r>
      <w:r>
        <w:t xml:space="preserve"> </w:t>
      </w:r>
      <w:r>
        <w:t xml:space="preserve">The continuous-equilibrium prediction overshoots by a factor of</w:t>
      </w:r>
      <w:r>
        <w:t xml:space="preserve"> </w:t>
      </w:r>
      <m:oMath>
        <m:r>
          <m:t>240</m:t>
        </m:r>
        <m:r>
          <m:rPr>
            <m:sty m:val="p"/>
          </m:rPr>
          <m:t>,</m:t>
        </m:r>
        <m:r>
          <m:t>000</m:t>
        </m:r>
        <m:r>
          <m:rPr>
            <m:sty m:val="p"/>
          </m:rPr>
          <m:t>/</m:t>
        </m:r>
        <m:r>
          <m:t>27</m:t>
        </m:r>
        <m:r>
          <m:rPr>
            <m:sty m:val="p"/>
          </m:rPr>
          <m:t>,</m:t>
        </m:r>
        <m:r>
          <m:t>065</m:t>
        </m:r>
        <m:r>
          <m:rPr>
            <m:sty m:val="p"/>
          </m:rPr>
          <m:t>≈</m:t>
        </m:r>
        <m:r>
          <m:t>9</m:t>
        </m:r>
        <m:r>
          <m:rPr>
            <m:sty m:val="p"/>
          </m:rPr>
          <m:t>×</m:t>
        </m:r>
      </m:oMath>
      <w:r>
        <w:t xml:space="preserve">. The same continuous-equilibrium calculation propagated through the</w:t>
      </w:r>
      <w:r>
        <w:t xml:space="preserve"> </w:t>
      </w:r>
      <m:oMath>
        <m:sSub>
          <m:e>
            <m:r>
              <m:t>n</m:t>
            </m:r>
          </m:e>
          <m:sub>
            <m:r>
              <m:t>a</m:t>
            </m:r>
            <m:r>
              <m:t>g</m:t>
            </m:r>
            <m:r>
              <m:t>g</m:t>
            </m:r>
          </m:sub>
        </m:sSub>
      </m:oMath>
      <w:r>
        <w:t xml:space="preserve"> </w:t>
      </w:r>
      <w:r>
        <w:t xml:space="preserve">sensitivity sweep below confirms that no plausible</w:t>
      </w:r>
      <w:r>
        <w:t xml:space="preserve"> </w:t>
      </w:r>
      <m:oMath>
        <m:sSub>
          <m:e>
            <m:r>
              <m:t>n</m:t>
            </m:r>
          </m:e>
          <m:sub>
            <m:r>
              <m:t>a</m:t>
            </m:r>
            <m:r>
              <m:t>g</m:t>
            </m:r>
            <m:r>
              <m:t>g</m:t>
            </m:r>
          </m:sub>
        </m:sSub>
      </m:oMath>
      <w:r>
        <w:t xml:space="preserve"> </w:t>
      </w:r>
      <w:r>
        <w:t xml:space="preserve">value closes the 9× gap. Methodology and per-cluster breakdown for the 27,065 m³ figure are in §5.1; the analysis script is</w:t>
      </w:r>
      <w:r>
        <w:t xml:space="preserve"> </w:t>
      </w:r>
      <w:r>
        <w:rPr>
          <w:rStyle w:val="VerbatimChar"/>
        </w:rPr>
        <w:t xml:space="preserve">scripts/analysis/watson_brake_volume.py</w:t>
      </w:r>
      <w:r>
        <w:t xml:space="preserve">.</w:t>
      </w:r>
    </w:p>
    <w:p>
      <w:pPr>
        <w:pStyle w:val="FirstParagraph"/>
      </w:pPr>
      <w: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i/>
          <w:iCs/>
        </w:rPr>
        <w:t xml:space="preserve">Spatial extent.</w:t>
      </w:r>
      <w:r>
        <w:t xml:space="preserve"> </w:t>
      </w:r>
      <w: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i/>
          <w:iCs/>
        </w:rPr>
        <w:t xml:space="preserve">Construction tempo.</w:t>
      </w:r>
      <w:r>
        <w:t xml:space="preserve"> </w:t>
      </w:r>
      <w: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i/>
          <w:iCs/>
        </w:rPr>
        <w:t xml:space="preserve">Threshold proximity.</w:t>
      </w:r>
      <w:r>
        <w:t xml:space="preserve"> </w:t>
      </w:r>
      <w:r>
        <w:t xml:space="preserve">The smaller margin between</w:t>
      </w:r>
      <w:r>
        <w:t xml:space="preserve"> </w:t>
      </w:r>
      <m:oMath>
        <m:r>
          <m:t>σ</m:t>
        </m:r>
      </m:oMath>
      <w:r>
        <w:t xml:space="preserve"> </w:t>
      </w:r>
      <w:r>
        <w:t xml:space="preserve">and</w:t>
      </w:r>
      <w:r>
        <w:t xml:space="preserve"> </w:t>
      </w:r>
      <m:oMath>
        <m:sSup>
          <m:e>
            <m:r>
              <m:t>σ</m:t>
            </m:r>
          </m:e>
          <m:sup>
            <m:r>
              <m:rPr>
                <m:sty m:val="p"/>
              </m:rPr>
              <m:t>*</m:t>
            </m:r>
          </m:sup>
        </m:sSup>
      </m:oMath>
      <w:r>
        <w:t xml:space="preserve"> </w:t>
      </w:r>
      <w: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t xml:space="preserve"> </w:t>
      </w:r>
      <m:oMath>
        <m:sSub>
          <m:e>
            <m:r>
              <m:t>σ</m:t>
            </m:r>
          </m:e>
          <m:sub>
            <m:r>
              <m:t>e</m:t>
            </m:r>
            <m:r>
              <m:t>f</m:t>
            </m:r>
            <m:r>
              <m:t>f</m:t>
            </m:r>
          </m:sub>
        </m:sSub>
      </m:oMath>
      <w: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t xml:space="preserve">The 30× volume overprediction therefore reflects a</w:t>
      </w:r>
      <w:r>
        <w:t xml:space="preserve"> </w:t>
      </w:r>
      <w:r>
        <w:rPr>
          <w:i/>
          <w:iCs/>
        </w:rPr>
        <w:t xml:space="preserve">modeling choice</w:t>
      </w:r>
      <w:r>
        <w:t xml:space="preserve"> </w:t>
      </w:r>
      <w: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t xml:space="preserve">If the bistable reading is correct, the same framework would account for both PP-style sustained mass aggregation and WB-style intermittent episodic construction, with the difference between the two regimes set by the</w:t>
      </w:r>
      <w:r>
        <w:t xml:space="preserve"> </w:t>
      </w:r>
      <m:oMath>
        <m:r>
          <m:t>σ</m:t>
        </m:r>
        <m:r>
          <m:rPr>
            <m:sty m:val="p"/>
          </m:rPr>
          <m:t>−</m:t>
        </m:r>
        <m:sSup>
          <m:e>
            <m:r>
              <m:t>σ</m:t>
            </m:r>
          </m:e>
          <m:sup>
            <m:r>
              <m:rPr>
                <m:sty m:val="p"/>
              </m:rPr>
              <m:t>*</m:t>
            </m:r>
          </m:sup>
        </m:sSup>
      </m:oMath>
      <w:r>
        <w:t xml:space="preserve"> </w:t>
      </w:r>
      <w:r>
        <w:t xml:space="preserve">margin and the resulting fraction of time spent in the aggregator regime. PP’s 75-year construction window would be what the framework predicts when conditions sit comfortably above threshold and a large</w:t>
      </w:r>
      <w:r>
        <w:t xml:space="preserve"> </w:t>
      </w:r>
      <m:oMath>
        <m:sSub>
          <m:e>
            <m:r>
              <m:t>n</m:t>
            </m:r>
          </m:e>
          <m:sub>
            <m:r>
              <m:t>a</m:t>
            </m:r>
            <m:r>
              <m:t>g</m:t>
            </m:r>
            <m:r>
              <m:t>g</m:t>
            </m:r>
          </m:sub>
        </m:sSub>
      </m:oMath>
      <w:r>
        <w:t xml:space="preserve"> </w:t>
      </w:r>
      <w:r>
        <w:t xml:space="preserve">is attained through convergence (main text §5.1). WB’s punctuated 700-year construction record would be what the framework predicts when conditions sit just above threshold,</w:t>
      </w:r>
      <w:r>
        <w:t xml:space="preserve"> </w:t>
      </w:r>
      <m:oMath>
        <m:sSub>
          <m:e>
            <m:r>
              <m:t>n</m:t>
            </m:r>
          </m:e>
          <m:sub>
            <m:r>
              <m:t>a</m:t>
            </m:r>
            <m:r>
              <m:t>g</m:t>
            </m:r>
            <m:r>
              <m:t>g</m:t>
            </m:r>
          </m:sub>
        </m:sSub>
      </m:oMath>
      <w:r>
        <w:t xml:space="preserve"> </w:t>
      </w:r>
      <w: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78"/>
    <w:bookmarkStart w:id="79" w:name="s10.2-n_agg-sensitivity-probe"/>
    <w:p>
      <w:pPr>
        <w:pStyle w:val="Heading3"/>
      </w:pPr>
      <w:r>
        <w:t xml:space="preserve">S10.2</w:t>
      </w:r>
      <w:r>
        <w:t xml:space="preserve"> </w:t>
      </w:r>
      <m:oMath>
        <m:sSub>
          <m:e>
            <m:r>
              <m:t>n</m:t>
            </m:r>
          </m:e>
          <m:sub>
            <m:r>
              <m:t>a</m:t>
            </m:r>
            <m:r>
              <m:t>g</m:t>
            </m:r>
            <m:r>
              <m:t>g</m:t>
            </m:r>
          </m:sub>
        </m:sSub>
      </m:oMath>
      <w:r>
        <w:t xml:space="preserve"> </w:t>
      </w:r>
      <w:r>
        <w:t xml:space="preserve">sensitivity probe</w:t>
      </w:r>
    </w:p>
    <w:p>
      <w:pPr>
        <w:pStyle w:val="FirstParagraph"/>
      </w:pPr>
      <w:r>
        <w:t xml:space="preserve">To partially probe the bistable hypothesis we ran two analytical sensitivity tests. First, an</w:t>
      </w:r>
      <w:r>
        <w:t xml:space="preserve"> </w:t>
      </w:r>
      <m:oMath>
        <m:sSub>
          <m:e>
            <m:r>
              <m:t>n</m:t>
            </m:r>
          </m:e>
          <m:sub>
            <m:r>
              <m:t>a</m:t>
            </m:r>
            <m:r>
              <m:t>g</m:t>
            </m:r>
            <m:r>
              <m:t>g</m:t>
            </m:r>
          </m:sub>
        </m:sSub>
      </m:oMath>
      <w:r>
        <w:t xml:space="preserve"> </w:t>
      </w:r>
      <w:r>
        <w:t xml:space="preserve">sweep at WB-appropriate parameters (</w:t>
      </w:r>
      <m:oMath>
        <m:r>
          <m:t>ε</m:t>
        </m:r>
        <m:r>
          <m:rPr>
            <m:sty m:val="p"/>
          </m:rPr>
          <m:t>=</m:t>
        </m:r>
        <m:r>
          <m:t>0.43</m:t>
        </m:r>
      </m:oMath>
      <w:r>
        <w:t xml:space="preserve">,</w:t>
      </w:r>
      <w:r>
        <w:t xml:space="preserve"> </w:t>
      </w:r>
      <m:oMath>
        <m:r>
          <m:t>σ</m:t>
        </m:r>
        <m:r>
          <m:rPr>
            <m:sty m:val="p"/>
          </m:rPr>
          <m:t>=</m:t>
        </m:r>
        <m:r>
          <m:t>0.56</m:t>
        </m:r>
      </m:oMath>
      <w:r>
        <w:t xml:space="preserve">,</w:t>
      </w:r>
      <w: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t xml:space="preserve">). Across this range</w:t>
      </w:r>
      <w:r>
        <w:t xml:space="preserve"> </w:t>
      </w:r>
      <m:oMath>
        <m:sSup>
          <m:e>
            <m:r>
              <m:t>σ</m:t>
            </m:r>
          </m:e>
          <m:sup>
            <m:r>
              <m:rPr>
                <m:sty m:val="p"/>
              </m:rPr>
              <m:t>*</m:t>
            </m:r>
          </m:sup>
        </m:sSup>
      </m:oMath>
      <w:r>
        <w:t xml:space="preserve"> </w:t>
      </w:r>
      <w:r>
        <w:t xml:space="preserve">varies only between 0.374 and 0.378 (the framework’s threshold is essentially insensitive to</w:t>
      </w:r>
      <w:r>
        <w:t xml:space="preserve"> </w:t>
      </w:r>
      <m:oMath>
        <m:sSub>
          <m:e>
            <m:r>
              <m:t>n</m:t>
            </m:r>
          </m:e>
          <m:sub>
            <m:r>
              <m:t>a</m:t>
            </m:r>
            <m:r>
              <m:t>g</m:t>
            </m:r>
            <m:r>
              <m:t>g</m:t>
            </m:r>
          </m:sub>
        </m:sSub>
      </m:oMath>
      <w:r>
        <w:t xml:space="preserve"> </w:t>
      </w:r>
      <w:r>
        <w:t xml:space="preserve">over the plausible range), and equilibrium monument stock</w:t>
      </w:r>
      <w:r>
        <w:t xml:space="preserve"> </w:t>
      </w:r>
      <m:oMath>
        <m:sSub>
          <m:e>
            <m:r>
              <m:t>M</m:t>
            </m:r>
          </m:e>
          <m:sub>
            <m:r>
              <m:t>g</m:t>
            </m:r>
          </m:sub>
        </m:sSub>
      </m:oMath>
      <w:r>
        <w:t xml:space="preserve"> </w:t>
      </w:r>
      <w:r>
        <w:t xml:space="preserve">scales nearly linearly with</w:t>
      </w:r>
      <w:r>
        <w:t xml:space="preserve"> </w:t>
      </w:r>
      <m:oMath>
        <m:sSub>
          <m:e>
            <m:r>
              <m:t>n</m:t>
            </m:r>
          </m:e>
          <m:sub>
            <m:r>
              <m:t>a</m:t>
            </m:r>
            <m:r>
              <m:t>g</m:t>
            </m:r>
            <m:r>
              <m:t>g</m:t>
            </m:r>
          </m:sub>
        </m:sSub>
      </m:oMath>
      <w:r>
        <w:t xml:space="preserve">:</w:t>
      </w:r>
      <w:r>
        <w:t xml:space="preserve"> </w:t>
      </w:r>
      <m:oMath>
        <m:sSub>
          <m:e>
            <m:r>
              <m:t>M</m:t>
            </m:r>
          </m:e>
          <m:sub>
            <m:r>
              <m:t>g</m:t>
            </m:r>
          </m:sub>
        </m:sSub>
        <m:r>
          <m:rPr>
            <m:sty m:val="p"/>
          </m:rPr>
          <m:t>=</m:t>
        </m:r>
        <m:r>
          <m:t>15.6</m:t>
        </m:r>
      </m:oMath>
      <w:r>
        <w:t xml:space="preserve"> </w:t>
      </w:r>
      <w:r>
        <w:t xml:space="preserve">at</w:t>
      </w:r>
      <w:r>
        <w:t xml:space="preserve"> </w:t>
      </w:r>
      <m:oMath>
        <m:sSub>
          <m:e>
            <m:r>
              <m:t>n</m:t>
            </m:r>
          </m:e>
          <m:sub>
            <m:r>
              <m:t>a</m:t>
            </m:r>
            <m:r>
              <m:t>g</m:t>
            </m:r>
            <m:r>
              <m:t>g</m:t>
            </m:r>
          </m:sub>
        </m:sSub>
        <m:r>
          <m:rPr>
            <m:sty m:val="p"/>
          </m:rPr>
          <m:t>=</m:t>
        </m:r>
        <m:r>
          <m:t>3</m:t>
        </m:r>
      </m:oMath>
      <w:r>
        <w:t xml:space="preserve">,</w:t>
      </w:r>
      <w:r>
        <w:t xml:space="preserve"> </w:t>
      </w:r>
      <m:oMath>
        <m:sSub>
          <m:e>
            <m:r>
              <m:t>M</m:t>
            </m:r>
          </m:e>
          <m:sub>
            <m:r>
              <m:t>g</m:t>
            </m:r>
          </m:sub>
        </m:sSub>
        <m:r>
          <m:rPr>
            <m:sty m:val="p"/>
          </m:rPr>
          <m:t>=</m:t>
        </m:r>
        <m:r>
          <m:t>41.6</m:t>
        </m:r>
      </m:oMath>
      <w:r>
        <w:t xml:space="preserve"> </w:t>
      </w:r>
      <w:r>
        <w:t xml:space="preserve">at</w:t>
      </w:r>
      <w:r>
        <w:t xml:space="preserve"> </w:t>
      </w:r>
      <m:oMath>
        <m:sSub>
          <m:e>
            <m:r>
              <m:t>n</m:t>
            </m:r>
          </m:e>
          <m:sub>
            <m:r>
              <m:t>a</m:t>
            </m:r>
            <m:r>
              <m:t>g</m:t>
            </m:r>
            <m:r>
              <m:t>g</m:t>
            </m:r>
          </m:sub>
        </m:sSub>
        <m:r>
          <m:rPr>
            <m:sty m:val="p"/>
          </m:rPr>
          <m:t>=</m:t>
        </m:r>
        <m:r>
          <m:t>8</m:t>
        </m:r>
      </m:oMath>
      <w:r>
        <w:t xml:space="preserve"> </w:t>
      </w:r>
      <w:r>
        <w:t xml:space="preserve">(the value used in main §6.3 and in the S10.1 derivation above), and</w:t>
      </w:r>
      <w:r>
        <w:t xml:space="preserve"> </w:t>
      </w:r>
      <m:oMath>
        <m:sSub>
          <m:e>
            <m:r>
              <m:t>M</m:t>
            </m:r>
          </m:e>
          <m:sub>
            <m:r>
              <m:t>g</m:t>
            </m:r>
          </m:sub>
        </m:sSub>
        <m:r>
          <m:rPr>
            <m:sty m:val="p"/>
          </m:rPr>
          <m:t>=</m:t>
        </m:r>
        <m:r>
          <m:t>129.8</m:t>
        </m:r>
      </m:oMath>
      <w:r>
        <w:t xml:space="preserve"> </w:t>
      </w:r>
      <w:r>
        <w:t xml:space="preserve">at</w:t>
      </w:r>
      <w:r>
        <w:t xml:space="preserve"> </w:t>
      </w:r>
      <m:oMath>
        <m:sSub>
          <m:e>
            <m:r>
              <m:t>n</m:t>
            </m:r>
          </m:e>
          <m:sub>
            <m:r>
              <m:t>a</m:t>
            </m:r>
            <m:r>
              <m:t>g</m:t>
            </m:r>
            <m:r>
              <m:t>g</m:t>
            </m:r>
          </m:sub>
        </m:sSub>
        <m:r>
          <m:rPr>
            <m:sty m:val="p"/>
          </m:rPr>
          <m:t>=</m:t>
        </m:r>
        <m:r>
          <m:t>25</m:t>
        </m:r>
      </m:oMath>
      <w:r>
        <w:t xml:space="preserve">. Applying the S10.1 conversion factor (</w:t>
      </w:r>
      <m:oMath>
        <m:r>
          <m:rPr>
            <m:sty m:val="p"/>
          </m:rPr>
          <m:t>∼</m:t>
        </m:r>
        <m:r>
          <m:t>5</m:t>
        </m:r>
        <m:r>
          <m:rPr>
            <m:sty m:val="p"/>
          </m:rPr>
          <m:t>,</m:t>
        </m:r>
        <m:r>
          <m:t>779</m:t>
        </m:r>
      </m:oMath>
      <w:r>
        <w:t xml:space="preserve"> </w:t>
      </w:r>
      <w:r>
        <w:t xml:space="preserve">m³/</w:t>
      </w:r>
      <m:oMath>
        <m:sSub>
          <m:e>
            <m:r>
              <m:t>M</m:t>
            </m:r>
          </m:e>
          <m:sub>
            <m:r>
              <m:t>g</m:t>
            </m:r>
          </m:sub>
        </m:sSub>
      </m:oMath>
      <w:r>
        <w:t xml:space="preserve"> </w:t>
      </w:r>
      <w:r>
        <w:t xml:space="preserve">unit), the predicted volume at</w:t>
      </w:r>
      <w:r>
        <w:t xml:space="preserve"> </w:t>
      </w:r>
      <m:oMath>
        <m:sSub>
          <m:e>
            <m:r>
              <m:t>n</m:t>
            </m:r>
          </m:e>
          <m:sub>
            <m:r>
              <m:t>a</m:t>
            </m:r>
            <m:r>
              <m:t>g</m:t>
            </m:r>
            <m:r>
              <m:t>g</m:t>
            </m:r>
          </m:sub>
        </m:sSub>
        <m:r>
          <m:rPr>
            <m:sty m:val="p"/>
          </m:rPr>
          <m:t>=</m:t>
        </m:r>
        <m:r>
          <m:t>3</m:t>
        </m:r>
      </m:oMath>
      <w:r>
        <w:t xml:space="preserve"> </w:t>
      </w:r>
      <w:r>
        <w:t xml:space="preserve">is</w:t>
      </w:r>
      <w:r>
        <w:t xml:space="preserve"> </w:t>
      </w:r>
      <m:oMath>
        <m:r>
          <m:t>15.6</m:t>
        </m:r>
        <m:r>
          <m:rPr>
            <m:sty m:val="p"/>
          </m:rPr>
          <m:t>×</m:t>
        </m:r>
        <m:r>
          <m:t>5</m:t>
        </m:r>
        <m:r>
          <m:rPr>
            <m:sty m:val="p"/>
          </m:rPr>
          <m:t>,</m:t>
        </m:r>
        <m:r>
          <m:t>779</m:t>
        </m:r>
        <m:r>
          <m:rPr>
            <m:sty m:val="p"/>
          </m:rPr>
          <m:t>≈</m:t>
        </m:r>
        <m:r>
          <m:t>90</m:t>
        </m:r>
        <m:r>
          <m:rPr>
            <m:sty m:val="p"/>
          </m:rPr>
          <m:t>,</m:t>
        </m:r>
        <m:r>
          <m:t>000</m:t>
        </m:r>
      </m:oMath>
      <w:r>
        <w:t xml:space="preserve"> </w:t>
      </w:r>
      <w: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t xml:space="preserve">Second, a stochastic-environment pilot at WB parameters. Treating the year-to-year regional environmental fluctuations as Gaussian noise around the central WB estimate (</w:t>
      </w:r>
      <m:oMath>
        <m:r>
          <m:t>σ</m:t>
        </m:r>
      </m:oMath>
      <w:r>
        <w:t xml:space="preserve"> </w:t>
      </w:r>
      <w:r>
        <w:t xml:space="preserve">mean 0.56, sd 0.13, derived from the main-text §6.2 paleoclimate confidence interval) and computing the fraction of years for which</w:t>
      </w:r>
      <w:r>
        <w:t xml:space="preserve"> </w:t>
      </w:r>
      <m:oMath>
        <m:sSub>
          <m:e>
            <m:r>
              <m:t>σ</m:t>
            </m:r>
          </m:e>
          <m:sub>
            <m:r>
              <m:t>e</m:t>
            </m:r>
            <m:r>
              <m:t>f</m:t>
            </m:r>
            <m:r>
              <m:t>f</m:t>
            </m:r>
          </m:sub>
        </m:sSub>
      </m:oMath>
      <w:r>
        <w:t xml:space="preserve"> </w:t>
      </w:r>
      <w:r>
        <w:t xml:space="preserve">exceeds the WB threshold</w:t>
      </w:r>
      <w:r>
        <w:t xml:space="preserve"> </w:t>
      </w:r>
      <m:oMath>
        <m:sSup>
          <m:e>
            <m:r>
              <m:t>σ</m:t>
            </m:r>
          </m:e>
          <m:sup>
            <m:r>
              <m:rPr>
                <m:sty m:val="p"/>
              </m:rPr>
              <m:t>*</m:t>
            </m:r>
          </m:sup>
        </m:sSup>
        <m:r>
          <m:rPr>
            <m:sty m:val="p"/>
          </m:rPr>
          <m:t>≈</m:t>
        </m:r>
        <m:r>
          <m:t>0.375</m:t>
        </m:r>
      </m:oMath>
      <w: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t xml:space="preserve"> </w:t>
      </w:r>
      <m:oMath>
        <m:r>
          <m:t>α</m:t>
        </m:r>
        <m:r>
          <m:rPr>
            <m:sty m:val="p"/>
          </m:rPr>
          <m:t>=</m:t>
        </m:r>
        <m:r>
          <m:t>2</m:t>
        </m:r>
      </m:oMath>
      <w:r>
        <w:t xml:space="preserve"> </w:t>
      </w:r>
      <w:r>
        <w:t xml:space="preserve">(§S17.2) produces ~25,000 m³ of cumulative investment, essentially matching the observed value within ~9%. Closing the gap therefore primarily requires the per-event labor-scaling extension; the bistable regime-switching mechanism contributes the episodic</w:t>
      </w:r>
      <w:r>
        <w:t xml:space="preserve"> </w:t>
      </w:r>
      <w:r>
        <w:rPr>
          <w:i/>
          <w:iCs/>
        </w:rPr>
        <w:t xml:space="preserve">tempo</w:t>
      </w:r>
      <w:r>
        <w:t xml:space="preserve"> </w:t>
      </w:r>
      <w:r>
        <w:t xml:space="preserve">(matching the 200+-year inter-stage gaps documented by Saunders et al. 2005) rather than the total volume. Both extensions are implemented in §S17.1 (regime switching) and §S17.2 (per-event labor scaling) below.</w:t>
      </w:r>
    </w:p>
    <w:p>
      <w:r>
        <w:pict>
          <v:rect style="width:0;height:1.5pt" o:hralign="center" o:hrstd="t" o:hr="t"/>
        </w:pict>
      </w:r>
    </w:p>
    <w:bookmarkEnd w:id="79"/>
    <w:bookmarkEnd w:id="80"/>
    <w:bookmarkStart w:id="81" w:name="X0769aa5741e11170a5f27a581a02296b6581b8e"/>
    <w:p>
      <w:pPr>
        <w:pStyle w:val="Heading2"/>
      </w:pPr>
      <w:r>
        <w:t xml:space="preserve">S11. Magnitude prediction: five gaps the framework does not address</w:t>
      </w:r>
    </w:p>
    <w:p>
      <w:pPr>
        <w:pStyle w:val="FirstParagraph"/>
      </w:pPr>
      <w:r>
        <w:t xml:space="preserve">The main text (§4.6, §5.1) summarizes that the framework correctly predicts the threshold-crossing condition (all eleven LMV sites in Table 2 above their site-specific</w:t>
      </w:r>
      <w:r>
        <w:t xml:space="preserve"> </w:t>
      </w:r>
      <m:oMath>
        <m:sSup>
          <m:e>
            <m:r>
              <m:t>σ</m:t>
            </m:r>
          </m:e>
          <m:sup>
            <m:r>
              <m:rPr>
                <m:sty m:val="p"/>
              </m:rPr>
              <m:t>*</m:t>
            </m:r>
          </m:sup>
        </m:sSup>
      </m:oMath>
      <w: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i/>
          <w:iCs/>
        </w:rPr>
        <w:t xml:space="preserve">Spatial network topology and routing.</w:t>
      </w:r>
      <w:r>
        <w:t xml:space="preserve"> </w:t>
      </w:r>
      <w: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i/>
          <w:iCs/>
        </w:rPr>
        <w:t xml:space="preserve">Carrying capacity at the gathering.</w:t>
      </w:r>
      <w:r>
        <w:t xml:space="preserve"> </w:t>
      </w:r>
      <w:r>
        <w:t xml:space="preserve">The ecotone parameter</w:t>
      </w:r>
      <w:r>
        <w:t xml:space="preserve"> </w:t>
      </w:r>
      <m:oMath>
        <m:r>
          <m:t>ε</m:t>
        </m:r>
      </m:oMath>
      <w:r>
        <w:t xml:space="preserve"> </w:t>
      </w:r>
      <w: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t xml:space="preserve"> </w:t>
      </w:r>
      <m:oMath>
        <m:r>
          <m:t>ε</m:t>
        </m:r>
      </m:oMath>
      <w:r>
        <w:t xml:space="preserve">; we do not explicitly model the population × duration × resource budget that determines this ceiling.</w:t>
      </w:r>
    </w:p>
    <w:p>
      <w:pPr>
        <w:numPr>
          <w:ilvl w:val="0"/>
          <w:numId w:val="1003"/>
        </w:numPr>
      </w:pPr>
      <w:r>
        <w:rPr>
          <w:i/>
          <w:iCs/>
        </w:rPr>
        <w:t xml:space="preserve">Path dependence and first-mover advantage.</w:t>
      </w:r>
      <w:r>
        <w:t xml:space="preserve"> </w:t>
      </w:r>
      <w: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i/>
          <w:iCs/>
        </w:rPr>
        <w:t xml:space="preserve">Temporal heterogeneity in</w:t>
      </w:r>
      <w:r>
        <w:rPr>
          <w:i/>
          <w:iCs/>
        </w:rPr>
        <w:t xml:space="preserve"> </w:t>
      </w:r>
      <m:oMath>
        <m:r>
          <m:t>σ</m:t>
        </m:r>
      </m:oMath>
      <w:r>
        <w:rPr>
          <w:i/>
          <w:iCs/>
        </w:rPr>
        <w:t xml:space="preserve">.</w:t>
      </w:r>
      <w:r>
        <w:t xml:space="preserve"> </w:t>
      </w:r>
      <w:r>
        <w:t xml:space="preserve">The Middle Archaic LMV sites (Watson Brake, Caney, Insley, Frenchman’s Bend, Lower Jackson) operated under mid-Holocene</w:t>
      </w:r>
      <w:r>
        <w:t xml:space="preserve"> </w:t>
      </w:r>
      <m:oMath>
        <m:r>
          <m:t>σ</m:t>
        </m:r>
        <m:r>
          <m:rPr>
            <m:sty m:val="p"/>
          </m:rPr>
          <m:t>≈</m:t>
        </m:r>
        <m:r>
          <m:t>0.56</m:t>
        </m:r>
      </m:oMath>
      <w:r>
        <w:t xml:space="preserve">; the Late Archaic sites (Poverty Point, J.W. Copes, Jaketown, Cowpen Slough) operated under</w:t>
      </w:r>
      <w:r>
        <w:t xml:space="preserve"> </w:t>
      </w:r>
      <m:oMath>
        <m:r>
          <m:t>σ</m:t>
        </m:r>
        <m:r>
          <m:rPr>
            <m:sty m:val="p"/>
          </m:rPr>
          <m:t>≈</m:t>
        </m:r>
        <m:r>
          <m:t>0.64</m:t>
        </m:r>
      </m:oMath>
      <w:r>
        <w:t xml:space="preserve">. Comparing all eleven sites against a single regional</w:t>
      </w:r>
      <w:r>
        <w:t xml:space="preserve"> </w:t>
      </w:r>
      <m:oMath>
        <m:r>
          <m:t>σ</m:t>
        </m:r>
      </m:oMath>
      <w:r>
        <w:t xml:space="preserve"> </w:t>
      </w:r>
      <w:r>
        <w:t xml:space="preserve">smooths over real environmental differences in their</w:t>
      </w:r>
      <w:r>
        <w:t xml:space="preserve"> </w:t>
      </w:r>
      <m:oMath>
        <m:r>
          <m:t>σ</m:t>
        </m:r>
        <m:r>
          <m:rPr>
            <m:sty m:val="p"/>
          </m:rPr>
          <m:t>−</m:t>
        </m:r>
        <m:sSup>
          <m:e>
            <m:r>
              <m:t>σ</m:t>
            </m:r>
          </m:e>
          <m:sup>
            <m:r>
              <m:rPr>
                <m:sty m:val="p"/>
              </m:rPr>
              <m:t>*</m:t>
            </m:r>
          </m:sup>
        </m:sSup>
      </m:oMath>
      <w:r>
        <w:t xml:space="preserve"> </w:t>
      </w:r>
      <w:r>
        <w:t xml:space="preserve">margins. A time-stratified analysis would tighten the cross-site comparison.</w:t>
      </w:r>
    </w:p>
    <w:p>
      <w:pPr>
        <w:numPr>
          <w:ilvl w:val="0"/>
          <w:numId w:val="1003"/>
        </w:numPr>
      </w:pPr>
      <w:r>
        <w:rPr>
          <w:i/>
          <w:iCs/>
        </w:rPr>
        <w:t xml:space="preserve">Reduction of structure to a single number.</w:t>
      </w:r>
      <w:r>
        <w:t xml:space="preserve"> </w:t>
      </w:r>
      <w:r>
        <w:t xml:space="preserve">The Shannon index reduces five zone weights to one scalar, washing out structural differences (one-dominant vs. evenly-distributed) that may matter for sustained aggregation. The EPA Level IV ecoregion measurement (S12) shows that two operationalizations of</w:t>
      </w:r>
      <w:r>
        <w:t xml:space="preserve"> </w:t>
      </w:r>
      <w:r>
        <w:t xml:space="preserve">“ecotone diversity”</w:t>
      </w:r>
      <w:r>
        <w:t xml:space="preserve"> </w:t>
      </w:r>
      <w: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t xml:space="preserve"> </w:t>
      </w:r>
      <m:oMath>
        <m:r>
          <m:t>ε</m:t>
        </m:r>
      </m:oMath>
      <w:r>
        <w:t xml:space="preserve"> </w:t>
      </w:r>
      <w:r>
        <w:t xml:space="preserve">that captures the relevant ecological-diversity dimension.</w:t>
      </w:r>
    </w:p>
    <w:p>
      <w:pPr>
        <w:pStyle w:val="FirstParagraph"/>
      </w:pPr>
      <w:r>
        <w:t xml:space="preserve">These five gaps explain why the framework correctly predicts the</w:t>
      </w:r>
      <w:r>
        <w:t xml:space="preserve"> </w:t>
      </w:r>
      <w:r>
        <w:rPr>
          <w:i/>
          <w:iCs/>
        </w:rPr>
        <w:t xml:space="preserve">threshold-crossing condition</w:t>
      </w:r>
      <w:r>
        <w:t xml:space="preserve"> </w:t>
      </w:r>
      <w:r>
        <w:t xml:space="preserve">but not the</w:t>
      </w:r>
      <w:r>
        <w:t xml:space="preserve"> </w:t>
      </w:r>
      <w:r>
        <w:rPr>
          <w:i/>
          <w:iCs/>
        </w:rPr>
        <w:t xml:space="preserve">magnitude variation</w:t>
      </w:r>
      <w:r>
        <w:t xml:space="preserve"> </w:t>
      </w:r>
      <w: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p>
      <w:r>
        <w:pict>
          <v:rect style="width:0;height:1.5pt" o:hralign="center" o:hrstd="t" o:hr="t"/>
        </w:pict>
      </w:r>
    </w:p>
    <w:bookmarkEnd w:id="81"/>
    <w:bookmarkStart w:id="82" w:name="Xe0ea6b23fc108217560814ad28b4dba14359c18"/>
    <w:p>
      <w:pPr>
        <w:pStyle w:val="Heading2"/>
      </w:pPr>
      <w:r>
        <w:t xml:space="preserve">S12. GIS-based ecotone diversity comparison (EPA Level IV ecoregions)</w:t>
      </w:r>
    </w:p>
    <w:p>
      <w:pPr>
        <w:pStyle w:val="FirstParagraph"/>
      </w:pPr>
      <w: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t xml:space="preserve">, n.s.) and not at all with Level IV ecological diversity (</w:t>
      </w:r>
      <m:oMath>
        <m:r>
          <m:t>ρ</m:t>
        </m:r>
        <m:r>
          <m:rPr>
            <m:sty m:val="p"/>
          </m:rPr>
          <m:t>=</m:t>
        </m:r>
        <m:r>
          <m:rPr>
            <m:sty m:val="p"/>
          </m:rPr>
          <m:t>−</m:t>
        </m:r>
        <m:r>
          <m:t>0.02</m:t>
        </m:r>
      </m:oMath>
      <w:r>
        <w:t xml:space="preserve">, n.s.). Full detail is given here.</w:t>
      </w:r>
    </w:p>
    <w:p>
      <w:pPr>
        <w:pStyle w:val="BodyText"/>
      </w:pPr>
      <w: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t xml:space="preserve">The Spearman correlation between qualitative</w:t>
      </w:r>
      <w:r>
        <w:t xml:space="preserve"> </w:t>
      </w:r>
      <m:oMath>
        <m:r>
          <m:t>ε</m:t>
        </m:r>
      </m:oMath>
      <w:r>
        <w:t xml:space="preserve"> </w:t>
      </w:r>
      <w:r>
        <w:t xml:space="preserve">and GIS-measured geomorphic</w:t>
      </w:r>
      <w:r>
        <w:t xml:space="preserve"> </w:t>
      </w:r>
      <m:oMath>
        <m:r>
          <m:t>ε</m:t>
        </m:r>
      </m:oMath>
      <w:r>
        <w:t xml:space="preserve"> </w:t>
      </w:r>
      <w:r>
        <w:t xml:space="preserve">is</w:t>
      </w:r>
      <w:r>
        <w:t xml:space="preserve"> </w:t>
      </w:r>
      <m:oMath>
        <m:r>
          <m:t>ρ</m:t>
        </m:r>
        <m:r>
          <m:rPr>
            <m:sty m:val="p"/>
          </m:rPr>
          <m:t>=</m:t>
        </m:r>
        <m:r>
          <m:t>0.22</m:t>
        </m:r>
      </m:oMath>
      <w:r>
        <w:t xml:space="preserve">,</w:t>
      </w:r>
      <w:r>
        <w:t xml:space="preserve"> </w:t>
      </w:r>
      <m:oMath>
        <m:r>
          <m:t>p</m:t>
        </m:r>
        <m:r>
          <m:rPr>
            <m:sty m:val="p"/>
          </m:rPr>
          <m:t>=</m:t>
        </m:r>
        <m:r>
          <m:t>0.53</m:t>
        </m:r>
      </m:oMath>
      <w:r>
        <w:t xml:space="preserve">; the qualitative rubric only weakly tracks geomorphic diversity, and the correlation is not statistically significant. The Spearman correlation between qualitative</w:t>
      </w:r>
      <w:r>
        <w:t xml:space="preserve"> </w:t>
      </w:r>
      <m:oMath>
        <m:r>
          <m:t>ε</m:t>
        </m:r>
      </m:oMath>
      <w:r>
        <w:t xml:space="preserve"> </w:t>
      </w:r>
      <w:r>
        <w:t xml:space="preserve">and EPA-L4</w:t>
      </w:r>
      <w:r>
        <w:t xml:space="preserve"> </w:t>
      </w:r>
      <m:oMath>
        <m:r>
          <m:t>ε</m:t>
        </m:r>
      </m:oMath>
      <w:r>
        <w:t xml:space="preserve"> </w:t>
      </w:r>
      <w:r>
        <w:t xml:space="preserve">is</w:t>
      </w:r>
      <w:r>
        <w:t xml:space="preserve"> </w:t>
      </w:r>
      <m:oMath>
        <m:r>
          <m:t>ρ</m:t>
        </m:r>
        <m:r>
          <m:rPr>
            <m:sty m:val="p"/>
          </m:rPr>
          <m:t>=</m:t>
        </m:r>
        <m:r>
          <m:rPr>
            <m:sty m:val="p"/>
          </m:rPr>
          <m:t>−</m:t>
        </m:r>
        <m:r>
          <m:t>0.02</m:t>
        </m:r>
      </m:oMath>
      <w:r>
        <w:t xml:space="preserve">,</w:t>
      </w:r>
      <w:r>
        <w:t xml:space="preserve"> </w:t>
      </w:r>
      <m:oMath>
        <m:r>
          <m:t>p</m:t>
        </m:r>
        <m:r>
          <m:rPr>
            <m:sty m:val="p"/>
          </m:rPr>
          <m:t>=</m:t>
        </m:r>
        <m:r>
          <m:t>0.96</m:t>
        </m:r>
      </m:oMath>
      <w:r>
        <w:t xml:space="preserve">; the qualitative rubric does</w:t>
      </w:r>
      <w:r>
        <w:t xml:space="preserve"> </w:t>
      </w:r>
      <w:r>
        <w:rPr>
          <w:i/>
          <w:iCs/>
        </w:rPr>
        <w:t xml:space="preserve">not</w:t>
      </w:r>
      <w:r>
        <w:t xml:space="preserve"> </w:t>
      </w:r>
      <w:r>
        <w:t xml:space="preserve">track Level IV ecological diversity.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t xml:space="preserve"> </w:t>
      </w:r>
      <m:oMath>
        <m:r>
          <m:t>ε</m:t>
        </m:r>
      </m:oMath>
      <w:r>
        <w:t xml:space="preserve"> </w:t>
      </w:r>
      <w: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t xml:space="preserve"> </w:t>
      </w:r>
      <w:r>
        <w:t xml:space="preserve">band exists and that PP-style monument scale is not produced by terrestrial-buffer ecological diversity alone.</w:t>
      </w:r>
    </w:p>
    <w:p>
      <w:pPr>
        <w:pStyle w:val="BodyText"/>
      </w:pPr>
      <w:r>
        <w:t xml:space="preserve">The cross-LMV ecoregion map showing all eleven sites with 25-km foraging buffers on the EPA Level IV ecoregion polygon background is now main-text Figure 13.</w:t>
      </w:r>
    </w:p>
    <w:p>
      <w:pPr>
        <w:pStyle w:val="BodyText"/>
      </w:pPr>
      <w:r>
        <w:rPr>
          <w:b/>
          <w:bCs/>
        </w:rPr>
        <w:t xml:space="preserve">Category-level recalibration.</w:t>
      </w:r>
      <w:r>
        <w:t xml:space="preserve"> </w:t>
      </w:r>
      <w:r>
        <w:t xml:space="preserve">A reasonable concern about the L4-class Shannon analysis is that ecoregion classes are not equally distinct: an</w:t>
      </w:r>
      <w:r>
        <w:t xml:space="preserve"> </w:t>
      </w:r>
      <w:r>
        <w:t xml:space="preserve">“upland”</w:t>
      </w:r>
      <w:r>
        <w:t xml:space="preserve"> </w:t>
      </w:r>
      <w:r>
        <w:t xml:space="preserve">ecoregion is fundamentally different from a</w:t>
      </w:r>
      <w:r>
        <w:t xml:space="preserve"> </w:t>
      </w:r>
      <w:r>
        <w:t xml:space="preserve">“lowland alluvial”</w:t>
      </w:r>
      <w:r>
        <w:t xml:space="preserve"> </w:t>
      </w:r>
      <w: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t xml:space="preserve"> </w:t>
      </w:r>
      <m:oMath>
        <m:sSub>
          <m:e>
            <m:r>
              <m:t>ε</m:t>
            </m:r>
          </m:e>
          <m:sub>
            <m:r>
              <m:t>c</m:t>
            </m:r>
            <m:r>
              <m:t>a</m:t>
            </m:r>
            <m:r>
              <m:t>t</m:t>
            </m:r>
          </m:sub>
        </m:sSub>
        <m:r>
          <m:rPr>
            <m:sty m:val="p"/>
          </m:rPr>
          <m:t>=</m:t>
        </m:r>
        <m:r>
          <m:t>0.305</m:t>
        </m:r>
      </m:oMath>
      <w:r>
        <w:t xml:space="preserve">. Caney also intersects 4 categories (</w:t>
      </w:r>
      <m:oMath>
        <m:sSub>
          <m:e>
            <m:r>
              <m:t>ε</m:t>
            </m:r>
          </m:e>
          <m:sub>
            <m:r>
              <m:t>c</m:t>
            </m:r>
            <m:r>
              <m:t>a</m:t>
            </m:r>
            <m:r>
              <m:t>t</m:t>
            </m:r>
          </m:sub>
        </m:sSub>
        <m:r>
          <m:rPr>
            <m:sty m:val="p"/>
          </m:rPr>
          <m:t>=</m:t>
        </m:r>
        <m:r>
          <m:t>0.304</m:t>
        </m:r>
      </m:oMath>
      <w:r>
        <w:t xml:space="preserve">). Watson Brake intersects 4 categories (</w:t>
      </w:r>
      <m:oMath>
        <m:sSub>
          <m:e>
            <m:r>
              <m:t>ε</m:t>
            </m:r>
          </m:e>
          <m:sub>
            <m:r>
              <m:t>c</m:t>
            </m:r>
            <m:r>
              <m:t>a</m:t>
            </m:r>
            <m:r>
              <m:t>t</m:t>
            </m:r>
          </m:sub>
        </m:sSub>
        <m:r>
          <m:rPr>
            <m:sty m:val="p"/>
          </m:rPr>
          <m:t>=</m:t>
        </m:r>
        <m:r>
          <m:t>0.299</m:t>
        </m:r>
      </m:oMath>
      <w:r>
        <w:t xml:space="preserve">). J.W. Copes, Cowpen Slough, Insley, Lower Jackson, and Poverty Point all intersect 3 categories (Alluvial Active, Backswamp, Pleistocene Terrace), with</w:t>
      </w:r>
      <w:r>
        <w:t xml:space="preserve"> </w:t>
      </w:r>
      <m:oMath>
        <m:sSub>
          <m:e>
            <m:r>
              <m:t>ε</m:t>
            </m:r>
          </m:e>
          <m:sub>
            <m:r>
              <m:t>c</m:t>
            </m:r>
            <m:r>
              <m:t>a</m:t>
            </m:r>
            <m:r>
              <m:t>t</m:t>
            </m:r>
          </m:sub>
        </m:sSub>
      </m:oMath>
      <w:r>
        <w:t xml:space="preserve"> </w:t>
      </w:r>
      <w:r>
        <w:t xml:space="preserve">values clustering at 0.241–0.248. The coastal Pearl River sites (Claiborne and Cedarland) intersect 3 categories each (Coastal Plain Upland, Coastal Marsh, Alluvial Active) at</w:t>
      </w:r>
      <w:r>
        <w:t xml:space="preserve"> </w:t>
      </w:r>
      <m:oMath>
        <m:sSub>
          <m:e>
            <m:r>
              <m:t>ε</m:t>
            </m:r>
          </m:e>
          <m:sub>
            <m:r>
              <m:t>c</m:t>
            </m:r>
            <m:r>
              <m:t>a</m:t>
            </m:r>
            <m:r>
              <m:t>t</m:t>
            </m:r>
          </m:sub>
        </m:sSub>
        <m:r>
          <m:rPr>
            <m:sty m:val="p"/>
          </m:rPr>
          <m:t>≈</m:t>
        </m:r>
        <m:r>
          <m:t>0.227</m:t>
        </m:r>
      </m:oMath>
      <w:r>
        <w:t xml:space="preserve">. Jaketown intersects 3 categories at the lowest entropy (</w:t>
      </w:r>
      <m:oMath>
        <m:sSub>
          <m:e>
            <m:r>
              <m:t>ε</m:t>
            </m:r>
          </m:e>
          <m:sub>
            <m:r>
              <m:t>c</m:t>
            </m:r>
            <m:r>
              <m:t>a</m:t>
            </m:r>
            <m:r>
              <m:t>t</m:t>
            </m:r>
          </m:sub>
        </m:sSub>
        <m:r>
          <m:rPr>
            <m:sty m:val="p"/>
          </m:rPr>
          <m:t>=</m:t>
        </m:r>
        <m:r>
          <m:t>0.116</m:t>
        </m:r>
      </m:oMath>
      <w:r>
        <w:t xml:space="preserve">). The category-level Spearman correlation between qualitative</w:t>
      </w:r>
      <w:r>
        <w:t xml:space="preserve"> </w:t>
      </w:r>
      <m:oMath>
        <m:r>
          <m:t>ε</m:t>
        </m:r>
      </m:oMath>
      <w:r>
        <w:t xml:space="preserve"> </w:t>
      </w:r>
      <w:r>
        <w:t xml:space="preserve">and category-</w:t>
      </w:r>
      <m:oMath>
        <m:r>
          <m:t>ε</m:t>
        </m:r>
      </m:oMath>
      <w:r>
        <w:t xml:space="preserve"> </w:t>
      </w:r>
      <w:r>
        <w:t xml:space="preserve">is</w:t>
      </w:r>
      <w:r>
        <w:t xml:space="preserve"> </w:t>
      </w:r>
      <m:oMath>
        <m:r>
          <m:t>ρ</m:t>
        </m:r>
        <m:r>
          <m:rPr>
            <m:sty m:val="p"/>
          </m:rPr>
          <m:t>=</m:t>
        </m:r>
        <m:r>
          <m:t>0.44</m:t>
        </m:r>
      </m:oMath>
      <w:r>
        <w:t xml:space="preserve"> </w:t>
      </w:r>
      <w:r>
        <w:t xml:space="preserve">(</w:t>
      </w:r>
      <m:oMath>
        <m:r>
          <m:t>p</m:t>
        </m:r>
        <m:r>
          <m:rPr>
            <m:sty m:val="p"/>
          </m:rPr>
          <m:t>=</m:t>
        </m:r>
        <m:r>
          <m:t>0.17</m:t>
        </m:r>
      </m:oMath>
      <w:r>
        <w:t xml:space="preserve">), stronger than the L4-level</w:t>
      </w:r>
      <w:r>
        <w:t xml:space="preserve"> </w:t>
      </w:r>
      <m:oMath>
        <m:r>
          <m:t>ρ</m:t>
        </m:r>
        <m:r>
          <m:rPr>
            <m:sty m:val="p"/>
          </m:rPr>
          <m:t>=</m:t>
        </m:r>
        <m:r>
          <m:t>0.04</m:t>
        </m:r>
      </m:oMath>
      <w:r>
        <w:t xml:space="preserve"> </w:t>
      </w:r>
      <w:r>
        <w:t xml:space="preserve">but still not statistically significant. The L4-vs-category Spearman correlation is</w:t>
      </w:r>
      <w:r>
        <w:t xml:space="preserve"> </w:t>
      </w:r>
      <m:oMath>
        <m:r>
          <m:t>ρ</m:t>
        </m:r>
        <m:r>
          <m:rPr>
            <m:sty m:val="p"/>
          </m:rPr>
          <m:t>=</m:t>
        </m:r>
        <m:r>
          <m:t>0.72</m:t>
        </m:r>
      </m:oMath>
      <w:r>
        <w:t xml:space="preserve"> </w:t>
      </w:r>
      <w:r>
        <w:t xml:space="preserve">(</w:t>
      </w:r>
      <m:oMath>
        <m:r>
          <m:t>p</m:t>
        </m:r>
        <m:r>
          <m:rPr>
            <m:sty m:val="p"/>
          </m:rPr>
          <m:t>=</m:t>
        </m:r>
        <m:r>
          <m:t>0.012</m:t>
        </m:r>
      </m:oMath>
      <w:r>
        <w:t xml:space="preserve">), confirming that the category-level aggregation captures most of the L4 variance while smoothing out subtype distinctions. The recalibration therefore moderately strengthens the qualitative rubric’s correspondence with the GIS measurement but</w:t>
      </w:r>
      <w:r>
        <w:t xml:space="preserve"> </w:t>
      </w:r>
      <w:r>
        <w:rPr>
          <w:i/>
          <w:iCs/>
        </w:rPr>
        <w:t xml:space="preserve">does not</w:t>
      </w:r>
      <w:r>
        <w:t xml:space="preserve"> </w:t>
      </w:r>
      <w: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t xml:space="preserve">The qualitative rubric, the Saucier-geomorphic, the EPA-L4, and the broad-category indices share a single fundamental limitation: they all measure raw zone count and area within a 25-km circular</w:t>
      </w:r>
      <w:r>
        <w:t xml:space="preserve"> </w:t>
      </w:r>
      <w:r>
        <w:rPr>
          <w:i/>
          <w:iCs/>
        </w:rPr>
        <w:t xml:space="preserve">terrestrial</w:t>
      </w:r>
      <w:r>
        <w:t xml:space="preserve"> </w:t>
      </w:r>
      <w:r>
        <w:t xml:space="preserve">buffer, not the covariance-based shortfall buffering that the framework’s</w:t>
      </w:r>
      <w:r>
        <w:t xml:space="preserve"> </w:t>
      </w:r>
      <m:oMath>
        <m:r>
          <m:t>ε</m:t>
        </m:r>
      </m:oMath>
      <w:r>
        <w:t xml:space="preserve"> </w:t>
      </w:r>
      <w: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t xml:space="preserve"> </w:t>
      </w:r>
      <w:r>
        <w:t xml:space="preserve">filter, coastal Pearl River pair does not) is the only inferential weight they carry.</w:t>
      </w:r>
    </w:p>
    <w:p>
      <w:pPr>
        <w:pStyle w:val="BodyText"/>
      </w:pPr>
      <w: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p>
      <w:r>
        <w:pict>
          <v:rect style="width:0;height:1.5pt" o:hralign="center" o:hrstd="t" o:hr="t"/>
        </w:pict>
      </w:r>
    </w:p>
    <w:bookmarkEnd w:id="82"/>
    <w:bookmarkStart w:id="83" w:name="X93a86e26ee9455cac49026e2f6b920d4c40c83f"/>
    <w:p>
      <w:pPr>
        <w:pStyle w:val="Heading2"/>
      </w:pPr>
      <w:r>
        <w:t xml:space="preserve">S13. Table 2 Monte Carlo perturbation analysis</w:t>
      </w:r>
    </w:p>
    <w:p>
      <w:pPr>
        <w:pStyle w:val="FirstParagraph"/>
      </w:pPr>
      <w:r>
        <w:t xml:space="preserve">The main text (§6.4) reports Spearman</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between the qualitative-rubric</w:t>
      </w:r>
      <w:r>
        <w:t xml:space="preserve"> </w:t>
      </w:r>
      <m:oMath>
        <m:r>
          <m:t>ε</m:t>
        </m:r>
      </m:oMath>
      <w:r>
        <w:t xml:space="preserve"> </w:t>
      </w:r>
      <w: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t xml:space="preserve"> </w:t>
      </w:r>
      <w: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t xml:space="preserve"> </w:t>
      </w:r>
      <m:oMath>
        <m:r>
          <m:t>ρ</m:t>
        </m:r>
      </m:oMath>
      <w:r>
        <w:t xml:space="preserve"> </w:t>
      </w:r>
      <w:r>
        <w:t xml:space="preserve">across perturbations is 0.27 with 95% CI including negative values (</w:t>
      </w:r>
      <m:oMath>
        <m:r>
          <m:rPr>
            <m:sty m:val="p"/>
          </m:rPr>
          <m:t>−</m:t>
        </m:r>
        <m:r>
          <m:t>0.06</m:t>
        </m:r>
      </m:oMath>
      <w:r>
        <w:t xml:space="preserve"> </w:t>
      </w:r>
      <w:r>
        <w:t xml:space="preserve">to</w:t>
      </w:r>
      <w:r>
        <w:t xml:space="preserve"> </w:t>
      </w:r>
      <m:oMath>
        <m:r>
          <m:rPr>
            <m:sty m:val="p"/>
          </m:rPr>
          <m:t>+</m:t>
        </m:r>
        <m:r>
          <m:t>0.59</m:t>
        </m:r>
      </m:oMath>
      <w:r>
        <w:t xml:space="preserve">). The PP-vs-coast contrast is robust against the perturbation; the interior ordering is not. This pattern is consistent with the §6.4 interpretation that ecotone diversity admits multiple candidate sites without uniquely identifying the regional center.</w:t>
      </w:r>
    </w:p>
    <w:p>
      <w:r>
        <w:pict>
          <v:rect style="width:0;height:1.5pt" o:hralign="center" o:hrstd="t" o:hr="t"/>
        </w:pict>
      </w:r>
    </w:p>
    <w:bookmarkEnd w:id="83"/>
    <w:bookmarkStart w:id="84" w:name="X212a8a5c68b94ccf018abad951e52510cd00633"/>
    <w:p>
      <w:pPr>
        <w:pStyle w:val="Heading2"/>
      </w:pPr>
      <w:r>
        <w:t xml:space="preserve">S14. Per-material exotic decomposition: extended discussion</w:t>
      </w:r>
    </w:p>
    <w:p>
      <w:pPr>
        <w:pStyle w:val="FirstParagraph"/>
      </w:pPr>
      <w: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i/>
          <w:iCs/>
        </w:rPr>
        <w:t xml:space="preserve">Counting-unit non-comparability across materials.</w:t>
      </w:r>
      <w:r>
        <w:t xml:space="preserve"> </w:t>
      </w:r>
      <w:r>
        <w:t xml:space="preserve">Each call to the model’s</w:t>
      </w:r>
      <w:r>
        <w:t xml:space="preserve"> </w:t>
      </w:r>
      <w:r>
        <w:rPr>
          <w:rStyle w:val="VerbatimChar"/>
        </w:rPr>
        <w:t xml:space="preserve">acquire_exotic</w:t>
      </w:r>
      <w:r>
        <w:t xml:space="preserve"> </w:t>
      </w:r>
      <w:r>
        <w:t xml:space="preserve">routine increments the per-material counter by one, so the model</w:t>
      </w:r>
      <w:r>
        <w:t xml:space="preserve"> </w:t>
      </w:r>
      <w:r>
        <w:t xml:space="preserve">“item”</w:t>
      </w:r>
      <w:r>
        <w:t xml:space="preserve"> </w:t>
      </w:r>
      <w:r>
        <w:t xml:space="preserve">represents one acquisition event, equivalent to one imported</w:t>
      </w:r>
      <w:r>
        <w:t xml:space="preserve"> </w:t>
      </w:r>
      <w:r>
        <w:rPr>
          <w:i/>
          <w:iCs/>
        </w:rPr>
        <w:t xml:space="preserve">object</w:t>
      </w:r>
      <w:r>
        <w:t xml:space="preserve"> </w:t>
      </w:r>
      <w:r>
        <w:t xml:space="preserve">(one steatite bowl, one galena mass, one copper sheet or pendant). The archaeological counts use heterogeneous units. Steatite is reported as fragments (Webb 1982 describes the 2,221 figure as</w:t>
      </w:r>
      <w:r>
        <w:t xml:space="preserve"> </w:t>
      </w:r>
      <w:r>
        <w:t xml:space="preserve">“fragments representing several hundred vessels”</w:t>
      </w:r>
      <w: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t xml:space="preserve"> </w:t>
      </w:r>
      <w:r>
        <w:t xml:space="preserve">“steatite items”</w:t>
      </w:r>
      <w:r>
        <w:t xml:space="preserve"> </w:t>
      </w:r>
      <w:r>
        <w:t xml:space="preserve">therefore should be compared to the archaeological</w:t>
      </w:r>
      <w:r>
        <w:t xml:space="preserve"> </w:t>
      </w:r>
      <w:r>
        <w:rPr>
          <w:i/>
          <w:iCs/>
        </w:rPr>
        <w:t xml:space="preserve">vessel</w:t>
      </w:r>
      <w:r>
        <w:t xml:space="preserve"> </w:t>
      </w:r>
      <w:r>
        <w:t xml:space="preserve">count, not the</w:t>
      </w:r>
      <w:r>
        <w:t xml:space="preserve"> </w:t>
      </w:r>
      <w:r>
        <w:rPr>
          <w:i/>
          <w:iCs/>
        </w:rPr>
        <w:t xml:space="preserve">fragment</w:t>
      </w:r>
      <w:r>
        <w:t xml:space="preserve"> </w:t>
      </w:r>
      <w:r>
        <w:t xml:space="preserve">count. Webb’s</w:t>
      </w:r>
      <w:r>
        <w:t xml:space="preserve"> </w:t>
      </w:r>
      <w:r>
        <w:t xml:space="preserve">“several hundred vessels”</w:t>
      </w:r>
      <w:r>
        <w:t xml:space="preserve"> </w:t>
      </w:r>
      <w: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t xml:space="preserve">The remainder of this section discusses three further considerations under the assumption that the per-material comparison is conducted at</w:t>
      </w:r>
      <w:r>
        <w:t xml:space="preserve"> </w:t>
      </w:r>
      <w:r>
        <w:rPr>
          <w:i/>
          <w:iCs/>
        </w:rPr>
        <w:t xml:space="preserve">whatever</w:t>
      </w:r>
      <w:r>
        <w:t xml:space="preserve"> </w:t>
      </w:r>
      <w:r>
        <w:t xml:space="preserve">counting unit one chooses. The conclusions hold for any reasonable conversion.</w:t>
      </w:r>
    </w:p>
    <w:p>
      <w:pPr>
        <w:pStyle w:val="BodyText"/>
      </w:pPr>
      <w:r>
        <w:rPr>
          <w:i/>
          <w:iCs/>
        </w:rPr>
        <w:t xml:space="preserve">Overshoot is not symmetric to undershoot.</w:t>
      </w:r>
      <w:r>
        <w:t xml:space="preserve"> </w:t>
      </w:r>
      <w: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i/>
          <w:iCs/>
        </w:rPr>
        <w:t xml:space="preserve">Steatite undershoot is consistent with the framework rather than against it.</w:t>
      </w:r>
      <w:r>
        <w:t xml:space="preserve"> </w:t>
      </w:r>
      <w: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t xml:space="preserve"> </w:t>
      </w:r>
      <w:r>
        <w:rPr>
          <w:i/>
          <w:iCs/>
        </w:rPr>
        <w:t xml:space="preserve">more</w:t>
      </w:r>
      <w:r>
        <w:t xml:space="preserve"> </w:t>
      </w:r>
      <w: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t xml:space="preserve"> </w:t>
      </w:r>
      <w:r>
        <w:rPr>
          <w:i/>
          <w:iCs/>
        </w:rPr>
        <w:t xml:space="preserve">implementation</w:t>
      </w:r>
      <w:r>
        <w:t xml:space="preserve">, in which</w:t>
      </w:r>
      <w:r>
        <w:t xml:space="preserve"> </w:t>
      </w:r>
      <m:oMath>
        <m:r>
          <m:t>p</m:t>
        </m:r>
        <m:r>
          <m:rPr>
            <m:sty m:val="p"/>
          </m:rPr>
          <m:t>(</m:t>
        </m:r>
        <m:r>
          <m:t>d</m:t>
        </m:r>
        <m:r>
          <m:rPr>
            <m:sty m:val="p"/>
          </m:rPr>
          <m:t>)</m:t>
        </m:r>
      </m:oMath>
      <w:r>
        <w:t xml:space="preserve"> </w:t>
      </w:r>
      <w:r>
        <w:t xml:space="preserve">omits material-specific signal value. Adding a steatite-specific value coefficient would close the undershoot without affecting the framework’s qualitative claims.</w:t>
      </w:r>
    </w:p>
    <w:p>
      <w:pPr>
        <w:pStyle w:val="BodyText"/>
      </w:pPr>
      <w:r>
        <w:rPr>
          <w:i/>
          <w:iCs/>
        </w:rPr>
        <w:t xml:space="preserve">Sampling representativeness modifies all three ratios.</w:t>
      </w:r>
      <w:r>
        <w:t xml:space="preserve"> </w:t>
      </w:r>
      <w: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i/>
          <w:iCs/>
        </w:rPr>
        <w:t xml:space="preserve">The steatite-galena diagnostic.</w:t>
      </w:r>
      <w:r>
        <w:t xml:space="preserve"> </w:t>
      </w:r>
      <w: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t xml:space="preserve"> </w:t>
      </w:r>
      <m:oMath>
        <m:r>
          <m:t>p</m:t>
        </m:r>
        <m:r>
          <m:rPr>
            <m:sty m:val="p"/>
          </m:rPr>
          <m:t>(</m:t>
        </m:r>
        <m:r>
          <m:t>d</m:t>
        </m:r>
        <m:r>
          <m:rPr>
            <m:sty m:val="p"/>
          </m:rPr>
          <m:t>)</m:t>
        </m:r>
      </m:oMath>
      <w:r>
        <w:t xml:space="preserve">. Adding a steatite-specific value coefficient would close the inversion without affecting the framework’s qualitative claims.</w:t>
      </w:r>
    </w:p>
    <w:p>
      <w:pPr>
        <w:pStyle w:val="BodyText"/>
      </w:pPr>
      <w: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p>
      <w:r>
        <w:pict>
          <v:rect style="width:0;height:1.5pt" o:hralign="center" o:hrstd="t" o:hr="t"/>
        </w:pict>
      </w:r>
    </w:p>
    <w:bookmarkEnd w:id="84"/>
    <w:bookmarkStart w:id="85" w:name="Xae4e2e09dac333b71eb214b52917dfa5d2cdd61"/>
    <w:p>
      <w:pPr>
        <w:pStyle w:val="Heading2"/>
      </w:pPr>
      <w:r>
        <w:t xml:space="preserve">S15. Modern hydrograph data: empirical test of the multi-drainage independence claim</w:t>
      </w:r>
    </w:p>
    <w:p>
      <w:pPr>
        <w:pStyle w:val="FirstParagraph"/>
      </w:pPr>
      <w:r>
        <w:t xml:space="preserve">The main text (§6.5) asserts that PP’s confluence position integrates four canoe-accessible drainages (Bayou Maçon, Mississippi, Tensas, Yazoo) with non-synchronized hydrographs. We test this empirically using USGS gauge records (</w:t>
      </w:r>
      <w:r>
        <w:rPr>
          <w:rStyle w:val="VerbatimChar"/>
        </w:rPr>
        <w:t xml:space="preserve">scripts/analysis/hydrograph_covariance.py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t xml:space="preserve">No four-gauge overlap exists (Bayou Maçon’s gauge was only operational 1985-1992, before the Mississippi gauge came online), so the four-drainage analysis is performed pairwise on each pair’s available overlap.</w:t>
      </w:r>
    </w:p>
    <w:p>
      <w:pPr>
        <w:pStyle w:val="BodyText"/>
      </w:pPr>
      <w:r>
        <w:rPr>
          <w:b/>
          <w:bCs/>
        </w:rPr>
        <w:t xml:space="preserve">Anomaly construction.</w:t>
      </w:r>
      <w:r>
        <w:t xml:space="preserve"> </w:t>
      </w:r>
      <w:r>
        <w:t xml:space="preserve">The framework’s question is whether two rivers go up and down together</w:t>
      </w:r>
      <w:r>
        <w:t xml:space="preserve"> </w:t>
      </w:r>
      <w:r>
        <w:rPr>
          <w:i/>
          <w:iCs/>
        </w:rPr>
        <w:t xml:space="preserve">after removing the predictable seasonal cycle</w:t>
      </w:r>
      <w: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t xml:space="preserve"> </w:t>
      </w:r>
      <m:oMath>
        <m:r>
          <m:rPr>
            <m:sty m:val="p"/>
          </m:rPr>
          <m:t>+</m:t>
        </m:r>
        <m:r>
          <m:t>0.01</m:t>
        </m:r>
      </m:oMath>
      <w:r>
        <w:t xml:space="preserve"> </w:t>
      </w:r>
      <w:r>
        <w:t xml:space="preserve">shift to handle zero-discharge months at the smaller drainages), and a monthly climatology was computed as the long-term mean log-discharge for each calendar month</w:t>
      </w:r>
      <w: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t xml:space="preserve"> </w:t>
      </w:r>
      <w:r>
        <w:t xml:space="preserve">over the full available record at that gauge. Anomalies were taken as residuals</w:t>
      </w:r>
      <w: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b/>
          <w:bCs/>
        </w:rPr>
        <w:t xml:space="preserve">Pairwise log-monthly-anomaly correlations</w:t>
      </w:r>
      <w:r>
        <w:t xml:space="preserve"> </w:t>
      </w:r>
      <w: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t xml:space="preserve">The empirical result modifies the framework’s four-drainage claim in a substantive way:</w:t>
      </w:r>
      <w:r>
        <w:t xml:space="preserve"> </w:t>
      </w:r>
      <w:r>
        <w:rPr>
          <w:b/>
          <w:bCs/>
        </w:rPr>
        <w:t xml:space="preserve">Bayou Maçon and the Tensas are not independent drainages</w:t>
      </w:r>
      <w:r>
        <w:t xml:space="preserve">. Their 90% Pearson correlation reflects their shared Macon-Ridge geomorphology and tightly-coupled precipitation forcing. From the framework’s covariance-based</w:t>
      </w:r>
      <w:r>
        <w:t xml:space="preserve"> </w:t>
      </w:r>
      <m:oMath>
        <m:r>
          <m:t>ε</m:t>
        </m:r>
      </m:oMath>
      <w:r>
        <w:t xml:space="preserve"> </w:t>
      </w:r>
      <w:r>
        <w:t xml:space="preserve">standpoint, Bayou Maçon plus the Tensas function as a single</w:t>
      </w:r>
      <w:r>
        <w:t xml:space="preserve"> </w:t>
      </w:r>
      <w:r>
        <w:t xml:space="preserve">“Macon Ridge drainage system”</w:t>
      </w:r>
      <w:r>
        <w:t xml:space="preserve"> </w:t>
      </w:r>
      <w:r>
        <w:t xml:space="preserve">rather than as two independent shortfall regimes. The genuinely independent drainage signals at PP’s catchment are therefore:</w:t>
      </w:r>
    </w:p>
    <w:p>
      <w:pPr>
        <w:pStyle w:val="Compact"/>
        <w:numPr>
          <w:ilvl w:val="0"/>
          <w:numId w:val="1004"/>
        </w:numPr>
      </w:pPr>
      <w:r>
        <w:t xml:space="preserve">The</w:t>
      </w:r>
      <w:r>
        <w:t xml:space="preserve"> </w:t>
      </w:r>
      <w:r>
        <w:rPr>
          <w:b/>
          <w:bCs/>
        </w:rPr>
        <w:t xml:space="preserve">Macon Ridge system</w:t>
      </w:r>
      <w:r>
        <w:t xml:space="preserve"> </w:t>
      </w:r>
      <w:r>
        <w:t xml:space="preserve">(Bayou Maçon + Tensas,</w:t>
      </w:r>
      <w:r>
        <w:t xml:space="preserve"> </w:t>
      </w:r>
      <m:oMath>
        <m:r>
          <m:t>r</m:t>
        </m:r>
        <m:r>
          <m:rPr>
            <m:sty m:val="p"/>
          </m:rPr>
          <m:t>≈</m:t>
        </m:r>
        <m:r>
          <m:t>0.90</m:t>
        </m:r>
      </m:oMath>
      <w:r>
        <w:t xml:space="preserve"> </w:t>
      </w:r>
      <w:r>
        <w:t xml:space="preserve">between them);</w:t>
      </w:r>
    </w:p>
    <w:p>
      <w:pPr>
        <w:pStyle w:val="Compact"/>
        <w:numPr>
          <w:ilvl w:val="0"/>
          <w:numId w:val="1004"/>
        </w:numPr>
      </w:pPr>
      <w:r>
        <w:t xml:space="preserve">The</w:t>
      </w:r>
      <w:r>
        <w:t xml:space="preserve"> </w:t>
      </w:r>
      <w:r>
        <w:rPr>
          <w:b/>
          <w:bCs/>
        </w:rPr>
        <w:t xml:space="preserve">Yazoo Basin</w:t>
      </w:r>
      <w:r>
        <w:t xml:space="preserve"> </w:t>
      </w:r>
      <w:r>
        <w:t xml:space="preserve">(uncorrelated with Mississippi,</w:t>
      </w:r>
      <w:r>
        <w:t xml:space="preserve"> </w:t>
      </w:r>
      <m:oMath>
        <m:r>
          <m:t>r</m:t>
        </m:r>
        <m:r>
          <m:rPr>
            <m:sty m:val="p"/>
          </m:rPr>
          <m:t>=</m:t>
        </m:r>
        <m:r>
          <m:t>0.11</m:t>
        </m:r>
      </m:oMath>
      <w:r>
        <w:t xml:space="preserve">);</w:t>
      </w:r>
    </w:p>
    <w:p>
      <w:pPr>
        <w:pStyle w:val="Compact"/>
        <w:numPr>
          <w:ilvl w:val="0"/>
          <w:numId w:val="1004"/>
        </w:numPr>
      </w:pPr>
      <w:r>
        <w:t xml:space="preserve">The</w:t>
      </w:r>
      <w:r>
        <w:t xml:space="preserve"> </w:t>
      </w:r>
      <w:r>
        <w:rPr>
          <w:b/>
          <w:bCs/>
        </w:rPr>
        <w:t xml:space="preserve">Mississippi mainstem</w:t>
      </w:r>
      <w:r>
        <w:t xml:space="preserve"> </w:t>
      </w:r>
      <w:r>
        <w:t xml:space="preserve">(continental snowmelt + storm-track signal, partly shared with the Tensas at</w:t>
      </w:r>
      <w:r>
        <w:t xml:space="preserve"> </w:t>
      </w:r>
      <m:oMath>
        <m:r>
          <m:t>r</m:t>
        </m:r>
        <m:r>
          <m:rPr>
            <m:sty m:val="p"/>
          </m:rPr>
          <m:t>=</m:t>
        </m:r>
        <m:r>
          <m:t>0.34</m:t>
        </m:r>
      </m:oMath>
      <w:r>
        <w:t xml:space="preserve">).</w:t>
      </w:r>
    </w:p>
    <w:p>
      <w:pPr>
        <w:pStyle w:val="FirstParagraph"/>
      </w:pPr>
      <w: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t xml:space="preserve"> </w:t>
      </w:r>
      <w:r>
        <w:t xml:space="preserve">“three vs one”</w:t>
      </w:r>
      <w:r>
        <w:t xml:space="preserve"> </w:t>
      </w:r>
      <w:r>
        <w:t xml:space="preserve">rather than</w:t>
      </w:r>
      <w:r>
        <w:t xml:space="preserve"> </w:t>
      </w:r>
      <w:r>
        <w:t xml:space="preserve">“four vs one.”</w:t>
      </w:r>
    </w:p>
    <w:p>
      <w:pPr>
        <w:pStyle w:val="BodyText"/>
      </w:pPr>
      <w:r>
        <w:rPr>
          <w:b/>
          <w:bCs/>
        </w:rPr>
        <w:t xml:space="preserve">Bottom-quartile co-incidence</w:t>
      </w:r>
      <w:r>
        <w:t xml:space="preserve"> </w:t>
      </w:r>
      <w: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t xml:space="preserve"> </w:t>
      </w:r>
      <m:oMath>
        <m:r>
          <m:t>ε</m:t>
        </m:r>
      </m:oMath>
      <w:r>
        <w:t xml:space="preserve"> </w:t>
      </w:r>
      <w:r>
        <w:t xml:space="preserve">advantage over other LMV sites.</w:t>
      </w:r>
    </w:p>
    <w:p>
      <w:r>
        <w:pict>
          <v:rect style="width:0;height:1.5pt" o:hralign="center" o:hrstd="t" o:hr="t"/>
        </w:pict>
      </w:r>
    </w:p>
    <w:bookmarkEnd w:id="85"/>
    <w:bookmarkStart w:id="86" w:name="Xf8019c3df050ee7c851b7155ab1292c8dda8ae8"/>
    <w:p>
      <w:pPr>
        <w:pStyle w:val="Heading2"/>
      </w:pPr>
      <w:r>
        <w:t xml:space="preserve">S16. Seasonal resource phenology and temporal staggering</w:t>
      </w:r>
    </w:p>
    <w:p>
      <w:pPr>
        <w:pStyle w:val="FirstParagraph"/>
      </w:pPr>
      <w:r>
        <w:t xml:space="preserve">The framework’s</w:t>
      </w:r>
      <w:r>
        <w:t xml:space="preserve"> </w:t>
      </w:r>
      <m:oMath>
        <m:r>
          <m:t>ε</m:t>
        </m:r>
      </m:oMath>
      <w:r>
        <w:t xml:space="preserve"> </w:t>
      </w:r>
      <w:r>
        <w:t xml:space="preserve">parameter encodes shortfall buffering through</w:t>
      </w:r>
      <w:r>
        <w:t xml:space="preserve"> </w:t>
      </w:r>
      <w:r>
        <w:rPr>
          <w:i/>
          <w:iCs/>
        </w:rPr>
        <w:t xml:space="preserve">negative covariance</w:t>
      </w:r>
      <w:r>
        <w:t xml:space="preserve"> </w:t>
      </w:r>
      <w: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t xml:space="preserve">The Lower Mississippi Valley supports a small number of well-documented seasonal resource peaks driven by independent climate and ecological mechanisms. Hardwood mast (hickory, pecan, acorn) peaks in September-November; Webb (1982:1) reports that</w:t>
      </w:r>
      <w:r>
        <w:t xml:space="preserve"> </w:t>
      </w:r>
      <w:r>
        <w:t xml:space="preserve">“fall and winter provide acorns and other nuts,”</w:t>
      </w:r>
      <w:r>
        <w:t xml:space="preserve"> </w:t>
      </w:r>
      <w:r>
        <w:t xml:space="preserve">and Thomas and Campbell (1978), summarized in Jackson (1986), attribute peak Poverty Point population to the fall mast harvest. Spring fish spawning runs (drum, gar, buffalo, catfish) peak February-May; Webb (1982:1) reports that</w:t>
      </w:r>
      <w:r>
        <w:t xml:space="preserve"> </w:t>
      </w:r>
      <w:r>
        <w:t xml:space="preserve">“spring and summer offer … most varieties of fish and crustaceans,”</w:t>
      </w:r>
      <w:r>
        <w:t xml:space="preserve"> </w:t>
      </w:r>
      <w: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t xml:space="preserve"> </w:t>
      </w:r>
      <w:r>
        <w:t xml:space="preserve">“millions of migratory waterfowl, ducks, geese, swans, pigeons”</w:t>
      </w:r>
      <w:r>
        <w:t xml:space="preserve"> </w:t>
      </w:r>
      <w: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t xml:space="preserve">This analysis is not a finished operationalization of</w:t>
      </w:r>
      <w:r>
        <w:t xml:space="preserve"> </w:t>
      </w:r>
      <m:oMath>
        <m:r>
          <m:t>ε</m:t>
        </m:r>
      </m:oMath>
      <w: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b/>
          <w:bCs/>
        </w:rPr>
        <w:t xml:space="preserve">Cross-site test against observed monument scale.</w:t>
      </w:r>
      <w:r>
        <w:t xml:space="preserve"> </w:t>
      </w:r>
      <w:r>
        <w:t xml:space="preserve">As a quantitative check, we asked whether substituting the phenology peak count for the static Shannon-derived</w:t>
      </w:r>
      <w:r>
        <w:t xml:space="preserve"> </w:t>
      </w:r>
      <m:oMath>
        <m:r>
          <m:t>ε</m:t>
        </m:r>
      </m:oMath>
      <w:r>
        <w:t xml:space="preserve"> </w:t>
      </w:r>
      <w:r>
        <w:t xml:space="preserve">in the Table 2 cross-site comparison improves the Spearman correlation against ordinal observed monument scale. Phenology peaks (1-5) were rescaled to</w:t>
      </w:r>
      <w:r>
        <w:t xml:space="preserve"> </w:t>
      </w:r>
      <m:oMath>
        <m:r>
          <m:t>ε</m:t>
        </m:r>
        <m:r>
          <m:rPr>
            <m:sty m:val="p"/>
          </m:rPr>
          <m:t>∈</m:t>
        </m:r>
        <m:r>
          <m:rPr>
            <m:sty m:val="p"/>
          </m:rPr>
          <m:t>[</m:t>
        </m:r>
        <m:r>
          <m:t>0.10</m:t>
        </m:r>
        <m:r>
          <m:rPr>
            <m:sty m:val="p"/>
          </m:rPr>
          <m:t>,</m:t>
        </m:r>
        <m:r>
          <m:t>0.50</m:t>
        </m:r>
        <m:r>
          <m:rPr>
            <m:sty m:val="p"/>
          </m:rPr>
          <m:t>]</m:t>
        </m:r>
      </m:oMath>
      <w:r>
        <w:t xml:space="preserve"> </w:t>
      </w:r>
      <w:r>
        <w:t xml:space="preserve">to match the framework’s tested</w:t>
      </w:r>
      <w:r>
        <w:t xml:space="preserve"> </w:t>
      </w:r>
      <m:oMath>
        <m:r>
          <m:t>ε</m:t>
        </m:r>
      </m:oMath>
      <w:r>
        <w:t xml:space="preserve"> </w:t>
      </w:r>
      <w:r>
        <w:t xml:space="preserve">range,</w:t>
      </w:r>
      <w:r>
        <w:t xml:space="preserve"> </w:t>
      </w:r>
      <m:oMath>
        <m:sSup>
          <m:e>
            <m:r>
              <m:t>σ</m:t>
            </m:r>
          </m:e>
          <m:sup>
            <m:r>
              <m:rPr>
                <m:sty m:val="p"/>
              </m:rPr>
              <m:t>*</m:t>
            </m:r>
          </m:sup>
        </m:sSup>
      </m:oMath>
      <w:r>
        <w:t xml:space="preserve"> </w:t>
      </w:r>
      <w:r>
        <w:t xml:space="preserve">was computed per site at</w:t>
      </w:r>
      <w:r>
        <w:t xml:space="preserve"> </w:t>
      </w:r>
      <m:oMath>
        <m:sSub>
          <m:e>
            <m:r>
              <m:t>n</m:t>
            </m:r>
          </m:e>
          <m:sub>
            <m:r>
              <m:t>a</m:t>
            </m:r>
            <m:r>
              <m:t>g</m:t>
            </m:r>
            <m:r>
              <m:t>g</m:t>
            </m:r>
          </m:sub>
        </m:sSub>
        <m:r>
          <m:rPr>
            <m:sty m:val="p"/>
          </m:rPr>
          <m:t>=</m:t>
        </m:r>
        <m:r>
          <m:t>25</m:t>
        </m:r>
      </m:oMath>
      <w:r>
        <w:t xml:space="preserve">, and</w:t>
      </w:r>
      <w:r>
        <w:t xml:space="preserve"> </w:t>
      </w:r>
      <m:oMath>
        <m:r>
          <m:t>σ</m:t>
        </m:r>
        <m:r>
          <m:rPr>
            <m:sty m:val="p"/>
          </m:rPr>
          <m:t>−</m:t>
        </m:r>
        <m:sSup>
          <m:e>
            <m:r>
              <m:t>σ</m:t>
            </m:r>
          </m:e>
          <m:sup>
            <m:r>
              <m:rPr>
                <m:sty m:val="p"/>
              </m:rPr>
              <m:t>*</m:t>
            </m:r>
          </m:sup>
        </m:sSup>
      </m:oMath>
      <w:r>
        <w:t xml:space="preserve"> </w:t>
      </w:r>
      <w:r>
        <w:t xml:space="preserve">margins were correlated with the ordinal scale (minimal = 0, small = 1, mid = 2, very large = 3) at the regional Late Archaic</w:t>
      </w:r>
      <w:r>
        <w:t xml:space="preserve"> </w:t>
      </w:r>
      <m:oMath>
        <m:r>
          <m:t>σ</m:t>
        </m:r>
        <m:r>
          <m:rPr>
            <m:sty m:val="p"/>
          </m:rPr>
          <m:t>=</m:t>
        </m:r>
        <m:r>
          <m:t>0.64</m:t>
        </m:r>
      </m:oMath>
      <w:r>
        <w:t xml:space="preserve">. The result: static-</w:t>
      </w:r>
      <m:oMath>
        <m:r>
          <m:t>ε</m:t>
        </m:r>
      </m:oMath>
      <w:r>
        <w:t xml:space="preserve"> </w:t>
      </w:r>
      <w:r>
        <w:t xml:space="preserve">gives</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phenology-</w:t>
      </w:r>
      <m:oMath>
        <m:r>
          <m:t>ε</m:t>
        </m:r>
      </m:oMath>
      <w:r>
        <w:t xml:space="preserve"> </w:t>
      </w:r>
      <w:r>
        <w:t xml:space="preserve">gives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Neither operationalization significantly predicts ordinal monument scale at fixed</w:t>
      </w:r>
      <w:r>
        <w:t xml:space="preserve"> </w:t>
      </w:r>
      <m:oMath>
        <m:sSub>
          <m:e>
            <m:r>
              <m:t>n</m:t>
            </m:r>
          </m:e>
          <m:sub>
            <m:r>
              <m:t>a</m:t>
            </m:r>
            <m:r>
              <m:t>g</m:t>
            </m:r>
            <m:r>
              <m:t>g</m:t>
            </m:r>
          </m:sub>
        </m:sSub>
      </m:oMath>
      <w:r>
        <w:t xml:space="preserve">. The interpretation we report in main §7.1 is consistent with this null result: monument scale is not determined by</w:t>
      </w:r>
      <w:r>
        <w:t xml:space="preserve"> </w:t>
      </w:r>
      <m:oMath>
        <m:r>
          <m:t>ε</m:t>
        </m:r>
      </m:oMath>
      <w:r>
        <w:t xml:space="preserve"> </w:t>
      </w:r>
      <w:r>
        <w:t xml:space="preserve">alone but by attained</w:t>
      </w:r>
      <w:r>
        <w:t xml:space="preserve"> </w:t>
      </w:r>
      <m:oMath>
        <m:sSub>
          <m:e>
            <m:r>
              <m:t>n</m:t>
            </m:r>
          </m:e>
          <m:sub>
            <m:r>
              <m:t>a</m:t>
            </m:r>
            <m:r>
              <m:t>g</m:t>
            </m:r>
            <m:r>
              <m:t>g</m:t>
            </m:r>
          </m:sub>
        </m:sSub>
      </m:oMath>
      <w:r>
        <w:t xml:space="preserve"> </w:t>
      </w:r>
      <w:r>
        <w:t xml:space="preserve">via the contingent convergence dynamics that pulled bands to specific high-</w:t>
      </w:r>
      <m:oMath>
        <m:r>
          <m:t>ε</m:t>
        </m:r>
      </m:oMath>
      <w:r>
        <w:t xml:space="preserve"> </w:t>
      </w:r>
      <w:r>
        <w:t xml:space="preserve">locations.</w:t>
      </w:r>
    </w:p>
    <w:p>
      <w:pPr>
        <w:pStyle w:val="BodyText"/>
      </w:pPr>
      <w:r>
        <w:rPr>
          <w:b/>
          <w:bCs/>
        </w:rPr>
        <w:t xml:space="preserve">Enriched variance-based phenology epsilon.</w:t>
      </w:r>
      <w:r>
        <w:t xml:space="preserve"> </w:t>
      </w:r>
      <w:r>
        <w:t xml:space="preserve">The peak-count operationalization (Test A) is itself a static count and does not directly capture the framework’s</w:t>
      </w:r>
      <w:r>
        <w:t xml:space="preserve"> </w:t>
      </w:r>
      <w:r>
        <w:rPr>
          <w:i/>
          <w:iCs/>
        </w:rPr>
        <w:t xml:space="preserve">negative covariance</w:t>
      </w:r>
      <w:r>
        <w:t xml:space="preserve"> </w:t>
      </w:r>
      <w:r>
        <w:t xml:space="preserve">logic. We constructed a variance-based alternative (</w:t>
      </w:r>
      <w:r>
        <w:rPr>
          <w:rStyle w:val="VerbatimChar"/>
        </w:rPr>
        <w:t xml:space="preserve">scripts/analysis/phenology_variance_epsilon.py</w:t>
      </w:r>
      <w:r>
        <w:t xml:space="preserve">): a 1,000-year simulation in which each of the five resource-peak categories receives a stochastic productivity multiplier with category-pair correlations</w:t>
      </w:r>
      <w:r>
        <w:t xml:space="preserve"> </w:t>
      </w:r>
      <m:oMath>
        <m:r>
          <m:t>ρ</m:t>
        </m:r>
        <m:r>
          <m:rPr>
            <m:sty m:val="p"/>
          </m:rPr>
          <m:t>=</m:t>
        </m:r>
        <m:r>
          <m:t>0.30</m:t>
        </m:r>
      </m:oMath>
      <w:r>
        <w:t xml:space="preserve"> </w:t>
      </w:r>
      <w:r>
        <w:t xml:space="preserve">matching the S15 regional shortfall driver. For each site, total accessible productivity (weighted by the site’s HM/SFS/SA/FWA/WF flag vector) is computed for each year, and the variance-based</w:t>
      </w:r>
      <w:r>
        <w:t xml:space="preserve"> </w:t>
      </w:r>
      <m:oMath>
        <m:r>
          <m:t>ε</m:t>
        </m:r>
      </m:oMath>
      <w:r>
        <w:t xml:space="preserve"> </w:t>
      </w:r>
      <w: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t xml:space="preserve">Results (regional shortfall correlation</w:t>
      </w:r>
      <w:r>
        <w:t xml:space="preserve"> </w:t>
      </w:r>
      <m:oMath>
        <m:r>
          <m:t>ρ</m:t>
        </m:r>
        <m:r>
          <m:rPr>
            <m:sty m:val="p"/>
          </m:rPr>
          <m:t>=</m:t>
        </m:r>
        <m:r>
          <m:t>0.30</m:t>
        </m:r>
      </m:oMath>
      <w: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t xml:space="preserve">The variance-based</w:t>
      </w:r>
      <w:r>
        <w:t xml:space="preserve"> </w:t>
      </w:r>
      <m:oMath>
        <m:r>
          <m:t>ε</m:t>
        </m:r>
      </m:oMath>
      <w:r>
        <w:t xml:space="preserve"> </w:t>
      </w:r>
      <w:r>
        <w:t xml:space="preserve">ranking places PP, Jaketown, and the multi-zone interior sites in the top band and Caney plus the coastal pair at the bottom, consistent with the framework’s negative-covariance logic. Spearman correlation against observed ordinal monument scale is</w:t>
      </w:r>
      <w:r>
        <w:t xml:space="preserve"> </w:t>
      </w:r>
      <m:oMath>
        <m:r>
          <m:t>ρ</m:t>
        </m:r>
        <m:r>
          <m:rPr>
            <m:sty m:val="p"/>
          </m:rPr>
          <m:t>=</m:t>
        </m:r>
        <m:r>
          <m:rPr>
            <m:sty m:val="p"/>
          </m:rPr>
          <m:t>−</m:t>
        </m:r>
        <m:r>
          <m:t>0.02</m:t>
        </m:r>
      </m:oMath>
      <w:r>
        <w:t xml:space="preserve"> </w:t>
      </w:r>
      <w:r>
        <w:t xml:space="preserve">(</w:t>
      </w:r>
      <m:oMath>
        <m:r>
          <m:t>p</m:t>
        </m:r>
        <m:r>
          <m:rPr>
            <m:sty m:val="p"/>
          </m:rPr>
          <m:t>=</m:t>
        </m:r>
        <m:r>
          <m:t>0.95</m:t>
        </m:r>
      </m:oMath>
      <w:r>
        <w:t xml:space="preserve">), again null. This third null result confirms the main §7.1 reading directly: monument scale is not what</w:t>
      </w:r>
      <w:r>
        <w:t xml:space="preserve"> </w:t>
      </w:r>
      <m:oMath>
        <m:r>
          <m:t>ε</m:t>
        </m:r>
      </m:oMath>
      <w:r>
        <w:t xml:space="preserve"> </w:t>
      </w:r>
      <w:r>
        <w:t xml:space="preserve">predicts at fixed</w:t>
      </w:r>
      <w:r>
        <w:t xml:space="preserve"> </w:t>
      </w:r>
      <m:oMath>
        <m:sSub>
          <m:e>
            <m:r>
              <m:t>n</m:t>
            </m:r>
          </m:e>
          <m:sub>
            <m:r>
              <m:t>a</m:t>
            </m:r>
            <m:r>
              <m:t>g</m:t>
            </m:r>
            <m:r>
              <m:t>g</m:t>
            </m:r>
          </m:sub>
        </m:sSub>
      </m:oMath>
      <w:r>
        <w:t xml:space="preserve">, regardless of which operationalization (static rubric, phenology peak count, or variance-based) one uses.</w:t>
      </w:r>
    </w:p>
    <w:p>
      <w:pPr>
        <w:pStyle w:val="BodyText"/>
      </w:pPr>
      <w:r>
        <w:t xml:space="preserve">What the variance-based</w:t>
      </w:r>
      <w:r>
        <w:t xml:space="preserve"> </w:t>
      </w:r>
      <m:oMath>
        <m:r>
          <m:t>ε</m:t>
        </m:r>
      </m:oMath>
      <w:r>
        <w:t xml:space="preserve"> </w:t>
      </w:r>
      <w:r>
        <w:rPr>
          <w:i/>
          <w:iCs/>
        </w:rPr>
        <w:t xml:space="preserve">does</w:t>
      </w:r>
      <w:r>
        <w:t xml:space="preserve"> </w:t>
      </w:r>
      <w:r>
        <w:t xml:space="preserve">support is the screening role:</w:t>
      </w:r>
      <w:r>
        <w:t xml:space="preserve"> </w:t>
      </w:r>
      <m:oMath>
        <m:sSub>
          <m:e>
            <m:r>
              <m:t>ε</m:t>
            </m:r>
          </m:e>
          <m:sub>
            <m:r>
              <m:t>v</m:t>
            </m:r>
            <m:r>
              <m:t>a</m:t>
            </m:r>
            <m:r>
              <m:t>r</m:t>
            </m:r>
          </m:sub>
        </m:sSub>
      </m:oMath>
      <w:r>
        <w:t xml:space="preserve"> </w:t>
      </w:r>
      <w:r>
        <w:t xml:space="preserve">at</w:t>
      </w:r>
      <w:r>
        <w:t xml:space="preserve"> </w:t>
      </w:r>
      <m:oMath>
        <m:r>
          <m:rPr>
            <m:sty m:val="p"/>
          </m:rPr>
          <m:t>∼</m:t>
        </m:r>
        <m:r>
          <m:t>0.17</m:t>
        </m:r>
      </m:oMath>
      <w:r>
        <w:t xml:space="preserve"> </w:t>
      </w:r>
      <w:r>
        <w:t xml:space="preserve">for PP, Jaketown, LJ, WB, Cowpen, JWC and</w:t>
      </w:r>
      <w:r>
        <w:t xml:space="preserve"> </w:t>
      </w:r>
      <m:oMath>
        <m:r>
          <m:rPr>
            <m:sty m:val="p"/>
          </m:rPr>
          <m:t>∼</m:t>
        </m:r>
        <m:r>
          <m:t>0.12</m:t>
        </m:r>
      </m:oMath>
      <w:r>
        <w:t xml:space="preserve"> </w:t>
      </w:r>
      <w: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t xml:space="preserve">The full numerical output is in</w:t>
      </w:r>
      <w:r>
        <w:t xml:space="preserve"> </w:t>
      </w:r>
      <w:r>
        <w:rPr>
          <w:rStyle w:val="VerbatimChar"/>
        </w:rPr>
        <w:t xml:space="preserve">results/phenology/phenology_epsilon_test.json</w:t>
      </w:r>
      <w:r>
        <w:t xml:space="preserve"> </w:t>
      </w:r>
      <w:r>
        <w:t xml:space="preserve">(Test A) and</w:t>
      </w:r>
      <w:r>
        <w:t xml:space="preserve"> </w:t>
      </w:r>
      <w:r>
        <w:rPr>
          <w:rStyle w:val="VerbatimChar"/>
        </w:rPr>
        <w:t xml:space="preserve">results/phenology/phenology_variance_epsilon.json</w:t>
      </w:r>
      <w:r>
        <w:t xml:space="preserve"> </w:t>
      </w:r>
      <w:r>
        <w:t xml:space="preserve">(variance-based test).</w:t>
      </w:r>
    </w:p>
    <w:p>
      <w:pPr>
        <w:pStyle w:val="BodyText"/>
      </w:pPr>
      <w:r>
        <w:t xml:space="preserve">The seasonal phenology figure is presented as main-text Figure 15 (§6.7); see also §S16 below.</w:t>
      </w:r>
    </w:p>
    <w:p>
      <w:r>
        <w:pict>
          <v:rect style="width:0;height:1.5pt" o:hralign="center" o:hrstd="t" o:hr="t"/>
        </w:pict>
      </w:r>
    </w:p>
    <w:bookmarkEnd w:id="86"/>
    <w:bookmarkStart w:id="95" w:name="X36576ea3f795908e3034c54bbd7a9ce1f683672"/>
    <w:p>
      <w:pPr>
        <w:pStyle w:val="Heading2"/>
      </w:pPr>
      <w:r>
        <w:t xml:space="preserve">S17. Model components used in §6 and priority follow-up work</w:t>
      </w:r>
    </w:p>
    <w:p>
      <w:pPr>
        <w:pStyle w:val="FirstParagraph"/>
      </w:pPr>
      <w: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t xml:space="preserve"> </w:t>
      </w:r>
      <m:oMath>
        <m:sSub>
          <m:e>
            <m:r>
              <m:t>n</m:t>
            </m:r>
          </m:e>
          <m:sub>
            <m:r>
              <m:t>a</m:t>
            </m:r>
            <m:r>
              <m:t>g</m:t>
            </m:r>
            <m:r>
              <m:t>g</m:t>
            </m:r>
          </m:sub>
        </m:sSub>
      </m:oMath>
      <w:r>
        <w:t xml:space="preserve"> </w:t>
      </w:r>
      <w: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87" w:name="Xde57d3fc74c0c8da7e408217bf51105bc4f0e8f"/>
    <w:p>
      <w:pPr>
        <w:pStyle w:val="Heading3"/>
      </w:pPr>
      <w:r>
        <w:t xml:space="preserve">S17.1 Regime switching for the Watson Brake bistable closure</w:t>
      </w:r>
    </w:p>
    <w:p>
      <w:pPr>
        <w:pStyle w:val="FirstParagraph"/>
      </w:pPr>
      <w:r>
        <w:t xml:space="preserve">(Main text §6.3;</w:t>
      </w:r>
      <w:r>
        <w:t xml:space="preserve"> </w:t>
      </w:r>
      <w:r>
        <w:rPr>
          <w:i/>
          <w:iCs/>
        </w:rPr>
        <w:t xml:space="preserve">Continuous-equilibrium treatment</w:t>
      </w:r>
      <w:r>
        <w:t xml:space="preserve"> </w:t>
      </w:r>
      <w:r>
        <w:t xml:space="preserve">in main §7.4.)</w:t>
      </w:r>
      <w:r>
        <w:t xml:space="preserve"> </w:t>
      </w:r>
      <w:r>
        <w:rPr>
          <w:b/>
          <w:bCs/>
        </w:rPr>
        <w:t xml:space="preserve">Implemented in this revision (analytical-stochastic version); central to the §6.3 closure.</w:t>
      </w:r>
      <w:r>
        <w:t xml:space="preserve"> </w:t>
      </w:r>
      <w:r>
        <w:t xml:space="preserve">A 700-year simulation samples</w:t>
      </w:r>
      <w: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t xml:space="preserve"> </w:t>
      </w:r>
      <w:r>
        <w:t xml:space="preserve">each year at WB parameters (</w:t>
      </w:r>
      <m:oMath>
        <m:sSub>
          <m:e>
            <m:r>
              <m:t>μ</m:t>
            </m:r>
          </m:e>
          <m:sub>
            <m:r>
              <m:t>e</m:t>
            </m:r>
            <m:r>
              <m:t>f</m:t>
            </m:r>
            <m:r>
              <m:t>f</m:t>
            </m:r>
          </m:sub>
        </m:sSub>
        <m:r>
          <m:rPr>
            <m:sty m:val="p"/>
          </m:rPr>
          <m:t>=</m:t>
        </m:r>
        <m:r>
          <m:t>0.319</m:t>
        </m:r>
      </m:oMath>
      <w:r>
        <w:t xml:space="preserve"> </w:t>
      </w:r>
      <w:r>
        <w:t xml:space="preserve">at</w:t>
      </w:r>
      <w:r>
        <w:t xml:space="preserve"> </w:t>
      </w:r>
      <m:oMath>
        <m:r>
          <m:t>σ</m:t>
        </m:r>
        <m:r>
          <m:rPr>
            <m:sty m:val="p"/>
          </m:rPr>
          <m:t>=</m:t>
        </m:r>
        <m:r>
          <m:t>0.56</m:t>
        </m:r>
      </m:oMath>
      <w:r>
        <w:t xml:space="preserve"> </w:t>
      </w:r>
      <w:r>
        <w:t xml:space="preserve">and</w:t>
      </w:r>
      <w:r>
        <w:t xml:space="preserve"> </w:t>
      </w:r>
      <m:oMath>
        <m:r>
          <m:t>ε</m:t>
        </m:r>
        <m:r>
          <m:rPr>
            <m:sty m:val="p"/>
          </m:rPr>
          <m:t>=</m:t>
        </m:r>
        <m:r>
          <m:t>0.43</m:t>
        </m:r>
      </m:oMath>
      <w:r>
        <w:t xml:space="preserve">), classifies each year above or below the analytical</w:t>
      </w:r>
      <w:r>
        <w:t xml:space="preserve"> </w:t>
      </w:r>
      <m:oMath>
        <m:sSup>
          <m:e>
            <m:r>
              <m:t>σ</m:t>
            </m:r>
          </m:e>
          <m:sup>
            <m:r>
              <m:rPr>
                <m:sty m:val="p"/>
              </m:rPr>
              <m:t>*</m:t>
            </m:r>
          </m:sup>
        </m:sSup>
        <m:r>
          <m:rPr>
            <m:sty m:val="p"/>
          </m:rPr>
          <m:t>=</m:t>
        </m:r>
        <m:r>
          <m:t>0.375</m:t>
        </m:r>
      </m:oMath>
      <w:r>
        <w:t xml:space="preserve">, requires a minimum-persistence run length</w:t>
      </w:r>
      <w:r>
        <w:t xml:space="preserve"> </w:t>
      </w:r>
      <m:oMath>
        <m:r>
          <m:t>K</m:t>
        </m:r>
      </m:oMath>
      <w:r>
        <w:t xml:space="preserve"> </w:t>
      </w:r>
      <w:r>
        <w:t xml:space="preserve">years to count as a regime transition (band-coordination delay), and accumulates monument volume during persistent above-threshold intervals at the per-event labor-scaled rate (per-event labor scaling at</w:t>
      </w:r>
      <w:r>
        <w:t xml:space="preserve"> </w:t>
      </w:r>
      <m:oMath>
        <m:r>
          <m:t>α</m:t>
        </m:r>
        <m:r>
          <m:rPr>
            <m:sty m:val="p"/>
          </m:rPr>
          <m:t>=</m:t>
        </m:r>
        <m:r>
          <m:t>2</m:t>
        </m:r>
      </m:oMath>
      <w:r>
        <w:t xml:space="preserve">; §S17.2). Sweeping</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w:t>
      </w:r>
      <w:r>
        <w:t xml:space="preserve">and</w:t>
      </w:r>
      <w:r>
        <w:t xml:space="preserve"> </w:t>
      </w:r>
      <m:oMath>
        <m:r>
          <m:t>K</m:t>
        </m:r>
        <m:r>
          <m:rPr>
            <m:sty m:val="p"/>
          </m:rPr>
          <m:t>∈</m:t>
        </m:r>
        <m:r>
          <m:rPr>
            <m:sty m:val="p"/>
          </m:rPr>
          <m:t>[</m:t>
        </m:r>
        <m:r>
          <m:t>1</m:t>
        </m:r>
        <m:r>
          <m:rPr>
            <m:sty m:val="p"/>
          </m:rPr>
          <m:t>,</m:t>
        </m:r>
        <m:r>
          <m:t>5</m:t>
        </m:r>
        <m:r>
          <m:rPr>
            <m:sty m:val="p"/>
          </m:rPr>
          <m:t>]</m:t>
        </m:r>
      </m:oMath>
      <w:r>
        <w:t xml:space="preserve"> </w:t>
      </w:r>
      <w: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t xml:space="preserve">Across the swept</w:t>
      </w:r>
      <w:r>
        <w:t xml:space="preserve"> </w:t>
      </w:r>
      <m:oMath>
        <m:r>
          <m:rPr>
            <m:sty m:val="p"/>
          </m:rPr>
          <m:t>(</m:t>
        </m:r>
        <m:sSub>
          <m:e>
            <m:r>
              <m:t>σ</m:t>
            </m:r>
          </m:e>
          <m:sub>
            <m:r>
              <m:t>s</m:t>
            </m:r>
            <m:r>
              <m:t>d</m:t>
            </m:r>
          </m:sub>
        </m:sSub>
        <m:r>
          <m:rPr>
            <m:sty m:val="p"/>
          </m:rPr>
          <m:t>,</m:t>
        </m:r>
        <m:r>
          <m:t>K</m:t>
        </m:r>
        <m:r>
          <m:rPr>
            <m:sty m:val="p"/>
          </m:rPr>
          <m:t>)</m:t>
        </m:r>
      </m:oMath>
      <w:r>
        <w:t xml:space="preserve"> </w:t>
      </w:r>
      <w:r>
        <w:t xml:space="preserve">grid at the LiDAR-derived per-mound WB volume of 27,065 m³ (§5.1), regime-switching predictions for cumulative WB volume span ~2,800 to ~89,000 m³ at</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The observed 27,065 m³ sits inside the K=2 sweep range (~12,000 to ~35,000 m³ across this</w:t>
      </w:r>
      <w:r>
        <w:t xml:space="preserve"> </w:t>
      </w:r>
      <m:oMath>
        <m:sSub>
          <m:e>
            <m:r>
              <m:t>σ</m:t>
            </m:r>
          </m:e>
          <m:sub>
            <m:r>
              <m:t>s</m:t>
            </m:r>
            <m:r>
              <m:t>d</m:t>
            </m:r>
          </m:sub>
        </m:sSub>
      </m:oMath>
      <w:r>
        <w:t xml:space="preserve"> </w:t>
      </w:r>
      <w:r>
        <w:t xml:space="preserve">range), with K=1 overshooting (~52,000 to ~89,000 m³) and K=3 undershooting (~2,800 to ~13,600 m³). The per-event labor-scaling extension (§S17.2) closes the WB gap essentially exactly (~25,000 m³ predicted, 0.91× of observed) independently of any specific</w:t>
      </w:r>
      <w:r>
        <w:t xml:space="preserve"> </w:t>
      </w:r>
      <m:oMath>
        <m:r>
          <m:t>K</m:t>
        </m:r>
      </m:oMath>
      <w:r>
        <w:t xml:space="preserve"> </w:t>
      </w:r>
      <w:r>
        <w:t xml:space="preserve">value sweep-selected against the volume observation. We therefore no longer treat the regime-switching closure as the principal reconciliation. The regime-switching extension’s substantive role in the framework is to account for the episodic</w:t>
      </w:r>
      <w:r>
        <w:t xml:space="preserve"> </w:t>
      </w:r>
      <w:r>
        <w:rPr>
          <w:i/>
          <w:iCs/>
        </w:rPr>
        <w:t xml:space="preserve">tempo</w:t>
      </w:r>
      <w:r>
        <w:t xml:space="preserve"> </w:t>
      </w:r>
      <w:r>
        <w:t xml:space="preserve">of WB construction (the 200+-year inter-stage gaps), which it does at any</w:t>
      </w:r>
      <w:r>
        <w:t xml:space="preserve"> </w:t>
      </w:r>
      <m:oMath>
        <m:r>
          <m:t>K</m:t>
        </m:r>
        <m:r>
          <m:rPr>
            <m:sty m:val="p"/>
          </m:rPr>
          <m:t>≥</m:t>
        </m:r>
        <m:r>
          <m:t>1</m:t>
        </m:r>
      </m:oMath>
      <w:r>
        <w:t xml:space="preserve"> </w:t>
      </w:r>
      <w:r>
        <w:t xml:space="preserve">given the WB threshold proximity; this episodic structure is the prediction the framework makes about WB irrespective of the volume figure. The independent ethnographic anchoring of</w:t>
      </w:r>
      <w:r>
        <w:t xml:space="preserve"> </w:t>
      </w:r>
      <m:oMath>
        <m:r>
          <m:t>K</m:t>
        </m:r>
      </m:oMath>
      <w:r>
        <w:t xml:space="preserve"> </w:t>
      </w:r>
      <w:r>
        <w:t xml:space="preserve">from multi-band cooperation timescales (Wiessner 2002:434-435; Kelly 2013:159-167) remains identified as priority follow-up.</w:t>
      </w:r>
    </w:p>
    <w:p>
      <w:pPr>
        <w:pStyle w:val="BodyText"/>
      </w:pPr>
      <w:r>
        <w:t xml:space="preserve">Reproducible from</w:t>
      </w:r>
      <w:r>
        <w:t xml:space="preserve"> </w:t>
      </w:r>
      <w:r>
        <w:rPr>
          <w:rStyle w:val="VerbatimChar"/>
        </w:rPr>
        <w:t xml:space="preserve">scripts/analysis/regime_switching_simulation.py</w:t>
      </w:r>
      <w:r>
        <w:t xml:space="preserve">; outputs in</w:t>
      </w:r>
      <w:r>
        <w:t xml:space="preserve"> </w:t>
      </w:r>
      <w:r>
        <w:rPr>
          <w:rStyle w:val="VerbatimChar"/>
        </w:rPr>
        <w:t xml:space="preserve">results/sensitivity/regime_switching_wb.json</w:t>
      </w:r>
      <w:r>
        <w:t xml:space="preserve">. Full ABM-level regime-switching with endogenous strategy switching and explicit annual fitness comparison remains as future work.</w:t>
      </w:r>
    </w:p>
    <w:bookmarkEnd w:id="87"/>
    <w:bookmarkStart w:id="88" w:name="s17.2-per-event-labor-scaling"/>
    <w:p>
      <w:pPr>
        <w:pStyle w:val="Heading3"/>
      </w:pPr>
      <w:r>
        <w:t xml:space="preserve">S17.2 Per-event labor scaling</w:t>
      </w:r>
    </w:p>
    <w:p>
      <w:pPr>
        <w:pStyle w:val="FirstParagraph"/>
      </w:pPr>
      <w:r>
        <w:t xml:space="preserve">(Main text §6.1;</w:t>
      </w:r>
      <w:r>
        <w:t xml:space="preserve"> </w:t>
      </w:r>
      <w:r>
        <w:rPr>
          <w:i/>
          <w:iCs/>
        </w:rPr>
        <w:t xml:space="preserve">Labor-to-volume calibration</w:t>
      </w:r>
      <w:r>
        <w:t xml:space="preserve"> </w:t>
      </w:r>
      <w:r>
        <w:t xml:space="preserve">in main §7.4.)</w:t>
      </w:r>
      <w:r>
        <w:t xml:space="preserve"> </w:t>
      </w:r>
      <w:r>
        <w:rPr>
          <w:b/>
          <w:bCs/>
        </w:rPr>
        <w:t xml:space="preserve">Implemented in this revision; central to the §6.3 Watson Brake closure and the §6.6 cross-LMV magnitude correlation.</w:t>
      </w:r>
      <w:r>
        <w:t xml:space="preserve"> </w:t>
      </w:r>
      <w:r>
        <w:t xml:space="preserve">We add a power-law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where</w:t>
      </w:r>
      <w:r>
        <w:t xml:space="preserve"> </w:t>
      </w:r>
      <m:oMath>
        <m:sSub>
          <m:e>
            <m:r>
              <m:t>b</m:t>
            </m:r>
          </m:e>
          <m:sub>
            <m:r>
              <m:t>0</m:t>
            </m:r>
          </m:sub>
        </m:sSub>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anchors PP to its observed 750,000 m³ and the exponent</w:t>
      </w:r>
      <w:r>
        <w:t xml:space="preserve"> </w:t>
      </w:r>
      <m:oMath>
        <m:r>
          <m:t>α</m:t>
        </m:r>
      </m:oMath>
      <w:r>
        <w:t xml:space="preserve"> </w:t>
      </w:r>
      <w:r>
        <w:t xml:space="preserve">encodes how strongly per-crew output scales with crew size. Sweeping</w:t>
      </w:r>
      <w: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t xml:space="preserve"> </w:t>
      </w:r>
      <w:r>
        <w:t xml:space="preserve">and comparing predicted-vs-observed volumes across the eleven LMV sites: the rank-correlation Spearman</w:t>
      </w:r>
      <w:r>
        <w:t xml:space="preserve"> </w:t>
      </w:r>
      <m:oMath>
        <m:r>
          <m:t>ρ</m:t>
        </m:r>
      </m:oMath>
      <w:r>
        <w:t xml:space="preserve"> </w:t>
      </w:r>
      <w:r>
        <w:t xml:space="preserve">is invariant at</w:t>
      </w:r>
      <w:r>
        <w:t xml:space="preserve"> </w:t>
      </w:r>
      <m:oMath>
        <m:r>
          <m:t>0.85</m:t>
        </m:r>
      </m:oMath>
      <w:r>
        <w:t xml:space="preserve">-</w:t>
      </w:r>
      <m:oMath>
        <m:r>
          <m:t>0.90</m:t>
        </m:r>
      </m:oMath>
      <w:r>
        <w:t xml:space="preserve"> </w:t>
      </w:r>
      <w:r>
        <w:t xml:space="preserve">(the scaling factor preserves relative ordering by design); the absolute calibration is closest at</w:t>
      </w:r>
      <w:r>
        <w:t xml:space="preserve"> </w:t>
      </w:r>
      <m:oMath>
        <m:r>
          <m:t>α</m:t>
        </m:r>
        <m:r>
          <m:rPr>
            <m:sty m:val="p"/>
          </m:rPr>
          <m:t>≈</m:t>
        </m:r>
        <m:r>
          <m:t>2.0</m:t>
        </m:r>
      </m:oMath>
      <w:r>
        <w:t xml:space="preserve">, where mean</w:t>
      </w:r>
      <w: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t xml:space="preserve"> </w:t>
      </w:r>
      <w:r>
        <w:t xml:space="preserve">across the sample (all sites within ~10</w:t>
      </w:r>
      <m:oMath>
        <m:sSup>
          <m:e>
            <m:r>
              <m:t>​</m:t>
            </m:r>
          </m:e>
          <m:sup>
            <m:r>
              <m:t>0.5</m:t>
            </m:r>
          </m:sup>
        </m:sSup>
      </m:oMath>
      <w:r>
        <w:t xml:space="preserve"> </w:t>
      </w:r>
      <w:r>
        <w:t xml:space="preserve">= 3</w:t>
      </w:r>
      <m:oMath>
        <m:r>
          <m:rPr>
            <m:sty m:val="p"/>
          </m:rPr>
          <m:t>×</m:t>
        </m:r>
      </m:oMath>
      <w:r>
        <w:t xml:space="preserve"> </w:t>
      </w:r>
      <w:r>
        <w:t xml:space="preserve">of observed volume; std of log-ratios is 0.54). At</w:t>
      </w:r>
      <w:r>
        <w:t xml:space="preserve"> </w:t>
      </w:r>
      <m:oMath>
        <m:r>
          <m:t>α</m:t>
        </m:r>
        <m:r>
          <m:rPr>
            <m:sty m:val="p"/>
          </m:rPr>
          <m:t>=</m:t>
        </m:r>
        <m:r>
          <m:t>2.0</m:t>
        </m:r>
      </m:oMath>
      <w: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t xml:space="preserve">); Insley drops from 180,000 m³ to ~10,400 m³ (vs observed 14,000 m³, ~0.7</w:t>
      </w:r>
      <m:oMath>
        <m:r>
          <m:rPr>
            <m:sty m:val="p"/>
          </m:rPr>
          <m:t>×</m:t>
        </m:r>
      </m:oMath>
      <w:r>
        <w:t xml:space="preserve">, slight underpredict).</w:t>
      </w:r>
    </w:p>
    <w:p>
      <w:pPr>
        <w:pStyle w:val="BodyText"/>
      </w:pPr>
      <w:r>
        <w:t xml:space="preserve">The interpretation requires honest framing. The rank-correlation invariance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w:t>
      </w:r>
      <w:r>
        <w:t xml:space="preserve">across all</w:t>
      </w:r>
      <w:r>
        <w:t xml:space="preserve"> </w:t>
      </w:r>
      <m:oMath>
        <m:r>
          <m:t>α</m:t>
        </m:r>
      </m:oMath>
      <w:r>
        <w:t xml:space="preserve">) reflects that the n-power scaling preserves rank order by construction. The absolute-volume agreement at</w:t>
      </w:r>
      <w:r>
        <w:t xml:space="preserve"> </w:t>
      </w:r>
      <m:oMath>
        <m:r>
          <m:t>α</m:t>
        </m:r>
        <m:r>
          <m:rPr>
            <m:sty m:val="p"/>
          </m:rPr>
          <m:t>=</m:t>
        </m:r>
        <m:r>
          <m:t>2.0</m:t>
        </m:r>
      </m:oMath>
      <w:r>
        <w:t xml:space="preserve"> </w:t>
      </w:r>
      <w:r>
        <w:t xml:space="preserve">is</w:t>
      </w:r>
      <w:r>
        <w:t xml:space="preserve"> </w:t>
      </w:r>
      <w:r>
        <w:rPr>
          <w:i/>
          <w:iCs/>
        </w:rPr>
        <w:t xml:space="preserve">not</w:t>
      </w:r>
      <w:r>
        <w:t xml:space="preserve"> </w:t>
      </w:r>
      <w:r>
        <w:t xml:space="preserve">a prediction:</w:t>
      </w:r>
      <w:r>
        <w:t xml:space="preserve"> </w:t>
      </w:r>
      <m:oMath>
        <m:r>
          <m:t>α</m:t>
        </m:r>
      </m:oMath>
      <w:r>
        <w:t xml:space="preserve"> </w:t>
      </w:r>
      <w:r>
        <w:t xml:space="preserve">was selected as the value that minimizes mean</w:t>
      </w:r>
      <w: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t xml:space="preserve"> </w:t>
      </w:r>
      <w: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t xml:space="preserve"> </w:t>
      </w:r>
      <w:r>
        <w:t xml:space="preserve">of observed is correct.</w:t>
      </w:r>
    </w:p>
    <w:p>
      <w:pPr>
        <w:pStyle w:val="BodyText"/>
      </w:pPr>
      <w:r>
        <w:t xml:space="preserve">The framework’s substantive claim is therefore (i) the rank-correlation invariant in</w:t>
      </w:r>
      <w:r>
        <w:t xml:space="preserve"> </w:t>
      </w:r>
      <m:oMath>
        <m:r>
          <m:t>α</m:t>
        </m:r>
      </m:oMath>
      <w:r>
        <w:t xml:space="preserve">, which establishes that the relative-ordering signal is in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structure rather than the labor-scaling exponent; and (ii) the WB-specific result at</w:t>
      </w:r>
      <w:r>
        <w:t xml:space="preserve"> </w:t>
      </w:r>
      <m:oMath>
        <m:r>
          <m:t>α</m:t>
        </m:r>
        <m:r>
          <m:rPr>
            <m:sty m:val="p"/>
          </m:rPr>
          <m:t>=</m:t>
        </m:r>
        <m:r>
          <m:t>2.0</m:t>
        </m:r>
      </m:oMath>
      <w:r>
        <w:t xml:space="preserve"> </w:t>
      </w:r>
      <w:r>
        <w:t xml:space="preserve">which closes the ~9</w:t>
      </w:r>
      <m:oMath>
        <m:r>
          <m:rPr>
            <m:sty m:val="p"/>
          </m:rPr>
          <m:t>×</m:t>
        </m:r>
      </m:oMath>
      <w:r>
        <w:t xml:space="preserve"> </w:t>
      </w:r>
      <w:r>
        <w:t xml:space="preserve">overprediction (240,000 vs LiDAR-derived 27,065 m³) subject to the labor-scaling assumption.</w:t>
      </w:r>
    </w:p>
    <w:p>
      <w:pPr>
        <w:pStyle w:val="BodyText"/>
      </w:pPr>
      <w:r>
        <w:rPr>
          <w:b/>
          <w:bCs/>
        </w:rPr>
        <w:t xml:space="preserve">Independent ethnographic anchoring of</w:t>
      </w:r>
      <w:r>
        <w:rPr>
          <w:b/>
          <w:bCs/>
        </w:rPr>
        <w:t xml:space="preserve"> </w:t>
      </w:r>
      <m:oMath>
        <m:r>
          <m:t>α</m:t>
        </m:r>
      </m:oMath>
      <w:r>
        <w:rPr>
          <w:b/>
          <w:bCs/>
        </w:rPr>
        <w:t xml:space="preserve">.</w:t>
      </w:r>
      <w:r>
        <w:t xml:space="preserve"> </w:t>
      </w:r>
      <w: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t xml:space="preserve"> </w:t>
      </w:r>
      <m:oMath>
        <m:r>
          <m:t>α</m:t>
        </m:r>
        <m:r>
          <m:rPr>
            <m:sty m:val="p"/>
          </m:rPr>
          <m:t>≈</m:t>
        </m:r>
        <m:r>
          <m:t>1</m:t>
        </m:r>
      </m:oMath>
      <w:r>
        <w:t xml:space="preserve"> </w:t>
      </w:r>
      <w:r>
        <w:t xml:space="preserve">in the framework’s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total m³ output scales linearly with crew size. The</w:t>
      </w:r>
      <w:r>
        <w:t xml:space="preserve"> </w:t>
      </w:r>
      <m:oMath>
        <m:r>
          <m:t>α</m:t>
        </m:r>
        <m:r>
          <m:rPr>
            <m:sty m:val="p"/>
          </m:rPr>
          <m:t>=</m:t>
        </m:r>
        <m:r>
          <m:t>2</m:t>
        </m:r>
      </m:oMath>
      <w:r>
        <w:t xml:space="preserve"> </w:t>
      </w:r>
      <w:r>
        <w:t xml:space="preserve">value selected here implies</w:t>
      </w:r>
      <w:r>
        <w:t xml:space="preserve"> </w:t>
      </w:r>
      <w:r>
        <w:rPr>
          <w:i/>
          <w:iCs/>
        </w:rPr>
        <w:t xml:space="preserve">superadditive</w:t>
      </w:r>
      <w:r>
        <w:t xml:space="preserve"> </w:t>
      </w:r>
      <w: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t xml:space="preserve"> </w:t>
      </w:r>
      <m:oMath>
        <m:r>
          <m:t>α</m:t>
        </m:r>
        <m:r>
          <m:rPr>
            <m:sty m:val="p"/>
          </m:rPr>
          <m:t>=</m:t>
        </m:r>
        <m:r>
          <m:t>1</m:t>
        </m:r>
      </m:oMath>
      <w:r>
        <w:t xml:space="preserve"> </w:t>
      </w:r>
      <w:r>
        <w:t xml:space="preserve">(Erasmus-grounded) leaves the framework underpredicting Watson Brake’s LiDAR-derived 27,065 m³ by approximately 7.7-fold. Restricting to</w:t>
      </w:r>
      <w:r>
        <w:t xml:space="preserve"> </w:t>
      </w:r>
      <m:oMath>
        <m:r>
          <m:t>α</m:t>
        </m:r>
        <m:r>
          <m:rPr>
            <m:sty m:val="p"/>
          </m:rPr>
          <m:t>=</m:t>
        </m:r>
        <m:r>
          <m:t>2</m:t>
        </m:r>
      </m:oMath>
      <w:r>
        <w:t xml:space="preserve"> </w:t>
      </w:r>
      <w: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t xml:space="preserve">Reproducible from</w:t>
      </w:r>
      <w:r>
        <w:t xml:space="preserve"> </w:t>
      </w:r>
      <w:r>
        <w:rPr>
          <w:rStyle w:val="VerbatimChar"/>
        </w:rPr>
        <w:t xml:space="preserve">scripts/analysis/per_event_labor_scaling.py</w:t>
      </w:r>
      <w:r>
        <w:t xml:space="preserve">; outputs in</w:t>
      </w:r>
      <w:r>
        <w:t xml:space="preserve"> </w:t>
      </w:r>
      <w:r>
        <w:rPr>
          <w:rStyle w:val="VerbatimChar"/>
        </w:rPr>
        <w:t xml:space="preserve">results/sensitivity/per_event_labor_scaling.json</w:t>
      </w:r>
      <w:r>
        <w:t xml:space="preserve">.</w:t>
      </w:r>
    </w:p>
    <w:bookmarkEnd w:id="88"/>
    <w:bookmarkStart w:id="89" w:name="Xb22f72dfb61d671a9569575f81429ccb36a3121"/>
    <w:p>
      <w:pPr>
        <w:pStyle w:val="Heading3"/>
      </w:pPr>
      <w:r>
        <w:t xml:space="preserve">S17.3 Regional band allocation (minimal regional spatially-explicit model)</w:t>
      </w:r>
    </w:p>
    <w:p>
      <w:pPr>
        <w:pStyle w:val="FirstParagraph"/>
      </w:pPr>
      <w:r>
        <w:t xml:space="preserve">(Main text §7.1;</w:t>
      </w:r>
      <w:r>
        <w:t xml:space="preserve"> </w:t>
      </w:r>
      <w:r>
        <w:rPr>
          <w:i/>
          <w:iCs/>
        </w:rPr>
        <w:t xml:space="preserve">Single-site abstraction</w:t>
      </w:r>
      <w:r>
        <w:t xml:space="preserve"> </w:t>
      </w:r>
      <w:r>
        <w:t xml:space="preserve">in main §7.4.)</w:t>
      </w:r>
      <w:r>
        <w:t xml:space="preserve"> </w:t>
      </w:r>
      <w:r>
        <w:rPr>
          <w:b/>
          <w:bCs/>
        </w:rPr>
        <w:t xml:space="preserve">Minimal version implemented in this revision; sensitivity demonstration for §6.6.</w:t>
      </w:r>
      <w:r>
        <w:t xml:space="preserve"> </w:t>
      </w:r>
      <w:r>
        <w:t xml:space="preserve">A regional band-allocation model with 50 bands, 11 candidate sites, canoe-day travel costs (~30 km/day), and a critical-mass network bonus once</w:t>
      </w:r>
      <w:r>
        <w:t xml:space="preserve"> </w:t>
      </w:r>
      <m:oMath>
        <m:sSub>
          <m:e>
            <m:r>
              <m:t>n</m:t>
            </m:r>
          </m:e>
          <m:sub>
            <m:r>
              <m:t>a</m:t>
            </m:r>
            <m:r>
              <m:t>g</m:t>
            </m:r>
            <m:r>
              <m:t>g</m:t>
            </m:r>
          </m:sub>
        </m:sSub>
        <m:r>
          <m:rPr>
            <m:sty m:val="p"/>
          </m:rPr>
          <m:t>≥</m:t>
        </m:r>
        <m:sSub>
          <m:e>
            <m:r>
              <m:t>N</m:t>
            </m:r>
          </m:e>
          <m:sub>
            <m:r>
              <m:t>t</m:t>
            </m:r>
            <m:r>
              <m:t>h</m:t>
            </m:r>
            <m:r>
              <m:t>r</m:t>
            </m:r>
            <m:r>
              <m:t>e</m:t>
            </m:r>
            <m:r>
              <m:t>s</m:t>
            </m:r>
            <m:r>
              <m:t>h</m:t>
            </m:r>
          </m:sub>
        </m:sSub>
      </m:oMath>
      <w:r>
        <w:t xml:space="preserve"> </w:t>
      </w:r>
      <w:r>
        <w:t xml:space="preserve">converges in three iterative rounds. At default parameters (NETWORK_BONUS = 0.05,</w:t>
      </w:r>
      <w:r>
        <w:t xml:space="preserve"> </w:t>
      </w:r>
      <m:oMath>
        <m:sSub>
          <m:e>
            <m:r>
              <m:t>N</m:t>
            </m:r>
          </m:e>
          <m:sub>
            <m:r>
              <m:t>t</m:t>
            </m:r>
            <m:r>
              <m:t>h</m:t>
            </m:r>
            <m:r>
              <m:t>r</m:t>
            </m:r>
            <m:r>
              <m:t>e</m:t>
            </m:r>
            <m:r>
              <m:t>s</m:t>
            </m:r>
            <m:r>
              <m:t>h</m:t>
            </m:r>
          </m:sub>
        </m:sSub>
        <m:r>
          <m:rPr>
            <m:sty m:val="p"/>
          </m:rPr>
          <m:t>=</m:t>
        </m:r>
        <m:r>
          <m:t>5</m:t>
        </m:r>
      </m:oMath>
      <w:r>
        <w:t xml:space="preserve">): winner-takes-most outcome with PP = 43 bands, Jaketown = 7 bands, all other interior sites = 0 bands. Spearman correlation of endogenized</w:t>
      </w:r>
      <w:r>
        <w:t xml:space="preserve"> </w:t>
      </w:r>
      <m:oMath>
        <m:sSub>
          <m:e>
            <m:r>
              <m:t>n</m:t>
            </m:r>
          </m:e>
          <m:sub>
            <m:r>
              <m:t>a</m:t>
            </m:r>
            <m:r>
              <m:t>g</m:t>
            </m:r>
            <m:r>
              <m:t>g</m:t>
            </m:r>
          </m:sub>
        </m:sSub>
      </m:oMath>
      <w:r>
        <w:t xml:space="preserve"> </w:t>
      </w:r>
      <w:r>
        <w:t xml:space="preserve">against observed monument scale:</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NS); against the convergence-model literature</w:t>
      </w:r>
      <w:r>
        <w:t xml:space="preserve"> </w:t>
      </w:r>
      <m:oMath>
        <m:sSub>
          <m:e>
            <m:r>
              <m:t>n</m:t>
            </m:r>
          </m:e>
          <m:sub>
            <m:r>
              <m:t>a</m:t>
            </m:r>
            <m:r>
              <m:t>g</m:t>
            </m:r>
            <m:r>
              <m:t>g</m:t>
            </m:r>
          </m:sub>
        </m:sSub>
      </m:oMath>
      <w:r>
        <w:t xml:space="preserve"> </w:t>
      </w:r>
      <w:r>
        <w:t xml:space="preserve">values:</w:t>
      </w:r>
      <w:r>
        <w:t xml:space="preserve"> </w:t>
      </w:r>
      <m:oMath>
        <m:r>
          <m:t>ρ</m:t>
        </m:r>
        <m:r>
          <m:rPr>
            <m:sty m:val="p"/>
          </m:rPr>
          <m:t>=</m:t>
        </m:r>
        <m:r>
          <m:rPr>
            <m:sty m:val="p"/>
          </m:rPr>
          <m:t>+</m:t>
        </m:r>
        <m:r>
          <m:t>0.65</m:t>
        </m:r>
      </m:oMath>
      <w:r>
        <w:t xml:space="preserve"> </w:t>
      </w:r>
      <w:r>
        <w:t xml:space="preserve">(</w:t>
      </w:r>
      <m:oMath>
        <m:r>
          <m:t>p</m:t>
        </m:r>
        <m:r>
          <m:rPr>
            <m:sty m:val="p"/>
          </m:rPr>
          <m:t>=</m:t>
        </m:r>
        <m:r>
          <m:t>0.03</m:t>
        </m:r>
      </m:oMath>
      <w:r>
        <w:t xml:space="preserve">).</w:t>
      </w:r>
    </w:p>
    <w:p>
      <w:pPr>
        <w:pStyle w:val="BodyText"/>
      </w:pPr>
      <w:r>
        <w:rPr>
          <w:b/>
          <w:bCs/>
        </w:rPr>
        <w:t xml:space="preserve">Parameter sensitivity.</w:t>
      </w:r>
      <w:r>
        <w:t xml:space="preserve"> </w:t>
      </w:r>
      <w:r>
        <w:t xml:space="preserve">A sensitivity sweep across NETWORK_BONUS</w:t>
      </w:r>
      <w: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t xml:space="preserve"> </w:t>
      </w:r>
      <w:r>
        <w:t xml:space="preserve">and</w:t>
      </w:r>
      <w: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t xml:space="preserve"> </w:t>
      </w:r>
      <w:r>
        <w:t xml:space="preserve">(20 cells) confirms the winner-takes-most outcome is robust to parameter choice: 16 of 20 cells produce the same PP = 43 / Jaketown = 7 split (ρ = +0.39 against observed scale), and the remaining 4 cells (those with</w:t>
      </w:r>
      <w:r>
        <w:t xml:space="preserve"> </w:t>
      </w:r>
      <m:oMath>
        <m:sSub>
          <m:e>
            <m:r>
              <m:t>N</m:t>
            </m:r>
          </m:e>
          <m:sub>
            <m:r>
              <m:t>t</m:t>
            </m:r>
            <m:r>
              <m:t>h</m:t>
            </m:r>
            <m:r>
              <m:t>r</m:t>
            </m:r>
            <m:r>
              <m:t>e</m:t>
            </m:r>
            <m:r>
              <m:t>s</m:t>
            </m:r>
            <m:r>
              <m:t>h</m:t>
            </m:r>
          </m:sub>
        </m:sSub>
        <m:r>
          <m:rPr>
            <m:sty m:val="p"/>
          </m:rPr>
          <m:t>=</m:t>
        </m:r>
        <m:r>
          <m:t>8</m:t>
        </m:r>
      </m:oMath>
      <w:r>
        <w:t xml:space="preserve"> </w:t>
      </w:r>
      <w: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t xml:space="preserve"> </w:t>
      </w:r>
      <w:r>
        <w:t xml:space="preserve">prediction is therefore not a parameter artifact: the qualitative result (PP as dominant regional attractor, Jaketown as secondary, all others as zero) holds across the tested parameter space. Reproducible from</w:t>
      </w:r>
      <w:r>
        <w:t xml:space="preserve"> </w:t>
      </w:r>
      <w:r>
        <w:rPr>
          <w:rStyle w:val="VerbatimChar"/>
        </w:rPr>
        <w:t xml:space="preserve">scripts/analysis/regional_band_allocation_sensitivity.py</w:t>
      </w:r>
      <w:r>
        <w:t xml:space="preserve">; outputs in</w:t>
      </w:r>
      <w:r>
        <w:t xml:space="preserve"> </w:t>
      </w:r>
      <w:r>
        <w:rPr>
          <w:rStyle w:val="VerbatimChar"/>
        </w:rPr>
        <w:t xml:space="preserve">results/sensitivity/regional_band_allocation_sensitivity.json</w:t>
      </w:r>
      <w:r>
        <w:t xml:space="preserve">.</w:t>
      </w:r>
    </w:p>
    <w:p>
      <w:pPr>
        <w:pStyle w:val="BodyText"/>
      </w:pPr>
      <w:r>
        <w:t xml:space="preserve">The</w:t>
      </w:r>
      <w:r>
        <w:t xml:space="preserve"> </w:t>
      </w:r>
      <m:oMath>
        <m:r>
          <m:t>ρ</m:t>
        </m:r>
        <m:r>
          <m:rPr>
            <m:sty m:val="p"/>
          </m:rPr>
          <m:t>=</m:t>
        </m:r>
        <m:r>
          <m:rPr>
            <m:sty m:val="p"/>
          </m:rPr>
          <m:t>+</m:t>
        </m:r>
        <m:r>
          <m:t>0.39</m:t>
        </m:r>
      </m:oMath>
      <w:r>
        <w:t xml:space="preserve"> </w:t>
      </w:r>
      <w:r>
        <w:t xml:space="preserve">against observed scale is the framework’s genuine (n_agg-endogenized) magnitude-prediction power; substantially weaker than the</w:t>
      </w:r>
      <w:r>
        <w:t xml:space="preserve"> </w:t>
      </w:r>
      <m:oMath>
        <m:r>
          <m:t>ρ</m:t>
        </m:r>
        <m:r>
          <m:rPr>
            <m:sty m:val="p"/>
          </m:rPr>
          <m:t>=</m:t>
        </m:r>
        <m:r>
          <m:rPr>
            <m:sty m:val="p"/>
          </m:rPr>
          <m:t>+</m:t>
        </m:r>
        <m:r>
          <m:t>0.91</m:t>
        </m:r>
      </m:oMath>
      <w:r>
        <w:t xml:space="preserve"> </w:t>
      </w:r>
      <w:r>
        <w:t xml:space="preserve">that emerges when literature</w:t>
      </w:r>
      <w:r>
        <w:t xml:space="preserve"> </w:t>
      </w:r>
      <m:oMath>
        <m:sSub>
          <m:e>
            <m:r>
              <m:t>n</m:t>
            </m:r>
          </m:e>
          <m:sub>
            <m:r>
              <m:t>a</m:t>
            </m:r>
            <m:r>
              <m:t>g</m:t>
            </m:r>
            <m:r>
              <m:t>g</m:t>
            </m:r>
          </m:sub>
        </m:sSub>
      </m:oMath>
      <w:r>
        <w:t xml:space="preserve"> </w:t>
      </w:r>
      <w:r>
        <w:t xml:space="preserve">values are supplied as inputs (§S17.5 below). This confirms the partial-correlation finding directly: the framework’s</w:t>
      </w:r>
      <w:r>
        <w:t xml:space="preserve"> </w:t>
      </w:r>
      <m:oMath>
        <m:r>
          <m:t>ε</m:t>
        </m:r>
      </m:oMath>
      <w:r>
        <w:t xml:space="preserve"> </w:t>
      </w:r>
      <w:r>
        <w:t xml:space="preserve">predicts location of regional attractors but not the gradation of attained</w:t>
      </w:r>
      <w:r>
        <w:t xml:space="preserve"> </w:t>
      </w:r>
      <m:oMath>
        <m:sSub>
          <m:e>
            <m:r>
              <m:t>n</m:t>
            </m:r>
          </m:e>
          <m:sub>
            <m:r>
              <m:t>a</m:t>
            </m:r>
            <m:r>
              <m:t>g</m:t>
            </m:r>
            <m:r>
              <m:t>g</m:t>
            </m:r>
          </m:sub>
        </m:sSub>
      </m:oMath>
      <w:r>
        <w:t xml:space="preserve"> </w:t>
      </w:r>
      <w:r>
        <w:t xml:space="preserve">between PP and the smaller LMV monument-building sites. Reproducible from</w:t>
      </w:r>
      <w:r>
        <w:t xml:space="preserve"> </w:t>
      </w:r>
      <w:r>
        <w:rPr>
          <w:rStyle w:val="VerbatimChar"/>
        </w:rPr>
        <w:t xml:space="preserve">scripts/analysis/regional_band_allocation.py</w:t>
      </w:r>
      <w:r>
        <w:t xml:space="preserve"> </w:t>
      </w:r>
      <w:r>
        <w:t xml:space="preserve">and</w:t>
      </w:r>
      <w:r>
        <w:t xml:space="preserve"> </w:t>
      </w:r>
      <w:r>
        <w:rPr>
          <w:rStyle w:val="VerbatimChar"/>
        </w:rPr>
        <w:t xml:space="preserve">regional_band_allocation_sensitivity.py</w:t>
      </w:r>
      <w:r>
        <w:t xml:space="preserve">; outputs in</w:t>
      </w:r>
      <w:r>
        <w:t xml:space="preserve"> </w:t>
      </w:r>
      <w:r>
        <w:rPr>
          <w:rStyle w:val="VerbatimChar"/>
        </w:rPr>
        <w:t xml:space="preserve">results/sensitivity/regional_band_allocation.json</w:t>
      </w:r>
      <w:r>
        <w:t xml:space="preserve"> </w:t>
      </w:r>
      <w:r>
        <w:t xml:space="preserve">and</w:t>
      </w:r>
      <w:r>
        <w:t xml:space="preserve"> </w:t>
      </w:r>
      <w:r>
        <w:rPr>
          <w:rStyle w:val="VerbatimChar"/>
        </w:rPr>
        <w:t xml:space="preserve">regional_band_allocation_sensitivity.json</w:t>
      </w:r>
      <w: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t xml:space="preserve"> </w:t>
      </w:r>
      <m:oMath>
        <m:sSub>
          <m:e>
            <m:r>
              <m:t>n</m:t>
            </m:r>
          </m:e>
          <m:sub>
            <m:r>
              <m:t>a</m:t>
            </m:r>
            <m:r>
              <m:t>g</m:t>
            </m:r>
            <m:r>
              <m:t>g</m:t>
            </m:r>
          </m:sub>
        </m:sSub>
      </m:oMath>
      <w:r>
        <w:t xml:space="preserve"> </w:t>
      </w:r>
      <w:r>
        <w:t xml:space="preserve">predictions matching the convergence-model values.</w:t>
      </w:r>
    </w:p>
    <w:bookmarkEnd w:id="89"/>
    <w:bookmarkStart w:id="90" w:name="X99de2ea1146afca61ca1bb737b1f0d9599c4879"/>
    <w:p>
      <w:pPr>
        <w:pStyle w:val="Heading3"/>
      </w:pPr>
      <w:r>
        <w:t xml:space="preserve">S17.4 Covariance-based, water-route-aware travel-time catchment</w:t>
      </w:r>
    </w:p>
    <w:p>
      <w:pPr>
        <w:pStyle w:val="FirstParagraph"/>
      </w:pPr>
      <w:r>
        <w:t xml:space="preserve">(Main text §6.5;</w:t>
      </w:r>
      <w:r>
        <w:t xml:space="preserve"> </w:t>
      </w:r>
      <w:r>
        <w:rPr>
          <w:i/>
          <w:iCs/>
        </w:rPr>
        <w:t xml:space="preserve">Ecotone operationalization</w:t>
      </w:r>
      <w:r>
        <w:t xml:space="preserve"> </w:t>
      </w:r>
      <w:r>
        <w:t xml:space="preserve">in main §7.4.)</w:t>
      </w:r>
      <w:r>
        <w:t xml:space="preserve"> </w:t>
      </w:r>
      <w:r>
        <w:rPr>
          <w:b/>
          <w:bCs/>
        </w:rPr>
        <w:t xml:space="preserve">Implemented in this revision; central to the §6.5 multi-drainage analysis.</w:t>
      </w:r>
      <w:r>
        <w:t xml:space="preserve"> </w:t>
      </w:r>
      <w: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t xml:space="preserve"> </w:t>
      </w:r>
      <m:oMath>
        <m:r>
          <m:t>r</m:t>
        </m:r>
        <m:r>
          <m:rPr>
            <m:sty m:val="p"/>
          </m:rPr>
          <m:t>=</m:t>
        </m:r>
        <m:r>
          <m:t>0.11</m:t>
        </m:r>
      </m:oMath>
      <w:r>
        <w:t xml:space="preserve">, Mississippi-Tensas</w:t>
      </w:r>
      <w:r>
        <w:t xml:space="preserve"> </w:t>
      </w:r>
      <m:oMath>
        <m:r>
          <m:t>r</m:t>
        </m:r>
        <m:r>
          <m:rPr>
            <m:sty m:val="p"/>
          </m:rPr>
          <m:t>=</m:t>
        </m:r>
        <m:r>
          <m:t>0.34</m:t>
        </m:r>
      </m:oMath>
      <w:r>
        <w:t xml:space="preserve">, Tensas-Yazoo</w:t>
      </w:r>
      <w:r>
        <w:t xml:space="preserve"> </w:t>
      </w:r>
      <m:oMath>
        <m:r>
          <m:t>r</m:t>
        </m:r>
        <m:r>
          <m:rPr>
            <m:sty m:val="p"/>
          </m:rPr>
          <m:t>=</m:t>
        </m:r>
        <m:r>
          <m:t>0.54</m:t>
        </m:r>
      </m:oMath>
      <w:r>
        <w:t xml:space="preserve">, Bayou Maçon-Tensas</w:t>
      </w:r>
      <w:r>
        <w:t xml:space="preserve"> </w:t>
      </w:r>
      <m:oMath>
        <m:r>
          <m:t>r</m:t>
        </m:r>
        <m:r>
          <m:rPr>
            <m:sty m:val="p"/>
          </m:rPr>
          <m:t>=</m:t>
        </m:r>
        <m:r>
          <m:t>0.90</m:t>
        </m:r>
      </m:oMath>
      <w:r>
        <w:t xml:space="preserve">) is used to drive a 5,000-year stochastic simulation of correlated drainage productivity; the water-route</w:t>
      </w:r>
      <w:r>
        <w:t xml:space="preserve"> </w:t>
      </w:r>
      <m:oMath>
        <m:sSub>
          <m:e>
            <m:r>
              <m:t>ε</m:t>
            </m:r>
          </m:e>
          <m:sub>
            <m:r>
              <m:t>w</m:t>
            </m:r>
            <m:r>
              <m:t>r</m:t>
            </m:r>
          </m:sub>
        </m:sSub>
      </m:oMath>
      <w:r>
        <w:t xml:space="preserve"> </w:t>
      </w:r>
      <w:r>
        <w:t xml:space="preserve">is the variance reduction in total accessible productivity relative to a single-drainage baseline.</w:t>
      </w:r>
    </w:p>
    <w:p>
      <w:pPr>
        <w:pStyle w:val="BodyText"/>
      </w:pPr>
      <w:r>
        <w:t xml:space="preserve">Per-site water-route</w:t>
      </w:r>
      <w:r>
        <w:t xml:space="preserve"> </w:t>
      </w:r>
      <m:oMath>
        <m:r>
          <m:t>ε</m:t>
        </m:r>
      </m:oMath>
      <w:r>
        <w:t xml:space="preserve"> </w:t>
      </w:r>
      <w:r>
        <w:t xml:space="preserve">(</w:t>
      </w:r>
      <w:r>
        <w:rPr>
          <w:rStyle w:val="VerbatimChar"/>
        </w:rPr>
        <w:t xml:space="preserve">scripts/analysis/water_route_catchment_epsilon.py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t xml:space="preserve">The water-route</w:t>
      </w:r>
      <w:r>
        <w:t xml:space="preserve"> </w:t>
      </w:r>
      <m:oMath>
        <m:r>
          <m:t>ε</m:t>
        </m:r>
      </m:oMath>
      <w:r>
        <w:t xml:space="preserve"> </w:t>
      </w:r>
      <w: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t xml:space="preserve"> </w:t>
      </w:r>
      <m:oMath>
        <m:sSub>
          <m:e>
            <m:r>
              <m:t>ε</m:t>
            </m:r>
          </m:e>
          <m:sub>
            <m:r>
              <m:t>w</m:t>
            </m:r>
            <m:r>
              <m:t>r</m:t>
            </m:r>
          </m:sub>
        </m:sSub>
        <m:r>
          <m:rPr>
            <m:sty m:val="p"/>
          </m:rPr>
          <m:t>=</m:t>
        </m:r>
        <m:r>
          <m:t>0</m:t>
        </m:r>
      </m:oMath>
      <w:r>
        <w:t xml:space="preserve"> </w:t>
      </w:r>
      <w:r>
        <w:t xml:space="preserve">in the LMV interior categorization (they access PearlGulf only, structurally distinct).</w:t>
      </w:r>
    </w:p>
    <w:p>
      <w:pPr>
        <w:pStyle w:val="BodyText"/>
      </w:pPr>
      <w:r>
        <w:rPr>
          <w:b/>
          <w:bCs/>
        </w:rPr>
        <w:t xml:space="preserve">Joint test combining §S17.2 (per-event labor scaling at</w:t>
      </w:r>
      <w:r>
        <w:rPr>
          <w:b/>
          <w:bCs/>
        </w:rPr>
        <w:t xml:space="preserve"> </w:t>
      </w:r>
      <m:oMath>
        <m:r>
          <m:t>α</m:t>
        </m:r>
        <m:r>
          <m:rPr>
            <m:sty m:val="p"/>
          </m:rPr>
          <m:t>=</m:t>
        </m:r>
        <m:r>
          <m:t>2</m:t>
        </m:r>
      </m:oMath>
      <w:r>
        <w:rPr>
          <w:b/>
          <w:bCs/>
        </w:rPr>
        <w:t xml:space="preserve">), §S17.5 (per-site</w:t>
      </w:r>
      <w:r>
        <w:rPr>
          <w:b/>
          <w:bCs/>
        </w:rPr>
        <w:t xml:space="preserve"> </w:t>
      </w:r>
      <m:oMath>
        <m:sSub>
          <m:e>
            <m:r>
              <m:t>n</m:t>
            </m:r>
          </m:e>
          <m:sub>
            <m:r>
              <m:t>a</m:t>
            </m:r>
            <m:r>
              <m:t>g</m:t>
            </m:r>
            <m:r>
              <m:t>g</m:t>
            </m:r>
          </m:sub>
        </m:sSub>
      </m:oMath>
      <w:r>
        <w:rPr>
          <w:b/>
          <w:bCs/>
        </w:rPr>
        <w:t xml:space="preserve">), and the water-route</w:t>
      </w:r>
      <w:r>
        <w:rPr>
          <w:b/>
          <w:bCs/>
        </w:rPr>
        <w:t xml:space="preserve"> </w:t>
      </w:r>
      <m:oMath>
        <m:r>
          <m:t>ε</m:t>
        </m:r>
      </m:oMath>
      <w:r>
        <w:rPr>
          <w:b/>
          <w:bCs/>
        </w:rPr>
        <w:t xml:space="preserve"> </w:t>
      </w:r>
      <w:r>
        <w:rPr>
          <w:b/>
          <w:bCs/>
        </w:rPr>
        <w:t xml:space="preserve">developed here.</w:t>
      </w:r>
      <w:r>
        <w:t xml:space="preserve"> </w:t>
      </w:r>
      <w:r>
        <w:t xml:space="preserve">Combining the three implemented extensions: predicted volumes correlate with observed monument scale at Spearman</w:t>
      </w:r>
      <w:r>
        <w:t xml:space="preserve"> </w:t>
      </w:r>
      <m:oMath>
        <m:r>
          <m:t>ρ</m:t>
        </m:r>
        <m:r>
          <m:rPr>
            <m:sty m:val="p"/>
          </m:rPr>
          <m:t>=</m:t>
        </m:r>
        <m:r>
          <m:rPr>
            <m:sty m:val="p"/>
          </m:rPr>
          <m:t>+</m:t>
        </m:r>
        <m:r>
          <m:t>0.90</m:t>
        </m:r>
      </m:oMath>
      <w:r>
        <w:t xml:space="preserve"> </w:t>
      </w:r>
      <w:r>
        <w:t xml:space="preserve">(vs ordinal,</w:t>
      </w:r>
      <w:r>
        <w:t xml:space="preserve"> </w:t>
      </w:r>
      <m:oMath>
        <m:r>
          <m:t>p</m:t>
        </m:r>
        <m:r>
          <m:rPr>
            <m:sty m:val="p"/>
          </m:rPr>
          <m:t>&lt;</m:t>
        </m:r>
        <m:r>
          <m:t>0.001</m:t>
        </m:r>
      </m:oMath>
      <w:r>
        <w:t xml:space="preserve">) and</w:t>
      </w:r>
      <w:r>
        <w:t xml:space="preserve"> </w:t>
      </w:r>
      <m:oMath>
        <m:r>
          <m:t>ρ</m:t>
        </m:r>
        <m:r>
          <m:rPr>
            <m:sty m:val="p"/>
          </m:rPr>
          <m:t>=</m:t>
        </m:r>
        <m:r>
          <m:rPr>
            <m:sty m:val="p"/>
          </m:rPr>
          <m:t>+</m:t>
        </m:r>
        <m:r>
          <m:t>0.91</m:t>
        </m:r>
      </m:oMath>
      <w:r>
        <w:t xml:space="preserve"> </w:t>
      </w:r>
      <w:r>
        <w:t xml:space="preserve">(vs observed volume,</w:t>
      </w:r>
      <w:r>
        <w:t xml:space="preserve"> </w:t>
      </w:r>
      <m:oMath>
        <m:r>
          <m:t>p</m:t>
        </m:r>
        <m:r>
          <m:rPr>
            <m:sty m:val="p"/>
          </m:rPr>
          <m:t>&lt;</m:t>
        </m:r>
        <m:r>
          <m:t>0.001</m:t>
        </m:r>
      </m:oMath>
      <w:r>
        <w:t xml:space="preserve">). At the canoe-day catchment, the predicted PP volume = 750,000 m³ (calibration anchor); WB = 24,585 m³ (0.91× of LiDAR-derived per-mound 27,065 m³, §5.1); Insley = 10,375 m³ (0.7</w:t>
      </w:r>
      <m:oMath>
        <m:r>
          <m:rPr>
            <m:sty m:val="p"/>
          </m:rPr>
          <m:t>×</m:t>
        </m:r>
      </m:oMath>
      <w:r>
        <w:t xml:space="preserve"> </w:t>
      </w:r>
      <w:r>
        <w:t xml:space="preserve">observed 14,000 m³); Lower Jackson = 49 m³ (correctly identifies it as the smallest above-threshold site at</w:t>
      </w:r>
      <w:r>
        <w:t xml:space="preserve"> </w:t>
      </w:r>
      <m:oMath>
        <m:sSub>
          <m:e>
            <m:r>
              <m:t>n</m:t>
            </m:r>
          </m:e>
          <m:sub>
            <m:r>
              <m:t>a</m:t>
            </m:r>
            <m:r>
              <m:t>g</m:t>
            </m:r>
            <m:r>
              <m:t>g</m:t>
            </m:r>
          </m:sub>
        </m:sSub>
        <m:r>
          <m:rPr>
            <m:sty m:val="p"/>
          </m:rPr>
          <m:t>=</m:t>
        </m:r>
        <m:r>
          <m:t>1</m:t>
        </m:r>
      </m:oMath>
      <w:r>
        <w:t xml:space="preserve">). The water-route operationalization marginally improves the magnitude correlation over the static-rubric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but the substantial improvement comes from making the framework’s central</w:t>
      </w:r>
      <w:r>
        <w:t xml:space="preserve"> </w:t>
      </w:r>
      <m:oMath>
        <m:r>
          <m:t>ε</m:t>
        </m:r>
      </m:oMath>
      <w:r>
        <w:t xml:space="preserve"> </w:t>
      </w:r>
      <w:r>
        <w:t xml:space="preserve">claim</w:t>
      </w:r>
      <w:r>
        <w:t xml:space="preserve"> </w:t>
      </w:r>
      <w:r>
        <w:rPr>
          <w:i/>
          <w:iCs/>
        </w:rPr>
        <w:t xml:space="preserve">measured</w:t>
      </w:r>
      <w:r>
        <w:t xml:space="preserve"> </w:t>
      </w:r>
      <w:r>
        <w:t xml:space="preserve">rather than asserted: PP’s distinguishing feature is now the integration of three to four substantively independent shortfall regimes via canoe-day catchment, supported empirically by the S15 correlation matrix.</w:t>
      </w:r>
    </w:p>
    <w:p>
      <w:pPr>
        <w:pStyle w:val="BodyText"/>
      </w:pPr>
      <w:r>
        <w:t xml:space="preserve">Reproducible from</w:t>
      </w:r>
      <w:r>
        <w:t xml:space="preserve"> </w:t>
      </w:r>
      <w:r>
        <w:rPr>
          <w:rStyle w:val="VerbatimChar"/>
        </w:rPr>
        <w:t xml:space="preserve">scripts/analysis/water_route_catchment_epsilon.py</w:t>
      </w:r>
      <w:r>
        <w:t xml:space="preserve">; outputs in</w:t>
      </w:r>
      <w:r>
        <w:t xml:space="preserve"> </w:t>
      </w:r>
      <w:r>
        <w:rPr>
          <w:rStyle w:val="VerbatimChar"/>
        </w:rPr>
        <w:t xml:space="preserve">results/sensitivity/water_route_epsilon.json</w:t>
      </w:r>
      <w: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90"/>
    <w:bookmarkStart w:id="91" w:name="X6e88c9cd923ecba424d25efe32d2f1b2164e0a7"/>
    <w:p>
      <w:pPr>
        <w:pStyle w:val="Heading3"/>
      </w:pPr>
      <w:r>
        <w:t xml:space="preserve">S17.5 Predicted equilibrium scale ratios under per-site</w:t>
      </w:r>
      <w:r>
        <w:t xml:space="preserve"> </w:t>
      </w:r>
      <m:oMath>
        <m:sSub>
          <m:e>
            <m:r>
              <m:t>n</m:t>
            </m:r>
          </m:e>
          <m:sub>
            <m:r>
              <m:t>a</m:t>
            </m:r>
            <m:r>
              <m:t>g</m:t>
            </m:r>
            <m:r>
              <m:t>g</m:t>
            </m:r>
          </m:sub>
        </m:sSub>
      </m:oMath>
      <w:r>
        <w:t xml:space="preserve"> </w:t>
      </w:r>
      <w:r>
        <w:t xml:space="preserve">and resolved</w:t>
      </w:r>
      <w:r>
        <w:t xml:space="preserve"> </w:t>
      </w:r>
      <m:oMath>
        <m:r>
          <m:t>ε</m:t>
        </m:r>
      </m:oMath>
    </w:p>
    <w:p>
      <w:pPr>
        <w:pStyle w:val="FirstParagraph"/>
      </w:pPr>
      <w:r>
        <w:t xml:space="preserve">(Main text §6.6.)</w:t>
      </w:r>
      <w:r>
        <w:t xml:space="preserve"> </w:t>
      </w:r>
      <w:r>
        <w:rPr>
          <w:b/>
          <w:bCs/>
        </w:rPr>
        <w:t xml:space="preserve">Implemented in this revision; sensitivity demonstration of internal consistency, with substantive caveats noted below.</w:t>
      </w:r>
      <w:r>
        <w:t xml:space="preserve"> </w:t>
      </w:r>
      <w:r>
        <w:t xml:space="preserve">With per-site</w:t>
      </w:r>
      <w:r>
        <w:t xml:space="preserve"> </w:t>
      </w:r>
      <m:oMath>
        <m:sSub>
          <m:e>
            <m:r>
              <m:t>n</m:t>
            </m:r>
          </m:e>
          <m:sub>
            <m:r>
              <m:t>a</m:t>
            </m:r>
            <m:r>
              <m:t>g</m:t>
            </m:r>
            <m:r>
              <m:t>g</m:t>
            </m:r>
          </m:sub>
        </m:sSub>
      </m:oMath>
      <w:r>
        <w:t xml:space="preserve"> </w:t>
      </w:r>
      <w:r>
        <w:t xml:space="preserve">from the convergence-model literature (PP</w:t>
      </w:r>
      <w:r>
        <w:t xml:space="preserve"> </w:t>
      </w:r>
      <m:oMath>
        <m:r>
          <m:rPr>
            <m:sty m:val="p"/>
          </m:rPr>
          <m:t>=</m:t>
        </m:r>
        <m:r>
          <m:t>25</m:t>
        </m:r>
      </m:oMath>
      <w:r>
        <w:t xml:space="preserve">, Jaketown</w:t>
      </w:r>
      <w:r>
        <w:t xml:space="preserve"> </w:t>
      </w:r>
      <m:oMath>
        <m:r>
          <m:rPr>
            <m:sty m:val="p"/>
          </m:rPr>
          <m:t>=</m:t>
        </m:r>
        <m:r>
          <m:t>8</m:t>
        </m:r>
      </m:oMath>
      <w:r>
        <w:t xml:space="preserve">,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Claiborne and Cedarland</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the analytical equilibrium model produces site-specific equilibrium stocks</w:t>
      </w:r>
      <w:r>
        <w:t xml:space="preserve"> </w:t>
      </w:r>
      <m:oMath>
        <m:sSub>
          <m:e>
            <m:r>
              <m:t>M</m:t>
            </m:r>
          </m:e>
          <m:sub>
            <m:r>
              <m:t>g</m:t>
            </m:r>
          </m:sub>
        </m:sSub>
      </m:oMath>
      <w:r>
        <w:t xml:space="preserve"> </w:t>
      </w:r>
      <w:r>
        <w:t xml:space="preserve">and predicted earthwork volumes via the PP-fit conversion (</w:t>
      </w:r>
      <m:oMath>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Predicted volumes correlate strongly with observed ordinal monument scale: Spearman</w:t>
      </w:r>
      <w:r>
        <w:t xml:space="preserve"> </w:t>
      </w:r>
      <m:oMath>
        <m:r>
          <m:t>ρ</m:t>
        </m:r>
        <m:r>
          <m:rPr>
            <m:sty m:val="p"/>
          </m:rPr>
          <m:t>=</m:t>
        </m:r>
        <m:r>
          <m:rPr>
            <m:sty m:val="p"/>
          </m:rPr>
          <m:t>+</m:t>
        </m:r>
        <m:r>
          <m:t>0.85</m:t>
        </m:r>
      </m:oMath>
      <w:r>
        <w:t xml:space="preserve"> </w:t>
      </w:r>
      <w:r>
        <w:t xml:space="preserve">(</w:t>
      </w:r>
      <m:oMath>
        <m:r>
          <m:t>p</m:t>
        </m:r>
        <m:r>
          <m:rPr>
            <m:sty m:val="p"/>
          </m:rPr>
          <m:t>=</m:t>
        </m:r>
        <m:r>
          <m:t>0.001</m:t>
        </m:r>
      </m:oMath>
      <w:r>
        <w:t xml:space="preserve">) under static-</w:t>
      </w:r>
      <m:oMath>
        <m:r>
          <m:t>ε</m:t>
        </m:r>
      </m:oMath>
      <w:r>
        <w:t xml:space="preserve"> </w:t>
      </w:r>
      <w:r>
        <w:t xml:space="preserve">inputs,</w:t>
      </w:r>
      <w:r>
        <w:t xml:space="preserve"> </w:t>
      </w:r>
      <m:oMath>
        <m:r>
          <m:t>ρ</m:t>
        </m:r>
        <m:r>
          <m:rPr>
            <m:sty m:val="p"/>
          </m:rPr>
          <m:t>=</m:t>
        </m:r>
        <m:r>
          <m:rPr>
            <m:sty m:val="p"/>
          </m:rPr>
          <m:t>+</m:t>
        </m:r>
        <m:r>
          <m:t>0.88</m:t>
        </m:r>
      </m:oMath>
      <w:r>
        <w:t xml:space="preserve"> </w:t>
      </w:r>
      <w:r>
        <w:t xml:space="preserve">(</w:t>
      </w:r>
      <m:oMath>
        <m:r>
          <m:t>p</m:t>
        </m:r>
        <m:r>
          <m:rPr>
            <m:sty m:val="p"/>
          </m:rPr>
          <m:t>&lt;</m:t>
        </m:r>
        <m:r>
          <m:t>0.001</m:t>
        </m:r>
      </m:oMath>
      <w:r>
        <w:t xml:space="preserve">) under phenology-</w:t>
      </w:r>
      <m:oMath>
        <m:r>
          <m:t>ε</m:t>
        </m:r>
      </m:oMath>
      <w:r>
        <w:t xml:space="preserve"> </w:t>
      </w:r>
      <w:r>
        <w:t xml:space="preserve">inputs, and</w:t>
      </w:r>
      <w:r>
        <w:t xml:space="preserve"> </w:t>
      </w:r>
      <m:oMath>
        <m:r>
          <m:t>ρ</m:t>
        </m:r>
        <m:r>
          <m:rPr>
            <m:sty m:val="p"/>
          </m:rPr>
          <m:t>=</m:t>
        </m:r>
        <m:r>
          <m:rPr>
            <m:sty m:val="p"/>
          </m:rPr>
          <m:t>+</m:t>
        </m:r>
        <m:r>
          <m:t>0.90</m:t>
        </m:r>
      </m:oMath>
      <w:r>
        <w:t xml:space="preserve"> </w:t>
      </w:r>
      <w:r>
        <w:t xml:space="preserve">under water-route-</w:t>
      </w:r>
      <m:oMath>
        <m:r>
          <m:t>ε</m:t>
        </m:r>
      </m:oMath>
      <w:r>
        <w:t xml:space="preserve"> </w:t>
      </w:r>
      <w:r>
        <w:t xml:space="preserve">inputs. Against observed volumes (where reported),</w:t>
      </w:r>
      <w:r>
        <w:t xml:space="preserve"> </w:t>
      </w:r>
      <m:oMath>
        <m:r>
          <m:t>ρ</m:t>
        </m:r>
        <m:r>
          <m:rPr>
            <m:sty m:val="p"/>
          </m:rPr>
          <m:t>=</m:t>
        </m:r>
        <m:r>
          <m:rPr>
            <m:sty m:val="p"/>
          </m:rPr>
          <m:t>+</m:t>
        </m:r>
        <m:r>
          <m:t>0.89</m:t>
        </m:r>
      </m:oMath>
      <w:r>
        <w:t xml:space="preserve"> </w:t>
      </w:r>
      <w:r>
        <w:t xml:space="preserve">(static) and</w:t>
      </w:r>
      <w:r>
        <w:t xml:space="preserve"> </w:t>
      </w:r>
      <m:oMath>
        <m:r>
          <m:t>ρ</m:t>
        </m:r>
        <m:r>
          <m:rPr>
            <m:sty m:val="p"/>
          </m:rPr>
          <m:t>=</m:t>
        </m:r>
        <m:r>
          <m:rPr>
            <m:sty m:val="p"/>
          </m:rPr>
          <m:t>+</m:t>
        </m:r>
        <m:r>
          <m:t>0.91</m:t>
        </m:r>
      </m:oMath>
      <w:r>
        <w:t xml:space="preserve"> </w:t>
      </w:r>
      <w:r>
        <w:t xml:space="preserve">(water-route).</w:t>
      </w:r>
    </w:p>
    <w:p>
      <w:pPr>
        <w:pStyle w:val="BodyText"/>
      </w:pPr>
      <w:r>
        <w:t xml:space="preserve">A partial-correlation decomposition (</w:t>
      </w:r>
      <w:r>
        <w:rPr>
          <w:rStyle w:val="VerbatimChar"/>
        </w:rPr>
        <w:t xml:space="preserve">scripts/analysis/partial_correlation_eps_nagg.py</w:t>
      </w:r>
      <w:r>
        <w:t xml:space="preserve">) is necessary to interpret these numbers honestly. The diagnostic question is: if we already know</w:t>
      </w:r>
      <w:r>
        <w:t xml:space="preserve"> </w:t>
      </w:r>
      <m:oMath>
        <m:sSub>
          <m:e>
            <m:r>
              <m:t>n</m:t>
            </m:r>
          </m:e>
          <m:sub>
            <m:r>
              <m:t>a</m:t>
            </m:r>
            <m:r>
              <m:t>g</m:t>
            </m:r>
            <m:r>
              <m:t>g</m:t>
            </m:r>
          </m:sub>
        </m:sSub>
      </m:oMath>
      <w:r>
        <w:t xml:space="preserve"> </w:t>
      </w:r>
      <w:r>
        <w:t xml:space="preserve">at each site (from the convergence-model literature), how much</w:t>
      </w:r>
      <w:r>
        <w:t xml:space="preserve"> </w:t>
      </w:r>
      <w:r>
        <w:rPr>
          <w:i/>
          <w:iCs/>
        </w:rPr>
        <w:t xml:space="preserve">extra</w:t>
      </w:r>
      <w:r>
        <w:t xml:space="preserve"> </w:t>
      </w:r>
      <w:r>
        <w:t xml:space="preserve">predictive power does the framework’s</w:t>
      </w:r>
      <w:r>
        <w:t xml:space="preserve"> </w:t>
      </w:r>
      <m:oMath>
        <m:r>
          <m:t>ε</m:t>
        </m:r>
      </m:oMath>
      <w:r>
        <w:t xml:space="preserve"> </w:t>
      </w:r>
      <w:r>
        <w:t xml:space="preserve">provide? Almost none.</w:t>
      </w:r>
      <w:r>
        <w:t xml:space="preserve"> </w:t>
      </w:r>
      <m:oMath>
        <m:sSub>
          <m:e>
            <m:r>
              <m:t>n</m:t>
            </m:r>
          </m:e>
          <m:sub>
            <m:r>
              <m:t>a</m:t>
            </m:r>
            <m:r>
              <m:t>g</m:t>
            </m:r>
            <m:r>
              <m:t>g</m:t>
            </m:r>
          </m:sub>
        </m:sSub>
      </m:oMath>
      <w:r>
        <w:rPr>
          <w:b/>
          <w:bCs/>
        </w:rPr>
        <w:t xml:space="preserve"> </w:t>
      </w:r>
      <w:r>
        <w:rPr>
          <w:b/>
          <w:bCs/>
        </w:rPr>
        <w:t xml:space="preserve">alone, with no framework, gives Spearman</w:t>
      </w:r>
      <w:r>
        <w:rPr>
          <w:b/>
          <w:bCs/>
        </w:rPr>
        <w:t xml:space="preserve"> </w:t>
      </w:r>
      <m:oMath>
        <m:r>
          <m:t>ρ</m:t>
        </m:r>
        <m:r>
          <m:rPr>
            <m:sty m:val="p"/>
          </m:rPr>
          <m:t>=</m:t>
        </m:r>
        <m:r>
          <m:rPr>
            <m:sty m:val="p"/>
          </m:rPr>
          <m:t>+</m:t>
        </m:r>
        <m:r>
          <m:t>0.87</m:t>
        </m:r>
      </m:oMath>
      <w:r>
        <w:rPr>
          <w:b/>
          <w:bCs/>
        </w:rPr>
        <w:t xml:space="preserve"> </w:t>
      </w:r>
      <w:r>
        <w:rPr>
          <w:b/>
          <w:bCs/>
        </w:rPr>
        <w:t xml:space="preserve">against ordinal scale and</w:t>
      </w:r>
      <w:r>
        <w:rPr>
          <w:b/>
          <w:bCs/>
        </w:rPr>
        <w:t xml:space="preserve"> </w:t>
      </w:r>
      <m:oMath>
        <m:r>
          <m:t>ρ</m:t>
        </m:r>
        <m:r>
          <m:rPr>
            <m:sty m:val="p"/>
          </m:rPr>
          <m:t>=</m:t>
        </m:r>
        <m:r>
          <m:rPr>
            <m:sty m:val="p"/>
          </m:rPr>
          <m:t>+</m:t>
        </m:r>
        <m:r>
          <m:t>0.91</m:t>
        </m:r>
      </m:oMath>
      <w:r>
        <w:rPr>
          <w:b/>
          <w:bCs/>
        </w:rPr>
        <w:t xml:space="preserve"> </w:t>
      </w:r>
      <w:r>
        <w:rPr>
          <w:b/>
          <w:bCs/>
        </w:rPr>
        <w:t xml:space="preserve">against observed volume.</w:t>
      </w:r>
      <w:r>
        <w:t xml:space="preserve"> </w:t>
      </w:r>
      <w:r>
        <w:t xml:space="preserve">The marginal contribution of each</w:t>
      </w:r>
      <w:r>
        <w:t xml:space="preserve"> </w:t>
      </w:r>
      <m:oMath>
        <m:r>
          <m:t>ε</m:t>
        </m:r>
      </m:oMath>
      <w:r>
        <w:t xml:space="preserve"> </w:t>
      </w:r>
      <w:r>
        <w:t xml:space="preserve">operationalization to the joint correlation (joint</w:t>
      </w:r>
      <w:r>
        <w:t xml:space="preserve"> </w:t>
      </w:r>
      <m:oMath>
        <m:r>
          <m:t>ρ</m:t>
        </m:r>
      </m:oMath>
      <w:r>
        <w:t xml:space="preserve"> </w:t>
      </w:r>
      <w:r>
        <w:t xml:space="preserve">minus</w:t>
      </w:r>
      <w:r>
        <w:t xml:space="preserve"> </w:t>
      </w:r>
      <m:oMath>
        <m:sSub>
          <m:e>
            <m:r>
              <m:t>n</m:t>
            </m:r>
          </m:e>
          <m:sub>
            <m:r>
              <m:t>a</m:t>
            </m:r>
            <m:r>
              <m:t>g</m:t>
            </m:r>
            <m:r>
              <m:t>g</m:t>
            </m:r>
          </m:sub>
        </m:sSub>
      </m:oMath>
      <w:r>
        <w:t xml:space="preserve">-alone</w:t>
      </w:r>
      <w:r>
        <w:t xml:space="preserve"> </w:t>
      </w:r>
      <m:oMath>
        <m:r>
          <m:t>ρ</m:t>
        </m:r>
      </m:oMath>
      <w:r>
        <w:t xml:space="preserve">), against ordinal scale, is:</w:t>
      </w:r>
      <w:r>
        <w:t xml:space="preserve"> </w:t>
      </w:r>
      <m:oMath>
        <m:r>
          <m:rPr>
            <m:sty m:val="p"/>
          </m:rPr>
          <m:t>−</m:t>
        </m:r>
        <m:r>
          <m:t>0.019</m:t>
        </m:r>
      </m:oMath>
      <w:r>
        <w:t xml:space="preserve"> </w:t>
      </w:r>
      <w:r>
        <w:t xml:space="preserve">(static),</w:t>
      </w:r>
      <w:r>
        <w:t xml:space="preserve"> </w:t>
      </w:r>
      <m:oMath>
        <m:r>
          <m:rPr>
            <m:sty m:val="p"/>
          </m:rPr>
          <m:t>+</m:t>
        </m:r>
        <m:r>
          <m:t>0.015</m:t>
        </m:r>
      </m:oMath>
      <w:r>
        <w:t xml:space="preserve"> </w:t>
      </w:r>
      <w:r>
        <w:t xml:space="preserve">(phenology),</w:t>
      </w:r>
      <w:r>
        <w:t xml:space="preserve"> </w:t>
      </w:r>
      <m:oMath>
        <m:r>
          <m:rPr>
            <m:sty m:val="p"/>
          </m:rPr>
          <m:t>+</m:t>
        </m:r>
        <m:r>
          <m:t>0.029</m:t>
        </m:r>
      </m:oMath>
      <w:r>
        <w:t xml:space="preserve"> </w:t>
      </w:r>
      <w:r>
        <w:t xml:space="preserve">(water-route). At</w:t>
      </w:r>
      <w:r>
        <w:t xml:space="preserve"> </w:t>
      </w:r>
      <m:oMath>
        <m:r>
          <m:t>n</m:t>
        </m:r>
        <m:r>
          <m:rPr>
            <m:sty m:val="p"/>
          </m:rPr>
          <m:t>=</m:t>
        </m:r>
        <m:r>
          <m:t>11</m:t>
        </m:r>
      </m:oMath>
      <w:r>
        <w:t xml:space="preserve">, Spearman noise is about</w:t>
      </w:r>
      <w:r>
        <w:t xml:space="preserve"> </w:t>
      </w:r>
      <m:oMath>
        <m:r>
          <m:rPr>
            <m:sty m:val="p"/>
          </m:rPr>
          <m:t>±</m:t>
        </m:r>
        <m:r>
          <m:t>0.05</m:t>
        </m:r>
      </m:oMath>
      <w:r>
        <w:t xml:space="preserve">, so all three marginal contributions are within noise. The honest reading: the framework’s</w:t>
      </w:r>
      <w:r>
        <w:t xml:space="preserve"> </w:t>
      </w:r>
      <m:oMath>
        <m:sSub>
          <m:e>
            <m:r>
              <m:t>M</m:t>
            </m:r>
          </m:e>
          <m:sub>
            <m:r>
              <m:t>g</m:t>
            </m:r>
          </m:sub>
        </m:sSub>
      </m:oMath>
      <w:r>
        <w:t xml:space="preserve"> </w:t>
      </w:r>
      <w:r>
        <w:t xml:space="preserve">equilibrium tracks</w:t>
      </w:r>
      <w:r>
        <w:t xml:space="preserve"> </w:t>
      </w:r>
      <m:oMath>
        <m:sSub>
          <m:e>
            <m:r>
              <m:t>n</m:t>
            </m:r>
          </m:e>
          <m:sub>
            <m:r>
              <m:t>a</m:t>
            </m:r>
            <m:r>
              <m:t>g</m:t>
            </m:r>
            <m:r>
              <m:t>g</m:t>
            </m:r>
          </m:sub>
        </m:sSub>
      </m:oMath>
      <w:r>
        <w:t xml:space="preserve"> </w:t>
      </w:r>
      <w:r>
        <w:t xml:space="preserve">in the expected direction (a within-model consistency property), but it does not predict cross-site magnitude beyond what</w:t>
      </w:r>
      <w:r>
        <w:t xml:space="preserve"> </w:t>
      </w:r>
      <m:oMath>
        <m:sSub>
          <m:e>
            <m:r>
              <m:t>n</m:t>
            </m:r>
          </m:e>
          <m:sub>
            <m:r>
              <m:t>a</m:t>
            </m:r>
            <m:r>
              <m:t>g</m:t>
            </m:r>
            <m:r>
              <m:t>g</m:t>
            </m:r>
          </m:sub>
        </m:sSub>
      </m:oMath>
      <w:r>
        <w:t xml:space="preserve"> </w:t>
      </w:r>
      <w:r>
        <w:t xml:space="preserve">from convergence-model evidence already implies.</w:t>
      </w:r>
    </w:p>
    <w:p>
      <w:pPr>
        <w:pStyle w:val="BodyText"/>
      </w:pPr>
      <w:r>
        <w:t xml:space="preserve">The framework’s structural claim about magnitude is therefore:</w:t>
      </w:r>
      <w:r>
        <w:t xml:space="preserve"> </w:t>
      </w:r>
      <w:r>
        <w:rPr>
          <w:i/>
          <w:iCs/>
        </w:rPr>
        <w:t xml:space="preserve">given</w:t>
      </w:r>
      <w:r>
        <w:t xml:space="preserve"> </w:t>
      </w:r>
      <w:r>
        <w:t xml:space="preserve">exogenously supplied</w:t>
      </w:r>
      <w:r>
        <w:t xml:space="preserve"> </w:t>
      </w:r>
      <m:oMath>
        <m:sSub>
          <m:e>
            <m:r>
              <m:t>n</m:t>
            </m:r>
          </m:e>
          <m:sub>
            <m:r>
              <m:t>a</m:t>
            </m:r>
            <m:r>
              <m:t>g</m:t>
            </m:r>
            <m:r>
              <m:t>g</m:t>
            </m:r>
          </m:sub>
        </m:sSub>
      </m:oMath>
      <w:r>
        <w:t xml:space="preserve"> </w:t>
      </w:r>
      <w:r>
        <w:t xml:space="preserve">ranks across LMV sites, the equilibrium</w:t>
      </w:r>
      <w:r>
        <w:t xml:space="preserve"> </w:t>
      </w:r>
      <m:oMath>
        <m:sSub>
          <m:e>
            <m:r>
              <m:t>M</m:t>
            </m:r>
          </m:e>
          <m:sub>
            <m:r>
              <m:t>g</m:t>
            </m:r>
          </m:sub>
        </m:sSub>
      </m:oMath>
      <w:r>
        <w:t xml:space="preserve"> </w:t>
      </w:r>
      <w:r>
        <w:t xml:space="preserve">tracks those ranks. This is an internal consistency property of the equation set, not an independent prediction of monument scale by the framework’s</w:t>
      </w:r>
      <w:r>
        <w:t xml:space="preserve"> </w:t>
      </w:r>
      <m:oMath>
        <m:r>
          <m:t>ε</m:t>
        </m:r>
      </m:oMath>
      <w:r>
        <w:t xml:space="preserve">. The static-</w:t>
      </w:r>
      <m:oMath>
        <m:r>
          <m:t>ε</m:t>
        </m:r>
      </m:oMath>
      <w:r>
        <w:t xml:space="preserve"> </w:t>
      </w:r>
      <w:r>
        <w:t xml:space="preserve">Test A null result reported earlier in S16 (</w:t>
      </w:r>
      <m:oMath>
        <m:r>
          <m:t>ρ</m:t>
        </m:r>
        <m:r>
          <m:rPr>
            <m:sty m:val="p"/>
          </m:rPr>
          <m:t>=</m:t>
        </m:r>
        <m:r>
          <m:rPr>
            <m:sty m:val="p"/>
          </m:rPr>
          <m:t>+</m:t>
        </m:r>
        <m:r>
          <m:t>0.39</m:t>
        </m:r>
      </m:oMath>
      <w:r>
        <w:t xml:space="preserve">) tests the framework’s</w:t>
      </w:r>
      <w:r>
        <w:t xml:space="preserve"> </w:t>
      </w:r>
      <m:oMath>
        <m:r>
          <m:t>ε</m:t>
        </m:r>
      </m:oMath>
      <w:r>
        <w:t xml:space="preserve"> </w:t>
      </w:r>
      <w:r>
        <w:t xml:space="preserve">at fixed</w:t>
      </w:r>
      <w:r>
        <w:t xml:space="preserve"> </w:t>
      </w:r>
      <m:oMath>
        <m:sSub>
          <m:e>
            <m:r>
              <m:t>n</m:t>
            </m:r>
          </m:e>
          <m:sub>
            <m:r>
              <m:t>a</m:t>
            </m:r>
            <m:r>
              <m:t>g</m:t>
            </m:r>
            <m:r>
              <m:t>g</m:t>
            </m:r>
          </m:sub>
        </m:sSub>
        <m:r>
          <m:rPr>
            <m:sty m:val="p"/>
          </m:rPr>
          <m:t>=</m:t>
        </m:r>
        <m:r>
          <m:t>25</m:t>
        </m:r>
      </m:oMath>
      <w:r>
        <w:t xml:space="preserve"> </w:t>
      </w:r>
      <w:r>
        <w:t xml:space="preserve">and finds the right answer:</w:t>
      </w:r>
      <w:r>
        <w:t xml:space="preserve"> </w:t>
      </w:r>
      <m:oMath>
        <m:r>
          <m:t>ε</m:t>
        </m:r>
      </m:oMath>
      <w:r>
        <w:t xml:space="preserve"> </w:t>
      </w:r>
      <w:r>
        <w:t xml:space="preserve">is a screening / necessity variable, not a magnitude predictor.</w:t>
      </w:r>
    </w:p>
    <w:p>
      <w:pPr>
        <w:pStyle w:val="BodyText"/>
      </w:pPr>
      <w:r>
        <w:t xml:space="preserve">Future work could test whether the framework predicts magnitude</w:t>
      </w:r>
      <w:r>
        <w:t xml:space="preserve"> </w:t>
      </w:r>
      <w:r>
        <w:rPr>
          <w:i/>
          <w:iCs/>
        </w:rPr>
        <w:t xml:space="preserve">independently</w:t>
      </w:r>
      <w:r>
        <w:t xml:space="preserve"> </w:t>
      </w:r>
      <w: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t xml:space="preserve"> </w:t>
      </w:r>
      <m:oMath>
        <m:r>
          <m:t>ρ</m:t>
        </m:r>
      </m:oMath>
      <w:r>
        <w:t xml:space="preserve"> </w:t>
      </w:r>
      <w:r>
        <w:t xml:space="preserve">the joint prediction returns. The absence of that test in this article is a real limitation; we report it transparently rather than treating the joint</w:t>
      </w:r>
      <w:r>
        <w:t xml:space="preserve"> </w:t>
      </w:r>
      <m:oMath>
        <m:r>
          <m:t>ρ</m:t>
        </m:r>
        <m:r>
          <m:rPr>
            <m:sty m:val="p"/>
          </m:rPr>
          <m:t>=</m:t>
        </m:r>
        <m:r>
          <m:rPr>
            <m:sty m:val="p"/>
          </m:rPr>
          <m:t>+</m:t>
        </m:r>
        <m:r>
          <m:t>0.91</m:t>
        </m:r>
      </m:oMath>
      <w:r>
        <w:t xml:space="preserve"> </w:t>
      </w:r>
      <w:r>
        <w:t xml:space="preserve">as evidence of magnitude prediction by the framework. Full reproducibility from</w:t>
      </w:r>
      <w:r>
        <w:t xml:space="preserve"> </w:t>
      </w:r>
      <w:r>
        <w:rPr>
          <w:rStyle w:val="VerbatimChar"/>
        </w:rPr>
        <w:t xml:space="preserve">scripts/analysis/predicted_scale_ratios.py</w:t>
      </w:r>
      <w:r>
        <w:t xml:space="preserve"> </w:t>
      </w:r>
      <w:r>
        <w:t xml:space="preserve">and</w:t>
      </w:r>
      <w:r>
        <w:t xml:space="preserve"> </w:t>
      </w:r>
      <w:r>
        <w:rPr>
          <w:rStyle w:val="VerbatimChar"/>
        </w:rPr>
        <w:t xml:space="preserve">scripts/analysis/partial_correlation_eps_nagg.py</w:t>
      </w:r>
      <w:r>
        <w:t xml:space="preserve">; outputs in</w:t>
      </w:r>
      <w:r>
        <w:t xml:space="preserve"> </w:t>
      </w:r>
      <w:r>
        <w:rPr>
          <w:rStyle w:val="VerbatimChar"/>
        </w:rPr>
        <w:t xml:space="preserve">results/sensitivity/predicted_scale_ratios.json</w:t>
      </w:r>
      <w:r>
        <w:t xml:space="preserve"> </w:t>
      </w:r>
      <w:r>
        <w:t xml:space="preserve">and</w:t>
      </w:r>
      <w:r>
        <w:t xml:space="preserve"> </w:t>
      </w:r>
      <w:r>
        <w:rPr>
          <w:rStyle w:val="VerbatimChar"/>
        </w:rPr>
        <w:t xml:space="preserve">results/sensitivity/partial_correlation_eps_nagg.json</w:t>
      </w:r>
      <w:r>
        <w:t xml:space="preserve">.</w:t>
      </w:r>
    </w:p>
    <w:bookmarkEnd w:id="91"/>
    <w:bookmarkStart w:id="92" w:name="Xe4e7d8e25edca0f09f895447481ac1599bb9806"/>
    <w:p>
      <w:pPr>
        <w:pStyle w:val="Heading3"/>
      </w:pPr>
      <w:r>
        <w:t xml:space="preserve">S17.6 Seasonally resolved aggregation timing</w:t>
      </w:r>
    </w:p>
    <w:p>
      <w:pPr>
        <w:pStyle w:val="FirstParagraph"/>
      </w:pPr>
      <w:r>
        <w:t xml:space="preserve">(Main text §6.7.)</w:t>
      </w:r>
      <w:r>
        <w:t xml:space="preserve"> </w:t>
      </w:r>
      <w:r>
        <w:rPr>
          <w:b/>
          <w:bCs/>
        </w:rPr>
        <w:t xml:space="preserve">Minimal version implemented in this revision; plausibility check for §6.7, with a structural caveat noted below.</w:t>
      </w:r>
      <w:r>
        <w:t xml:space="preserve"> </w:t>
      </w:r>
      <w: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t xml:space="preserve">,</w:t>
      </w:r>
      <w:r>
        <w:t xml:space="preserve"> </w:t>
      </w:r>
      <m:oMath>
        <m:sSub>
          <m:e>
            <m:r>
              <m:t>n</m:t>
            </m:r>
          </m:e>
          <m:sub>
            <m:r>
              <m:t>a</m:t>
            </m:r>
            <m:r>
              <m:t>g</m:t>
            </m:r>
            <m:r>
              <m:t>g</m:t>
            </m:r>
          </m:sub>
        </m:sSub>
        <m:r>
          <m:rPr>
            <m:sty m:val="p"/>
          </m:rPr>
          <m:t>=</m:t>
        </m:r>
        <m:r>
          <m:t>25</m:t>
        </m:r>
      </m:oMath>
      <w:r>
        <w:t xml:space="preserve">,</w:t>
      </w:r>
      <w:r>
        <w:t xml:space="preserve"> </w:t>
      </w:r>
      <m:oMath>
        <m:sSub>
          <m:e>
            <m:r>
              <m:t>σ</m:t>
            </m:r>
          </m:e>
          <m:sub>
            <m:r>
              <m:t>e</m:t>
            </m:r>
            <m:r>
              <m:t>f</m:t>
            </m:r>
            <m:r>
              <m:t>f</m:t>
            </m:r>
          </m:sub>
        </m:sSub>
        <m:r>
          <m:rPr>
            <m:sty m:val="p"/>
          </m:rPr>
          <m:t>=</m:t>
        </m:r>
        <m:r>
          <m:t>0.326</m:t>
        </m:r>
      </m:oMath>
      <w:r>
        <w:t xml:space="preserve">), the model predicts top 3 aggregation months October, September, November and a fall-winter (Sep-Feb) mean share of 0.82 vs spring-summer (Mar-Aug) mean of 0.92 (script-internal verdict:</w:t>
      </w:r>
      <w:r>
        <w:t xml:space="preserve"> </w:t>
      </w:r>
      <w:r>
        <w:t xml:space="preserve">“framework prediction does NOT match published evidence”</w:t>
      </w:r>
      <w:r>
        <w:t xml:space="preserve"> </w:t>
      </w:r>
      <w:r>
        <w:t xml:space="preserve">because the spring-summer mean share exceeds the fall-winter share when January is included).</w:t>
      </w:r>
    </w:p>
    <w:p>
      <w:pPr>
        <w:pStyle w:val="BodyText"/>
      </w:pPr>
      <w:r>
        <w:t xml:space="preserve">The structural caveat is that</w:t>
      </w:r>
      <w:r>
        <w:t xml:space="preserve"> </w:t>
      </w:r>
      <w:r>
        <w:rPr>
          <w:b/>
          <w:bCs/>
        </w:rPr>
        <w:t xml:space="preserve">the top-3-months prediction is partly tautological</w:t>
      </w:r>
      <w: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t xml:space="preserve"> </w:t>
      </w:r>
      <w:r>
        <w:t xml:space="preserve">“match”</w:t>
      </w:r>
      <w:r>
        <w:t xml:space="preserve"> </w:t>
      </w:r>
      <w: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t xml:space="preserve"> </w:t>
      </w:r>
      <w:r>
        <w:rPr>
          <w:i/>
          <w:iCs/>
        </w:rPr>
        <w:t xml:space="preserve">plausibility check</w:t>
      </w:r>
      <w:r>
        <w:t xml:space="preserve"> </w:t>
      </w:r>
      <w:r>
        <w:t xml:space="preserve">that the framework, given the same phenology calendar the published interpretations use, returns the same fall-month emphasis — not as evidence the framework predicts seasonality.</w:t>
      </w:r>
    </w:p>
    <w:p>
      <w:pPr>
        <w:pStyle w:val="BodyText"/>
      </w:pPr>
      <w:r>
        <w:t xml:space="preserve">The script’s broader-window output (substantial aggregation share in spring fish-spawn months and summer aquatic months) is</w:t>
      </w:r>
      <w:r>
        <w:t xml:space="preserve"> </w:t>
      </w:r>
      <w:r>
        <w:rPr>
          <w:i/>
          <w:iCs/>
        </w:rPr>
        <w:t xml:space="preserve">not</w:t>
      </w:r>
      <w:r>
        <w:t xml:space="preserve"> </w:t>
      </w:r>
      <w: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t xml:space="preserve">Reproducible from</w:t>
      </w:r>
      <w:r>
        <w:t xml:space="preserve"> </w:t>
      </w:r>
      <w:r>
        <w:rPr>
          <w:rStyle w:val="VerbatimChar"/>
        </w:rPr>
        <w:t xml:space="preserve">scripts/analysis/seasonal_aggregation_timing.py</w:t>
      </w:r>
      <w:r>
        <w:t xml:space="preserve">; outputs in</w:t>
      </w:r>
      <w:r>
        <w:t xml:space="preserve"> </w:t>
      </w:r>
      <w:r>
        <w:rPr>
          <w:rStyle w:val="VerbatimChar"/>
        </w:rPr>
        <w:t xml:space="preserve">results/sensitivity/seasonal_aggregation_timing.json</w:t>
      </w:r>
      <w:r>
        <w:t xml:space="preserve">. The full version (within-month time resolution, species-resolved subsistence dynamics, non-LMV-derived phenology calendar) remains as future work that would test the framework’s seasonality prediction non-circularly.</w:t>
      </w:r>
    </w:p>
    <w:bookmarkEnd w:id="92"/>
    <w:bookmarkStart w:id="93" w:name="Xb3d12c0ca8d5c240fada9f9a6fe85afecdfd9b8"/>
    <w:p>
      <w:pPr>
        <w:pStyle w:val="Heading3"/>
      </w:pPr>
      <w:r>
        <w:t xml:space="preserve">S17.7 Maintenance-to-new-construction ratio under signal depreciation</w:t>
      </w:r>
    </w:p>
    <w:p>
      <w:pPr>
        <w:pStyle w:val="FirstParagraph"/>
      </w:pPr>
      <w:r>
        <w:t xml:space="preserve">(Main text §6.8; falsifiable prediction §7.4(h).) Derived from the geometric depreciation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each period’s investment flow decomposes into the share that offsets depreciation,</w:t>
      </w:r>
      <w:r>
        <w:t xml:space="preserve"> </w:t>
      </w:r>
      <m:oMath>
        <m:r>
          <m:t>δ</m:t>
        </m:r>
        <m:sSub>
          <m:e>
            <m:r>
              <m:t>M</m:t>
            </m:r>
          </m:e>
          <m:sub>
            <m:r>
              <m:t>g</m:t>
            </m:r>
          </m:sub>
        </m:sSub>
      </m:oMath>
      <w:r>
        <w:t xml:space="preserve"> </w:t>
      </w:r>
      <w:r>
        <w:t xml:space="preserve">(maintenance / signal renewal), and the share</w:t>
      </w:r>
      <w:r>
        <w:t xml:space="preserve"> </w:t>
      </w:r>
      <m:oMath>
        <m:sSub>
          <m:e>
            <m:r>
              <m:t>I</m:t>
            </m:r>
          </m:e>
          <m:sub>
            <m:r>
              <m:t>g</m:t>
            </m:r>
          </m:sub>
        </m:sSub>
        <m:r>
          <m:rPr>
            <m:sty m:val="p"/>
          </m:rPr>
          <m:t>−</m:t>
        </m:r>
        <m:r>
          <m:t>δ</m:t>
        </m:r>
        <m:sSub>
          <m:e>
            <m:r>
              <m:t>M</m:t>
            </m:r>
          </m:e>
          <m:sub>
            <m:r>
              <m:t>g</m:t>
            </m:r>
          </m:sub>
        </m:sSub>
      </m:oMath>
      <w:r>
        <w:t xml:space="preserve"> </w:t>
      </w:r>
      <w: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t xml:space="preserve">defined on the growth regime</w:t>
      </w:r>
      <w:r>
        <w:t xml:space="preserve"> </w:t>
      </w:r>
      <m:oMath>
        <m:r>
          <m:t>0</m:t>
        </m:r>
        <m:r>
          <m:rPr>
            <m:sty m:val="p"/>
          </m:rPr>
          <m:t>≤</m:t>
        </m:r>
        <m:r>
          <m:t>δ</m:t>
        </m:r>
        <m:sSub>
          <m:e>
            <m:r>
              <m:t>M</m:t>
            </m:r>
          </m:e>
          <m:sub>
            <m:r>
              <m:t>g</m:t>
            </m:r>
          </m:sub>
        </m:sSub>
        <m:r>
          <m:rPr>
            <m:sty m:val="p"/>
          </m:rPr>
          <m:t>&lt;</m:t>
        </m:r>
        <m:sSub>
          <m:e>
            <m:r>
              <m:t>I</m:t>
            </m:r>
          </m:e>
          <m:sub>
            <m:r>
              <m:t>g</m:t>
            </m:r>
          </m:sub>
        </m:sSub>
      </m:oMath>
      <w:r>
        <w:t xml:space="preserve">, monotonically increasing in</w:t>
      </w:r>
      <w:r>
        <w:t xml:space="preserve"> </w:t>
      </w:r>
      <m:oMath>
        <m:sSub>
          <m:e>
            <m:r>
              <m:t>M</m:t>
            </m:r>
          </m:e>
          <m:sub>
            <m:r>
              <m:t>g</m:t>
            </m:r>
          </m:sub>
        </m:sSub>
      </m:oMath>
      <w:r>
        <w:t xml:space="preserve">, and diverging at the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(at saturation all investment is maintenance). Positive depreciation</w:t>
      </w:r>
      <w:r>
        <w:t xml:space="preserve"> </w:t>
      </w:r>
      <m:oMath>
        <m:r>
          <m:t>δ</m:t>
        </m:r>
        <m:r>
          <m:rPr>
            <m:sty m:val="p"/>
          </m:rPr>
          <m:t>&gt;</m:t>
        </m:r>
        <m:r>
          <m:t>0</m:t>
        </m:r>
      </m:oMath>
      <w:r>
        <w:t xml:space="preserve"> </w:t>
      </w:r>
      <w: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b/>
          <w:bCs/>
        </w:rPr>
        <w:t xml:space="preserve">PP-scenario trajectory.</w:t>
      </w:r>
      <w:r>
        <w:t xml:space="preserve"> </w:t>
      </w:r>
      <w:r>
        <w:t xml:space="preserve">At PP-calibrated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lambda-sigma fixed point gives</w:t>
      </w:r>
      <w:r>
        <w:t xml:space="preserve"> </w:t>
      </w:r>
      <m:oMath>
        <m:sSubSup>
          <m:e>
            <m:r>
              <m:t>M</m:t>
            </m:r>
          </m:e>
          <m:sub>
            <m:r>
              <m:t>g</m:t>
            </m:r>
          </m:sub>
          <m:sup>
            <m:r>
              <m:rPr>
                <m:sty m:val="p"/>
              </m:rPr>
              <m:t>*</m:t>
            </m:r>
          </m:sup>
        </m:sSubSup>
        <m:r>
          <m:rPr>
            <m:sty m:val="p"/>
          </m:rPr>
          <m:t>=</m:t>
        </m:r>
        <m:r>
          <m:t>129.8</m:t>
        </m:r>
      </m:oMath>
      <w:r>
        <w:t xml:space="preserve"> </w:t>
      </w:r>
      <w:r>
        <w:t xml:space="preserve">units and</w:t>
      </w:r>
      <w:r>
        <w:t xml:space="preserve"> </w:t>
      </w:r>
      <m:oMath>
        <m:sSub>
          <m:e>
            <m:r>
              <m:t>I</m:t>
            </m:r>
          </m:e>
          <m:sub>
            <m:r>
              <m:t>g</m:t>
            </m:r>
          </m:sub>
        </m:sSub>
        <m:r>
          <m:rPr>
            <m:sty m:val="p"/>
          </m:rPr>
          <m:t>=</m:t>
        </m:r>
        <m:r>
          <m:t>10.38</m:t>
        </m:r>
      </m:oMath>
      <w:r>
        <w:t xml:space="preserve"> </w:t>
      </w:r>
      <w:r>
        <w:t xml:space="preserve">units/yr. Depreciation timescale</w:t>
      </w:r>
      <w:r>
        <w:t xml:space="preserve"> </w:t>
      </w:r>
      <m:oMath>
        <m:r>
          <m:t>1</m:t>
        </m:r>
        <m:r>
          <m:rPr>
            <m:sty m:val="p"/>
          </m:rPr>
          <m:t>/</m:t>
        </m:r>
        <m:r>
          <m:t>δ</m:t>
        </m:r>
        <m:r>
          <m:rPr>
            <m:sty m:val="p"/>
          </m:rPr>
          <m:t>=</m:t>
        </m:r>
        <m:r>
          <m:t>12.5</m:t>
        </m:r>
      </m:oMath>
      <w:r>
        <w:t xml:space="preserve"> </w:t>
      </w:r>
      <w:r>
        <w:t xml:space="preserve">yr. Starting from</w:t>
      </w:r>
      <w:r>
        <w:t xml:space="preserve"> </w:t>
      </w:r>
      <m:oMath>
        <m:sSub>
          <m:e>
            <m:r>
              <m:t>M</m:t>
            </m:r>
          </m:e>
          <m:sub>
            <m:r>
              <m:t>g</m:t>
            </m:r>
          </m:sub>
        </m:sSub>
        <m:r>
          <m:rPr>
            <m:sty m:val="p"/>
          </m:rPr>
          <m:t>(</m:t>
        </m:r>
        <m:r>
          <m:t>0</m:t>
        </m:r>
        <m:r>
          <m:rPr>
            <m:sty m:val="p"/>
          </m:rPr>
          <m:t>)</m:t>
        </m:r>
        <m:r>
          <m:rPr>
            <m:sty m:val="p"/>
          </m:rPr>
          <m:t>=</m:t>
        </m:r>
        <m:r>
          <m:t>0</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t xml:space="preserve">Over the 75-year active interval (Kidder and Grooms 2024 Bayesian-modeled active-construction window), cumulative maintenance is</w:t>
      </w:r>
      <w:r>
        <w:t xml:space="preserve"> </w:t>
      </w:r>
      <m:oMath>
        <m:r>
          <m:rPr>
            <m:sty m:val="p"/>
          </m:rPr>
          <m:t>≈</m:t>
        </m:r>
        <m:r>
          <m:t>5.0</m:t>
        </m:r>
      </m:oMath>
      <w:r>
        <w:t xml:space="preserve"> </w:t>
      </w:r>
      <w:r>
        <w:t xml:space="preserve">times cumulative net new construction (83% of total labor is renewal). PP therefore sits deep in the maintenance-dominated regime for most of its active interval, as predicted by the framework.</w:t>
      </w:r>
    </w:p>
    <w:p>
      <w:pPr>
        <w:pStyle w:val="BodyText"/>
      </w:pPr>
      <w:r>
        <w:rPr>
          <w:b/>
          <w:bCs/>
        </w:rPr>
        <w:t xml:space="preserve">WB-scenario trajectory.</w:t>
      </w:r>
      <w:r>
        <w:t xml:space="preserve"> </w:t>
      </w:r>
      <w:r>
        <w:t xml:space="preserve">At WB-scenario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same</w:t>
      </w:r>
      <w:r>
        <w:t xml:space="preserve"> </w:t>
      </w:r>
      <m:oMath>
        <m:r>
          <m:t>δ</m:t>
        </m:r>
      </m:oMath>
      <w:r>
        <w:t xml:space="preserve">),</w:t>
      </w:r>
      <w:r>
        <w:t xml:space="preserve"> </w:t>
      </w:r>
      <m:oMath>
        <m:sSubSup>
          <m:e>
            <m:r>
              <m:t>M</m:t>
            </m:r>
          </m:e>
          <m:sub>
            <m:r>
              <m:t>g</m:t>
            </m:r>
          </m:sub>
          <m:sup>
            <m:r>
              <m:rPr>
                <m:sty m:val="p"/>
              </m:rPr>
              <m:t>*</m:t>
            </m:r>
          </m:sup>
        </m:sSubSup>
        <m:r>
          <m:rPr>
            <m:sty m:val="p"/>
          </m:rPr>
          <m:t>=</m:t>
        </m:r>
        <m:r>
          <m:t>41.5</m:t>
        </m:r>
      </m:oMath>
      <w:r>
        <w:t xml:space="preserve"> </w:t>
      </w:r>
      <w:r>
        <w:t xml:space="preserve">units and</w:t>
      </w:r>
      <w:r>
        <w:t xml:space="preserve"> </w:t>
      </w:r>
      <m:oMath>
        <m:sSub>
          <m:e>
            <m:r>
              <m:t>I</m:t>
            </m:r>
          </m:e>
          <m:sub>
            <m:r>
              <m:t>g</m:t>
            </m:r>
          </m:sub>
        </m:sSub>
        <m:r>
          <m:rPr>
            <m:sty m:val="p"/>
          </m:rPr>
          <m:t>=</m:t>
        </m:r>
        <m:r>
          <m:t>3.32</m:t>
        </m:r>
      </m:oMath>
      <w:r>
        <w:t xml:space="preserve"> </w:t>
      </w:r>
      <w:r>
        <w:t xml:space="preserve">units/yr. Under the documented episodic regime (Saunders et al. 2005: 200+ year inter-stage gaps), each construction burst begins from a partly-depreciated stock and operates closer to initial construction than maintenance. Modeled as 4 episodes</w:t>
      </w:r>
      <w:r>
        <w:t xml:space="preserve"> </w:t>
      </w:r>
      <m:oMath>
        <m:r>
          <m:rPr>
            <m:sty m:val="p"/>
          </m:rPr>
          <m:t>×</m:t>
        </m:r>
      </m:oMath>
      <w:r>
        <w:t xml:space="preserve"> </w:t>
      </w:r>
      <w:r>
        <w:t xml:space="preserve">50 yr separated by 200 yr hiatuses (illustrative simplification of the actual chronology): within-episode</w:t>
      </w:r>
      <w:r>
        <w:t xml:space="preserve"> </w:t>
      </w:r>
      <m:oMath>
        <m:r>
          <m:t>R</m:t>
        </m:r>
        <m:r>
          <m:rPr>
            <m:sty m:val="p"/>
          </m:rPr>
          <m:t>≈</m:t>
        </m:r>
        <m:r>
          <m:t>4</m:t>
        </m:r>
      </m:oMath>
      <w:r>
        <w:t xml:space="preserve">, but the cumulative-across-700 yr event rate is dominated by the long silences.</w:t>
      </w:r>
    </w:p>
    <w:p>
      <w:pPr>
        <w:pStyle w:val="BodyText"/>
      </w:pPr>
      <w:r>
        <w:rPr>
          <w:b/>
          <w:bCs/>
        </w:rPr>
        <w:t xml:space="preserve">Event-density operationalization.</w:t>
      </w:r>
      <w:r>
        <w:t xml:space="preserve"> </w:t>
      </w:r>
      <m:oMath>
        <m:r>
          <m:t>R</m:t>
        </m:r>
        <m:r>
          <m:rPr>
            <m:sty m:val="p"/>
          </m:rPr>
          <m:t>(</m:t>
        </m:r>
        <m:sSub>
          <m:e>
            <m:r>
              <m:t>M</m:t>
            </m:r>
          </m:e>
          <m:sub>
            <m:r>
              <m:t>g</m:t>
            </m:r>
          </m:sub>
        </m:sSub>
        <m:r>
          <m:rPr>
            <m:sty m:val="p"/>
          </m:rPr>
          <m:t>)</m:t>
        </m:r>
      </m:oMath>
      <w:r>
        <w:t xml:space="preserve"> </w:t>
      </w:r>
      <w: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t xml:space="preserve">PP-to-WB event-density ratio:</w:t>
      </w:r>
      <w:r>
        <w:t xml:space="preserve"> </w:t>
      </w:r>
      <m:oMath>
        <m:r>
          <m:rPr>
            <m:sty m:val="p"/>
          </m:rPr>
          <m:t>≈</m:t>
        </m:r>
      </m:oMath>
      <w:r>
        <w:t xml:space="preserve"> </w:t>
      </w:r>
      <w:r>
        <w:t xml:space="preserve">47-85</w:t>
      </w:r>
      <m:oMath>
        <m:r>
          <m:rPr>
            <m:sty m:val="p"/>
          </m:rPr>
          <m:t>×</m:t>
        </m:r>
      </m:oMath>
      <w:r>
        <w:t xml:space="preserve">. The framework predicts a ratio substantially greater than unity, given that PP held</w:t>
      </w:r>
      <w:r>
        <w:t xml:space="preserve"> </w:t>
      </w:r>
      <m:oMath>
        <m:sSub>
          <m:e>
            <m:r>
              <m:t>M</m:t>
            </m:r>
          </m:e>
          <m:sub>
            <m:r>
              <m:t>g</m:t>
            </m:r>
          </m:sub>
        </m:sSub>
      </m:oMath>
      <w:r>
        <w:t xml:space="preserve"> </w:t>
      </w:r>
      <w:r>
        <w:t xml:space="preserve">near saturation for the duration of its 75-year active interval while WB operated episodically with depreciation gaps that reset the system toward zero between bursts. The observed contrast matches.</w:t>
      </w:r>
    </w:p>
    <w:p>
      <w:pPr>
        <w:pStyle w:val="BodyText"/>
      </w:pPr>
      <w:r>
        <w:rPr>
          <w:b/>
          <w:bCs/>
        </w:rPr>
        <w:t xml:space="preserve">Status: independently weighted test.</w:t>
      </w:r>
      <w:r>
        <w:t xml:space="preserve"> </w:t>
      </w:r>
      <w: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b/>
          <w:bCs/>
        </w:rPr>
        <w:t xml:space="preserve">Caveats.</w:t>
      </w:r>
      <w:r>
        <w:t xml:space="preserve"> </w:t>
      </w:r>
      <w:r>
        <w:t xml:space="preserve">- The constant-</w:t>
      </w:r>
      <m:oMath>
        <m:sSub>
          <m:e>
            <m:r>
              <m:t>I</m:t>
            </m:r>
          </m:e>
          <m:sub>
            <m:r>
              <m:t>g</m:t>
            </m:r>
          </m:sub>
        </m:sSub>
      </m:oMath>
      <w:r>
        <w:t xml:space="preserve"> </w:t>
      </w:r>
      <w: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t xml:space="preserve">I_g$ model does not capture; the cumulative-labor decomposition is unaffected, but the year-by-year</w:t>
      </w:r>
      <w:r>
        <w:t xml:space="preserve"> </w:t>
      </w:r>
      <m:oMath>
        <m:r>
          <m:t>R</m:t>
        </m:r>
        <m:r>
          <m:rPr>
            <m:sty m:val="p"/>
          </m:rPr>
          <m:t>(</m:t>
        </m:r>
        <m:r>
          <m:t>t</m:t>
        </m:r>
        <m:r>
          <m:rPr>
            <m:sty m:val="p"/>
          </m:rPr>
          <m:t>)</m:t>
        </m:r>
      </m:oMath>
      <w:r>
        <w:t xml:space="preserve"> </w:t>
      </w:r>
      <w:r>
        <w:t xml:space="preserve">trajectory is approximate.</w:t>
      </w:r>
      <w:r>
        <w:t xml:space="preserve"> </w:t>
      </w:r>
      <w:r>
        <w:t xml:space="preserve">- The published event counts mix renewal and new-construction events without a clean separator; the framework’s maintenance-vs-new split cannot be directly verified at per-event resolution from the existing archaeology.</w:t>
      </w:r>
      <w:r>
        <w:t xml:space="preserve"> </w:t>
      </w:r>
      <w: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t xml:space="preserve"> </w:t>
      </w:r>
      <w:r>
        <w:t xml:space="preserve">- The depreciation rate</w:t>
      </w:r>
      <w:r>
        <w:t xml:space="preserve"> </w:t>
      </w:r>
      <m:oMath>
        <m:r>
          <m:t>δ</m:t>
        </m:r>
        <m:r>
          <m:rPr>
            <m:sty m:val="p"/>
          </m:rPr>
          <m:t>=</m:t>
        </m:r>
        <m:r>
          <m:t>0.08</m:t>
        </m:r>
      </m:oMath>
      <w:r>
        <w:t xml:space="preserve"> </w:t>
      </w:r>
      <w:r>
        <w:t xml:space="preserve">is set from Table S2’s earthen-mound weathering-rate range</w:t>
      </w:r>
      <w:r>
        <w:t xml:space="preserve"> </w:t>
      </w:r>
      <m:oMath>
        <m:r>
          <m:rPr>
            <m:sty m:val="p"/>
          </m:rPr>
          <m:t>[</m:t>
        </m:r>
        <m:r>
          <m:t>0.04</m:t>
        </m:r>
        <m:r>
          <m:rPr>
            <m:sty m:val="p"/>
          </m:rPr>
          <m:t>,</m:t>
        </m:r>
        <m:r>
          <m:t>0.16</m:t>
        </m:r>
        <m:r>
          <m:rPr>
            <m:sty m:val="p"/>
          </m:rPr>
          <m:t>]</m:t>
        </m:r>
      </m:oMath>
      <w:r>
        <w:t xml:space="preserve"> </w:t>
      </w:r>
      <w:r>
        <w:t xml:space="preserve">but is not derived from a per-site earthwork-decay study. The PP-vs-WB contrast is robust across this range; the precise</w:t>
      </w:r>
      <w:r>
        <w:t xml:space="preserve"> </w:t>
      </w:r>
      <m:oMath>
        <m:r>
          <m:t>R</m:t>
        </m:r>
      </m:oMath>
      <w:r>
        <w:t xml:space="preserve"> </w:t>
      </w:r>
      <w:r>
        <w:t xml:space="preserve">values are not.</w:t>
      </w:r>
    </w:p>
    <w:p>
      <w:pPr>
        <w:pStyle w:val="BodyText"/>
      </w:pPr>
      <w:r>
        <w:t xml:space="preserve">Reproducible from</w:t>
      </w:r>
      <w:r>
        <w:t xml:space="preserve"> </w:t>
      </w:r>
      <w:r>
        <w:rPr>
          <w:rStyle w:val="VerbatimChar"/>
        </w:rPr>
        <w:t xml:space="preserve">scripts/analysis/renovation_ratio.py</w:t>
      </w:r>
      <w:r>
        <w:t xml:space="preserve">; outputs in</w:t>
      </w:r>
      <w:r>
        <w:t xml:space="preserve"> </w:t>
      </w:r>
      <w:r>
        <w:rPr>
          <w:rStyle w:val="VerbatimChar"/>
        </w:rPr>
        <w:t xml:space="preserve">results/sensitivity/renovation_ratio.json</w:t>
      </w:r>
      <w:r>
        <w:t xml:space="preserve">.</w:t>
      </w:r>
    </w:p>
    <w:bookmarkEnd w:id="93"/>
    <w:bookmarkStart w:id="94" w:name="s17.8-priority-follow-up-work"/>
    <w:p>
      <w:pPr>
        <w:pStyle w:val="Heading3"/>
      </w:pPr>
      <w:r>
        <w:t xml:space="preserve">S17.8 Priority follow-up work</w:t>
      </w:r>
    </w:p>
    <w:p>
      <w:pPr>
        <w:pStyle w:val="FirstParagraph"/>
      </w:pPr>
      <w: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b/>
          <w:bCs/>
        </w:rPr>
        <w:t xml:space="preserve">Full ABM-level regime switching</w:t>
      </w:r>
      <w:r>
        <w:t xml:space="preserve"> </w:t>
      </w:r>
      <w:r>
        <w:t xml:space="preserve">with endogenous strategy choice and explicit annual fitness comparison, replacing the analytical-stochastic version implemented in §S17.1. This would derive the band-coordination persistence parameter</w:t>
      </w:r>
      <w:r>
        <w:t xml:space="preserve"> </w:t>
      </w:r>
      <m:oMath>
        <m:r>
          <m:t>K</m:t>
        </m:r>
      </m:oMath>
      <w:r>
        <w:t xml:space="preserve"> </w:t>
      </w:r>
      <w:r>
        <w:t xml:space="preserve">from agent dynamics rather than treating it as a free parameter.</w:t>
      </w:r>
    </w:p>
    <w:p>
      <w:pPr>
        <w:numPr>
          <w:ilvl w:val="0"/>
          <w:numId w:val="1005"/>
        </w:numPr>
      </w:pPr>
      <w:r>
        <w:rPr>
          <w:b/>
          <w:bCs/>
        </w:rPr>
        <w:t xml:space="preserve">Independent ethnographic anchoring of the labor-scaling exponent</w:t>
      </w:r>
      <w:r>
        <w:t xml:space="preserve"> </w:t>
      </w:r>
      <m:oMath>
        <m:r>
          <m:t>α</m:t>
        </m:r>
      </m:oMath>
      <w:r>
        <w:t xml:space="preserve"> </w:t>
      </w:r>
      <w:r>
        <w:t xml:space="preserve">(§S17.2) at the crew sizes relevant for Watson Brake versus Poverty Point. The current</w:t>
      </w:r>
      <w:r>
        <w:t xml:space="preserve"> </w:t>
      </w:r>
      <m:oMath>
        <m:r>
          <m:t>α</m:t>
        </m:r>
        <m:r>
          <m:rPr>
            <m:sty m:val="p"/>
          </m:rPr>
          <m:t>=</m:t>
        </m:r>
        <m:r>
          <m:t>2</m:t>
        </m:r>
      </m:oMath>
      <w:r>
        <w:t xml:space="preserve"> </w:t>
      </w:r>
      <w:r>
        <w:t xml:space="preserve">closure exceeds the Erasmus (1965) baseline of</w:t>
      </w:r>
      <w:r>
        <w:t xml:space="preserve"> </w:t>
      </w:r>
      <m:oMath>
        <m:r>
          <m:t>α</m:t>
        </m:r>
        <m:r>
          <m:rPr>
            <m:sty m:val="p"/>
          </m:rPr>
          <m:t>≈</m:t>
        </m:r>
        <m:r>
          <m:t>1</m:t>
        </m:r>
      </m:oMath>
      <w:r>
        <w:t xml:space="preserve"> </w:t>
      </w:r>
      <w:r>
        <w:t xml:space="preserve">and is calibrated to the eleven-site sample rather than derived independently.</w:t>
      </w:r>
    </w:p>
    <w:p>
      <w:pPr>
        <w:numPr>
          <w:ilvl w:val="0"/>
          <w:numId w:val="1005"/>
        </w:numPr>
      </w:pPr>
      <w:r>
        <w:rPr>
          <w:b/>
          <w:bCs/>
        </w:rPr>
        <w:t xml:space="preserve">Full hydrographic-routing regional ABM</w:t>
      </w:r>
      <w:r>
        <w:t xml:space="preserve"> </w:t>
      </w:r>
      <w: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t xml:space="preserve"> </w:t>
      </w:r>
      <m:oMath>
        <m:sSub>
          <m:e>
            <m:r>
              <m:t>n</m:t>
            </m:r>
          </m:e>
          <m:sub>
            <m:r>
              <m:t>a</m:t>
            </m:r>
            <m:r>
              <m:t>g</m:t>
            </m:r>
            <m:r>
              <m:t>g</m:t>
            </m:r>
          </m:sub>
        </m:sSub>
      </m:oMath>
      <w:r>
        <w:t xml:space="preserve"> </w:t>
      </w:r>
      <w:r>
        <w:t xml:space="preserve">predictions.</w:t>
      </w:r>
    </w:p>
    <w:p>
      <w:pPr>
        <w:numPr>
          <w:ilvl w:val="0"/>
          <w:numId w:val="1005"/>
        </w:numPr>
      </w:pPr>
      <w:r>
        <w:rPr>
          <w:b/>
          <w:bCs/>
        </w:rPr>
        <w:t xml:space="preserve">Paleo-discharge-resolved</w:t>
      </w:r>
      <w:r>
        <w:rPr>
          <w:b/>
          <w:bCs/>
        </w:rPr>
        <w:t xml:space="preserve"> </w:t>
      </w:r>
      <m:oMath>
        <m:r>
          <m:t>ε</m:t>
        </m:r>
      </m:oMath>
      <w:r>
        <w:t xml:space="preserve"> </w:t>
      </w:r>
      <w: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b/>
          <w:bCs/>
        </w:rPr>
        <w:t xml:space="preserve">Footprint-independent</w:t>
      </w:r>
      <w:r>
        <w:rPr>
          <w:b/>
          <w:bCs/>
        </w:rPr>
        <w:t xml:space="preserve"> </w:t>
      </w:r>
      <m:oMath>
        <m:sSub>
          <m:e>
            <m:r>
              <m:t>n</m:t>
            </m:r>
          </m:e>
          <m:sub>
            <m:r>
              <m:t>a</m:t>
            </m:r>
            <m:r>
              <m:t>g</m:t>
            </m:r>
            <m:r>
              <m:t>g</m:t>
            </m:r>
          </m:sub>
        </m:sSub>
      </m:oMath>
      <w:r>
        <w:rPr>
          <w:b/>
          <w:bCs/>
        </w:rPr>
        <w:t xml:space="preserve"> </w:t>
      </w:r>
      <w:r>
        <w:rPr>
          <w:b/>
          <w:bCs/>
        </w:rPr>
        <w:t xml:space="preserve">estimates</w:t>
      </w:r>
      <w:r>
        <w:t xml:space="preserve"> </w:t>
      </w:r>
      <w:r>
        <w:t xml:space="preserve">(Bayesian-modeled radiocarbon density per site, lithic-density catchment estimates) and out-of-sample tests at non-LMV sites with independently-derived</w:t>
      </w:r>
      <w:r>
        <w:t xml:space="preserve"> </w:t>
      </w:r>
      <m:oMath>
        <m:sSub>
          <m:e>
            <m:r>
              <m:t>n</m:t>
            </m:r>
          </m:e>
          <m:sub>
            <m:r>
              <m:t>a</m:t>
            </m:r>
            <m:r>
              <m:t>g</m:t>
            </m:r>
            <m:r>
              <m:t>g</m:t>
            </m:r>
          </m:sub>
        </m:sSub>
      </m:oMath>
      <w:r>
        <w:t xml:space="preserve">, addressing the partial-correlation result in §S17.5 that the joint</w:t>
      </w:r>
      <w:r>
        <w:t xml:space="preserve"> </w:t>
      </w:r>
      <m:oMath>
        <m:r>
          <m:t>ρ</m:t>
        </m:r>
        <m:r>
          <m:rPr>
            <m:sty m:val="p"/>
          </m:rPr>
          <m:t>=</m:t>
        </m:r>
        <m:r>
          <m:rPr>
            <m:sty m:val="p"/>
          </m:rPr>
          <m:t>+</m:t>
        </m:r>
        <m:r>
          <m:t>0.91</m:t>
        </m:r>
      </m:oMath>
      <w:r>
        <w:t xml:space="preserve"> </w:t>
      </w:r>
      <w:r>
        <w:t xml:space="preserve">is dominated by the literature</w:t>
      </w:r>
      <w:r>
        <w:t xml:space="preserve"> </w:t>
      </w:r>
      <m:oMath>
        <m:sSub>
          <m:e>
            <m:r>
              <m:t>n</m:t>
            </m:r>
          </m:e>
          <m:sub>
            <m:r>
              <m:t>a</m:t>
            </m:r>
            <m:r>
              <m:t>g</m:t>
            </m:r>
            <m:r>
              <m:t>g</m:t>
            </m:r>
          </m:sub>
        </m:sSub>
      </m:oMath>
      <w:r>
        <w:t xml:space="preserve"> </w:t>
      </w:r>
      <w:r>
        <w:t xml:space="preserve">values rather than by the framework’s</w:t>
      </w:r>
      <w:r>
        <w:t xml:space="preserve"> </w:t>
      </w:r>
      <m:oMath>
        <m:r>
          <m:t>ε</m:t>
        </m:r>
      </m:oMath>
      <w:r>
        <w:t xml:space="preserve">.</w:t>
      </w:r>
    </w:p>
    <w:p>
      <w:pPr>
        <w:numPr>
          <w:ilvl w:val="0"/>
          <w:numId w:val="1005"/>
        </w:numPr>
      </w:pPr>
      <w:r>
        <w:rPr>
          <w:b/>
          <w:bCs/>
        </w:rPr>
        <w:t xml:space="preserve">Non-LMV-derived phenology calendar</w:t>
      </w:r>
      <w:r>
        <w:t xml:space="preserve"> </w:t>
      </w:r>
      <w: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b/>
          <w:bCs/>
        </w:rPr>
        <w:t xml:space="preserve">Per-site earthwork-decay calibration of</w:t>
      </w:r>
      <w:r>
        <w:rPr>
          <w:b/>
          <w:bCs/>
        </w:rPr>
        <w:t xml:space="preserve"> </w:t>
      </w:r>
      <m:oMath>
        <m:r>
          <m:t>δ</m:t>
        </m:r>
      </m:oMath>
      <w:r>
        <w:t xml:space="preserve"> </w:t>
      </w:r>
      <w:r>
        <w:t xml:space="preserve">and labor-resolved chronology for the</w:t>
      </w:r>
      <w:r>
        <w:t xml:space="preserve"> </w:t>
      </w:r>
      <m:oMath>
        <m:r>
          <m:t>R</m:t>
        </m:r>
        <m:r>
          <m:rPr>
            <m:sty m:val="p"/>
          </m:rPr>
          <m:t>(</m:t>
        </m:r>
        <m:sSub>
          <m:e>
            <m:r>
              <m:t>M</m:t>
            </m:r>
          </m:e>
          <m:sub>
            <m:r>
              <m:t>g</m:t>
            </m:r>
          </m:sub>
        </m:sSub>
        <m:r>
          <m:rPr>
            <m:sty m:val="p"/>
          </m:rPr>
          <m:t>)</m:t>
        </m:r>
      </m:oMath>
      <w:r>
        <w:t xml:space="preserve"> </w:t>
      </w:r>
      <w:r>
        <w:t xml:space="preserve">event-density prediction (§S17.7). The current PP-vs-WB contrast uses Table S2’s earthen-mound weathering-rate range</w:t>
      </w:r>
      <w:r>
        <w:t xml:space="preserve"> </w:t>
      </w:r>
      <m:oMath>
        <m:r>
          <m:t>δ</m:t>
        </m:r>
        <m:r>
          <m:rPr>
            <m:sty m:val="p"/>
          </m:rPr>
          <m:t>∈</m:t>
        </m:r>
        <m:r>
          <m:rPr>
            <m:sty m:val="p"/>
          </m:rPr>
          <m:t>[</m:t>
        </m:r>
        <m:r>
          <m:t>0.04</m:t>
        </m:r>
        <m:r>
          <m:rPr>
            <m:sty m:val="p"/>
          </m:rPr>
          <m:t>,</m:t>
        </m:r>
        <m:r>
          <m:t>0.16</m:t>
        </m:r>
        <m:r>
          <m:rPr>
            <m:sty m:val="p"/>
          </m:rPr>
          <m:t>]</m:t>
        </m:r>
      </m:oMath>
      <w:r>
        <w:t xml:space="preserve"> </w:t>
      </w:r>
      <w:r>
        <w:t xml:space="preserve">rather than a site-specific decay estimate, and the published event counts mix maintenance/renewal with new construction without a clean separator. Per-site</w:t>
      </w:r>
      <w:r>
        <w:t xml:space="preserve"> </w:t>
      </w:r>
      <m:oMath>
        <m:r>
          <m:t>δ</m:t>
        </m:r>
      </m:oMath>
      <w:r>
        <w:t xml:space="preserve"> </w:t>
      </w:r>
      <w:r>
        <w:t xml:space="preserve">from sediment-cap weathering studies and event-resolved labor estimates (per-component fill volumes, per-stage labor budgets) would convert the structural event-density contrast into a quantitative</w:t>
      </w:r>
      <w:r>
        <w:t xml:space="preserve"> </w:t>
      </w:r>
      <m:oMath>
        <m:r>
          <m:t>R</m:t>
        </m:r>
      </m:oMath>
      <w:r>
        <w:t xml:space="preserve">-vs-</w:t>
      </w:r>
      <m:oMath>
        <m:r>
          <m:t>R</m:t>
        </m:r>
      </m:oMath>
      <w:r>
        <w:t xml:space="preserve"> </w:t>
      </w:r>
      <w:r>
        <w:t xml:space="preserve">comparison.</w:t>
      </w:r>
    </w:p>
    <w:p>
      <w:pPr>
        <w:pStyle w:val="FirstParagraph"/>
      </w:pPr>
      <w: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p>
      <w:r>
        <w:pict>
          <v:rect style="width:0;height:1.5pt" o:hralign="center" o:hrstd="t" o:hr="t"/>
        </w:pict>
      </w:r>
    </w:p>
    <w:p>
      <w:r>
        <w:pict>
          <v:rect style="width:0;height:1.5pt" o:hralign="center" o:hrstd="t" o:hr="t"/>
        </w:pict>
      </w:r>
    </w:p>
    <w:bookmarkEnd w:id="94"/>
    <w:bookmarkEnd w:id="95"/>
    <w:bookmarkStart w:id="96" w:name="supplemental-references"/>
    <w:p>
      <w:pPr>
        <w:pStyle w:val="Heading2"/>
      </w:pPr>
      <w:r>
        <w:t xml:space="preserve">Supplemental References</w:t>
      </w:r>
    </w:p>
    <w:p>
      <w:pPr>
        <w:pStyle w:val="FirstParagraph"/>
      </w:pPr>
      <w:r>
        <w:t xml:space="preserve">In addition to the references in the main paper:</w:t>
      </w:r>
    </w:p>
    <w:p>
      <w:pPr>
        <w:pStyle w:val="BodyText"/>
      </w:pPr>
      <w:r>
        <w:t xml:space="preserve">Conkey, M.W., 1980. The identification of prehistoric hunter-gatherer aggregation sites: The case of Altamira. Current Anthropology 21, 609-630.</w:t>
      </w:r>
    </w:p>
    <w:p>
      <w:pPr>
        <w:pStyle w:val="BodyText"/>
      </w:pPr>
      <w:r>
        <w:t xml:space="preserve">Erasmus, C.J., 1965. Monument building: Some field experiments. Southwestern Journal of Anthropology 21, 277-301.</w:t>
      </w:r>
    </w:p>
    <w:p>
      <w:pPr>
        <w:pStyle w:val="BodyText"/>
      </w:pPr>
      <w:r>
        <w:t xml:space="preserve">Ford, J.A., Phillips, P., Haag, W.G., 1955. The Jaketown Site in West-Central Mississippi. Anthropological Papers of the American Museum of Natural History 45(1).</w:t>
      </w:r>
    </w:p>
    <w:p>
      <w:pPr>
        <w:pStyle w:val="BodyText"/>
      </w:pPr>
      <w:r>
        <w:t xml:space="preserve">Grimm, V., Berger, U., DeAngelis, D.L., Polhill, J.G., Giske, J., Railsback, S.F., 2010. The ODD protocol: A review and first update. Ecological Modelling 221, 2760-2768.</w:t>
      </w:r>
    </w:p>
    <w:p>
      <w:pPr>
        <w:pStyle w:val="BodyText"/>
      </w:pPr>
      <w:r>
        <w:t xml:space="preserve">Hawkes, K., 2000. Hunting and the evolution of egalitarian societies: Lessons from the Hadza. In Hierarchies in Action (M.W. Diehl, ed.), pp. 59-83. Center for Archaeological Investigations, Carbondale.</w:t>
      </w:r>
    </w:p>
    <w:p>
      <w:pPr>
        <w:pStyle w:val="BodyText"/>
      </w:pPr>
      <w:r>
        <w:t xml:space="preserve">Liefert, D.T., Shuman, B.N., 2022. Pervasive Late Holocene ENSO-Like Hydroclimate in the U.S. Lower Mississippi Valley. Geophysical Research Letters 49, e2022GL098345.</w:t>
      </w:r>
    </w:p>
    <w:p>
      <w:pPr>
        <w:pStyle w:val="BodyText"/>
      </w:pPr>
      <w:r>
        <w:t xml:space="preserve">Saunders, J.W., Allen, T., Labatt, D., Jones, R., Griffing, D., 2001. An assessment of the antiquity of the Lower Jackson Mound. Southeastern Archaeology 20, 67-77.</w:t>
      </w:r>
    </w:p>
    <w:p>
      <w:pPr>
        <w:pStyle w:val="BodyText"/>
      </w:pPr>
      <w:r>
        <w:t xml:space="preserve">Sherwood, S.C., Kidder, T.R., 2011. The DaVincis of dirt: Geoarchaeological perspectives on Native American mound building in the Mississippi River basin. Journal of Anthropological Archaeology 30, 69-87.</w:t>
      </w:r>
    </w:p>
    <w:p>
      <w:pPr>
        <w:pStyle w:val="BodyText"/>
      </w:pPr>
      <w:r>
        <w:t xml:space="preserve">Wiessner, P., 2002. Hunting, healing, and hxaro exchange: A long-term perspective on !Kung (Ju/’hoansi) large-game hunting. Evolution and Human Behavior 23, 407-436.</w:t>
      </w:r>
    </w:p>
    <w:bookmarkEnd w:id="96"/>
    <w:bookmarkEnd w:id="9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71" Target="media/rId71.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2026-05-27T15:43:30Z</dcterms:created>
  <dcterms:modified xsi:type="dcterms:W3CDTF">2026-05-27T15:43:30Z</dcterms:modified>
</cp:coreProperties>
</file>

<file path=docProps/custom.xml><?xml version="1.0" encoding="utf-8"?>
<Properties xmlns="http://schemas.openxmlformats.org/officeDocument/2006/custom-properties" xmlns:vt="http://schemas.openxmlformats.org/officeDocument/2006/docPropsVTypes"/>
</file>