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2.png" ContentType="image/png"/>
  <Override PartName="/word/media/rId26.png" ContentType="image/png"/>
  <Override PartName="/word/media/rId31.png" ContentType="image/png"/>
  <Override PartName="/word/media/rId35.png" ContentType="image/png"/>
  <Override PartName="/word/media/rId38.png" ContentType="image/png"/>
  <Override PartName="/word/media/rId42.png" ContentType="image/png"/>
  <Override PartName="/word/media/rId50.png" ContentType="image/png"/>
  <Override PartName="/word/media/rId56.png" ContentType="image/png"/>
  <Override PartName="/word/media/rId61.png" ContentType="image/png"/>
  <Override PartName="/word/media/rId67.png" ContentType="image/png"/>
  <Override PartName="/word/media/rId71.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9aa199280a2f86dcea5d3c3675f1059670d70c2"/>
    <w:p>
      <w:pPr>
        <w:pStyle w:val="Heading1"/>
      </w:pPr>
      <w:r>
        <w:t xml:space="preserve">Signaling under environmental uncertainty: A multilevel-selection threshold model for Poverty Point</w:t>
      </w:r>
    </w:p>
    <w:p>
      <w:pPr>
        <w:pStyle w:val="FirstParagraph"/>
      </w:pPr>
      <w:r>
        <w:rPr>
          <w:b/>
          <w:bCs/>
        </w:rPr>
        <w:t xml:space="preserve">Target journal:</w:t>
      </w:r>
      <w:r>
        <w:t xml:space="preserve"> </w:t>
      </w:r>
      <w:r>
        <w:rPr>
          <w:i/>
          <w:iCs/>
        </w:rPr>
        <w:t xml:space="preserve">Journal of Archaeological Method and Theory</w:t>
      </w:r>
    </w:p>
    <w:p>
      <w:pPr>
        <w:pStyle w:val="BodyText"/>
      </w:pPr>
      <w:r>
        <w:rPr>
          <w:b/>
          <w:bCs/>
        </w:rPr>
        <w:t xml:space="preserve">Authors:</w:t>
      </w:r>
      <w:r>
        <w:t xml:space="preserve"> </w:t>
      </w:r>
      <w:r>
        <w:t xml:space="preserve">Carl P. Lipo¹* (ORCID: 0000-0003-4391-3590), Beau DiNapoli¹ (ORCID: 0000-0003-2180-2195), Diana M. Greenlee²</w:t>
      </w:r>
    </w:p>
    <w:p>
      <w:pPr>
        <w:pStyle w:val="BodyText"/>
      </w:pPr>
      <w:r>
        <w:t xml:space="preserve">¹ Department of Anthropology, Binghamton University, Binghamton, NY 13902, USA</w:t>
      </w:r>
    </w:p>
    <w:p>
      <w:pPr>
        <w:pStyle w:val="BodyText"/>
      </w:pPr>
      <w:r>
        <w:t xml:space="preserve">² Poverty Point Station Archaeology Program, University of Louisiana at Monroe, Monroe, LA 71209, USA</w:t>
      </w:r>
    </w:p>
    <w:p>
      <w:pPr>
        <w:pStyle w:val="BodyText"/>
      </w:pPr>
      <w:r>
        <w:t xml:space="preserve">*</w:t>
      </w:r>
      <w:r>
        <w:t xml:space="preserve"> </w:t>
      </w:r>
      <w:r>
        <w:rPr>
          <w:b/>
          <w:bCs/>
        </w:rPr>
        <w:t xml:space="preserve">Corresponding author:</w:t>
      </w:r>
      <w:r>
        <w:t xml:space="preserve"> </w:t>
      </w:r>
      <w:r>
        <w:t xml:space="preserve">Carl P. Lipo, clipo@binghamton.edu</w:t>
      </w:r>
    </w:p>
    <w:p>
      <w:pPr>
        <w:pStyle w:val="BodyText"/>
      </w:pPr>
      <w:r>
        <w:rPr>
          <w:b/>
          <w:bCs/>
        </w:rPr>
        <w:t xml:space="preserve">Keywords:</w:t>
      </w:r>
      <w:r>
        <w:t xml:space="preserve"> </w:t>
      </w:r>
      <w:r>
        <w:t xml:space="preserve">monumental architecture, costly signaling, multilevel selection, hunter-gatherer aggregation, Late Archaic, Poverty Point, agent-based modeling, phase transition, environmental uncertainty</w:t>
      </w:r>
    </w:p>
    <w:bookmarkStart w:id="9" w:name="abstract"/>
    <w:p>
      <w:pPr>
        <w:pStyle w:val="Heading2"/>
      </w:pPr>
      <w:r>
        <w:t xml:space="preserve">Abstract</w:t>
      </w:r>
    </w:p>
    <w:p>
      <w:pPr>
        <w:pStyle w:val="FirstParagraph"/>
      </w:pPr>
      <w:r>
        <w:t xml:space="preserve">Poverty Point (ca. 1700-1100 BCE), a large earthwork complex in North America, was built by mobile hunter-gatherers without hierarchy, food production, or year-round settlement. The site combines two extraordinary phenomena: monumental earthwork construction on the order of 750,000 m³ and the accumulation of geochemically traceable exotic materials from sources up to 1,600 km away. Our research into this site combines three connected questions: why mobile foragers made such large group-level investments at all, when the pattern began and ended, and why it concentrated at Poverty Point rather than elsewhere in the Lower Mississippi Valley. Existing accounts of the site, drawing on aggrandizer competition, pilgrimage, trade, incipient sedentism, or revitalization movements, offer plausible narratives but do not address these questions with explicit, falsifiable conditions. We argue that an aggregation-based costly-signaling system under environmental uncertainty provides the basis for generating critical, testable answers. We use a multilevel-selection framework to build an agent-based model in which collective earthwork construction serves as a group-level index signal of cooperative labor mobilization, and traceable exotic goods serve as a band-level index signal of long-distance network connectivity. The model produces a sharp phase transition above a critical uncertainty threshold</w:t>
      </w:r>
      <w:r>
        <w:t xml:space="preserve"> </w:t>
      </w:r>
      <m:oMath>
        <m:sSup>
          <m:e>
            <m:r>
              <m:t>σ</m:t>
            </m:r>
          </m:e>
          <m:sup>
            <m:r>
              <m:rPr>
                <m:sty m:val="p"/>
              </m:rPr>
              <m:t>*</m:t>
            </m:r>
          </m:sup>
        </m:sSup>
      </m:oMath>
      <w:r>
        <w:t xml:space="preserve"> </w:t>
      </w:r>
      <w:r>
        <w:t xml:space="preserve">(the point at which the fitness of aggregating with monument investment crosses above the fitness of foraging independently), buffered locally by ecotone access whose strength depends on the negative covariance between local productivity and regional shortfall. Calibrated to Poverty Point’s earthwork volume of ~750,000 m³, the model reproduces monumental investment above the</w:t>
      </w:r>
      <w:r>
        <w:t xml:space="preserve"> </w:t>
      </w:r>
      <m:oMath>
        <m:sSup>
          <m:e>
            <m:r>
              <m:t>σ</m:t>
            </m:r>
          </m:e>
          <m:sup>
            <m:r>
              <m:rPr>
                <m:sty m:val="p"/>
              </m:rPr>
              <m:t>*</m:t>
            </m:r>
          </m:sup>
        </m:sSup>
      </m:oMath>
      <w:r>
        <w:t xml:space="preserve"> </w:t>
      </w:r>
      <w:r>
        <w:t xml:space="preserve">threshold and yields independent predictions for both signaling channels. On the architecture side, sustained monumental construction concentrates at ecotone-rich confluence positions and proceeds in pulsed, episodic events, consistent with the Lower Mississippi Valley record. On the exchange side, exotic materials flow asymmetrically into the gathering rather than outward. Using an agent-based simulation, we demonstrate the conditions that favor monumental architecture and the importation of exotic goods. Our explanatory framework answers all three motivating questions from a single mechanism.</w:t>
      </w:r>
      <w:r>
        <w:t xml:space="preserve"> </w:t>
      </w:r>
      <w:r>
        <w:rPr>
          <w:i/>
          <w:iCs/>
        </w:rPr>
        <w:t xml:space="preserve">Why</w:t>
      </w:r>
      <w:r>
        <w:t xml:space="preserve">: group-level signaling becomes adaptive under environmental uncertainty, mobilizing collective labor for monuments and individual-band acquisition of exotic markers of commitment.</w:t>
      </w:r>
      <w:r>
        <w:t xml:space="preserve"> </w:t>
      </w:r>
      <w:r>
        <w:rPr>
          <w:i/>
          <w:iCs/>
        </w:rPr>
        <w:t xml:space="preserve">When</w:t>
      </w:r>
      <w:r>
        <w:t xml:space="preserve">: the pattern emerges as regional uncertainty crosses the model’s threshold and collapses as the ~3300 cal BP fluvial reorganization pushes conditions back below it.</w:t>
      </w:r>
      <w:r>
        <w:t xml:space="preserve"> </w:t>
      </w:r>
      <w:r>
        <w:rPr>
          <w:i/>
          <w:iCs/>
        </w:rPr>
        <w:t xml:space="preserve">Where</w:t>
      </w:r>
      <w:r>
        <w:t xml:space="preserve">: at sites with the strongest ecotone-buffered access to multiple independent shortfall regimes, of which Poverty Point’s confluence position is the unique outlier in the Lower Mississippi Valley. These answers do not require chiefly hierarchy, redistribution, or cultural diffusion, and they are intended as a structural complement to recent culturally rich accounts of Poverty Point rather than a replacement for them: the framework specifies necessary conditions for sustained aggregation, while cultural-historical accounts specify the institutional forms, symbolic content, and motivational logics through which those conditions are realized. We offer directions for future research to further evaluate our model.</w:t>
      </w:r>
    </w:p>
    <w:bookmarkEnd w:id="9"/>
    <w:bookmarkStart w:id="16" w:name="introduction"/>
    <w:p>
      <w:pPr>
        <w:pStyle w:val="Heading2"/>
      </w:pPr>
      <w:r>
        <w:t xml:space="preserve">1. Introduction</w:t>
      </w:r>
    </w:p>
    <w:p>
      <w:pPr>
        <w:pStyle w:val="FirstParagraph"/>
      </w:pPr>
      <w:r>
        <w:t xml:space="preserve">The Lower Mississippi Valley between approximately 4,200 and 3,000 cal BP presents a problem that has resisted easy resolution for more than half a century. Mobile foragers in the region built earthworks on scales that required mass mobilization of labor, accumulated exotic raw materials sourced from locations up to 1,600 km away, and organized aggregations that drew bands from across the midcontinent (Ford and Webb 1956; Gibson 2000; Kidder and Grooms 2025). They did so without abandoning a fundamentally hunter-gatherer way of life and without the markers of inherited social inequality that accompany such investment in most archaeological contexts elsewhere (Kidder and Ervin 2018; Sassaman 2005). The phenomenon culminated at Poverty Point itself but is not isolated to it: from Monte Sano (Mound A ca. 7450-6985 cal BP; Jones and Brookes 2019) at the start of the trajectory through Watson Brake, Lower Jackson, Frenchman’s Bend, and the dispersed Poverty Point-period sites of the Yazoo Basin and Macon Ridge, the LMV record spans more than two millennia of mobile-forager monumentality that the rest of the continent does not match in scale.</w:t>
      </w:r>
    </w:p>
    <w:p>
      <w:pPr>
        <w:pStyle w:val="BodyText"/>
      </w:pPr>
      <w:r>
        <w:t xml:space="preserve">Poverty Point (16WC5), located on Macon Ridge in northeastern Louisiana overlooking the Bayou Maçon drainage, is the apex of that experiment (Figure 1; Gibson 2000; Saucier 1981). Dating to approximately 1700-1100 BCE, the site’s monumental core encompasses approximately 140 hectares and includes six concentric C-shaped ridges, multiple mounds, and a 17-hectare central plaza (Figure 2; Kidder 2002; Webb 1968). Mound A rises 22 m and contains an estimated 238,500 m³ of fill (Kidder et al. 2009; Ortmann and Kidder 2013). Earthwork volume is on the order of 750,000 m³ (Gibson 2000; Ortmann and Kidder 2013). Kidder and Grooms (2025) extend this estimate to ~1,000,000 m³ across a 300-hectare constructed landscape that includes Motley Mound and adjacent portions of Macon Ridge. We use the 750,000 m³ core estimate as our calibration target throughout. Bayesian modeling of 157 radiocarbon dates indicates Poverty Point was occupied for 164-397 years (95.4% hpd; 3535-3135 cal BP), with active earthwork construction compressed into an interval of roughly 75 years (3300-3225 cal BP) during which extraordinarily large labor was mobilized (Kidder and Grooms 2024). Micromorphology, magnetic susceptibility, and loss-on-ignition data show no weathering or bioturbation at fill boundaries in the investigated segment of Ridge 3 West, indicating no construction pauses exceeding days to weeks (Kidder et al. 2021). The same evidence shows that Mound A was raised in fewer than ninety days (Ortmann and Kidder 2013). Magnetic gradient survey covering 25.47 hectares has also identified 36 timber post circles, 8-62 m in diameter, alongside 64 distinct ridge construction components (Clay 2023; Hargrave et al. 2021).</w:t>
      </w:r>
    </w:p>
    <w:p>
      <w:pPr>
        <w:pStyle w:val="BodyText"/>
      </w:pPr>
      <w:r>
        <w:drawing>
          <wp:inline>
            <wp:extent cx="5943600" cy="7970820"/>
            <wp:effectExtent b="0" l="0" r="0" t="0"/>
            <wp:docPr descr="" title="" id="11" name="Picture"/>
            <a:graphic>
              <a:graphicData uri="http://schemas.openxmlformats.org/drawingml/2006/picture">
                <pic:pic>
                  <pic:nvPicPr>
                    <pic:cNvPr descr="../../figures/manuscript/figure_01_poverty_point_map.png" id="12" name="Picture"/>
                    <pic:cNvPicPr>
                      <a:picLocks noChangeArrowheads="1" noChangeAspect="1"/>
                    </pic:cNvPicPr>
                  </pic:nvPicPr>
                  <pic:blipFill>
                    <a:blip r:embed="rId10"/>
                    <a:stretch>
                      <a:fillRect/>
                    </a:stretch>
                  </pic:blipFill>
                  <pic:spPr bwMode="auto">
                    <a:xfrm>
                      <a:off x="0" y="0"/>
                      <a:ext cx="5943600" cy="7970820"/>
                    </a:xfrm>
                    <a:prstGeom prst="rect">
                      <a:avLst/>
                    </a:prstGeom>
                    <a:noFill/>
                    <a:ln w="9525">
                      <a:noFill/>
                      <a:headEnd/>
                      <a:tailEnd/>
                    </a:ln>
                  </pic:spPr>
                </pic:pic>
              </a:graphicData>
            </a:graphic>
          </wp:inline>
        </w:drawing>
      </w:r>
    </w:p>
    <w:p>
      <w:pPr>
        <w:pStyle w:val="BodyText"/>
      </w:pPr>
      <w:r>
        <w:rPr>
          <w:b/>
          <w:bCs/>
          <w:i/>
          <w:iCs/>
        </w:rPr>
        <w:t xml:space="preserve">Figure 1. Location of Poverty Point and other sites in the Lower Mississippi Valley.</w:t>
      </w:r>
      <w:r>
        <w:t xml:space="preserve"> </w:t>
      </w:r>
      <w:r>
        <w:rPr>
          <w:i/>
          <w:iCs/>
        </w:rPr>
        <w:t xml:space="preserve">Surficial geology from the USGS digitization of Saucier (1994); polygons reproduced under public-domain license (USGS ScienceBase item 59b7ddd6e4b08b1644df5cf6, doi:10.5066/F7N878QN). Holocene deposits (green, diagonal hatching) include all units of the active Mississippi alluvial valley; Pleistocene deposits (tan, stippled) include valley trains and the Prairie Complex flanking the valley. Poverty Point (16WC5; red star) lies at the eastern margin of Macon Ridge, where the Pleistocene terrace meets the Holocene Mississippi alluvial valley.</w:t>
      </w:r>
      <w:r>
        <w:t xml:space="preserve"> </w:t>
      </w:r>
      <w:r>
        <w:rPr>
          <w:i/>
          <w:iCs/>
        </w:rPr>
        <w:t xml:space="preserve">Other Late Archaic and Middle Archaic sites are shown as orange circles with site numbers.</w:t>
      </w:r>
      <w:r>
        <w:t xml:space="preserve"> </w:t>
      </w:r>
      <w:r>
        <w:rPr>
          <w:i/>
          <w:iCs/>
        </w:rPr>
        <w:t xml:space="preserve">Arrows indicate approximate straight-line distances to exotic-material sources used in the model: copper from the Great Lakes (~1,600 km), galena primarily from Potosi, Missouri (~800 km), steatite from the southern Appalachians (~800-900 km), and novaculite from the Ouachita Mountains (~250-300 km).</w:t>
      </w:r>
    </w:p>
    <w:p>
      <w:pPr>
        <w:pStyle w:val="BodyText"/>
      </w:pPr>
      <w:r>
        <w:drawing>
          <wp:inline>
            <wp:extent cx="4031603" cy="3115676"/>
            <wp:effectExtent b="0" l="0" r="0" t="0"/>
            <wp:docPr descr="" title="" id="14" name="Picture"/>
            <a:graphic>
              <a:graphicData uri="http://schemas.openxmlformats.org/drawingml/2006/picture">
                <pic:pic>
                  <pic:nvPicPr>
                    <pic:cNvPr descr="../../figures/manuscript/figure_02_site_architecture.png" id="15" name="Picture"/>
                    <pic:cNvPicPr>
                      <a:picLocks noChangeArrowheads="1" noChangeAspect="1"/>
                    </pic:cNvPicPr>
                  </pic:nvPicPr>
                  <pic:blipFill>
                    <a:blip r:embed="rId13"/>
                    <a:stretch>
                      <a:fillRect/>
                    </a:stretch>
                  </pic:blipFill>
                  <pic:spPr bwMode="auto">
                    <a:xfrm>
                      <a:off x="0" y="0"/>
                      <a:ext cx="4031603" cy="3115676"/>
                    </a:xfrm>
                    <a:prstGeom prst="rect">
                      <a:avLst/>
                    </a:prstGeom>
                    <a:noFill/>
                    <a:ln w="9525">
                      <a:noFill/>
                      <a:headEnd/>
                      <a:tailEnd/>
                    </a:ln>
                  </pic:spPr>
                </pic:pic>
              </a:graphicData>
            </a:graphic>
          </wp:inline>
        </w:drawing>
      </w:r>
    </w:p>
    <w:p>
      <w:pPr>
        <w:pStyle w:val="BodyText"/>
      </w:pPr>
      <w:r>
        <w:rPr>
          <w:b/>
          <w:bCs/>
          <w:i/>
          <w:iCs/>
        </w:rPr>
        <w:t xml:space="preserve">Figure 2. Poverty Point monumental architecture.</w:t>
      </w:r>
      <w:r>
        <w:t xml:space="preserve"> </w:t>
      </w:r>
      <w:r>
        <w:rPr>
          <w:i/>
          <w:iCs/>
        </w:rPr>
        <w:t xml:space="preserve">LiDAR imagery showing the six concentric C-shaped ridges, Mound A (Bird Mound, 22 m), Mound B, Mounds C, E, and F, the central plaza, and Bayou Maçon to the east. The constructed monumental core encompasses approximately 140 hectares.</w:t>
      </w:r>
    </w:p>
    <w:p>
      <w:pPr>
        <w:pStyle w:val="BodyText"/>
      </w:pPr>
      <w:r>
        <w:t xml:space="preserve">The Poverty Point site was a focal point for long-distance exchange networks spanning much of eastern North America (Ford and Webb 1956; Gibson 1999; Webb 1968). An estimated 71 metric tons of lithic raw materials, sourced from up to 1,600 km away, accumulated at the site in quantities far exceeding those at any contemporary location (Gibson 1984). Surface collections from the site tabulated in 1982 include 2,790 plummets (predominantly hematite and magnetite), 2,221 steatite fragments, 740 galena masses and shaped objects, 155 copper objects, 395 quartz crystals, and 1,536 lapidary items (Webb 1982). Steatite is consistent with southern Appalachian sources in northern Georgia and Alabama (~800-900 km) on neutron activation analysis and ICP-MS (Smith 1991; Yates 2009). Copper was traditionally attributed to Lake Superior (~1,600 km), but recent LA-ICP-MS analysis of six specimens (Hill et al. 2016) indicates that several match Nova Scotia or southern Appalachian sources as well as, or better than, Lake Superior. Galena shows a multi-source pattern: most specimens match Potosi, Missouri (~800 km), with a smaller component from Upper Mississippi Valley deposits in northwestern Illinois, southwestern Wisconsin, and eastern Iowa, identified by atomic absorption spectrophotometry (Walthall et al. 1982). Material concentration is striking: 95.7% of all steatite and 97% of all galena in the entire Poverty Point regional system are found at the Poverty Point deposit (Smith 1991). Hinterland PP-affiliated sites do contain exotic material, but in quantities that are orders of magnitude smaller than those of the type-site cache (Gibson and Griffing 1994; Mitch 2023), and Kidder and Grooms (2025:7) characterize the regional flow as effectively one-directional. In the Gibson and Griffing (1994:Table 1) inventory of 10 PP cultural components within 30 km of Poverty Point, even the most exotic-rich hinterland sites carry only modest quantities: maxima are 41 plummets (Arledge), 24 gorgets (Arledge), and 6 beads (Aaron, Insley), against 2,790 plummets and 1,536 lapidary items at the type site, a per-category ratio of roughly 70× for plummets and comparable magnitudes for the other categories. The empirical pattern is therefore a strong asymmetric concentration at the gathering hub, with low-magnitude traces at outlying sites, rather than the literal absence of outflow that the</w:t>
      </w:r>
      <w:r>
        <w:t xml:space="preserve"> </w:t>
      </w:r>
      <w:r>
        <w:t xml:space="preserve">“nothing visible goes out”</w:t>
      </w:r>
      <w:r>
        <w:t xml:space="preserve"> </w:t>
      </w:r>
      <w:r>
        <w:t xml:space="preserve">formulation suggests.</w:t>
      </w:r>
    </w:p>
    <w:p>
      <w:pPr>
        <w:pStyle w:val="BodyText"/>
      </w:pPr>
      <w:r>
        <w:t xml:space="preserve">This pattern is paradoxical when viewed through the lens of standard models of hunter-gatherer behavior. Mobile foragers typically minimize investment in fixed infrastructure and avoid surplus accumulation (Jackson 1986; Kelly 2013), and there is no evidence at Poverty Point for elite burials, differential residential architecture, economic specialization, or coercive hierarchy of the chiefly type (Kidder and Ervin 2018; Kidder and Grooms 2025). Why, then, would mobile bands invest so heavily in monuments they would periodically abandon, acquire exotic materials with no apparent utilitarian function, and create such an extreme site hierarchy without centralized authority?</w:t>
      </w:r>
    </w:p>
    <w:p>
      <w:pPr>
        <w:pStyle w:val="BodyText"/>
      </w:pPr>
      <w:r>
        <w:t xml:space="preserve">Poverty Point is extraordinary in scale, but the underlying transition in which mobile populations began to systematically gather at fixed locations and invest collective labor in the landscape is part of a broader Late Archaic pattern across the Eastern Woodlands. Stallings Island on the Savannah River (Sassaman 2006), the Green River shell mounds in Kentucky (Marquardt and Watson 2005), and the Mulberry Creek shell-mound tradition of the Tennessee Valley (Sassaman 2010) record contemporary or earlier expressions, with their own admixture of monumental construction, formal burials, large pits, post-set timber circles, and accumulated raw materials transported from constrained sources. What unites these cases is a transition that the standard typology of forager behavior does not predict: people who would otherwise be expected to maintain residentially mobile, low-investment lifeways begin to systematically aggregate at locations they then transform. Poverty Point is the case where this pattern reaches its furthest extreme; the framework we develop here is calibrated to account for Poverty Point, but the underlying logic applies more broadly across the class.</w:t>
      </w:r>
    </w:p>
    <w:p>
      <w:pPr>
        <w:pStyle w:val="BodyText"/>
      </w:pPr>
      <w:r>
        <w:t xml:space="preserve">Existing explanations sit along a continuum from the materialist to the symbolic, each capturing part of the phenomenon (Sassaman 2005). Aggrandizer interpretations require asymmetric power that the record does not support (Gibson 1998; Jackson 1991); pilgrimage models cannot explain why this landscape, scale, and tempo (Spivey et al. 2015); trade-center models account for the exotics but not the monuments (Gibson 1999; Jackson 1991); incipient sedentism is not supported by the absence of cultigens or by the peripheral-site plant-remains record, which is consistent with seasonal occupation and inferred spring dispersal rather than year-round residence (Jackson 1986; Thomas and Campbell 1978). More recent culturally embedded accounts have moved past these classical alternatives. Sanger (2023, 2024) reads the site as an intentional institution of containment, with cyclical aggregation and dispersal preventing the consolidation of authority. Kidder and Grooms (2025) argue that Poverty Point’s tempo, scale, and one-directional material flow signal a revitalization movement in response to environmental and demographic pressures. Grooms (2022) develops a relational-performative reading grounded in Native American philosophies, treating mound building as a communal performance to restore balance amid environmental volatility, and explicitly opposes signaling-intergroup-cooperation accounts that reduce mound building to</w:t>
      </w:r>
      <w:r>
        <w:t xml:space="preserve"> </w:t>
      </w:r>
      <w:r>
        <w:t xml:space="preserve">“transactional epiphenomena.”</w:t>
      </w:r>
      <w:r>
        <w:t xml:space="preserve"> </w:t>
      </w:r>
      <w:r>
        <w:t xml:space="preserve">These accounts are valuable for the cultural and motivational logic they specify, and our framework is intended to operate alongside them rather than to displace them. None of them, however, sets out to derive the structural conditions under which such investments become adaptive:</w:t>
      </w:r>
      <w:r>
        <w:t xml:space="preserve"> </w:t>
      </w:r>
      <w:r>
        <w:rPr>
          <w:i/>
          <w:iCs/>
        </w:rPr>
        <w:t xml:space="preserve">why</w:t>
      </w:r>
      <w:r>
        <w:t xml:space="preserve"> </w:t>
      </w:r>
      <w:r>
        <w:t xml:space="preserve">mobile foragers should make such large group-level investments at all,</w:t>
      </w:r>
      <w:r>
        <w:t xml:space="preserve"> </w:t>
      </w:r>
      <w:r>
        <w:rPr>
          <w:i/>
          <w:iCs/>
        </w:rPr>
        <w:t xml:space="preserve">when</w:t>
      </w:r>
      <w:r>
        <w:t xml:space="preserve"> </w:t>
      </w:r>
      <w:r>
        <w:t xml:space="preserve">the pattern should begin and end, and</w:t>
      </w:r>
      <w:r>
        <w:t xml:space="preserve"> </w:t>
      </w:r>
      <w:r>
        <w:rPr>
          <w:i/>
          <w:iCs/>
        </w:rPr>
        <w:t xml:space="preserve">where</w:t>
      </w:r>
      <w:r>
        <w:t xml:space="preserve"> </w:t>
      </w:r>
      <w:r>
        <w:t xml:space="preserve">it should concentrate, in particular, why at Poverty Point and not elsewhere in the region. Each is compatible with the record but does not specify the conditions that would have forced these investments to occur when and where they did.</w:t>
      </w:r>
    </w:p>
    <w:p>
      <w:pPr>
        <w:pStyle w:val="BodyText"/>
      </w:pPr>
      <w:r>
        <w:t xml:space="preserve">We propose a structural complement to these accounts grounded in evolutionary theory. The argument is that Poverty Point represents an adaptive costly signaling system operating through seasonal aggregation, in which monuments and exotic goods function as honest signals of cooperative commitment under conditions of environmental uncertainty. The framework does not displace the cultural-historical accounts. It addresses the why, when, and where questions through a single mechanism: multilevel selection on band-level investment in monuments and exotic-goods acquisition becomes adaptive once regional environmental uncertainty crosses a critical threshold, the pattern collapses when fluvial reorganization pushes conditions back below that threshold, and sustained aggregation concentrates at the site with the strongest ecotone-buffered access to multiple independent shortfall regimes (Poverty Point’s confluence position satisfies this more strongly than any other LMV monument site). When the structural predictions are evaluated against the LMV record, they account for site location at ecotone-rich settings, pulsed construction tempo, the relative-frequency ordering of exotic materials by source distance, and the rapid post-3300 cal BP collapse following major fluvial reorganization. The framework specifies necessary conditions for sustained aggregation but does not predict the magnitude of monument investment at any given site, because magnitude depends on the number of bands attained at the aggregation, which the framework treats as an external input set by regional convergence dynamics. The model is silent on the cultural content (the symbols, the ceremonies, the prophetic language) by design: some such cultural apparatus must develop to coordinate cooperation under above-threshold conditions, but the specific form it takes is not derivable from ecology alone.</w:t>
      </w:r>
    </w:p>
    <w:p>
      <w:pPr>
        <w:pStyle w:val="BodyText"/>
      </w:pPr>
      <w:r>
        <w:t xml:space="preserve">Costly signaling models in archaeology have been criticized for producing post-hoc narrative rationalizations rather than testable predictions (Codding and Jones 2007; Quinn 2019). The objection is fair where signaling is invoked as an interpretive frame after the pattern is already known, and where the same logic could equally explain almost any costly behavior. Our approach addresses this critique by deriving quantitative predictions from a formal model whose parameters are anchored independently of the archaeological pattern they are meant to explain, and by specifying</w:t>
      </w:r>
      <w:r>
        <w:t xml:space="preserve"> </w:t>
      </w:r>
      <w:r>
        <w:rPr>
          <w:i/>
          <w:iCs/>
        </w:rPr>
        <w:t xml:space="preserve">ex ante</w:t>
      </w:r>
      <w:r>
        <w:t xml:space="preserve"> </w:t>
      </w:r>
      <w:r>
        <w:t xml:space="preserve">what observations would falsify the framework.</w:t>
      </w:r>
    </w:p>
    <w:p>
      <w:pPr>
        <w:pStyle w:val="BodyText"/>
      </w:pPr>
      <w:r>
        <w:t xml:space="preserve">This raises a more general epistemological problem that any explanatory account of Poverty Point must engage. Most of the available archaeological data were generated under culture-historical research programs that prioritized chronology, typology, and spatial distribution: questions of</w:t>
      </w:r>
      <w:r>
        <w:t xml:space="preserve"> </w:t>
      </w:r>
      <w:r>
        <w:rPr>
          <w:i/>
          <w:iCs/>
        </w:rPr>
        <w:t xml:space="preserve">what</w:t>
      </w:r>
      <w:r>
        <w:t xml:space="preserve"> </w:t>
      </w:r>
      <w:r>
        <w:t xml:space="preserve">was where and</w:t>
      </w:r>
      <w:r>
        <w:t xml:space="preserve"> </w:t>
      </w:r>
      <w:r>
        <w:rPr>
          <w:i/>
          <w:iCs/>
        </w:rPr>
        <w:t xml:space="preserve">when</w:t>
      </w:r>
      <w:r>
        <w:t xml:space="preserve">. The resulting record is extensive and well-documented, but its design biases the kinds of inference it can support. It is calibrated to discriminate cultural-historical periods and traditions, not to discriminate among mechanistic explanations for why people built monuments, why aggregations formed at particular locations, or how cooperation networks operated. Perreault (2019) develops this concern at the level of the archaeological record as a whole, arguing that time-averaging, spatial aggregation, recovery bias, and depositional intermittency place hard limits on the resolution at which behavioral inference can operate, and that many archaeological</w:t>
      </w:r>
      <w:r>
        <w:t xml:space="preserve"> </w:t>
      </w:r>
      <w:r>
        <w:t xml:space="preserve">“patterns”</w:t>
      </w:r>
      <w:r>
        <w:t xml:space="preserve"> </w:t>
      </w:r>
      <w:r>
        <w:t xml:space="preserve">do not actually discriminate among the hypotheses they are conventionally invoked to test. The corollary is that explanatory models in archaeology must generate predictions that can be tested at the resolution the record can actually support, not at the resolution a model could theoretically generate. Most existing accounts of Poverty Point sit on the wrong side of this constraint: they are narratives compatible with the record but do not specify the necessary and sufficient conditions for evaluation, so they do not put themselves at risk relative to the record. Part of this article’s contribution is to identify which classes of LMV data can carry inferential weight against a structural explanation, which cannot, and what additional data collection would be needed to discriminate the framework from alternatives. We make this accounting explicit in §7.4 below.</w:t>
      </w:r>
    </w:p>
    <w:p>
      <w:pPr>
        <w:pStyle w:val="BodyText"/>
      </w:pPr>
      <w:r>
        <w:t xml:space="preserve">The remainder of this article is organized as follows. Section 2 develops the multilevel-selection logic and the index-signal interpretation that distinguish costly signaling from generic cooperation theory. Section 3 describes the agent-based model in which the framework is formalized. Section 4 presents theoretical results: the phase transition, a signaling-versus-cooperation ablation comparison (a controlled experiment in which the signaling mechanism is replaced with random partner choice to isolate how much of the result is attributable to the signaling component itself), and a sensitivity analysis. Section 5 presents the Lower Mississippi Valley regional record at the level of detail required by the empirical evaluations. Section 6 reports the empirical evaluations: type-site calibration; paleoclimate threshold-proximity under Bayesian uncertainty propagation; the Watson Brake near-threshold case; the cross-LMV regional analysis; multi-drainage shortfall buffering; convergence dynamics; the magnitude-prediction limit; within-year aggregation timing; and construction-tempo pulsing. Section 7 places the framework in conversation with the cultural-historical alternatives, transparently develops the magnitude-prediction limits, identifies falsifiable predictions, and discusses implications for hunter-gatherer archaeology more broadly. Section 8 concludes. The full ODD model specification, parameter justifications, equation derivations, and sensitivity analyses are provided in the Supplemental Material.</w:t>
      </w:r>
    </w:p>
    <w:bookmarkEnd w:id="16"/>
    <w:bookmarkStart w:id="30" w:name="theoretical-framework"/>
    <w:p>
      <w:pPr>
        <w:pStyle w:val="Heading2"/>
      </w:pPr>
      <w:r>
        <w:t xml:space="preserve">2. Theoretical framework</w:t>
      </w:r>
    </w:p>
    <w:bookmarkStart w:id="20" w:name="X1d4ddca5e8d9149ba1a85f3855069f25c9d8b2c"/>
    <w:p>
      <w:pPr>
        <w:pStyle w:val="Heading3"/>
      </w:pPr>
      <w:r>
        <w:t xml:space="preserve">2.1 Multilevel selection and the logic of aggregation</w:t>
      </w:r>
    </w:p>
    <w:p>
      <w:pPr>
        <w:pStyle w:val="FirstParagraph"/>
      </w:pPr>
      <w:r>
        <w:t xml:space="preserve">Consider a region of mobile hunter-gatherer bands. Each year, each band either travels to a seasonal aggregation and contributes labor to collective tasks comprising earthwork construction, exotic-goods acquisition, and related forms of landscape investment that accompany monumentality or remains dispersed and forages independently. Contributors pay a short-term cost that non-contributors avoid. As a result, within any aggregation, the non-contributors out-reproduce them. But aggregations stocked with contributors survive bad years (droughts, floods, mast-crop failures) at higher rates than dispersed independents do, because contributors carry cooperation networks they can draw on during shortfalls. Over generations, the aggregation strategy can spread despite the short-term cost it imposes. The balance depends on the environment. When shortfalls are rare, independents' cost avoidance wins; when shortfalls are frequent, aggregators' network advantage prevails. Between the two regimes lies a tipping point in environmental uncertainty above which aggregation pays and below which it does not.</w:t>
      </w:r>
    </w:p>
    <w:p>
      <w:pPr>
        <w:pStyle w:val="BodyText"/>
      </w:pPr>
      <w:r>
        <w:t xml:space="preserve">This narrative can be formalized using the Price equation for multilevel selection (Price 1970), a tool that partitions any change in the average frequency of a trait into components driven by differences</w:t>
      </w:r>
      <w:r>
        <w:t xml:space="preserve"> </w:t>
      </w:r>
      <w:r>
        <w:rPr>
          <w:i/>
          <w:iCs/>
        </w:rPr>
        <w:t xml:space="preserve">between</w:t>
      </w:r>
      <w:r>
        <w:t xml:space="preserve"> </w:t>
      </w:r>
      <w:r>
        <w:t xml:space="preserve">groups and by differences</w:t>
      </w:r>
      <w:r>
        <w:t xml:space="preserve"> </w:t>
      </w:r>
      <w:r>
        <w:rPr>
          <w:i/>
          <w:iCs/>
        </w:rPr>
        <w:t xml:space="preserve">within</w:t>
      </w:r>
      <w:r>
        <w:t xml:space="preserve"> </w:t>
      </w:r>
      <w:r>
        <w:t xml:space="preserve">them. Read at this level, the equation just says</w:t>
      </w:r>
      <w:r>
        <w:t xml:space="preserve"> </w:t>
      </w:r>
      <w:r>
        <w:t xml:space="preserve">“cooperation spreads when the between-group advantage outweighs the within-group cost.”</w:t>
      </w:r>
      <w:r>
        <w:t xml:space="preserve"> </w:t>
      </w:r>
      <w:r>
        <w:t xml:space="preserve">For our purposes, the trait is</w:t>
      </w:r>
      <w:r>
        <w:t xml:space="preserve"> </w:t>
      </w:r>
      <w:r>
        <w:t xml:space="preserve">“tendency to aggregate and contribute,”</w:t>
      </w:r>
      <w:r>
        <w:t xml:space="preserve"> </w:t>
      </w:r>
      <w:r>
        <w:t xml:space="preserve">and the equation specifies the conditions for that trait to spread:</w:t>
      </w:r>
    </w:p>
    <w:p>
      <w:pPr>
        <w:pStyle w:val="BodyText"/>
      </w:pPr>
      <m:oMathPara>
        <m:oMathParaPr>
          <m:jc m:val="center"/>
        </m:oMathParaPr>
        <m:oMath>
          <m:r>
            <m:rPr>
              <m:sty m:val="p"/>
            </m:rPr>
            <m:t>Δ</m:t>
          </m:r>
          <m:acc>
            <m:accPr>
              <m:chr m:val="‾"/>
            </m:accPr>
            <m:e>
              <m:r>
                <m:t>p</m:t>
              </m:r>
            </m:e>
          </m:acc>
          <m:r>
            <m:rPr>
              <m:sty m:val="p"/>
            </m:rPr>
            <m:t>=</m:t>
          </m:r>
          <m:f>
            <m:fPr>
              <m:type m:val="bar"/>
            </m:fPr>
            <m:num>
              <m:r>
                <m:t>C</m:t>
              </m:r>
              <m:r>
                <m:t>o</m:t>
              </m:r>
              <m:r>
                <m:t>v</m:t>
              </m:r>
              <m:r>
                <m:rPr>
                  <m:sty m:val="p"/>
                </m:rPr>
                <m:t>(</m:t>
              </m:r>
              <m:sSub>
                <m:e>
                  <m:r>
                    <m:t>w</m:t>
                  </m:r>
                </m:e>
                <m:sub>
                  <m:r>
                    <m:t>g</m:t>
                  </m:r>
                </m:sub>
              </m:sSub>
              <m:r>
                <m:rPr>
                  <m:sty m:val="p"/>
                </m:rPr>
                <m:t>(</m:t>
              </m:r>
              <m:r>
                <m:t>σ</m:t>
              </m:r>
              <m:r>
                <m:rPr>
                  <m:sty m:val="p"/>
                </m:rPr>
                <m:t>)</m:t>
              </m:r>
              <m:r>
                <m:rPr>
                  <m:sty m:val="p"/>
                </m:rPr>
                <m:t>,</m:t>
              </m:r>
              <m:sSub>
                <m:e>
                  <m:r>
                    <m:t>p</m:t>
                  </m:r>
                </m:e>
                <m:sub>
                  <m:r>
                    <m:t>g</m:t>
                  </m:r>
                </m:sub>
              </m:sSub>
              <m:r>
                <m:rPr>
                  <m:sty m:val="p"/>
                </m:rPr>
                <m:t>)</m:t>
              </m:r>
            </m:num>
            <m:den>
              <m:acc>
                <m:accPr>
                  <m:chr m:val="‾"/>
                </m:accPr>
                <m:e>
                  <m:r>
                    <m:t>w</m:t>
                  </m:r>
                </m:e>
              </m:acc>
              <m:r>
                <m:rPr>
                  <m:sty m:val="p"/>
                </m:rPr>
                <m:t>(</m:t>
              </m:r>
              <m:r>
                <m:t>σ</m:t>
              </m:r>
              <m:r>
                <m:rPr>
                  <m:sty m:val="p"/>
                </m:rPr>
                <m:t>)</m:t>
              </m:r>
            </m:den>
          </m:f>
          <m:r>
            <m:rPr>
              <m:sty m:val="p"/>
            </m:rPr>
            <m:t>+</m:t>
          </m:r>
          <m:f>
            <m:fPr>
              <m:type m:val="bar"/>
            </m:fPr>
            <m:num>
              <m:r>
                <m:t>E</m:t>
              </m:r>
              <m:r>
                <m:rPr>
                  <m:sty m:val="p"/>
                </m:rPr>
                <m:t>(</m:t>
              </m:r>
              <m:sSub>
                <m:e>
                  <m:r>
                    <m:t>w</m:t>
                  </m:r>
                </m:e>
                <m:sub>
                  <m:r>
                    <m:t>g</m:t>
                  </m:r>
                </m:sub>
              </m:sSub>
              <m:r>
                <m:rPr>
                  <m:sty m:val="p"/>
                </m:rPr>
                <m:t>(</m:t>
              </m:r>
              <m:r>
                <m:t>σ</m:t>
              </m:r>
              <m:r>
                <m:rPr>
                  <m:sty m:val="p"/>
                </m:rPr>
                <m:t>)</m:t>
              </m:r>
              <m:r>
                <m:rPr>
                  <m:sty m:val="p"/>
                </m:rPr>
                <m:t>Δ</m:t>
              </m:r>
              <m:sSub>
                <m:e>
                  <m:r>
                    <m:t>p</m:t>
                  </m:r>
                </m:e>
                <m:sub>
                  <m:r>
                    <m:t>g</m:t>
                  </m:r>
                </m:sub>
              </m:sSub>
              <m:r>
                <m:rPr>
                  <m:sty m:val="p"/>
                </m:rPr>
                <m:t>)</m:t>
              </m:r>
            </m:num>
            <m:den>
              <m:acc>
                <m:accPr>
                  <m:chr m:val="‾"/>
                </m:accPr>
                <m:e>
                  <m:r>
                    <m:t>w</m:t>
                  </m:r>
                </m:e>
              </m:acc>
              <m:r>
                <m:rPr>
                  <m:sty m:val="p"/>
                </m:rPr>
                <m:t>(</m:t>
              </m:r>
              <m:r>
                <m:t>σ</m:t>
              </m:r>
              <m:r>
                <m:rPr>
                  <m:sty m:val="p"/>
                </m:rPr>
                <m:t>)</m:t>
              </m:r>
            </m:den>
          </m:f>
        </m:oMath>
      </m:oMathPara>
    </w:p>
    <w:p>
      <w:pPr>
        <w:pStyle w:val="FirstParagraph"/>
      </w:pPr>
      <w:r>
        <w:t xml:space="preserve">In plain language: the change in the population’s average tendency-to-aggregate (</w:t>
      </w:r>
      <m:oMath>
        <m:r>
          <m:rPr>
            <m:sty m:val="p"/>
          </m:rPr>
          <m:t>Δ</m:t>
        </m:r>
        <m:acc>
          <m:accPr>
            <m:chr m:val="‾"/>
          </m:accPr>
          <m:e>
            <m:r>
              <m:t>p</m:t>
            </m:r>
          </m:e>
        </m:acc>
      </m:oMath>
      <w:r>
        <w:t xml:space="preserve">) is the sum of (i) how strongly groups with more aggregators do better than groups with fewer, weighted by group size, and (ii) how non-contributors gain or lose ground within their own groups. The first term tracks the between-group benefit of cooperation; the second tracks the within-group cost. Symbolically,</w:t>
      </w:r>
      <w:r>
        <w:t xml:space="preserve"> </w:t>
      </w:r>
      <m:oMath>
        <m:sSub>
          <m:e>
            <m:r>
              <m:t>p</m:t>
            </m:r>
          </m:e>
          <m:sub>
            <m:r>
              <m:t>g</m:t>
            </m:r>
          </m:sub>
        </m:sSub>
      </m:oMath>
      <w:r>
        <w:t xml:space="preserve"> </w:t>
      </w:r>
      <w:r>
        <w:t xml:space="preserve">is the frequency of the aggregation trait in group</w:t>
      </w:r>
      <w:r>
        <w:t xml:space="preserve"> </w:t>
      </w:r>
      <m:oMath>
        <m:r>
          <m:t>g</m:t>
        </m:r>
      </m:oMath>
      <w:r>
        <w:t xml:space="preserve">,</w:t>
      </w:r>
      <w:r>
        <w:t xml:space="preserve"> </w:t>
      </w:r>
      <m:oMath>
        <m:sSub>
          <m:e>
            <m:r>
              <m:t>w</m:t>
            </m:r>
          </m:e>
          <m:sub>
            <m:r>
              <m:t>g</m:t>
            </m:r>
          </m:sub>
        </m:sSub>
      </m:oMath>
      <w:r>
        <w:t xml:space="preserve"> </w:t>
      </w:r>
      <w:r>
        <w:t xml:space="preserve">is the fitness of group</w:t>
      </w:r>
      <w:r>
        <w:t xml:space="preserve"> </w:t>
      </w:r>
      <m:oMath>
        <m:r>
          <m:t>g</m:t>
        </m:r>
      </m:oMath>
      <w:r>
        <w:t xml:space="preserve">,</w:t>
      </w:r>
      <w:r>
        <w:t xml:space="preserve"> </w:t>
      </w:r>
      <m:oMath>
        <m:acc>
          <m:accPr>
            <m:chr m:val="‾"/>
          </m:accPr>
          <m:e>
            <m:r>
              <m:t>w</m:t>
            </m:r>
          </m:e>
        </m:acc>
      </m:oMath>
      <w:r>
        <w:t xml:space="preserve"> </w:t>
      </w:r>
      <w:r>
        <w:t xml:space="preserve">is the population mean fitness, and</w:t>
      </w:r>
      <w:r>
        <w:t xml:space="preserve"> </w:t>
      </w:r>
      <m:oMath>
        <m:r>
          <m:t>σ</m:t>
        </m:r>
      </m:oMath>
      <w:r>
        <w:t xml:space="preserve"> </w:t>
      </w:r>
      <w:r>
        <w:t xml:space="preserve">indexes environmental uncertainty (high</w:t>
      </w:r>
      <w:r>
        <w:t xml:space="preserve"> </w:t>
      </w:r>
      <m:oMath>
        <m:r>
          <m:t>σ</m:t>
        </m:r>
      </m:oMath>
      <w:r>
        <w:t xml:space="preserve"> </w:t>
      </w:r>
      <w:r>
        <w:t xml:space="preserve">= volatile, frequent shortfalls; low</w:t>
      </w:r>
      <w:r>
        <w:t xml:space="preserve"> </w:t>
      </w:r>
      <m:oMath>
        <m:r>
          <m:t>σ</m:t>
        </m:r>
      </m:oMath>
      <w:r>
        <w:t xml:space="preserve"> </w:t>
      </w:r>
      <w:r>
        <w:t xml:space="preserve">= stable). The notation</w:t>
      </w:r>
      <w:r>
        <w:t xml:space="preserve"> </w:t>
      </w:r>
      <m:oMath>
        <m:r>
          <m:t>C</m:t>
        </m:r>
        <m:r>
          <m:t>o</m:t>
        </m:r>
        <m:r>
          <m:t>v</m:t>
        </m:r>
        <m:r>
          <m:rPr>
            <m:sty m:val="p"/>
          </m:rPr>
          <m:t>(</m:t>
        </m:r>
        <m:r>
          <m:rPr>
            <m:sty m:val="p"/>
          </m:rPr>
          <m:t>⋅</m:t>
        </m:r>
        <m:r>
          <m:rPr>
            <m:sty m:val="p"/>
          </m:rPr>
          <m:t>,</m:t>
        </m:r>
        <m:r>
          <m:rPr>
            <m:sty m:val="p"/>
          </m:rPr>
          <m:t>⋅</m:t>
        </m:r>
        <m:r>
          <m:rPr>
            <m:sty m:val="p"/>
          </m:rPr>
          <m:t>)</m:t>
        </m:r>
      </m:oMath>
      <w:r>
        <w:t xml:space="preserve"> </w:t>
      </w:r>
      <w:r>
        <w:t xml:space="preserve">is the statistical covariance between two quantities measured across groups, which is positive when groups with more aggregators also have higher fitness; the notation</w:t>
      </w:r>
      <w:r>
        <w:t xml:space="preserve"> </w:t>
      </w:r>
      <m:oMath>
        <m:r>
          <m:t>E</m:t>
        </m:r>
        <m:r>
          <m:rPr>
            <m:sty m:val="p"/>
          </m:rPr>
          <m:t>(</m:t>
        </m:r>
        <m:r>
          <m:rPr>
            <m:sty m:val="p"/>
          </m:rPr>
          <m:t>⋅</m:t>
        </m:r>
        <m:r>
          <m:rPr>
            <m:sty m:val="p"/>
          </m:rPr>
          <m:t>)</m:t>
        </m:r>
      </m:oMath>
      <w:r>
        <w:t xml:space="preserve"> </w:t>
      </w:r>
      <w:r>
        <w:t xml:space="preserve">is the expected value averaged across groups, weighted by group fitness. The first term is large and positive when groups with more cooperators have higher group fitness. The second is typically negative because cooperators pay short-term costs that non-cooperators avoid. Cooperation spreads when the first term outweighs the second.</w:t>
      </w:r>
    </w:p>
    <w:p>
      <w:pPr>
        <w:pStyle w:val="BodyText"/>
      </w:pPr>
      <m:oMath>
        <m:r>
          <m:t>σ</m:t>
        </m:r>
      </m:oMath>
      <w:r>
        <w:t xml:space="preserve"> </w:t>
      </w:r>
      <w:r>
        <w:t xml:space="preserve">modulates the balance between the two terms. In stable environments, the within-group cost dominates. In volatile environments, the between-group benefit dominates. Separating the two regimes is a critical threshold</w:t>
      </w:r>
      <w:r>
        <w:t xml:space="preserve"> </w:t>
      </w:r>
      <m:oMath>
        <m:sSup>
          <m:e>
            <m:r>
              <m:t>σ</m:t>
            </m:r>
          </m:e>
          <m:sup>
            <m:r>
              <m:rPr>
                <m:sty m:val="p"/>
              </m:rPr>
              <m:t>*</m:t>
            </m:r>
          </m:sup>
        </m:sSup>
      </m:oMath>
      <w:r>
        <w:t xml:space="preserve">. Below it, the population converges on independent foraging; above it, aggregation with cooperative monument investment spreads and persists. The transition is sharp rather than gradual because the cooperation network produces positive feedback: more aggregators yield denser networks, which lower per-band vulnerability and make aggregation more attractive (see §2.4 below). Sharp transitions of this kind are</w:t>
      </w:r>
      <w:r>
        <w:t xml:space="preserve"> </w:t>
      </w:r>
      <w:r>
        <w:rPr>
          <w:i/>
          <w:iCs/>
        </w:rPr>
        <w:t xml:space="preserve">phase transitions</w:t>
      </w:r>
      <w:r>
        <w:t xml:space="preserve">, analogous to physical systems such as water freezing at 0°C. We expect three qualitative regions in the simulation results: a near-flat low-investment regime, a narrow transition zone, and a near-flat high-investment regime.</w:t>
      </w:r>
    </w:p>
    <w:p>
      <w:pPr>
        <w:pStyle w:val="BodyText"/>
      </w:pPr>
      <w:r>
        <w:drawing>
          <wp:inline>
            <wp:extent cx="5943600" cy="2953364"/>
            <wp:effectExtent b="0" l="0" r="0" t="0"/>
            <wp:docPr descr="" title="" id="18" name="Picture"/>
            <a:graphic>
              <a:graphicData uri="http://schemas.openxmlformats.org/drawingml/2006/picture">
                <pic:pic>
                  <pic:nvPicPr>
                    <pic:cNvPr descr="../../figures/manuscript/figure_03_mls_decomposition.png" id="19" name="Picture"/>
                    <pic:cNvPicPr>
                      <a:picLocks noChangeArrowheads="1" noChangeAspect="1"/>
                    </pic:cNvPicPr>
                  </pic:nvPicPr>
                  <pic:blipFill>
                    <a:blip r:embed="rId17"/>
                    <a:stretch>
                      <a:fillRect/>
                    </a:stretch>
                  </pic:blipFill>
                  <pic:spPr bwMode="auto">
                    <a:xfrm>
                      <a:off x="0" y="0"/>
                      <a:ext cx="5943600" cy="2953364"/>
                    </a:xfrm>
                    <a:prstGeom prst="rect">
                      <a:avLst/>
                    </a:prstGeom>
                    <a:noFill/>
                    <a:ln w="9525">
                      <a:noFill/>
                      <a:headEnd/>
                      <a:tailEnd/>
                    </a:ln>
                  </pic:spPr>
                </pic:pic>
              </a:graphicData>
            </a:graphic>
          </wp:inline>
        </w:drawing>
      </w:r>
    </w:p>
    <w:p>
      <w:pPr>
        <w:pStyle w:val="BodyText"/>
      </w:pPr>
      <w:r>
        <w:rPr>
          <w:b/>
          <w:bCs/>
          <w:i/>
          <w:iCs/>
        </w:rPr>
        <w:t xml:space="preserve">Figure 3. The two selection components of the aggregator strategy.</w:t>
      </w:r>
      <w:r>
        <w:t xml:space="preserve"> </w:t>
      </w:r>
      <w:r>
        <w:rPr>
          <w:i/>
          <w:iCs/>
        </w:rPr>
        <w:t xml:space="preserve">(A) Schematic of the multilevel-selection logic. Within any group of mixed strategies, cooperators (aggregator bands) pay a fitness cost</w:t>
      </w:r>
      <w:r>
        <w:t xml:space="preserve"> </w:t>
      </w:r>
      <m:oMath>
        <m:r>
          <m:t>C</m:t>
        </m:r>
      </m:oMath>
      <w:r>
        <w:t xml:space="preserve"> </w:t>
      </w:r>
      <w:r>
        <w:rPr>
          <w:i/>
          <w:iCs/>
        </w:rPr>
        <w:t xml:space="preserve">relative to non-cooperators (independent bands), so within-group selection is always negative for the aggregator strategy. Across groups, an aggregator-majority group (</w:t>
      </w:r>
      <m:oMath>
        <m:r>
          <m:t>q</m:t>
        </m:r>
        <m:r>
          <m:rPr>
            <m:sty m:val="p"/>
          </m:rPr>
          <m:t>=</m:t>
        </m:r>
        <m:r>
          <m:t>0.8</m:t>
        </m:r>
      </m:oMath>
      <w:r>
        <w:rPr>
          <w:i/>
          <w:iCs/>
        </w:rPr>
        <w:t xml:space="preserve">) achieves higher mean fitness than an independent-majority group (</w:t>
      </w:r>
      <m:oMath>
        <m:r>
          <m:t>q</m:t>
        </m:r>
        <m:r>
          <m:rPr>
            <m:sty m:val="p"/>
          </m:rPr>
          <m:t>=</m:t>
        </m:r>
        <m:r>
          <m:t>0.2</m:t>
        </m:r>
      </m:oMath>
      <w:r>
        <w:rPr>
          <w:i/>
          <w:iCs/>
        </w:rPr>
        <w:t xml:space="preserve">) when environmental uncertainty is high enough that network-mediated buffering matters; between-group selection rewards cooperator-rich groups. (B) Net selection on the aggregator strategy as a function of environmental uncertainty</w:t>
      </w:r>
      <w:r>
        <w:t xml:space="preserve"> </w:t>
      </w:r>
      <m:oMath>
        <m:r>
          <m:t>σ</m:t>
        </m:r>
      </m:oMath>
      <w:r>
        <w:rPr>
          <w:i/>
          <w:iCs/>
        </w:rPr>
        <w:t xml:space="preserve">, decomposed into within-group (red, constant cost penalty</w:t>
      </w:r>
      <w:r>
        <w:t xml:space="preserve"> </w:t>
      </w:r>
      <m:oMath>
        <m:r>
          <m:rPr>
            <m:sty m:val="p"/>
          </m:rPr>
          <m:t>−</m:t>
        </m:r>
        <m:r>
          <m:t>C</m:t>
        </m:r>
      </m:oMath>
      <w:r>
        <w:rPr>
          <w:i/>
          <w:iCs/>
        </w:rPr>
        <w:t xml:space="preserve">) and between-group (blue, cooperation benefit</w:t>
      </w:r>
      <w:r>
        <w:t xml:space="preserve"> </w:t>
      </w:r>
      <m:oMath>
        <m:r>
          <m:t>B</m:t>
        </m:r>
        <m:r>
          <m:rPr>
            <m:sty m:val="p"/>
          </m:rPr>
          <m:t>(</m:t>
        </m:r>
        <m:r>
          <m:t>σ</m:t>
        </m:r>
        <m:r>
          <m:rPr>
            <m:sty m:val="p"/>
          </m:rPr>
          <m:t>)</m:t>
        </m:r>
        <m:r>
          <m:rPr>
            <m:sty m:val="p"/>
          </m:rPr>
          <m:t>⋅</m:t>
        </m:r>
        <m:r>
          <m:rPr>
            <m:sty m:val="p"/>
          </m:rPr>
          <m:t>(</m:t>
        </m:r>
        <m:r>
          <m:t>1</m:t>
        </m:r>
        <m:r>
          <m:rPr>
            <m:sty m:val="p"/>
          </m:rPr>
          <m:t>+</m:t>
        </m:r>
        <m:r>
          <m:t>ε</m:t>
        </m:r>
        <m:r>
          <m:rPr>
            <m:sty m:val="p"/>
          </m:rPr>
          <m:t>)</m:t>
        </m:r>
      </m:oMath>
      <w:r>
        <w:rPr>
          <w:i/>
          <w:iCs/>
        </w:rPr>
        <w:t xml:space="preserve">) components. The two components balance at the critical threshold</w:t>
      </w:r>
      <w:r>
        <w:t xml:space="preserve"> </w:t>
      </w:r>
      <m:oMath>
        <m:sSup>
          <m:e>
            <m:r>
              <m:t>σ</m:t>
            </m:r>
          </m:e>
          <m:sup>
            <m:r>
              <m:rPr>
                <m:sty m:val="p"/>
              </m:rPr>
              <m:t>*</m:t>
            </m:r>
          </m:sup>
        </m:sSup>
      </m:oMath>
      <w:r>
        <w:rPr>
          <w:i/>
          <w:iCs/>
        </w:rPr>
        <w:t xml:space="preserve">: below it, independents are favored (net selection</w:t>
      </w:r>
      <w:r>
        <w:t xml:space="preserve"> </w:t>
      </w:r>
      <m:oMath>
        <m:r>
          <m:rPr>
            <m:sty m:val="p"/>
          </m:rPr>
          <m:t>&lt;</m:t>
        </m:r>
        <m:r>
          <m:t>0</m:t>
        </m:r>
      </m:oMath>
      <w:r>
        <w:rPr>
          <w:i/>
          <w:iCs/>
        </w:rPr>
        <w:t xml:space="preserve">); above it, aggregators are favored (net selection</w:t>
      </w:r>
      <w:r>
        <w:t xml:space="preserve"> </w:t>
      </w:r>
      <m:oMath>
        <m:r>
          <m:rPr>
            <m:sty m:val="p"/>
          </m:rPr>
          <m:t>&gt;</m:t>
        </m:r>
        <m:r>
          <m:t>0</m:t>
        </m:r>
      </m:oMath>
      <w:r>
        <w:rPr>
          <w:i/>
          <w:iCs/>
        </w:rPr>
        <w:t xml:space="preserve">). The curves are illustrative under simplified parameterizations chosen so the threshold lands near the manuscript’s calibrated</w:t>
      </w:r>
      <w:r>
        <w:t xml:space="preserve"> </w:t>
      </w:r>
      <m:oMath>
        <m:sSup>
          <m:e>
            <m:r>
              <m:t>σ</m:t>
            </m:r>
          </m:e>
          <m:sup>
            <m:r>
              <m:rPr>
                <m:sty m:val="p"/>
              </m:rPr>
              <m:t>*</m:t>
            </m:r>
          </m:sup>
        </m:sSup>
        <m:r>
          <m:rPr>
            <m:sty m:val="p"/>
          </m:rPr>
          <m:t>≈</m:t>
        </m:r>
        <m:r>
          <m:t>0.40</m:t>
        </m:r>
      </m:oMath>
      <w:r>
        <w:rPr>
          <w:i/>
          <w:iCs/>
        </w:rPr>
        <w:t xml:space="preserve">.</w:t>
      </w:r>
    </w:p>
    <w:p>
      <w:pPr>
        <w:pStyle w:val="BodyText"/>
      </w:pPr>
      <w:r>
        <w:t xml:space="preserve">The logic is not new in archaeology. Multilevel selection is the formal apparatus underlying long-running discussions of scalar tension (Johnson 1982), risk-pooling and storage (Halstead and O’Shea 1989), and cooperation under uncertainty (Hawkes 2000; Winterhalder 1986). What our framework adds is a sharp-threshold prediction. We are not, however, claiming that greater uncertainty produces a steadily larger response. Instead, the relationship between uncertainty and cooperation is not a smooth gradient. Aggregation either occurs and persists, or it does not, with the switch concentrated within a narrow range of conditions. An archaeological intuition that looks for a continuous correlation between environmental stress and the scale of monument investment will not find one; the prediction is a step from one regime to the other.</w:t>
      </w:r>
    </w:p>
    <w:p>
      <w:pPr>
        <w:pStyle w:val="BodyText"/>
      </w:pPr>
      <w:r>
        <w:t xml:space="preserve">Earlier applications of this framework to territorial monument-builders, such as Rapa Nui</w:t>
      </w:r>
      <w:r>
        <w:t xml:space="preserve"> </w:t>
      </w:r>
      <w:r>
        <w:rPr>
          <w:i/>
          <w:iCs/>
        </w:rPr>
        <w:t xml:space="preserve">ahu</w:t>
      </w:r>
      <w:r>
        <w:t xml:space="preserve"> </w:t>
      </w:r>
      <w:r>
        <w:t xml:space="preserve">(DiNapoli et al. 2019), treated groups as fixed in space competing for territory. The signal said,</w:t>
      </w:r>
      <w:r>
        <w:t xml:space="preserve"> </w:t>
      </w:r>
      <w:r>
        <w:t xml:space="preserve">“We can defend this place,”</w:t>
      </w:r>
      <w:r>
        <w:t xml:space="preserve"> </w:t>
      </w:r>
      <w:r>
        <w:t xml:space="preserve">and monuments served as deterrents. For mobile hunter-gatherer bands, the optimization problem is different. Bands are not territorial. They choose whether to aggregate at central locations, how long to remain, and how much to invest in collective construction. The signal function shifts from deterrence to attraction. It now says</w:t>
      </w:r>
      <w:r>
        <w:t xml:space="preserve"> </w:t>
      </w:r>
      <w:r>
        <w:t xml:space="preserve">“we will cooperate reliably”</w:t>
      </w:r>
      <w:r>
        <w:t xml:space="preserve"> </w:t>
      </w:r>
      <w:r>
        <w:t xml:space="preserve">and serves to identify trustworthy partners among bands that may have only weak prior contact with one another. This shift requires modifying the fitness functions to reflect a fission-fusion social structure in which cooperation is re-established with partial strangers each year.</w:t>
      </w:r>
    </w:p>
    <w:bookmarkEnd w:id="20"/>
    <w:bookmarkStart w:id="21" w:name="honest-signals-index-not-handicap"/>
    <w:p>
      <w:pPr>
        <w:pStyle w:val="Heading3"/>
      </w:pPr>
      <w:r>
        <w:t xml:space="preserve">2.2 Honest signals: index, not handicap</w:t>
      </w:r>
    </w:p>
    <w:p>
      <w:pPr>
        <w:pStyle w:val="FirstParagraph"/>
      </w:pPr>
      <w:r>
        <w:t xml:space="preserve">The investment in monumentality serves as a signal within and between bands. These signals are considered</w:t>
      </w:r>
      <w:r>
        <w:t xml:space="preserve"> </w:t>
      </w:r>
      <w:r>
        <w:t xml:space="preserve">“costly”</w:t>
      </w:r>
      <w:r>
        <w:t xml:space="preserve"> </w:t>
      </w:r>
      <w:r>
        <w:t xml:space="preserve">since they are an investment of energy and resources. Signaling theory in archaeology distinguishes two kinds of reliable signals.</w:t>
      </w:r>
      <w:r>
        <w:t xml:space="preserve"> </w:t>
      </w:r>
      <w:r>
        <w:rPr>
          <w:i/>
          <w:iCs/>
        </w:rPr>
        <w:t xml:space="preserve">Handicap</w:t>
      </w:r>
      <w:r>
        <w:t xml:space="preserve"> </w:t>
      </w:r>
      <w:r>
        <w:t xml:space="preserve">signals (Zahavi 1975) are reliable because they are wasteful: only individuals with surplus capacity can afford them, so the signal correlates with quality precisely because of the cost.</w:t>
      </w:r>
      <w:r>
        <w:t xml:space="preserve"> </w:t>
      </w:r>
      <w:r>
        <w:rPr>
          <w:i/>
          <w:iCs/>
        </w:rPr>
        <w:t xml:space="preserve">Index</w:t>
      </w:r>
      <w:r>
        <w:t xml:space="preserve"> </w:t>
      </w:r>
      <w:r>
        <w:t xml:space="preserve">signals (Bliege Bird and Smith 2005) are reliable because they are physically constrained: only individuals who actually possess the underlying quality can produce them, so the signal correlates with quality regardless of cost. A handicap signal works by being expensive. An index signal works by being unfakeable. Recent reviews in evolutionary biology have moved away from strict interpretations of the handicap (Penn and Szamadó 2020), and the signals at archaeological aggregation sites fit more naturally within the index framework. A band cannot display Great Lakes copper unless it has actually obtained Great Lakes copper, and a band cannot have basket-built a substantial mound without having mobilized many bodies for many days. The cost in both cases is a consequence of producing an unfakeable signal, not the mechanism that enforces honesty. This distinction matters because the signaling model does not require signals to be wasteful displays. It requires only that they correlate reliably with the cooperative capacity they advertise. The framework operationalizes index signaling in the Spence-Bliege Bird-Smith sense, in which the signal correlates with cooperative capacity through unfakeable production. This is distinct from the credibility-enhancing display (CRED) of Henrich (2009), in which the same costly act serves to transmit a belief or commitment to cultural learners; Brusse, Handfield, and Zollman (2022) develop the operational distinction between the two architectures. Both channels can operate through the same monument, but the framework’s discriminating predictions come from the index-signal channel.</w:t>
      </w:r>
    </w:p>
    <w:p>
      <w:pPr>
        <w:pStyle w:val="BodyText"/>
      </w:pPr>
      <w:r>
        <w:t xml:space="preserve">For a signaling framework to do empirical work, it must specify four things: who is signaling, who is receiving, what quality is being signaled, and how the receiver responds. At an aggregation gathering: (1) the</w:t>
      </w:r>
      <w:r>
        <w:t xml:space="preserve"> </w:t>
      </w:r>
      <w:r>
        <w:rPr>
          <w:b/>
          <w:bCs/>
        </w:rPr>
        <w:t xml:space="preserve">signaler</w:t>
      </w:r>
      <w:r>
        <w:t xml:space="preserve"> </w:t>
      </w:r>
      <w:r>
        <w:t xml:space="preserve">is an aggregating band; (2) the</w:t>
      </w:r>
      <w:r>
        <w:t xml:space="preserve"> </w:t>
      </w:r>
      <w:r>
        <w:rPr>
          <w:b/>
          <w:bCs/>
        </w:rPr>
        <w:t xml:space="preserve">receivers</w:t>
      </w:r>
      <w:r>
        <w:t xml:space="preserve"> </w:t>
      </w:r>
      <w:r>
        <w:t xml:space="preserve">are other bands at the gathering, both established partners and prospective ones drawn from across the regional network; (3) the</w:t>
      </w:r>
      <w:r>
        <w:t xml:space="preserve"> </w:t>
      </w:r>
      <w:r>
        <w:rPr>
          <w:b/>
          <w:bCs/>
        </w:rPr>
        <w:t xml:space="preserve">quality being signaled</w:t>
      </w:r>
      <w:r>
        <w:t xml:space="preserve"> </w:t>
      </w:r>
      <w:r>
        <w:t xml:space="preserve">is cooperative reliability, operationalized as a band’s likelihood of contributing labor to collective construction and reciprocating obligations during shortfalls; (4) the</w:t>
      </w:r>
      <w:r>
        <w:t xml:space="preserve"> </w:t>
      </w:r>
      <w:r>
        <w:rPr>
          <w:b/>
          <w:bCs/>
        </w:rPr>
        <w:t xml:space="preserve">receiver response</w:t>
      </w:r>
      <w:r>
        <w:t xml:space="preserve"> </w:t>
      </w:r>
      <w:r>
        <w:t xml:space="preserve">is preferential partner selection, with bands forming and strengthening reciprocal obligations with high-signal partners over the course of an aggregation season.</w:t>
      </w:r>
    </w:p>
    <w:p>
      <w:pPr>
        <w:pStyle w:val="BodyText"/>
      </w:pPr>
      <w:r>
        <w:t xml:space="preserve">The framework requires a signal-conditional response from the receiver. A</w:t>
      </w:r>
      <w:r>
        <w:t xml:space="preserve"> </w:t>
      </w:r>
      <w:r>
        <w:t xml:space="preserve">“signal-conditional response”</w:t>
      </w:r>
      <w:r>
        <w:t xml:space="preserve"> </w:t>
      </w:r>
      <w:r>
        <w:t xml:space="preserve">is a behavior whose form or magnitude depends on the signal an interaction partner has displayed: receivers do not respond uniformly but instead calibrate cooperation, deference, or aggression to the quality of information the signal conveys. We implement this process in the agent-based model as three coupled rules. First, agents preferentially form ties with partners who display larger signals, so the probability of forming a relationship scales with the partner’s display level. Second, when a shortfall hits, agents call on their network for help in order of tie strength, drawing first from their strongest partners and moving down the list until the need is met. Third, the density of these obligation ties at a gathering site directly reduces the effective shortfall experienced there (</w:t>
      </w:r>
      <m:oMath>
        <m:sSub>
          <m:e>
            <m:r>
              <m:t>σ</m:t>
            </m:r>
          </m:e>
          <m:sub>
            <m:r>
              <m:t>e</m:t>
            </m:r>
            <m:r>
              <m:t>f</m:t>
            </m:r>
            <m:r>
              <m:t>f</m:t>
            </m:r>
          </m:sub>
        </m:sSub>
      </m:oMath>
      <w:r>
        <w:t xml:space="preserve">), because dense networks buffer local losses through pooled support. Full implementation specifications are given in §S1.6. Comparison runs verify that the implemented rules behave as specified by the analytical framework, and parameter sweeps near the critical threshold examine how the within-group reward parameter (which scales the strength of the signaling channel) shifts the threshold location (§4.3). These tests confirm the model is working as intended, but they are not where the framework earns its empirical traction. The distinguishing prediction is based on the asymmetric pattern of help flowing through the obligation network, as evaluated in §6.1. The threshold-location analysis in §4.3 shows that a regime shift occurs; the asymmetric-flow signature in §6.1 makes the framework testable against archaeological data.</w:t>
      </w:r>
    </w:p>
    <w:p>
      <w:pPr>
        <w:pStyle w:val="BodyText"/>
      </w:pPr>
      <w:r>
        <w:t xml:space="preserve">Earthwork construction is an unusually clean index signal because it is inherently collective and physically unfakeable. Moving earth in baskets at the Late Archaic mound sites (Ford 1955; Ortmann and Kidder 2013; Sherwood and Kidder 2011) requires many people to work together for sustained periods, in real time, at a fixed location. A band’s contribution is visible to other participants in the construction event: others can see who carries baskets, who hauls posts, who digs. Non-contributors are immediately identifiable, which minimizes free-riding. The construction itself requires cooperation, so signaling produces the cooperative behavior it advertises. Bands that have invested heavily in mound or ridge fill at a particular site also have strong incentives to return, because abandoning the system means losing the value of past investment. The sunk cost binds participants and lets other bands preferentially cooperate with committed partners. Other classes of Late Archaic landscape investment (large excavated pits, prepared activity surfaces, formal burial concentrations, and post-set timber circles) share the same labor signature and read the same way under the framework, but the bulk of our empirical evaluation focuses on monumental earthwork volume because these structures are quantitatively tractable measures of accumulated signaling effort.</w:t>
      </w:r>
    </w:p>
    <w:p>
      <w:pPr>
        <w:pStyle w:val="BodyText"/>
      </w:pPr>
      <w:r>
        <w:rPr>
          <w:b/>
          <w:bCs/>
        </w:rPr>
        <w:t xml:space="preserve">The signal half-life.</w:t>
      </w:r>
      <w:r>
        <w:t xml:space="preserve"> </w:t>
      </w:r>
      <w:r>
        <w:t xml:space="preserve">The value of a completed earthwork as an honest signal of</w:t>
      </w:r>
      <w:r>
        <w:t xml:space="preserve"> </w:t>
      </w:r>
      <w:r>
        <w:rPr>
          <w:i/>
          <w:iCs/>
        </w:rPr>
        <w:t xml:space="preserve">current</w:t>
      </w:r>
      <w:r>
        <w:t xml:space="preserve"> </w:t>
      </w:r>
      <w:r>
        <w:t xml:space="preserve">cooperative capacity has a half-life. Signaling theory requires that the signal reliably indicate the signaler’s properties at the time of the receiver’s response (Bliege Bird and Smith 2005; Hawkes and Bliege Bird 2002). A finished mound remains physically present after the bands that built it have dispersed, fissioned, died, or been replaced; over time, the feature no longer reliably indicates the cooperative capacity of bands now attending. Free-riders can occupy a complex without having contributed, and a receiver cannot easily distinguish a band that just hauled baskets from one whose ancestors did. The signal value of any individual construction event, therefore, decays even as the mound persists, which is why ongoing construction is necessary rather than optional: each new episode renews the signal on the timescale relevant to current partner choice. The framework predicts a pulsed, episodic construction tempo, with many separate, honest signals stacked over the active interval, rather than a single durable display whose signal value persists for centuries. The Eastern Archaic record matches this expectation: build-decommission-rebuild sequences in plaza post circles, multi-stage activity surfaces beneath terminal mound caps, and the dozens of distinct ridge construction components documented at Poverty Point through recent geophysical and geoarchaeological work all fit the expected episodic pattern. The same logic recasts eventual collapse: a system that depends on continuous re-signaling is vulnerable not only to threshold-crossing environmental change but also to any disruption that interrupts the construction cycle. Henrich’s (2009) credibility-enhancing-display argument converges on the same prediction from an independent direction: a costly act witnessed by cultural learners reduces their credence in alternatives to the practice’s underlying belief, and a standing monumental landscape extends this logic temporally by carrying long-duration evidence that past actors paid the cost. The two arguments reinforce while maintenance continues (current index value plus persistent-CRED value) and decouple under abandonment, when the index value decays first and the persistent-CRED value follows the physical decay of the landscape. Continuous re-investment is necessary to sustain either channel.</w:t>
      </w:r>
    </w:p>
    <w:p>
      <w:pPr>
        <w:pStyle w:val="BodyText"/>
      </w:pPr>
      <w:r>
        <w:t xml:space="preserve">Exotic goods complement the collective construction signals at the individual scale. The imported materials (copper from the Great Lakes, Maritime, or southern Appalachian sources at ~1,000-1,600 km; steatite from the southern Appalachians at ~800-900 km; galena from Missouri at ~800 km) carry distinctive observable physical properties (color, density, sheen, working characteristics) that distinguish source material from locally-available substitutes for a contemporary observer; geochemical signatures, traceable to specific sources through neutron-activation analysis, ICP-MS, and atomic-absorption spectrophotometry, allow archaeologists today to confirm provenance after the fact. The signal is unfakeable in the index sense because a band cannot display source material without having actually obtained it through direct travel or partnership with bands at the source. Possession demonstrates resource surplus, long-distance network connectivity, and willingness to invest in the exchange system, all qualities that make a band a desirable partner.</w:t>
      </w:r>
    </w:p>
    <w:p>
      <w:pPr>
        <w:pStyle w:val="BodyText"/>
      </w:pPr>
      <w:r>
        <w:t xml:space="preserve">Poverty Point Objects (PPOs), the locally-produced fired-earth cooking objects that occur in tens of thousands across the Late Archaic LMV (Hays 2019; Webb 1982), are dense enough in the regional record that an external reader of the LMV literature might reasonably expect them to feature in a signaling argument. We are explicit that the framework’s current implementation does not formalize PPOs as a signaling channel, and the reasons developed below apply more strongly to per-band PPO possession than to aggregate PPO production volume at a site. The unfakeability criterion the framework uses for index signals (above) is sharper than</w:t>
      </w:r>
      <w:r>
        <w:t xml:space="preserve"> </w:t>
      </w:r>
      <w:r>
        <w:t xml:space="preserve">“expensive”</w:t>
      </w:r>
      <w:r>
        <w:t xml:space="preserve">: it requires that the signal cannot be produced without the underlying quality the receiver wants to know about. For earthworks, that quality is mobilization of cooperative labor at the gathering, and basket-built fill cannot be produced without it; for imported exotics, the quality is direct travel to or partnership with bands at the geological source, and a galena nodule from Potosi cannot be produced by a band that has not (directly or through a known visitor-band partner) accessed Potosi material. PPOs do not have this property at the band level: locally produced fired-earth cooking objects can be made by any band with access to local dirt and fuel, including bands that did not attend the gathering or contribute labor, so PPO possession does not reliably index participation as a visitor band. The same logic applies to locally-produced lithic forms widely distributed in the regional record (projectile points, Jaketown perforators): these are produced from materials available to any band in the LMV, are not source-constrained in the way that copper, galena, or steatite are, and therefore do not function as band-level index signals of visitor-band participation, even though they appear in large quantities at the type site. There is also no evidence that PPO possession or display operated through the partner-choice premium on which the framework’s band-level signaling apparatus relies, and PPOs are widely distributed across LMV-affiliated populations rather than concentrated at the gathering site as the exotic-materials record is. The framework’s formalized signaling channels are therefore earthworks (collective, group-level) and imported exotic goods (individual-band-level); PPOs are not in this set, not because they are cheap (cost is incidental), but because they fail the unfakeability criterion at the band level.</w:t>
      </w:r>
    </w:p>
    <w:p>
      <w:pPr>
        <w:pStyle w:val="BodyText"/>
      </w:pPr>
      <w:r>
        <w:t xml:space="preserve">A weaker form of the signaling argument could, in principle, apply to PPO production</w:t>
      </w:r>
      <w:r>
        <w:t xml:space="preserve"> </w:t>
      </w:r>
      <w:r>
        <w:rPr>
          <w:i/>
          <w:iCs/>
        </w:rPr>
        <w:t xml:space="preserve">volume</w:t>
      </w:r>
      <w:r>
        <w:t xml:space="preserve"> </w:t>
      </w:r>
      <w:r>
        <w:t xml:space="preserve">at the site rather than PPO</w:t>
      </w:r>
      <w:r>
        <w:t xml:space="preserve"> </w:t>
      </w:r>
      <w:r>
        <w:rPr>
          <w:i/>
          <w:iCs/>
        </w:rPr>
        <w:t xml:space="preserve">possession</w:t>
      </w:r>
      <w:r>
        <w:t xml:space="preserve"> </w:t>
      </w:r>
      <w:r>
        <w:t xml:space="preserve">at the band level. The framework reads excess monument volume beyond the utilitarian baseline as a group-level index of collective labor mobilization at the gathering; the same logic could apply to PPO deposits at the Poverty Point site if their aggregate quantity exceeds what cooking needs would require for the documented occupation. Hays (2019) interprets PPO concentrations at Poverty Point as feasting deposits, a reading consistent with this signaling interpretation. We do not formalize this group-level PPO channel in the present analysis for two reasons. First, per-band attribution is not possible (PPOs do not carry maker-identifiable marks), so PPOs cannot operate as the band-level signal that exotic goods provide. Second, operationalizing the group-level reading would require a quantitative baseline of cooking needs against which excess production could be measured, which the LMV literature has not yet developed. We identify a cross-LMV test of PPO deposit density against site-level aggregation intensity as a productive empirical extension in §7.4.</w:t>
      </w:r>
    </w:p>
    <w:p>
      <w:pPr>
        <w:pStyle w:val="BodyText"/>
      </w:pPr>
      <w:r>
        <w:t xml:space="preserve">PPOs nonetheless carry information about regional social structure, but on a different intellectual register: cultural transmission rather than signaling. Functionally, PPOs are a cooking technology that solves a practical problem and would be expected to spread on its own merits wherever the same problem is faced. Stylistically, the</w:t>
      </w:r>
      <w:r>
        <w:t xml:space="preserve"> </w:t>
      </w:r>
      <w:r>
        <w:rPr>
          <w:i/>
          <w:iCs/>
        </w:rPr>
        <w:t xml:space="preserve">forms</w:t>
      </w:r>
      <w:r>
        <w:t xml:space="preserve"> </w:t>
      </w:r>
      <w:r>
        <w:t xml:space="preserve">they take (the specific size classes, surface treatments, and morphological variants documented across LMV assemblages) are more variable than functional efficiency requires; cooking performance is largely insensitive to whether an object is grooved, melon-shaped, biconical, or cylindrical, so the distribution of formal variants is shaped by who is teaching whom rather than by the environment of use. Under cultural-transmission theory, this is what makes form informative as a tracer of social-learning networks: stylistic similarity records the path through which the manufacturing tradition was transmitted, not the cooking problem the objects solve (Pierce 1998). PPO formal variation is therefore a productive record class for studying the cultural-affiliation networks within which the LMV system operated, but it does so as transmission data, not as signaling data, and we make no signaling claim from it. Empirical work testing whether PPO stylistic-variant frequencies map onto the same band-level network structure that the framework’s exotic-goods signal traces (a different question than whether PPOs are signals) is identified in §7.4 as a productive extension.</w:t>
      </w:r>
    </w:p>
    <w:bookmarkEnd w:id="21"/>
    <w:bookmarkStart w:id="25" w:name="the-ecotone-advantage"/>
    <w:p>
      <w:pPr>
        <w:pStyle w:val="Heading3"/>
      </w:pPr>
      <w:r>
        <w:t xml:space="preserve">2.3 The ecotone advantage</w:t>
      </w:r>
    </w:p>
    <w:p>
      <w:pPr>
        <w:pStyle w:val="FirstParagraph"/>
      </w:pPr>
      <w:r>
        <w:t xml:space="preserve">The probability and stability of aggregation depend on more than uncertainty alone. They also depend on whether the aggregation site itself can support large gatherings during extended seasonal stays. We represent this buffering with a single parameter</w:t>
      </w:r>
      <w:r>
        <w:t xml:space="preserve"> </w:t>
      </w:r>
      <m:oMath>
        <m:r>
          <m:t>ε</m:t>
        </m:r>
      </m:oMath>
      <w:r>
        <w:t xml:space="preserve">, and the effective uncertainty at the aggregation site is</w:t>
      </w:r>
    </w:p>
    <w:p>
      <w:pPr>
        <w:pStyle w:val="BodyText"/>
      </w:pPr>
      <m:oMathPara>
        <m:oMathParaPr>
          <m:jc m:val="center"/>
        </m:oMathParaPr>
        <m:oMath>
          <m:sSub>
            <m:e>
              <m:r>
                <m:t>σ</m:t>
              </m:r>
            </m:e>
            <m:sub>
              <m:r>
                <m:t>e</m:t>
              </m:r>
              <m:r>
                <m:t>f</m:t>
              </m:r>
              <m:r>
                <m:t>f</m:t>
              </m:r>
            </m:sub>
          </m:sSub>
          <m:r>
            <m:rPr>
              <m:sty m:val="p"/>
            </m:rPr>
            <m:t>=</m:t>
          </m:r>
          <m:sSub>
            <m:e>
              <m:r>
                <m:t>σ</m:t>
              </m:r>
            </m:e>
            <m:sub>
              <m:r>
                <m:t>r</m:t>
              </m:r>
              <m:r>
                <m:t>e</m:t>
              </m:r>
              <m:r>
                <m:t>g</m:t>
              </m:r>
              <m:r>
                <m:t>i</m:t>
              </m:r>
              <m:r>
                <m:t>o</m:t>
              </m:r>
              <m:r>
                <m:t>n</m:t>
              </m:r>
              <m:r>
                <m:t>a</m:t>
              </m:r>
              <m:r>
                <m:t>l</m:t>
              </m:r>
            </m:sub>
          </m:sSub>
          <m:r>
            <m:rPr>
              <m:sty m:val="p"/>
            </m:rPr>
            <m:t>(</m:t>
          </m:r>
          <m:r>
            <m:t>1</m:t>
          </m:r>
          <m:r>
            <m:rPr>
              <m:sty m:val="p"/>
            </m:rPr>
            <m:t>−</m:t>
          </m:r>
          <m:r>
            <m:t>ε</m:t>
          </m:r>
          <m:r>
            <m:rPr>
              <m:sty m:val="p"/>
            </m:rPr>
            <m:t>)</m:t>
          </m:r>
        </m:oMath>
      </m:oMathPara>
    </w:p>
    <w:p>
      <w:pPr>
        <w:pStyle w:val="FirstParagraph"/>
      </w:pPr>
      <w:r>
        <w:t xml:space="preserve">The mechanism</w:t>
      </w:r>
      <w:r>
        <w:t xml:space="preserve"> </w:t>
      </w:r>
      <m:oMath>
        <m:r>
          <m:t>ε</m:t>
        </m:r>
      </m:oMath>
      <w:r>
        <w:t xml:space="preserve"> </w:t>
      </w:r>
      <w:r>
        <w:t xml:space="preserve">encodes is shortfall buffering through</w:t>
      </w:r>
      <w:r>
        <w:t xml:space="preserve"> </w:t>
      </w:r>
      <w:r>
        <w:rPr>
          <w:i/>
          <w:iCs/>
        </w:rPr>
        <w:t xml:space="preserve">negative covariance</w:t>
      </w:r>
      <w:r>
        <w:t xml:space="preserve"> </w:t>
      </w:r>
      <w:r>
        <w:t xml:space="preserve">between locally accessible zone productivity and the regional shortfall driver. When local zones share the same shortfall driver (e.g., a single drainage hit by a regional drought, a single floodplain drowned by a flood pulse), aggregator bands at the gathering experience the same shortfall as bands dispersed in single-zone territories elsewhere;</w:t>
      </w:r>
      <w:r>
        <w:t xml:space="preserve"> </w:t>
      </w:r>
      <m:oMath>
        <m:r>
          <m:t>ε</m:t>
        </m:r>
      </m:oMath>
      <w:r>
        <w:t xml:space="preserve"> </w:t>
      </w:r>
      <w:r>
        <w:t xml:space="preserve">is small. When the local zones draw on independent shortfall drivers (e.g., drainages with different hydrographs, uplands and lowlands responding to different precipitation modes), some local zones are typically producing during regional shortfalls;</w:t>
      </w:r>
      <w:r>
        <w:t xml:space="preserve"> </w:t>
      </w:r>
      <m:oMath>
        <m:r>
          <m:t>ε</m:t>
        </m:r>
      </m:oMath>
      <w:r>
        <w:t xml:space="preserve"> </w:t>
      </w:r>
      <w:r>
        <w:t xml:space="preserve">is large. The framework’s prediction is, therefore, not that aggregation concentrates at the most diverse location in raw zone count, but at the location with the strongest negative covariance between accessible-zone productivity and regional shortfall. Confluence positions integrating multiple canoe-accessible drainages with non-synchronized hydrographs maximize</w:t>
      </w:r>
      <w:r>
        <w:t xml:space="preserve"> </w:t>
      </w:r>
      <m:oMath>
        <m:r>
          <m:t>ε</m:t>
        </m:r>
      </m:oMath>
      <w:r>
        <w:t xml:space="preserve">.</w:t>
      </w:r>
    </w:p>
    <w:p>
      <w:pPr>
        <w:pStyle w:val="BodyText"/>
      </w:pPr>
      <w:r>
        <w:drawing>
          <wp:inline>
            <wp:extent cx="5943600" cy="6110216"/>
            <wp:effectExtent b="0" l="0" r="0" t="0"/>
            <wp:docPr descr="" title="" id="23" name="Picture"/>
            <a:graphic>
              <a:graphicData uri="http://schemas.openxmlformats.org/drawingml/2006/picture">
                <pic:pic>
                  <pic:nvPicPr>
                    <pic:cNvPr descr="../../figures/manuscript/figure_04_ecotone_seasonal.png" id="24" name="Picture"/>
                    <pic:cNvPicPr>
                      <a:picLocks noChangeArrowheads="1" noChangeAspect="1"/>
                    </pic:cNvPicPr>
                  </pic:nvPicPr>
                  <pic:blipFill>
                    <a:blip r:embed="rId22"/>
                    <a:stretch>
                      <a:fillRect/>
                    </a:stretch>
                  </pic:blipFill>
                  <pic:spPr bwMode="auto">
                    <a:xfrm>
                      <a:off x="0" y="0"/>
                      <a:ext cx="5943600" cy="6110216"/>
                    </a:xfrm>
                    <a:prstGeom prst="rect">
                      <a:avLst/>
                    </a:prstGeom>
                    <a:noFill/>
                    <a:ln w="9525">
                      <a:noFill/>
                      <a:headEnd/>
                      <a:tailEnd/>
                    </a:ln>
                  </pic:spPr>
                </pic:pic>
              </a:graphicData>
            </a:graphic>
          </wp:inline>
        </w:drawing>
      </w:r>
    </w:p>
    <w:p>
      <w:pPr>
        <w:pStyle w:val="BodyText"/>
      </w:pPr>
      <w:r>
        <w:rPr>
          <w:b/>
          <w:bCs/>
          <w:i/>
          <w:iCs/>
        </w:rPr>
        <w:t xml:space="preserve">Figure 4. The ecotone advantage: how multi-zone access buffers shortfall.</w:t>
      </w:r>
      <w:r>
        <w:t xml:space="preserve"> </w:t>
      </w:r>
      <w:r>
        <w:rPr>
          <w:i/>
          <w:iCs/>
        </w:rPr>
        <w:t xml:space="preserve">(A) Seasonal productivity profiles for the four resource zones available at a representative LMV aggregation site. Aquatic resources (e.g., floodplain fish, summer waterfowl, overwintering ducks November-March, spring and fall flyway peaks), terrestrial game (e.g., mammals, fall-winter peak), mast (sharp fall peak), and ecotone-edge productivity (moderate but stable year-round) follow staggered seasonal cycles. The shaded band marks the summer aggregation season, when multiple resource types are accessible simultaneously. (B) Year-by-year resource availability for two hypothetical bands over a 50-year stochastic simulation: a single-zone band (purple) experiences high inter-annual variability and crosses the shortfall threshold (red dotted) in 9 of 50 years, while an ecotone-buffered band drawing from two negatively correlated zones (orange) experiences substantially smoothed productivity and zero shortfall years. The mechanism</w:t>
      </w:r>
      <w:r>
        <w:t xml:space="preserve"> </w:t>
      </w:r>
      <m:oMath>
        <m:r>
          <m:t>ε</m:t>
        </m:r>
      </m:oMath>
      <w:r>
        <w:t xml:space="preserve"> </w:t>
      </w:r>
      <w:r>
        <w:rPr>
          <w:i/>
          <w:iCs/>
        </w:rPr>
        <w:t xml:space="preserve">encodes is this variance reduction, not raw zone count.</w:t>
      </w:r>
    </w:p>
    <w:p>
      <w:pPr>
        <w:pStyle w:val="BodyText"/>
      </w:pPr>
      <w:r>
        <w:t xml:space="preserve">The ecotone insight is not novel in hunter-gatherer archaeology. Jackson (1986, 1989; see also Gibson 1973, 1994) developed it explicitly in subsistence work for the LMV, and Ward (1998) documented the wild-resource diversity (mast, fruits, and native EAC seeds across multiple habitats at Poverty Point and J.W. Copes) on which the multi-zone interpretation rests. What the model adds is an explicit operationalization of</w:t>
      </w:r>
      <w:r>
        <w:t xml:space="preserve"> </w:t>
      </w:r>
      <m:oMath>
        <m:r>
          <m:t>ε</m:t>
        </m:r>
      </m:oMath>
      <w:r>
        <w:t xml:space="preserve"> </w:t>
      </w:r>
      <w:r>
        <w:t xml:space="preserve">as covariance-based shortfall buffering, distinguishing it from raw zone count. A measured operationalization at the regional scale, using modern hydrograph data as a first-order proxy for Late Archaic drainage independence, is developed in §6.5.</w:t>
      </w:r>
    </w:p>
    <w:bookmarkEnd w:id="25"/>
    <w:bookmarkStart w:id="29" w:name="X6eb9aa77d51367325c68c66066ddf9611299d1a"/>
    <w:p>
      <w:pPr>
        <w:pStyle w:val="Heading3"/>
      </w:pPr>
      <w:r>
        <w:t xml:space="preserve">2.4 Fitness functions and the critical threshold</w:t>
      </w:r>
    </w:p>
    <w:p>
      <w:pPr>
        <w:pStyle w:val="FirstParagraph"/>
      </w:pPr>
      <w:r>
        <w:t xml:space="preserve">Bands choose annually between the</w:t>
      </w:r>
      <w:r>
        <w:t xml:space="preserve"> </w:t>
      </w:r>
      <w:r>
        <w:rPr>
          <w:b/>
          <w:bCs/>
        </w:rPr>
        <w:t xml:space="preserve">aggregator</w:t>
      </w:r>
      <w:r>
        <w:t xml:space="preserve"> </w:t>
      </w:r>
      <w:r>
        <w:t xml:space="preserve">strategy (travel to the site, invest in monuments and exotics, form reciprocal obligations) and the</w:t>
      </w:r>
      <w:r>
        <w:t xml:space="preserve"> </w:t>
      </w:r>
      <w:r>
        <w:rPr>
          <w:b/>
          <w:bCs/>
        </w:rPr>
        <w:t xml:space="preserve">independent</w:t>
      </w:r>
      <w:r>
        <w:t xml:space="preserve"> </w:t>
      </w:r>
      <w:r>
        <w:t xml:space="preserve">strategy (remain dispersed, forage independently). A band that aggregates</w:t>
      </w:r>
      <w:r>
        <w:t xml:space="preserve"> </w:t>
      </w:r>
      <w:r>
        <w:rPr>
          <w:i/>
          <w:iCs/>
        </w:rPr>
        <w:t xml:space="preserve">pays</w:t>
      </w:r>
      <w:r>
        <w:t xml:space="preserve"> </w:t>
      </w:r>
      <w:r>
        <w:t xml:space="preserve">to do so (travel, time away from foraging, labor on monuments) and</w:t>
      </w:r>
      <w:r>
        <w:t xml:space="preserve"> </w:t>
      </w:r>
      <w:r>
        <w:rPr>
          <w:i/>
          <w:iCs/>
        </w:rPr>
        <w:t xml:space="preserve">gains</w:t>
      </w:r>
      <w:r>
        <w:t xml:space="preserve"> </w:t>
      </w:r>
      <w:r>
        <w:t xml:space="preserve">from doing so (cooperation network for bad years, reduced conflict via visible commitment, social rewards for visibly contributing). A band that stays independent avoids the cost but bears the full brunt of any shortfall alone. Whether aggregation is worth it depends on how often shortfalls occur, how vulnerable an unaggregated band is, and how much the cooperation network can buy when needed. The aggregator fitness function is</w:t>
      </w:r>
    </w:p>
    <w:p>
      <w:pPr>
        <w:pStyle w:val="BodyText"/>
      </w:pPr>
      <m:oMathPara>
        <m:oMathParaPr>
          <m:jc m:val="center"/>
        </m:oMathParaPr>
        <m:oMath>
          <m:sSub>
            <m:e>
              <m:r>
                <m:t>W</m:t>
              </m:r>
            </m:e>
            <m:sub>
              <m:r>
                <m:t>a</m:t>
              </m:r>
              <m:r>
                <m:t>g</m:t>
              </m:r>
              <m:r>
                <m:t>g</m:t>
              </m:r>
            </m:sub>
          </m:sSub>
          <m:r>
            <m:rPr>
              <m:sty m:val="p"/>
            </m:rPr>
            <m:t>(</m:t>
          </m:r>
          <m:r>
            <m:t>σ</m:t>
          </m:r>
          <m:r>
            <m:rPr>
              <m:sty m:val="p"/>
            </m:rPr>
            <m:t>,</m:t>
          </m:r>
          <m:r>
            <m:t>ε</m:t>
          </m:r>
          <m:r>
            <m:rPr>
              <m:sty m:val="p"/>
            </m:rPr>
            <m:t>)</m:t>
          </m:r>
          <m:r>
            <m:rPr>
              <m:sty m:val="p"/>
            </m:rPr>
            <m:t>=</m:t>
          </m:r>
          <m:r>
            <m:rPr>
              <m:sty m:val="p"/>
            </m:rPr>
            <m:t>(</m:t>
          </m:r>
          <m:r>
            <m:t>1</m:t>
          </m:r>
          <m:r>
            <m:rPr>
              <m:sty m:val="p"/>
            </m:rPr>
            <m:t>−</m:t>
          </m:r>
          <m:sSub>
            <m:e>
              <m:r>
                <m:t>C</m:t>
              </m:r>
            </m:e>
            <m:sub>
              <m:r>
                <m:t>t</m:t>
              </m:r>
              <m:r>
                <m:t>o</m:t>
              </m:r>
              <m:r>
                <m:t>t</m:t>
              </m:r>
              <m:r>
                <m:t>a</m:t>
              </m:r>
              <m:r>
                <m:t>l</m:t>
              </m:r>
            </m:sub>
          </m:sSub>
          <m:r>
            <m:rPr>
              <m:sty m:val="p"/>
            </m:rPr>
            <m:t>)</m:t>
          </m:r>
          <m:r>
            <m:rPr>
              <m:sty m:val="p"/>
            </m:rPr>
            <m:t>⋅</m:t>
          </m:r>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r>
            <m:rPr>
              <m:sty m:val="p"/>
            </m:rPr>
            <m:t>⋅</m:t>
          </m:r>
          <m:r>
            <m:rPr>
              <m:sty m:val="p"/>
            </m:rPr>
            <m:t>(</m:t>
          </m:r>
          <m:r>
            <m:t>1</m:t>
          </m:r>
          <m:r>
            <m:rPr>
              <m:sty m:val="p"/>
            </m:rPr>
            <m:t>−</m:t>
          </m:r>
          <m:r>
            <m:t>m</m:t>
          </m:r>
          <m:r>
            <m:rPr>
              <m:sty m:val="p"/>
            </m:rPr>
            <m:t>(</m:t>
          </m:r>
          <m:r>
            <m:t>1</m:t>
          </m:r>
          <m:r>
            <m:rPr>
              <m:sty m:val="p"/>
            </m:rPr>
            <m:t>−</m:t>
          </m:r>
          <m:r>
            <m:t>r</m:t>
          </m:r>
          <m:r>
            <m:rPr>
              <m:sty m:val="p"/>
            </m:rPr>
            <m:t>)</m:t>
          </m:r>
          <m:sSub>
            <m:e>
              <m:r>
                <m:t>P</m:t>
              </m:r>
            </m:e>
            <m:sub>
              <m:r>
                <m:t>b</m:t>
              </m:r>
              <m:r>
                <m:t>a</m:t>
              </m:r>
              <m:r>
                <m:t>s</m:t>
              </m:r>
              <m:r>
                <m:t>e</m:t>
              </m:r>
            </m:sub>
          </m:sSub>
          <m:r>
            <m:rPr>
              <m:sty m:val="p"/>
            </m:rPr>
            <m:t>)</m:t>
          </m:r>
          <m:r>
            <m:rPr>
              <m:sty m:val="p"/>
            </m:rPr>
            <m:t>+</m:t>
          </m:r>
          <m:r>
            <m:t>B</m:t>
          </m:r>
          <m:r>
            <m:rPr>
              <m:sty m:val="p"/>
            </m:rPr>
            <m:t>(</m:t>
          </m:r>
          <m:r>
            <m:t>λ</m:t>
          </m:r>
          <m:r>
            <m:rPr>
              <m:sty m:val="p"/>
            </m:rPr>
            <m:t>)</m:t>
          </m:r>
        </m:oMath>
      </m:oMathPara>
    </w:p>
    <w:p>
      <w:pPr>
        <w:pStyle w:val="FirstParagraph"/>
      </w:pPr>
      <w:r>
        <w:t xml:space="preserve">Each multiplicative factor is a probability-of-success term applied in sequence: the band first pays aggregation costs, then survives any shortfall, then survives any conflict, and the signaling benefit accrues additively on top. The aggregation-cost factor</w:t>
      </w:r>
      <w:r>
        <w:t xml:space="preserve"> </w:t>
      </w:r>
      <m:oMath>
        <m:r>
          <m:rPr>
            <m:sty m:val="p"/>
          </m:rPr>
          <m:t>(</m:t>
        </m:r>
        <m:r>
          <m:t>1</m:t>
        </m:r>
        <m:r>
          <m:rPr>
            <m:sty m:val="p"/>
          </m:rPr>
          <m:t>−</m:t>
        </m:r>
        <m:sSub>
          <m:e>
            <m:r>
              <m:t>C</m:t>
            </m:r>
          </m:e>
          <m:sub>
            <m:r>
              <m:t>t</m:t>
            </m:r>
            <m:r>
              <m:t>o</m:t>
            </m:r>
            <m:r>
              <m:t>t</m:t>
            </m:r>
            <m:r>
              <m:t>a</m:t>
            </m:r>
            <m:r>
              <m:t>l</m:t>
            </m:r>
          </m:sub>
        </m:sSub>
        <m:r>
          <m:rPr>
            <m:sty m:val="p"/>
          </m:rPr>
          <m:t>)</m:t>
        </m:r>
      </m:oMath>
      <w:r>
        <w:t xml:space="preserve"> </w:t>
      </w:r>
      <w:r>
        <w:t xml:space="preserve">deducts travel, labor on monuments and exotic-goods investment, and foregone foraging. The shortfall-survival factor</w:t>
      </w:r>
      <w: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t xml:space="preserve"> </w:t>
      </w:r>
      <w:r>
        <w:t xml:space="preserve">captures the buffering advantage of aggregators: cooperation networks let them call on partners in bad years, and ecotone access lowers the effective uncertainty they face in the first place. The conflict-avoidance factor encodes the reduction in the probability of escalation from the assessment mechanism of Enquist and Leimar (1983), in which visible monumental investment is read as commitment. The signaling benefit</w:t>
      </w:r>
      <w:r>
        <w:t xml:space="preserve"> </w:t>
      </w:r>
      <m:oMath>
        <m:r>
          <m:t>B</m:t>
        </m:r>
        <m:r>
          <m:rPr>
            <m:sty m:val="p"/>
          </m:rPr>
          <m:t>(</m:t>
        </m:r>
        <m:r>
          <m:t>λ</m:t>
        </m:r>
        <m:r>
          <m:rPr>
            <m:sty m:val="p"/>
          </m:rPr>
          <m:t>)</m:t>
        </m:r>
      </m:oMath>
      <w:r>
        <w:t xml:space="preserve"> </w:t>
      </w:r>
      <w:r>
        <w:t xml:space="preserve">adds a within-group fitness boost to bands that contribute, scaled by the total signaling incentive</w:t>
      </w:r>
      <w: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t xml:space="preserve">, which combines the within-group reward, the conflict-deterrence component, and the cooperation-network component.</w:t>
      </w:r>
    </w:p>
    <w:p>
      <w:pPr>
        <w:pStyle w:val="BodyText"/>
      </w:pPr>
      <w:r>
        <w:t xml:space="preserve">The vulnerability function</w:t>
      </w:r>
      <w:r>
        <w:t xml:space="preserve"> </w:t>
      </w: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r>
        <w:t xml:space="preserve"> </w:t>
      </w:r>
      <w:r>
        <w:t xml:space="preserve">is computed from the band’s cooperation network rather than set as a free input. Here</w:t>
      </w:r>
      <w:r>
        <w:t xml:space="preserve"> </w:t>
      </w:r>
      <m:oMath>
        <m:r>
          <m:t>k</m:t>
        </m:r>
      </m:oMath>
      <w:r>
        <w:t xml:space="preserve"> </w:t>
      </w:r>
      <w:r>
        <w:t xml:space="preserve">is the number of cooperation partners a band has access to,</w:t>
      </w:r>
      <w:r>
        <w:t xml:space="preserve"> </w:t>
      </w:r>
      <m:oMath>
        <m:r>
          <m:t>γ</m:t>
        </m:r>
      </m:oMath>
      <w:r>
        <w:t xml:space="preserve"> </w:t>
      </w:r>
      <w:r>
        <w:t xml:space="preserve">controls how much each partner reduces vulnerability, and</w:t>
      </w:r>
      <w:r>
        <w:t xml:space="preserve"> </w:t>
      </w:r>
      <m:oMath>
        <m:r>
          <m:t>α</m:t>
        </m:r>
        <m:r>
          <m:rPr>
            <m:sty m:val="p"/>
          </m:rPr>
          <m:t>(</m:t>
        </m:r>
        <m:r>
          <m:t>k</m:t>
        </m:r>
        <m:r>
          <m:rPr>
            <m:sty m:val="p"/>
          </m:rPr>
          <m:t>)</m:t>
        </m:r>
      </m:oMath>
      <w:r>
        <w:t xml:space="preserve"> </w:t>
      </w:r>
      <w:r>
        <w:t xml:space="preserve">is the share of a shortfall a band absorbs personally rather than absorbing through partner help. The functional form has the standard properties expected of risk-pooling: more partners lower vulnerability, but each additional partner adds less than the last. Independents have only baseline kin connections (</w:t>
      </w:r>
      <m:oMath>
        <m:sSub>
          <m:e>
            <m:r>
              <m:t>k</m:t>
            </m:r>
          </m:e>
          <m:sub>
            <m:r>
              <m:t>0</m:t>
            </m:r>
          </m:sub>
        </m:sSub>
        <m:r>
          <m:rPr>
            <m:sty m:val="p"/>
          </m:rPr>
          <m:t>=</m:t>
        </m:r>
        <m:r>
          <m:t>0.3</m:t>
        </m:r>
      </m:oMath>
      <w:r>
        <w:t xml:space="preserve">). Aggregators with mature monument stocks reach within-aggregation network degree</w:t>
      </w:r>
      <w:r>
        <w:t xml:space="preserve"> </w:t>
      </w:r>
      <m:oMath>
        <m:sSub>
          <m:e>
            <m:r>
              <m:t>k</m:t>
            </m:r>
          </m:e>
          <m:sub>
            <m:r>
              <m:t>a</m:t>
            </m:r>
            <m:r>
              <m:t>g</m:t>
            </m:r>
            <m:r>
              <m:t>g</m:t>
            </m:r>
          </m:sub>
        </m:sSub>
        <m:r>
          <m:rPr>
            <m:sty m:val="p"/>
          </m:rPr>
          <m:t>≈</m:t>
        </m:r>
        <m:r>
          <m:t>4</m:t>
        </m:r>
      </m:oMath>
      <w:r>
        <w:t xml:space="preserve"> </w:t>
      </w:r>
      <w:r>
        <w:t xml:space="preserve">to</w:t>
      </w:r>
      <w:r>
        <w:t xml:space="preserve"> </w:t>
      </w:r>
      <m:oMath>
        <m:r>
          <m:t>6</m:t>
        </m:r>
      </m:oMath>
      <w:r>
        <w:t xml:space="preserve">. Aggregation occupies only a fraction</w:t>
      </w:r>
      <w:r>
        <w:t xml:space="preserve"> </w:t>
      </w:r>
      <m:oMath>
        <m:sSub>
          <m:e>
            <m:r>
              <m:t>f</m:t>
            </m:r>
          </m:e>
          <m:sub>
            <m:r>
              <m:t>a</m:t>
            </m:r>
            <m:r>
              <m:t>g</m:t>
            </m:r>
            <m:r>
              <m:t>g</m:t>
            </m:r>
          </m:sub>
        </m:sSub>
        <m:r>
          <m:rPr>
            <m:sty m:val="p"/>
          </m:rPr>
          <m:t>≈</m:t>
        </m:r>
        <m:r>
          <m:t>0.25</m:t>
        </m:r>
      </m:oMath>
      <w:r>
        <w:t xml:space="preserve"> </w:t>
      </w:r>
      <w:r>
        <w:t xml:space="preserve">of the year and the ties formed there decay during the dispersed phase, so the effective annual vulnerability</w:t>
      </w:r>
      <w:r>
        <w:t xml:space="preserve"> </w:t>
      </w:r>
      <m:oMath>
        <m:r>
          <m:t>α</m:t>
        </m:r>
        <m:r>
          <m:rPr>
            <m:sty m:val="p"/>
          </m:rPr>
          <m:t>(</m:t>
        </m:r>
        <m:sSub>
          <m:e>
            <m:r>
              <m:t>k</m:t>
            </m:r>
          </m:e>
          <m:sub>
            <m:r>
              <m:t>e</m:t>
            </m:r>
            <m:r>
              <m:t>f</m:t>
            </m:r>
            <m:r>
              <m:t>f</m:t>
            </m:r>
          </m:sub>
        </m:sSub>
        <m:r>
          <m:rPr>
            <m:sty m:val="p"/>
          </m:rPr>
          <m:t>)</m:t>
        </m:r>
      </m:oMath>
      <w:r>
        <w:t xml:space="preserve"> </w:t>
      </w:r>
      <w:r>
        <w:t xml:space="preserve">is a weighted average across the gathered and dispersed periods rather than the within-gathering value alone.</w:t>
      </w:r>
    </w:p>
    <w:p>
      <w:pPr>
        <w:pStyle w:val="BodyText"/>
      </w:pPr>
      <w:r>
        <w:t xml:space="preserve">The independent fitness function is simpler:</w:t>
      </w:r>
    </w:p>
    <w:p>
      <w:pPr>
        <w:pStyle w:val="BodyText"/>
      </w:pPr>
      <m:oMathPara>
        <m:oMathParaPr>
          <m:jc m:val="center"/>
        </m:oMathParaPr>
        <m:oMath>
          <m:sSub>
            <m:e>
              <m:r>
                <m:t>W</m:t>
              </m:r>
            </m:e>
            <m:sub>
              <m:r>
                <m:t>i</m:t>
              </m:r>
              <m:r>
                <m:t>n</m:t>
              </m:r>
              <m:r>
                <m:t>d</m:t>
              </m:r>
            </m:sub>
          </m:sSub>
          <m:r>
            <m:rPr>
              <m:sty m:val="p"/>
            </m:rPr>
            <m:t>(</m:t>
          </m:r>
          <m:r>
            <m:t>σ</m:t>
          </m:r>
          <m:r>
            <m:rPr>
              <m:sty m:val="p"/>
            </m:rPr>
            <m:t>)</m:t>
          </m:r>
          <m:r>
            <m:rPr>
              <m:sty m:val="p"/>
            </m:rPr>
            <m:t>=</m:t>
          </m:r>
          <m:r>
            <m:rPr>
              <m:sty m:val="p"/>
            </m:rPr>
            <m:t>(</m:t>
          </m:r>
          <m:r>
            <m:t>1</m:t>
          </m:r>
          <m:r>
            <m:rPr>
              <m:sty m:val="p"/>
            </m:rPr>
            <m:t>−</m:t>
          </m:r>
          <m:r>
            <m:t>β</m:t>
          </m:r>
          <m:r>
            <m:rPr>
              <m:sty m:val="p"/>
            </m:rPr>
            <m:t>(</m:t>
          </m:r>
          <m:sSub>
            <m:e>
              <m:r>
                <m:t>k</m:t>
              </m:r>
            </m:e>
            <m:sub>
              <m:r>
                <m:t>0</m:t>
              </m:r>
            </m:sub>
          </m:sSub>
          <m:r>
            <m:rPr>
              <m:sty m:val="p"/>
            </m:rPr>
            <m:t>)</m:t>
          </m:r>
          <m:r>
            <m:rPr>
              <m:sty m:val="p"/>
            </m:rPr>
            <m:t>⋅</m:t>
          </m:r>
          <m:r>
            <m:t>σ</m:t>
          </m:r>
          <m:r>
            <m:rPr>
              <m:sty m:val="p"/>
            </m:rPr>
            <m:t>)</m:t>
          </m:r>
          <m:r>
            <m:rPr>
              <m:sty m:val="p"/>
            </m:rPr>
            <m:t>⋅</m:t>
          </m:r>
          <m:r>
            <m:rPr>
              <m:sty m:val="p"/>
            </m:rPr>
            <m:t>(</m:t>
          </m:r>
          <m:r>
            <m:t>1</m:t>
          </m:r>
          <m:r>
            <m:rPr>
              <m:sty m:val="p"/>
            </m:rPr>
            <m:t>−</m:t>
          </m:r>
          <m:r>
            <m:t>m</m:t>
          </m:r>
          <m:r>
            <m:rPr>
              <m:sty m:val="p"/>
            </m:rPr>
            <m:t>⋅</m:t>
          </m:r>
          <m:sSub>
            <m:e>
              <m:r>
                <m:t>P</m:t>
              </m:r>
            </m:e>
            <m:sub>
              <m:r>
                <m:t>b</m:t>
              </m:r>
              <m:r>
                <m:t>a</m:t>
              </m:r>
              <m:r>
                <m:t>s</m:t>
              </m:r>
              <m:r>
                <m:t>e</m:t>
              </m:r>
            </m:sub>
          </m:sSub>
          <m:r>
            <m:rPr>
              <m:sty m:val="p"/>
            </m:rPr>
            <m:t>)</m:t>
          </m:r>
        </m:oMath>
      </m:oMathPara>
    </w:p>
    <w:p>
      <w:pPr>
        <w:pStyle w:val="FirstParagraph"/>
      </w:pPr>
      <w:r>
        <w:t xml:space="preserve">Independents avoid the aggregation cost but face full regional uncertainty with only baseline networks and gain no signaling benefit. Parameter values are estimated from ethnographic analogy, archaeological inference, and theoretical constraint; full justifications are in Supplemental §S2, and sensitivity analyses across all 13 parameters are in Supplemental §S3.</w:t>
      </w:r>
    </w:p>
    <w:p>
      <w:pPr>
        <w:pStyle w:val="BodyText"/>
      </w:pPr>
      <w:r>
        <w:t xml:space="preserve">The</w:t>
      </w:r>
      <w:r>
        <w:t xml:space="preserve"> </w:t>
      </w:r>
      <w:r>
        <w:rPr>
          <w:b/>
          <w:bCs/>
        </w:rPr>
        <w:t xml:space="preserve">critical threshold</w:t>
      </w:r>
      <w:r>
        <w:t xml:space="preserve"> </w:t>
      </w:r>
      <m:oMath>
        <m:sSup>
          <m:e>
            <m:r>
              <m:t>σ</m:t>
            </m:r>
          </m:e>
          <m:sup>
            <m:r>
              <m:rPr>
                <m:sty m:val="p"/>
              </m:rPr>
              <m:t>*</m:t>
            </m:r>
          </m:sup>
        </m:sSup>
      </m:oMath>
      <w:r>
        <w:t xml:space="preserve"> </w:t>
      </w:r>
      <w:r>
        <w:t xml:space="preserve">is the value of environmental uncertainty at which the two fitness functions cross over: below</w:t>
      </w:r>
      <w:r>
        <w:t xml:space="preserve"> </w:t>
      </w:r>
      <m:oMath>
        <m:sSup>
          <m:e>
            <m:r>
              <m:t>σ</m:t>
            </m:r>
          </m:e>
          <m:sup>
            <m:r>
              <m:rPr>
                <m:sty m:val="p"/>
              </m:rPr>
              <m:t>*</m:t>
            </m:r>
          </m:sup>
        </m:sSup>
      </m:oMath>
      <w:r>
        <w:t xml:space="preserve"> </w:t>
      </w:r>
      <w:r>
        <w:t xml:space="preserve">the independent strategy pays better, above it the aggregator strategy pays better. We find</w:t>
      </w:r>
      <w:r>
        <w:t xml:space="preserve"> </w:t>
      </w:r>
      <m:oMath>
        <m:sSup>
          <m:e>
            <m:r>
              <m:t>σ</m:t>
            </m:r>
          </m:e>
          <m:sup>
            <m:r>
              <m:rPr>
                <m:sty m:val="p"/>
              </m:rPr>
              <m:t>*</m:t>
            </m:r>
          </m:sup>
        </m:sSup>
      </m:oMath>
      <w:r>
        <w:t xml:space="preserve"> </w:t>
      </w:r>
      <w:r>
        <w:t xml:space="preserve">numerically using Brent’s (1973) method, a standard one-dimensional root-finder that locates where a function changes sign. The difference</w:t>
      </w:r>
      <w: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t xml:space="preserve"> </w:t>
      </w:r>
      <w:r>
        <w:t xml:space="preserve">falls steadily with rising</w:t>
      </w:r>
      <w:r>
        <w:t xml:space="preserve"> </w:t>
      </w:r>
      <m:oMath>
        <m:r>
          <m:t>σ</m:t>
        </m:r>
      </m:oMath>
      <w:r>
        <w:t xml:space="preserve"> </w:t>
      </w:r>
      <w:r>
        <w:t xml:space="preserve">across the range we use, because aggregation costs do not depend on</w:t>
      </w:r>
      <w:r>
        <w:t xml:space="preserve"> </w:t>
      </w:r>
      <m:oMath>
        <m:r>
          <m:t>σ</m:t>
        </m:r>
      </m:oMath>
      <w:r>
        <w:t xml:space="preserve"> </w:t>
      </w:r>
      <w:r>
        <w:t xml:space="preserve">while shortfall vulnerability rises faster for independents than for aggregators (since the cooperation network buffers some of the loss). We verified this single-crossing behavior numerically; there are no cases of multiple thresholds. At zero ecotone advantage and 25 bands,</w:t>
      </w:r>
      <w:r>
        <w:t xml:space="preserve"> </w:t>
      </w:r>
      <m:oMath>
        <m:sSup>
          <m:e>
            <m:r>
              <m:t>σ</m:t>
            </m:r>
          </m:e>
          <m:sup>
            <m:r>
              <m:rPr>
                <m:sty m:val="p"/>
              </m:rPr>
              <m:t>*</m:t>
            </m:r>
          </m:sup>
        </m:sSup>
        <m:r>
          <m:rPr>
            <m:sty m:val="p"/>
          </m:rPr>
          <m:t>≈</m:t>
        </m:r>
        <m:r>
          <m:t>0.57</m:t>
        </m:r>
      </m:oMath>
      <w:r>
        <w:t xml:space="preserve">. With moderate ecotone advantage (</w:t>
      </w:r>
      <m:oMath>
        <m:r>
          <m:t>ε</m:t>
        </m:r>
        <m:r>
          <m:rPr>
            <m:sty m:val="p"/>
          </m:rPr>
          <m:t>=</m:t>
        </m:r>
        <m:r>
          <m:t>0.35</m:t>
        </m:r>
      </m:oMath>
      <w:r>
        <w:t xml:space="preserve">),</w:t>
      </w:r>
      <w:r>
        <w:t xml:space="preserve"> </w:t>
      </w:r>
      <m:oMath>
        <m:sSup>
          <m:e>
            <m:r>
              <m:t>σ</m:t>
            </m:r>
          </m:e>
          <m:sup>
            <m:r>
              <m:rPr>
                <m:sty m:val="p"/>
              </m:rPr>
              <m:t>*</m:t>
            </m:r>
          </m:sup>
        </m:sSup>
        <m:r>
          <m:rPr>
            <m:sty m:val="p"/>
          </m:rPr>
          <m:t>≈</m:t>
        </m:r>
        <m:r>
          <m:t>0.40</m:t>
        </m:r>
      </m:oMath>
      <w:r>
        <w:t xml:space="preserve">; with stronger ecotone access (</w:t>
      </w:r>
      <m:oMath>
        <m:r>
          <m:t>ε</m:t>
        </m:r>
        <m:r>
          <m:rPr>
            <m:sty m:val="p"/>
          </m:rPr>
          <m:t>=</m:t>
        </m:r>
        <m:r>
          <m:t>0.49</m:t>
        </m:r>
      </m:oMath>
      <w:r>
        <w:t xml:space="preserve">),</w:t>
      </w:r>
      <w:r>
        <w:t xml:space="preserve"> </w:t>
      </w:r>
      <m:oMath>
        <m:sSup>
          <m:e>
            <m:r>
              <m:t>σ</m:t>
            </m:r>
          </m:e>
          <m:sup>
            <m:r>
              <m:rPr>
                <m:sty m:val="p"/>
              </m:rPr>
              <m:t>*</m:t>
            </m:r>
          </m:sup>
        </m:sSup>
        <m:r>
          <m:rPr>
            <m:sty m:val="p"/>
          </m:rPr>
          <m:t>≈</m:t>
        </m:r>
        <m:r>
          <m:t>0.36</m:t>
        </m:r>
      </m:oMath>
      <w:r>
        <w:t xml:space="preserve">. Lower thresholds mean aggregation becomes adaptive under milder environmental uncertainty.</w:t>
      </w:r>
    </w:p>
    <w:p>
      <w:pPr>
        <w:pStyle w:val="BodyText"/>
      </w:pPr>
      <w:r>
        <w:t xml:space="preserve">The cooperation network feeds back on itself, which is what makes the transition at</w:t>
      </w:r>
      <w:r>
        <w:t xml:space="preserve"> </w:t>
      </w:r>
      <m:oMath>
        <m:sSup>
          <m:e>
            <m:r>
              <m:t>σ</m:t>
            </m:r>
          </m:e>
          <m:sup>
            <m:r>
              <m:rPr>
                <m:sty m:val="p"/>
              </m:rPr>
              <m:t>*</m:t>
            </m:r>
          </m:sup>
        </m:sSup>
      </m:oMath>
      <w:r>
        <w:t xml:space="preserve"> </w:t>
      </w:r>
      <w:r>
        <w:t xml:space="preserve">sharp rather than gradual. In plain terms, more investment in monuments builds a larger network of cooperative partners. A larger network reduces how exposed each band is to bad years, lower exposure makes signaling more rewarding, and higher reward draws more monument investment. The four steps form a closed loop, and the loop has the property that small differences in initial conditions can amplify into qualitatively different long-run behavior, producing either a population stuck at low investment or one stuck at high investment with little in between.</w:t>
      </w:r>
    </w:p>
    <w:p>
      <w:pPr>
        <w:pStyle w:val="BodyText"/>
      </w:pPr>
      <w:r>
        <w:t xml:space="preserve">Monument investment builds an effective monument stock</w:t>
      </w:r>
      <w:r>
        <w:t xml:space="preserve"> </w:t>
      </w:r>
      <m:oMath>
        <m:sSub>
          <m:e>
            <m:r>
              <m:t>M</m:t>
            </m:r>
          </m:e>
          <m:sub>
            <m:r>
              <m:t>g</m:t>
            </m:r>
          </m:sub>
        </m:sSub>
      </m:oMath>
      <w:r>
        <w:t xml:space="preserve">;</w:t>
      </w:r>
      <w:r>
        <w:t xml:space="preserve"> </w:t>
      </w:r>
      <m:oMath>
        <m:sSub>
          <m:e>
            <m:r>
              <m:t>M</m:t>
            </m:r>
          </m:e>
          <m:sub>
            <m:r>
              <m:t>g</m:t>
            </m:r>
          </m:sub>
        </m:sSub>
      </m:oMath>
      <w:r>
        <w:t xml:space="preserve"> </w:t>
      </w:r>
      <w:r>
        <w:t xml:space="preserve">attracts cooperation partners through a saturating function</w:t>
      </w:r>
      <w:r>
        <w:t xml:space="preserve"> </w:t>
      </w: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rPr>
                <m:sty m:val="p"/>
              </m:rPr>
              <m:t>max</m:t>
            </m:r>
          </m:sub>
        </m:sSub>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r>
        <w:t xml:space="preserve">. This functional form (sometimes called Michaelis-Menten) has the property that partners are recruited steadily at low stock and then plateau</w:t>
      </w:r>
      <w:r>
        <w:t xml:space="preserve"> </w:t>
      </w:r>
      <m:oMath>
        <m:sSub>
          <m:e>
            <m:r>
              <m:t>k</m:t>
            </m:r>
          </m:e>
          <m:sub>
            <m:r>
              <m:t>0</m:t>
            </m:r>
          </m:sub>
        </m:sSub>
        <m:r>
          <m:rPr>
            <m:sty m:val="p"/>
          </m:rPr>
          <m:t>+</m:t>
        </m:r>
        <m:sSub>
          <m:e>
            <m:r>
              <m:t>k</m:t>
            </m:r>
          </m:e>
          <m:sub>
            <m:r>
              <m:rPr>
                <m:sty m:val="p"/>
              </m:rPr>
              <m:t>max</m:t>
            </m:r>
          </m:sub>
        </m:sSub>
      </m:oMath>
      <w:r>
        <w:t xml:space="preserve"> </w:t>
      </w:r>
      <w:r>
        <w:t xml:space="preserve">as the maximum capacity is reached. A larger network reduces vulnerability through</w:t>
      </w:r>
      <w:r>
        <w:t xml:space="preserve"> </w:t>
      </w:r>
      <m:oMath>
        <m:r>
          <m:t>α</m:t>
        </m:r>
        <m:r>
          <m:rPr>
            <m:sty m:val="p"/>
          </m:rPr>
          <m:t>(</m:t>
        </m:r>
        <m:r>
          <m:t>k</m:t>
        </m:r>
        <m:r>
          <m:rPr>
            <m:sty m:val="p"/>
          </m:rPr>
          <m:t>)</m:t>
        </m:r>
      </m:oMath>
      <w:r>
        <w:t xml:space="preserve">. Lower vulnerability raises the cooperation-network component of the total signaling incentive</w:t>
      </w:r>
      <w:r>
        <w:t xml:space="preserve"> </w:t>
      </w:r>
      <m:oMath>
        <m:r>
          <m:t>λ</m:t>
        </m:r>
      </m:oMath>
      <w:r>
        <w:t xml:space="preserve">. Higher</w:t>
      </w:r>
      <w:r>
        <w:t xml:space="preserve"> </w:t>
      </w:r>
      <m:oMath>
        <m:r>
          <m:t>λ</m:t>
        </m:r>
      </m:oMath>
      <w:r>
        <w:t xml:space="preserve"> </w:t>
      </w:r>
      <w:r>
        <w:t xml:space="preserve">raises the optimal level of signaling investment, building more monuments. The four steps form a closed loop in which</w:t>
      </w:r>
      <w:r>
        <w:t xml:space="preserve"> </w:t>
      </w:r>
      <m:oMath>
        <m:r>
          <m:t>λ</m:t>
        </m:r>
      </m:oMath>
      <w:r>
        <w:t xml:space="preserve"> </w:t>
      </w:r>
      <w:r>
        <w:t xml:space="preserve">depends on</w:t>
      </w:r>
      <w:r>
        <w:t xml:space="preserve"> </w:t>
      </w:r>
      <m:oMath>
        <m:sSub>
          <m:e>
            <m:r>
              <m:t>M</m:t>
            </m:r>
          </m:e>
          <m:sub>
            <m:r>
              <m:t>g</m:t>
            </m:r>
          </m:sub>
        </m:sSub>
      </m:oMath>
      <w:r>
        <w:t xml:space="preserve"> </w:t>
      </w:r>
      <w:r>
        <w:t xml:space="preserve">and</w:t>
      </w:r>
      <w:r>
        <w:t xml:space="preserve"> </w:t>
      </w:r>
      <m:oMath>
        <m:sSub>
          <m:e>
            <m:r>
              <m:t>M</m:t>
            </m:r>
          </m:e>
          <m:sub>
            <m:r>
              <m:t>g</m:t>
            </m:r>
          </m:sub>
        </m:sSub>
      </m:oMath>
      <w:r>
        <w:t xml:space="preserve"> </w:t>
      </w:r>
      <w:r>
        <w:t xml:space="preserve">depends on</w:t>
      </w:r>
      <w:r>
        <w:t xml:space="preserve"> </w:t>
      </w:r>
      <m:oMath>
        <m:r>
          <m:t>λ</m:t>
        </m:r>
      </m:oMath>
      <w:r>
        <w:t xml:space="preserve">. We solve this loop computationally by what mathematicians call</w:t>
      </w:r>
      <w:r>
        <w:t xml:space="preserve"> </w:t>
      </w:r>
      <w:r>
        <w:rPr>
          <w:i/>
          <w:iCs/>
        </w:rPr>
        <w:t xml:space="preserve">fixed-point iteration</w:t>
      </w:r>
      <w:r>
        <w:t xml:space="preserve">: pick a starting value for</w:t>
      </w:r>
      <w:r>
        <w:t xml:space="preserve"> </w:t>
      </w:r>
      <m:oMath>
        <m:r>
          <m:t>λ</m:t>
        </m:r>
      </m:oMath>
      <w:r>
        <w:t xml:space="preserve">, compute the monument stock that value implies, recompute</w:t>
      </w:r>
      <w:r>
        <w:t xml:space="preserve"> </w:t>
      </w:r>
      <m:oMath>
        <m:r>
          <m:t>λ</m:t>
        </m:r>
      </m:oMath>
      <w:r>
        <w:t xml:space="preserve"> </w:t>
      </w:r>
      <w:r>
        <w:t xml:space="preserve">from that stock, and repeat until the value stops changing. The</w:t>
      </w:r>
      <w:r>
        <w:t xml:space="preserve"> </w:t>
      </w:r>
      <w:r>
        <w:t xml:space="preserve">“fixed point”</w:t>
      </w:r>
      <w:r>
        <w:t xml:space="preserve"> </w:t>
      </w:r>
      <w:r>
        <w:t xml:space="preserve">is the value of</w:t>
      </w:r>
      <w:r>
        <w:t xml:space="preserve"> </w:t>
      </w:r>
      <m:oMath>
        <m:r>
          <m:t>λ</m:t>
        </m:r>
      </m:oMath>
      <w:r>
        <w:t xml:space="preserve"> </w:t>
      </w:r>
      <w:r>
        <w:t xml:space="preserve">that produces itself when fed back through the loop. To prevent the iteration from overshooting and oscillating, each new estimate is set to a 50/50 average of the most recent estimate and the previous one (standard numerical damping). We stop when successive estimates differ by less than</w:t>
      </w:r>
      <w:r>
        <w:t xml:space="preserve"> </w:t>
      </w:r>
      <m:oMath>
        <m:sSup>
          <m:e>
            <m:r>
              <m:t>10</m:t>
            </m:r>
          </m:e>
          <m:sup>
            <m:r>
              <m:rPr>
                <m:sty m:val="p"/>
              </m:rPr>
              <m:t>−</m:t>
            </m:r>
            <m:r>
              <m:t>6</m:t>
            </m:r>
          </m:sup>
        </m:sSup>
      </m:oMath>
      <w:r>
        <w:t xml:space="preserve">. Across a 30-point sweep of</w:t>
      </w:r>
      <w:r>
        <w:t xml:space="preserve"> </w:t>
      </w:r>
      <m:oMath>
        <m:r>
          <m:t>σ</m:t>
        </m:r>
      </m:oMath>
      <w:r>
        <w:t xml:space="preserve"> </w:t>
      </w:r>
      <w:r>
        <w:t xml:space="preserve">from 0.10 to 0.95, the iteration converges in 18 steps every time, and runs starting from very different initial values at</w:t>
      </w:r>
      <w:r>
        <w:t xml:space="preserve"> </w:t>
      </w:r>
      <m:oMath>
        <m:r>
          <m:t>σ</m:t>
        </m:r>
        <m:r>
          <m:rPr>
            <m:sty m:val="p"/>
          </m:rPr>
          <m:t>∈</m:t>
        </m:r>
        <m:r>
          <m:rPr>
            <m:sty m:val="p"/>
          </m:rPr>
          <m:t>{</m:t>
        </m:r>
        <m:r>
          <m:t>0.30</m:t>
        </m:r>
        <m:r>
          <m:rPr>
            <m:sty m:val="p"/>
          </m:rPr>
          <m:t>,</m:t>
        </m:r>
        <m:r>
          <m:t>0.50</m:t>
        </m:r>
        <m:r>
          <m:rPr>
            <m:sty m:val="p"/>
          </m:rPr>
          <m:t>,</m:t>
        </m:r>
        <m:r>
          <m:t>0.70</m:t>
        </m:r>
        <m:r>
          <m:rPr>
            <m:sty m:val="p"/>
          </m:rPr>
          <m:t>}</m:t>
        </m:r>
      </m:oMath>
      <w:r>
        <w:t xml:space="preserve"> </w:t>
      </w:r>
      <w:r>
        <w:t xml:space="preserve">all reach the same monument stock to within 1 part in</w:t>
      </w:r>
      <w:r>
        <w:t xml:space="preserve"> </w:t>
      </w:r>
      <m:oMath>
        <m:sSup>
          <m:e>
            <m:r>
              <m:t>10</m:t>
            </m:r>
          </m:e>
          <m:sup>
            <m:r>
              <m:t>4</m:t>
            </m:r>
          </m:sup>
        </m:sSup>
      </m:oMath>
      <w:r>
        <w:t xml:space="preserve">. The equilibrium is therefore unique at the parameter values we use; the answer the model returns does not depend on the analyst’s starting guess.</w:t>
      </w:r>
    </w:p>
    <w:p>
      <w:pPr>
        <w:pStyle w:val="BodyText"/>
      </w:pPr>
      <w:r>
        <w:drawing>
          <wp:inline>
            <wp:extent cx="5943600" cy="2394556"/>
            <wp:effectExtent b="0" l="0" r="0" t="0"/>
            <wp:docPr descr="" title="" id="27" name="Picture"/>
            <a:graphic>
              <a:graphicData uri="http://schemas.openxmlformats.org/drawingml/2006/picture">
                <pic:pic>
                  <pic:nvPicPr>
                    <pic:cNvPr descr="../../figures/manuscript/figure_05_fitness_crossover.png" id="28" name="Picture"/>
                    <pic:cNvPicPr>
                      <a:picLocks noChangeArrowheads="1" noChangeAspect="1"/>
                    </pic:cNvPicPr>
                  </pic:nvPicPr>
                  <pic:blipFill>
                    <a:blip r:embed="rId26"/>
                    <a:stretch>
                      <a:fillRect/>
                    </a:stretch>
                  </pic:blipFill>
                  <pic:spPr bwMode="auto">
                    <a:xfrm>
                      <a:off x="0" y="0"/>
                      <a:ext cx="5943600" cy="2394556"/>
                    </a:xfrm>
                    <a:prstGeom prst="rect">
                      <a:avLst/>
                    </a:prstGeom>
                    <a:noFill/>
                    <a:ln w="9525">
                      <a:noFill/>
                      <a:headEnd/>
                      <a:tailEnd/>
                    </a:ln>
                  </pic:spPr>
                </pic:pic>
              </a:graphicData>
            </a:graphic>
          </wp:inline>
        </w:drawing>
      </w:r>
    </w:p>
    <w:p>
      <w:pPr>
        <w:pStyle w:val="BodyText"/>
      </w:pPr>
      <w:r>
        <w:rPr>
          <w:b/>
          <w:bCs/>
          <w:i/>
          <w:iCs/>
        </w:rPr>
        <w:t xml:space="preserve">Figure 5. Fitness crossover and the critical threshold.</w:t>
      </w:r>
      <w:r>
        <w:t xml:space="preserve"> </w:t>
      </w:r>
      <w:r>
        <w:rPr>
          <w:i/>
          <w:iCs/>
        </w:rPr>
        <w:t xml:space="preserve">Expected fitness for aggregator (orange) and independent (purple) strategies as a function of environmental uncertainty</w:t>
      </w:r>
      <w:r>
        <w:t xml:space="preserve"> </w:t>
      </w:r>
      <m:oMath>
        <m:r>
          <m:t>σ</m:t>
        </m:r>
      </m:oMath>
      <w:r>
        <w:rPr>
          <w:i/>
          <w:iCs/>
        </w:rPr>
        <w:t xml:space="preserve">. The strategies cross at</w:t>
      </w:r>
      <w:r>
        <w:t xml:space="preserve"> </w:t>
      </w:r>
      <m:oMath>
        <m:sSup>
          <m:e>
            <m:r>
              <m:t>σ</m:t>
            </m:r>
          </m:e>
          <m:sup>
            <m:r>
              <m:rPr>
                <m:sty m:val="p"/>
              </m:rPr>
              <m:t>*</m:t>
            </m:r>
          </m:sup>
        </m:sSup>
        <m:r>
          <m:rPr>
            <m:sty m:val="p"/>
          </m:rPr>
          <m:t>≈</m:t>
        </m:r>
        <m:r>
          <m:t>0.40</m:t>
        </m:r>
      </m:oMath>
      <w:r>
        <w:t xml:space="preserve"> </w:t>
      </w:r>
      <w:r>
        <w:rPr>
          <w:i/>
          <w:iCs/>
        </w:rPr>
        <w:t xml:space="preserve">given a given moderate ecotone advantage (</w:t>
      </w:r>
      <m:oMath>
        <m:r>
          <m:t>ε</m:t>
        </m:r>
        <m:r>
          <m:rPr>
            <m:sty m:val="p"/>
          </m:rPr>
          <m:t>=</m:t>
        </m:r>
        <m:r>
          <m:t>0.35</m:t>
        </m:r>
      </m:oMath>
      <w:r>
        <w:rPr>
          <w:i/>
          <w:iCs/>
        </w:rPr>
        <w:t xml:space="preserve">). Below</w:t>
      </w:r>
      <w:r>
        <w:t xml:space="preserve"> </w:t>
      </w:r>
      <m:oMath>
        <m:sSup>
          <m:e>
            <m:r>
              <m:t>σ</m:t>
            </m:r>
          </m:e>
          <m:sup>
            <m:r>
              <m:rPr>
                <m:sty m:val="p"/>
              </m:rPr>
              <m:t>*</m:t>
            </m:r>
          </m:sup>
        </m:sSup>
      </m:oMath>
      <w:r>
        <w:rPr>
          <w:i/>
          <w:iCs/>
        </w:rPr>
        <w:t xml:space="preserve">, the independent strategy yields a higher expected fitness. Above</w:t>
      </w:r>
      <w:r>
        <w:t xml:space="preserve"> </w:t>
      </w:r>
      <m:oMath>
        <m:sSup>
          <m:e>
            <m:r>
              <m:t>σ</m:t>
            </m:r>
          </m:e>
          <m:sup>
            <m:r>
              <m:rPr>
                <m:sty m:val="p"/>
              </m:rPr>
              <m:t>*</m:t>
            </m:r>
          </m:sup>
        </m:sSup>
      </m:oMath>
      <w:r>
        <w:rPr>
          <w:i/>
          <w:iCs/>
        </w:rPr>
        <w:t xml:space="preserve">, the aggregator strategy does. The fitness difference</w:t>
      </w:r>
      <w:r>
        <w:t xml:space="preserve"> </w:t>
      </w:r>
      <m:oMath>
        <m:sSub>
          <m:e>
            <m:r>
              <m:t>W</m:t>
            </m:r>
          </m:e>
          <m:sub>
            <m:r>
              <m:t>a</m:t>
            </m:r>
            <m:r>
              <m:t>g</m:t>
            </m:r>
            <m:r>
              <m:t>g</m:t>
            </m:r>
          </m:sub>
        </m:sSub>
        <m:r>
          <m:rPr>
            <m:sty m:val="p"/>
          </m:rPr>
          <m:t>−</m:t>
        </m:r>
        <m:sSub>
          <m:e>
            <m:r>
              <m:t>W</m:t>
            </m:r>
          </m:e>
          <m:sub>
            <m:r>
              <m:t>i</m:t>
            </m:r>
            <m:r>
              <m:t>n</m:t>
            </m:r>
            <m:r>
              <m:t>d</m:t>
            </m:r>
          </m:sub>
        </m:sSub>
      </m:oMath>
      <w:r>
        <w:t xml:space="preserve"> </w:t>
      </w:r>
      <w:r>
        <w:rPr>
          <w:i/>
          <w:iCs/>
        </w:rPr>
        <w:t xml:space="preserve">is monotonically decreasing in</w:t>
      </w:r>
      <w:r>
        <w:t xml:space="preserve"> </w:t>
      </w:r>
      <m:oMath>
        <m:r>
          <m:t>σ</m:t>
        </m:r>
      </m:oMath>
      <w:r>
        <w:rPr>
          <w:i/>
          <w:iCs/>
        </w:rPr>
        <w:t xml:space="preserve">, so the threshold is unique.</w:t>
      </w:r>
    </w:p>
    <w:bookmarkEnd w:id="29"/>
    <w:bookmarkEnd w:id="30"/>
    <w:bookmarkStart w:id="34" w:name="the-agent-based-model"/>
    <w:p>
      <w:pPr>
        <w:pStyle w:val="Heading2"/>
      </w:pPr>
      <w:r>
        <w:t xml:space="preserve">3. The agent-based model</w:t>
      </w:r>
    </w:p>
    <w:p>
      <w:pPr>
        <w:pStyle w:val="FirstParagraph"/>
      </w:pPr>
      <w:r>
        <w:t xml:space="preserve">The analytical framework laid out in §2 derives an equilibrium prediction from four specified mechanisms: signal-conditional partner formation, cooperation-network buffering, ecotone-mediated effective uncertainty, and the lambda-sigma feedback that fixes the critical threshold. What it does not establish is whether those mechanisms, when operating together as a dynamic system rather than at analytical equilibrium, actually produce the aggregate behavior the theory predicts. This is what Lewontin (1974) calls</w:t>
      </w:r>
      <w:r>
        <w:t xml:space="preserve"> </w:t>
      </w:r>
      <w:r>
        <w:rPr>
          <w:i/>
          <w:iCs/>
        </w:rPr>
        <w:t xml:space="preserve">dynamic sufficiency</w:t>
      </w:r>
      <w:r>
        <w:t xml:space="preserve">: whether a model’s specified state variables and transition rules contain enough machinery to generate the behavior the theory attributes to it. Dynamic sufficiency is distinct from</w:t>
      </w:r>
      <w:r>
        <w:t xml:space="preserve"> </w:t>
      </w:r>
      <w:r>
        <w:rPr>
          <w:i/>
          <w:iCs/>
        </w:rPr>
        <w:t xml:space="preserve">empirical sufficiency</w:t>
      </w:r>
      <w:r>
        <w:t xml:space="preserve">, the question of whether the theory accounts for the observed archaeological record. Both are necessary for an account to be persuasive, and they are addressed in different parts of this article: dynamic sufficiency in §4, empirical sufficiency in §6.</w:t>
      </w:r>
    </w:p>
    <w:p>
      <w:pPr>
        <w:pStyle w:val="BodyText"/>
      </w:pPr>
      <w:r>
        <w:t xml:space="preserve">The agent-based model addresses the dynamic-sufficiency question. It implements the framework’s individual-level mechanisms as agent-level rules and asks whether the aggregate-level patterns predicted by the theory (the sharp phase transition near</w:t>
      </w:r>
      <w:r>
        <w:t xml:space="preserve"> </w:t>
      </w:r>
      <m:oMath>
        <m:sSup>
          <m:e>
            <m:r>
              <m:t>σ</m:t>
            </m:r>
          </m:e>
          <m:sup>
            <m:r>
              <m:rPr>
                <m:sty m:val="p"/>
              </m:rPr>
              <m:t>*</m:t>
            </m:r>
          </m:sup>
        </m:sSup>
      </m:oMath>
      <w:r>
        <w:t xml:space="preserve">, the lock-in dynamics in the bistable zone, the self-sustaining feedback between monument accumulation and network buffering) actually emerge from those rules under stochastic, finite-population, spatially explicit conditions. The analytical equilibrium predictions could fail at the dynamic level for several reasons: stochastic fluctuations could erase the threshold, finite-population effects could prevent the network feedback from establishing itself, or the ordering of agent decisions could matter in ways that the analytical derivation hides. The ABM tests directly whether the analytical predictions hold up under these complications. If they do, the framework passes the dynamic-sufficiency test: the mechanisms the theory specifies are sufficient, when implemented dynamically, to produce the behavior the theory attributes to them. Whether they also account for the Late Archaic LMV record is the empirical-sufficiency question taken up in §6.</w:t>
      </w:r>
    </w:p>
    <w:p>
      <w:pPr>
        <w:pStyle w:val="BodyText"/>
      </w:pPr>
      <w:r>
        <w:t xml:space="preserve">We implemented the framework as an agent-based model in Python. In this model, individual hunter-gatherer bands interact with each other and with their environment over simulated years, and population-level outcomes (i.e., monument volume, exotic-goods totals) emerge from accumulated decisions rather than being assumed in advance. The model integrates three modules: an</w:t>
      </w:r>
      <w:r>
        <w:t xml:space="preserve"> </w:t>
      </w:r>
      <w:r>
        <w:rPr>
          <w:b/>
          <w:bCs/>
        </w:rPr>
        <w:t xml:space="preserve">environment module</w:t>
      </w:r>
      <w:r>
        <w:t xml:space="preserve"> </w:t>
      </w:r>
      <w:r>
        <w:t xml:space="preserve">representing a heterogeneous four-zone landscape with seasonal cycles and stochastic shortfalls; an</w:t>
      </w:r>
      <w:r>
        <w:t xml:space="preserve"> </w:t>
      </w:r>
      <w:r>
        <w:rPr>
          <w:b/>
          <w:bCs/>
        </w:rPr>
        <w:t xml:space="preserve">agent module</w:t>
      </w:r>
      <w:r>
        <w:t xml:space="preserve"> </w:t>
      </w:r>
      <w:r>
        <w:t xml:space="preserve">implementing band-level state (i.e., location, resources, monument investment, exotic holdings, obligation network), annual strategy choice (best-response between aggregator and independent), action execution, and reproduction (i.e., births and deaths weighted by fitness, fission at band size &gt; 30); and a</w:t>
      </w:r>
      <w:r>
        <w:t xml:space="preserve"> </w:t>
      </w:r>
      <w:r>
        <w:rPr>
          <w:b/>
          <w:bCs/>
        </w:rPr>
        <w:t xml:space="preserve">simulation controller</w:t>
      </w:r>
      <w:r>
        <w:t xml:space="preserve"> </w:t>
      </w:r>
      <w:r>
        <w:t xml:space="preserve">orchestrating the annual aggregation-dispersal cycle.</w:t>
      </w:r>
    </w:p>
    <w:p>
      <w:pPr>
        <w:pStyle w:val="BodyText"/>
      </w:pPr>
      <w:r>
        <w:t xml:space="preserve">For readers familiar with the ODD protocol (Grimm et al. 2010), the model summary is as follows. The time step is one year, partitioned into a four-phase annual cycle of spring dispersal, summer aggregation, fall harvest, and winter reproduction. All bands act synchronously within each phase, evaluating and updating their state simultaneously, so that early-acting bands do not condition the choices available to later-acting ones. Once per simulated year, each band chooses between the aggregator strategy (investing in costly displays and obligation ties) and the independent strategy (foregoing display and relying on local production). The choice is a response to the fitness functions defined in §2.4, evaluated against the population state at the start of that year (the prevailing mix of strategies, network density, and recent shortfall history). Bands do not always pick the higher-payoff option; they choose probabilistically using a softmax rule in which the probability of selecting strategy</w:t>
      </w:r>
      <w:r>
        <w:t xml:space="preserve"> </w:t>
      </w:r>
      <m:oMath>
        <m:r>
          <m:t>i</m:t>
        </m:r>
      </m:oMath>
      <w:r>
        <w:t xml:space="preserve"> </w:t>
      </w:r>
      <w:r>
        <w:t xml:space="preserve">is proportional to</w:t>
      </w:r>
      <w:r>
        <w:t xml:space="preserve"> </w:t>
      </w:r>
      <m:oMath>
        <m:r>
          <m:t>e</m:t>
        </m:r>
        <m:r>
          <m:t>x</m:t>
        </m:r>
        <m:r>
          <m:t>p</m:t>
        </m:r>
        <m:r>
          <m:rPr>
            <m:sty m:val="p"/>
          </m:rPr>
          <m:t>(</m:t>
        </m:r>
        <m:sSub>
          <m:e>
            <m:r>
              <m:t>W</m:t>
            </m:r>
          </m:e>
          <m:sub>
            <m:r>
              <m:t>i</m:t>
            </m:r>
          </m:sub>
        </m:sSub>
        <m:r>
          <m:rPr>
            <m:sty m:val="p"/>
          </m:rPr>
          <m:t>/</m:t>
        </m:r>
        <m:r>
          <m:t>τ</m:t>
        </m:r>
        <m:r>
          <m:rPr>
            <m:sty m:val="p"/>
          </m:rPr>
          <m:t>)</m:t>
        </m:r>
      </m:oMath>
      <w:r>
        <w:t xml:space="preserve">, where</w:t>
      </w:r>
      <w:r>
        <w:t xml:space="preserve"> </w:t>
      </w:r>
      <m:oMath>
        <m:sSub>
          <m:e>
            <m:r>
              <m:t>W</m:t>
            </m:r>
          </m:e>
          <m:sub>
            <m:r>
              <m:t>i</m:t>
            </m:r>
          </m:sub>
        </m:sSub>
      </m:oMath>
      <w:r>
        <w:t xml:space="preserve"> </w:t>
      </w:r>
      <w:r>
        <w:t xml:space="preserve">is its expected fitness and</w:t>
      </w:r>
      <w:r>
        <w:t xml:space="preserve"> </w:t>
      </w:r>
      <m:oMath>
        <m:r>
          <m:t>τ</m:t>
        </m:r>
      </m:oMath>
      <w:r>
        <w:t xml:space="preserve"> </w:t>
      </w:r>
      <w:r>
        <w:t xml:space="preserve">controls how sharply the rule discriminates between options (low</w:t>
      </w:r>
      <w:r>
        <w:t xml:space="preserve"> </w:t>
      </w:r>
      <m:oMath>
        <m:r>
          <m:t>τ</m:t>
        </m:r>
      </m:oMath>
      <w:r>
        <w:t xml:space="preserve"> </w:t>
      </w:r>
      <w:r>
        <w:t xml:space="preserve">produces near-deterministic choice; high</w:t>
      </w:r>
      <w:r>
        <w:t xml:space="preserve"> </w:t>
      </w:r>
      <m:oMath>
        <m:r>
          <m:t>τ</m:t>
        </m:r>
      </m:oMath>
      <w:r>
        <w:t xml:space="preserve"> </w:t>
      </w:r>
      <w:r>
        <w:t xml:space="preserve">produces nearly random choice). We use a low value (</w:t>
      </w:r>
      <m:oMath>
        <m:r>
          <m:t>τ</m:t>
        </m:r>
        <m:r>
          <m:rPr>
            <m:sty m:val="p"/>
          </m:rPr>
          <m:t>=</m:t>
        </m:r>
        <m:r>
          <m:t>0.1</m:t>
        </m:r>
      </m:oMath>
      <w:r>
        <w:t xml:space="preserve">), so bands are strongly biased toward the higher-payoff strategy but occasionally choose the lower-payoff one. This small amount of decision noise prevents the unrealistic case in which all bands switch strategies in lockstep the moment expected payoffs cross, and it generates path dependence near the critical threshold where the two strategies have nearly equal expected fitness. In that zone, the early stochastic choices of a few bands shift the population state, altering the fitness landscape that subsequent decisions face, and producing the lock-in and hysteresis effects characteristic of real cultural transitions. Births and deaths are weighted by realized fitness. Bands fission deterministically at size 30, with daughter bands inheriting the parent band’s monument-investment history and obligation network at half weight. Stochasticity enters through annual environmental shortfall draws (Bernoulli with frequency 1/T, magnitude m), the softmax decision noise just described, and random initial obligation-network seeding. The complete ODD specification, submodel equations, and source code documentation are in Supplemental §S1.</w:t>
      </w:r>
    </w:p>
    <w:p>
      <w:pPr>
        <w:pStyle w:val="BodyText"/>
      </w:pPr>
      <w:r>
        <w:t xml:space="preserve">The four resource zones are: (1) aquatic resources (e.g., floodplain fish, summer waterfowl, and overwintering ducks November-March, with peaks during spring and fall flyway migrations); (2) terrestrial game (e.g., deer and other mammals, peaking in fall-winter); (3) mast resources (hickory and acorn, with a sharp fall peak); and (4) ecotone-edge resources providing moderate but stable year-round productivity. Each zone has its own seasonal productivity profile. The staggered seasonal peaks are what create the multi-zone buffering effect captured by the ecotone advantage parameter</w:t>
      </w:r>
      <w:r>
        <w:t xml:space="preserve"> </w:t>
      </w:r>
      <m:oMath>
        <m:r>
          <m:t>ε</m:t>
        </m:r>
      </m:oMath>
      <w:r>
        <w:t xml:space="preserve">.</w:t>
      </w:r>
    </w:p>
    <w:p>
      <w:pPr>
        <w:pStyle w:val="BodyText"/>
      </w:pPr>
      <w:r>
        <w:t xml:space="preserve">Stochastic shortfalls (e.g., drought years, exceptional floods, mast-crop failures) are characterized by two parameters: how often they occur (</w:t>
      </w:r>
      <w:r>
        <w:rPr>
          <w:i/>
          <w:iCs/>
        </w:rPr>
        <w:t xml:space="preserve">recurrence frequency</w:t>
      </w:r>
      <w:r>
        <w:t xml:space="preserve">) and how badly they reduce productivity when they occur (</w:t>
      </w:r>
      <w:r>
        <w:rPr>
          <w:i/>
          <w:iCs/>
        </w:rPr>
        <w:t xml:space="preserve">magnitude</w:t>
      </w:r>
      <w:r>
        <w:t xml:space="preserve">). The model collapses these two into a single composite uncertainty index,</w:t>
      </w:r>
      <w:r>
        <w:t xml:space="preserve"> </w:t>
      </w:r>
      <m:oMath>
        <m:r>
          <m:t>σ</m:t>
        </m:r>
        <m:r>
          <m:rPr>
            <m:sty m:val="p"/>
          </m:rPr>
          <m:t>=</m:t>
        </m:r>
        <m:r>
          <m:t>m</m:t>
        </m:r>
        <m:r>
          <m:rPr>
            <m:sty m:val="p"/>
          </m:rPr>
          <m:t>⋅</m:t>
        </m:r>
        <m:rad>
          <m:radPr>
            <m:degHide m:val="on"/>
          </m:radPr>
          <m:deg/>
          <m:e>
            <m:r>
              <m:t>20</m:t>
            </m:r>
            <m:r>
              <m:rPr>
                <m:sty m:val="p"/>
              </m:rPr>
              <m:t>/</m:t>
            </m:r>
            <m:r>
              <m:t>T</m:t>
            </m:r>
          </m:e>
        </m:rad>
      </m:oMath>
      <w:r>
        <w:t xml:space="preserve">, where</w:t>
      </w:r>
      <w:r>
        <w:t xml:space="preserve"> </w:t>
      </w:r>
      <m:oMath>
        <m:r>
          <m:t>m</m:t>
        </m:r>
      </m:oMath>
      <w:r>
        <w:t xml:space="preserve"> </w:t>
      </w:r>
      <w:r>
        <w:t xml:space="preserve">is the average proportional productivity loss in a shortfall year (so</w:t>
      </w:r>
      <w:r>
        <w:t xml:space="preserve"> </w:t>
      </w:r>
      <m:oMath>
        <m:r>
          <m:t>m</m:t>
        </m:r>
        <m:r>
          <m:rPr>
            <m:sty m:val="p"/>
          </m:rPr>
          <m:t>=</m:t>
        </m:r>
        <m:r>
          <m:t>0.45</m:t>
        </m:r>
      </m:oMath>
      <w:r>
        <w:t xml:space="preserve"> </w:t>
      </w:r>
      <w:r>
        <w:t xml:space="preserve">means a shortfall year delivers 55% of normal productivity) and</w:t>
      </w:r>
      <w:r>
        <w:t xml:space="preserve"> </w:t>
      </w:r>
      <m:oMath>
        <m:r>
          <m:t>T</m:t>
        </m:r>
      </m:oMath>
      <w:r>
        <w:t xml:space="preserve"> </w:t>
      </w:r>
      <w:r>
        <w:t xml:space="preserve">is the mean spacing between shortfalls in years. The derivation (Supplemental §S1.4) treats shortfalls as random events that arrive at an average rate of one per</w:t>
      </w:r>
      <w:r>
        <w:t xml:space="preserve"> </w:t>
      </w:r>
      <m:oMath>
        <m:r>
          <m:t>T</m:t>
        </m:r>
      </m:oMath>
      <w:r>
        <w:t xml:space="preserve"> </w:t>
      </w:r>
      <w:r>
        <w:t xml:space="preserve">year, each reducing that year’s productivity by</w:t>
      </w:r>
      <w:r>
        <w:t xml:space="preserve"> </w:t>
      </w:r>
      <m:oMath>
        <m:r>
          <m:t>m</m:t>
        </m:r>
      </m:oMath>
      <w:r>
        <w:t xml:space="preserve">. Standard probability theory then gives the standard deviation of annual productivity loss across many years as</w:t>
      </w:r>
      <w:r>
        <w:t xml:space="preserve"> </w:t>
      </w:r>
      <m:oMath>
        <m:r>
          <m:t>m</m:t>
        </m:r>
        <m:r>
          <m:rPr>
            <m:sty m:val="p"/>
          </m:rPr>
          <m:t>/</m:t>
        </m:r>
        <m:rad>
          <m:radPr>
            <m:degHide m:val="on"/>
          </m:radPr>
          <m:deg/>
          <m:e>
            <m:r>
              <m:t>T</m:t>
            </m:r>
          </m:e>
        </m:rad>
      </m:oMath>
      <w:r>
        <w:t xml:space="preserve">. We multiply by</w:t>
      </w:r>
      <w:r>
        <w:t xml:space="preserve"> </w:t>
      </w:r>
      <m:oMath>
        <m:rad>
          <m:radPr>
            <m:degHide m:val="on"/>
          </m:radPr>
          <m:deg/>
          <m:e>
            <m:r>
              <m:t>20</m:t>
            </m:r>
          </m:e>
        </m:rad>
      </m:oMath>
      <w:r>
        <w:t xml:space="preserve"> </w:t>
      </w:r>
      <w:r>
        <w:t xml:space="preserve">to express this in 20-year-reference units, so that a shortfall regime with</w:t>
      </w:r>
      <w:r>
        <w:t xml:space="preserve"> </w:t>
      </w:r>
      <m:oMath>
        <m:r>
          <m:t>T</m:t>
        </m:r>
        <m:r>
          <m:rPr>
            <m:sty m:val="p"/>
          </m:rPr>
          <m:t>=</m:t>
        </m:r>
        <m:r>
          <m:t>20</m:t>
        </m:r>
      </m:oMath>
      <w:r>
        <w:t xml:space="preserve"> </w:t>
      </w:r>
      <w:r>
        <w:t xml:space="preserve">produces</w:t>
      </w:r>
      <w:r>
        <w:t xml:space="preserve"> </w:t>
      </w:r>
      <m:oMath>
        <m:r>
          <m:t>σ</m:t>
        </m:r>
        <m:r>
          <m:rPr>
            <m:sty m:val="p"/>
          </m:rPr>
          <m:t>=</m:t>
        </m:r>
        <m:r>
          <m:t>m</m:t>
        </m:r>
      </m:oMath>
      <w:r>
        <w:t xml:space="preserve">. The intuitive consequence is that frequency and magnitude trade off. A regime with severity-0.5 shortfalls every twenty years yields the same</w:t>
      </w:r>
      <w:r>
        <w:t xml:space="preserve"> </w:t>
      </w:r>
      <m:oMath>
        <m:r>
          <m:t>σ</m:t>
        </m:r>
      </m:oMath>
      <w:r>
        <w:t xml:space="preserve"> </w:t>
      </w:r>
      <w:r>
        <w:t xml:space="preserve">as a regime with severity-0.25 shortfalls every five years, because both expose a band to the same cumulative variance over a generation-scale horizon.</w:t>
      </w:r>
    </w:p>
    <w:p>
      <w:pPr>
        <w:pStyle w:val="BodyText"/>
      </w:pPr>
      <w:r>
        <w:t xml:space="preserve">A note on interpretation is in order, because the symbol</w:t>
      </w:r>
      <w:r>
        <w:t xml:space="preserve"> </w:t>
      </w:r>
      <m:oMath>
        <m:r>
          <m:t>σ</m:t>
        </m:r>
      </m:oMath>
      <w:r>
        <w:t xml:space="preserve"> </w:t>
      </w:r>
      <w:r>
        <w:t xml:space="preserve">is conventionally read as a statistical standard deviation. In the fitness functions of §2.4,</w:t>
      </w:r>
      <w:r>
        <w:t xml:space="preserve"> </w:t>
      </w:r>
      <m:oMath>
        <m:r>
          <m:t>σ</m:t>
        </m:r>
      </m:oMath>
      <w:r>
        <w:t xml:space="preserve"> </w:t>
      </w:r>
      <w:r>
        <w:t xml:space="preserve">does not enter as the year-to-year standard deviation of resource availability. It enters as a multiplicative penalty that discounts expected fitness in proportion to the cumulative severity of shortfalls over a 20-year reference window. The plain-language reading is therefore</w:t>
      </w:r>
      <w:r>
        <w:t xml:space="preserve"> </w:t>
      </w:r>
      <w:r>
        <w:t xml:space="preserve">“effective shortfall severity index over a 20-year horizon,”</w:t>
      </w:r>
      <w:r>
        <w:t xml:space="preserve"> </w:t>
      </w:r>
      <w:r>
        <w:t xml:space="preserve">not</w:t>
      </w:r>
      <w:r>
        <w:t xml:space="preserve"> </w:t>
      </w:r>
      <w:r>
        <w:t xml:space="preserve">“year-to-year variability in harvest yields.”</w:t>
      </w:r>
      <w:r>
        <w:t xml:space="preserve"> </w:t>
      </w:r>
      <w:r>
        <w:t xml:space="preserve">A higher</w:t>
      </w:r>
      <w:r>
        <w:t xml:space="preserve"> </w:t>
      </w:r>
      <m:oMath>
        <m:r>
          <m:t>σ</m:t>
        </m:r>
      </m:oMath>
      <w:r>
        <w:t xml:space="preserve"> </w:t>
      </w:r>
      <w:r>
        <w:t xml:space="preserve">means an environment in which shortfalls are more frequent, deeper, or longer-lasting over the reference window. It does not describe the spread of any single year’s outcome. The choice of a 20-year window is a unit convention rather than a substantive parameter. A shorter reference window (say, 5 years) would yield numerically smaller</w:t>
      </w:r>
      <w:r>
        <w:t xml:space="preserve"> </w:t>
      </w:r>
      <m:oMath>
        <m:r>
          <m:t>σ</m:t>
        </m:r>
      </m:oMath>
      <w:r>
        <w:t xml:space="preserve"> </w:t>
      </w:r>
      <w:r>
        <w:t xml:space="preserve">values while a longer one (say, 50 years) would yield larger values, because more shortfalls accumulate over a longer span. Critically, this rescaling does not affect the comparisons that drive the analysis. The empirical estimate</w:t>
      </w:r>
      <w:r>
        <w:t xml:space="preserve"> </w:t>
      </w:r>
      <m:oMath>
        <m:sSub>
          <m:e>
            <m:r>
              <m:t>σ</m:t>
            </m:r>
          </m:e>
          <m:sub>
            <m:r>
              <m:t>L</m:t>
            </m:r>
            <m:r>
              <m:t>M</m:t>
            </m:r>
            <m:r>
              <m:t>V</m:t>
            </m:r>
          </m:sub>
        </m:sSub>
      </m:oMath>
      <w:r>
        <w:t xml:space="preserve"> </w:t>
      </w:r>
      <w:r>
        <w:t xml:space="preserve">(i.e., the severity inferred from late-Holocene Lower Mississippi Valley paleoclimate proxies; §5.5) and the model-derived critical threshold</w:t>
      </w:r>
      <w:r>
        <w:t xml:space="preserve"> </w:t>
      </w:r>
      <m:oMath>
        <m:sSup>
          <m:e>
            <m:r>
              <m:t>σ</m:t>
            </m:r>
          </m:e>
          <m:sup>
            <m:r>
              <m:rPr>
                <m:sty m:val="p"/>
              </m:rPr>
              <m:t>*</m:t>
            </m:r>
          </m:sup>
        </m:sSup>
      </m:oMath>
      <w:r>
        <w:t xml:space="preserve"> </w:t>
      </w:r>
      <w:r>
        <w:t xml:space="preserve">are computed on the same scale, so their ratio is invariant under any consistent change of reference window. We confirm this in §S1.4: across</w:t>
      </w:r>
      <w:r>
        <w:t xml:space="preserve"> </w:t>
      </w:r>
      <m:oMath>
        <m:sSub>
          <m:e>
            <m:r>
              <m:t>T</m:t>
            </m:r>
          </m:e>
          <m:sub>
            <m:r>
              <m:t>0</m:t>
            </m:r>
          </m:sub>
        </m:sSub>
        <m:r>
          <m:rPr>
            <m:sty m:val="p"/>
          </m:rPr>
          <m:t>∈</m:t>
        </m:r>
        <m:r>
          <m:rPr>
            <m:sty m:val="p"/>
          </m:rPr>
          <m:t>{</m:t>
        </m:r>
        <m:r>
          <m:t>5</m:t>
        </m:r>
        <m:r>
          <m:rPr>
            <m:sty m:val="p"/>
          </m:rPr>
          <m:t>,</m:t>
        </m:r>
        <m:r>
          <m:t>10</m:t>
        </m:r>
        <m:r>
          <m:rPr>
            <m:sty m:val="p"/>
          </m:rPr>
          <m:t>,</m:t>
        </m:r>
        <m:r>
          <m:t>20</m:t>
        </m:r>
        <m:r>
          <m:rPr>
            <m:sty m:val="p"/>
          </m:rPr>
          <m:t>,</m:t>
        </m:r>
        <m:r>
          <m:t>50</m:t>
        </m:r>
        <m:r>
          <m:rPr>
            <m:sty m:val="p"/>
          </m:rPr>
          <m:t>}</m:t>
        </m:r>
      </m:oMath>
      <w:r>
        <w:t xml:space="preserve"> </w:t>
      </w:r>
      <w:r>
        <w:t xml:space="preserve">years, the ratio</w:t>
      </w:r>
      <w:r>
        <w:t xml:space="preserve"> </w:t>
      </w:r>
      <m:oMath>
        <m:sSub>
          <m:e>
            <m:r>
              <m:t>σ</m:t>
            </m:r>
          </m:e>
          <m:sub>
            <m:r>
              <m:t>L</m:t>
            </m:r>
            <m:r>
              <m:t>M</m:t>
            </m:r>
            <m:r>
              <m:t>V</m:t>
            </m:r>
          </m:sub>
        </m:sSub>
        <m:r>
          <m:rPr>
            <m:sty m:val="p"/>
          </m:rPr>
          <m:t>/</m:t>
        </m:r>
        <m:sSup>
          <m:e>
            <m:r>
              <m:t>σ</m:t>
            </m:r>
          </m:e>
          <m:sup>
            <m:r>
              <m:rPr>
                <m:sty m:val="p"/>
              </m:rPr>
              <m:t>*</m:t>
            </m:r>
          </m:sup>
        </m:sSup>
        <m:r>
          <m:rPr>
            <m:sty m:val="p"/>
          </m:rPr>
          <m:t>=</m:t>
        </m:r>
        <m:r>
          <m:t>1.591</m:t>
        </m:r>
      </m:oMath>
      <w:r>
        <w:t xml:space="preserve"> </w:t>
      </w:r>
      <w:r>
        <w:t xml:space="preserve">is preserved exactly. This invariance is what makes threshold-proximity comparisons meaningful, and we rely on it when reporting results below.</w:t>
      </w:r>
    </w:p>
    <w:p>
      <w:pPr>
        <w:pStyle w:val="BodyText"/>
      </w:pPr>
      <w:r>
        <w:t xml:space="preserve">The aggregator fitness function combines vulnerability and shortfall severity multiplicatively, as</w:t>
      </w:r>
      <w: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t xml:space="preserve">, where</w:t>
      </w:r>
      <w:r>
        <w:t xml:space="preserve"> </w:t>
      </w:r>
      <m:oMath>
        <m:r>
          <m:t>α</m:t>
        </m:r>
        <m:r>
          <m:rPr>
            <m:sty m:val="p"/>
          </m:rPr>
          <m:t>(</m:t>
        </m:r>
        <m:sSub>
          <m:e>
            <m:r>
              <m:t>k</m:t>
            </m:r>
          </m:e>
          <m:sub>
            <m:r>
              <m:t>e</m:t>
            </m:r>
            <m:r>
              <m:t>f</m:t>
            </m:r>
            <m:r>
              <m:t>f</m:t>
            </m:r>
          </m:sub>
        </m:sSub>
        <m:r>
          <m:rPr>
            <m:sty m:val="p"/>
          </m:rPr>
          <m:t>)</m:t>
        </m:r>
      </m:oMath>
      <w:r>
        <w:t xml:space="preserve"> </w:t>
      </w:r>
      <w:r>
        <w:t xml:space="preserve">is the vulnerability coefficient (i.e., the fraction of unbuffered shortfall loss the band actually experiences given its network) and</w:t>
      </w:r>
      <w:r>
        <w:t xml:space="preserve"> </w:t>
      </w:r>
      <m:oMath>
        <m:sSub>
          <m:e>
            <m:r>
              <m:t>σ</m:t>
            </m:r>
          </m:e>
          <m:sub>
            <m:r>
              <m:t>e</m:t>
            </m:r>
            <m:r>
              <m:t>f</m:t>
            </m:r>
            <m:r>
              <m:t>f</m:t>
            </m:r>
          </m:sub>
        </m:sSub>
      </m:oMath>
      <w:r>
        <w:t xml:space="preserve"> </w:t>
      </w:r>
      <w:r>
        <w:t xml:space="preserve">is the effective shortfall severity. The plain-language reading of the function is</w:t>
      </w:r>
      <w:r>
        <w:t xml:space="preserve"> </w:t>
      </w:r>
      <w:r>
        <w:t xml:space="preserve">“fraction of productivity lost = vulnerability × severity.”</w:t>
      </w:r>
      <w:r>
        <w:t xml:space="preserve"> </w:t>
      </w:r>
      <w:r>
        <w:t xml:space="preserve">This product is the principled choice given the meanings of the two factors:</w:t>
      </w:r>
      <w:r>
        <w:t xml:space="preserve"> </w:t>
      </w:r>
      <m:oMath>
        <m:r>
          <m:t>α</m:t>
        </m:r>
      </m:oMath>
      <w:r>
        <w:t xml:space="preserve"> </w:t>
      </w:r>
      <w:r>
        <w:t xml:space="preserve">does not denote a fractional loss in its own right. Instead, it modulates how a</w:t>
      </w:r>
      <w:r>
        <w:t xml:space="preserve"> </w:t>
      </w:r>
      <m:oMath>
        <m:r>
          <m:t>σ</m:t>
        </m:r>
      </m:oMath>
      <w:r>
        <w:t xml:space="preserve">-induced loss is perceived, and the multiplicative coupling ensures that modulation operates on the right scale. We considered two alternative couplings discussed in the broader risk-pooling literature, an additive form</w:t>
      </w:r>
      <w:r>
        <w:t xml:space="preserve"> </w:t>
      </w:r>
      <m:oMath>
        <m:r>
          <m:rPr>
            <m:sty m:val="p"/>
          </m:rPr>
          <m:t>(</m:t>
        </m:r>
        <m:r>
          <m:t>1</m:t>
        </m:r>
        <m:r>
          <m:rPr>
            <m:sty m:val="p"/>
          </m:rPr>
          <m:t>−</m:t>
        </m:r>
        <m:r>
          <m:t>α</m:t>
        </m:r>
        <m:r>
          <m:rPr>
            <m:sty m:val="p"/>
          </m:rPr>
          <m:t>−</m:t>
        </m:r>
        <m:sSub>
          <m:e>
            <m:r>
              <m:t>σ</m:t>
            </m:r>
          </m:e>
          <m:sub>
            <m:r>
              <m:t>e</m:t>
            </m:r>
            <m:r>
              <m:t>f</m:t>
            </m:r>
            <m:r>
              <m:t>f</m:t>
            </m:r>
          </m:sub>
        </m:sSub>
        <m:r>
          <m:rPr>
            <m:sty m:val="p"/>
          </m:rPr>
          <m:t>)</m:t>
        </m:r>
      </m:oMath>
      <w:r>
        <w:t xml:space="preserve"> </w:t>
      </w:r>
      <w:r>
        <w:t xml:space="preserve">and a hazard-composition form</w:t>
      </w:r>
      <w:r>
        <w:t xml:space="preserve"> </w:t>
      </w: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r>
        <w:t xml:space="preserve">, and document them in §S3.6. Direct substitution of either alternative produces degenerate or quantitatively incomparable results because</w:t>
      </w:r>
      <w:r>
        <w:t xml:space="preserve"> </w:t>
      </w:r>
      <m:oMath>
        <m:r>
          <m:t>α</m:t>
        </m:r>
      </m:oMath>
      <w:r>
        <w:t xml:space="preserve"> </w:t>
      </w:r>
      <w:r>
        <w:t xml:space="preserve">and</w:t>
      </w:r>
      <w:r>
        <w:t xml:space="preserve"> </w:t>
      </w:r>
      <m:oMath>
        <m:sSub>
          <m:e>
            <m:r>
              <m:t>σ</m:t>
            </m:r>
          </m:e>
          <m:sub>
            <m:r>
              <m:t>e</m:t>
            </m:r>
            <m:r>
              <m:t>f</m:t>
            </m:r>
            <m:r>
              <m:t>f</m:t>
            </m:r>
          </m:sub>
        </m:sSub>
      </m:oMath>
      <w:r>
        <w:t xml:space="preserve"> </w:t>
      </w:r>
      <w:r>
        <w:t xml:space="preserve">are not on commensurate scales (a vulnerability coefficient is not a hazard rate), so a fair coupling-form comparison would require reformulating</w:t>
      </w:r>
      <w:r>
        <w:t xml:space="preserve"> </w:t>
      </w:r>
      <m:oMath>
        <m:r>
          <m:t>α</m:t>
        </m:r>
      </m:oMath>
      <w:r>
        <w:t xml:space="preserve"> </w:t>
      </w:r>
      <w:r>
        <w:t xml:space="preserve">as a probability-like quantity. We retain the multiplicative form throughout the analyses below, and report the §S3.6 reformulation as evidence that the phase-transition structure (a sharp transition at some</w:t>
      </w:r>
      <w:r>
        <w:t xml:space="preserve"> </w:t>
      </w:r>
      <m:oMath>
        <m:sSup>
          <m:e>
            <m:r>
              <m:t>σ</m:t>
            </m:r>
          </m:e>
          <m:sup>
            <m:r>
              <m:rPr>
                <m:sty m:val="p"/>
              </m:rPr>
              <m:t>*</m:t>
            </m:r>
          </m:sup>
        </m:sSup>
      </m:oMath>
      <w:r>
        <w:t xml:space="preserve">) is a generic property of the framework rather than the result of this specific functional form.</w:t>
      </w:r>
    </w:p>
    <w:p>
      <w:pPr>
        <w:pStyle w:val="BodyText"/>
      </w:pPr>
      <w:r>
        <w:rPr>
          <w:b/>
          <w:bCs/>
        </w:rPr>
        <w:t xml:space="preserve">Run configurations.</w:t>
      </w:r>
      <w:r>
        <w:t xml:space="preserve"> </w:t>
      </w:r>
      <w:r>
        <w:t xml:space="preserve">The model is run in three configurations in this study, each addressing a different question and each labeled at the point of use.</w:t>
      </w:r>
    </w:p>
    <w:p>
      <w:pPr>
        <w:numPr>
          <w:ilvl w:val="0"/>
          <w:numId w:val="1001"/>
        </w:numPr>
      </w:pPr>
      <w:r>
        <w:rPr>
          <w:i/>
          <w:iCs/>
        </w:rPr>
        <w:t xml:space="preserve">Phase-transition sweep</w:t>
      </w:r>
      <w:r>
        <w:t xml:space="preserve"> </w:t>
      </w:r>
      <w:r>
        <w:t xml:space="preserve">(§4.1): tests whether the agent-based dynamics reproduce the analytical critical threshold. The model is run under PP-scenario parameters across seven values of effective uncertainty, with multiple stochastic replicates at each value to characterize run-to-run variation. Full sweep configuration in §S7.1.</w:t>
      </w:r>
    </w:p>
    <w:p>
      <w:pPr>
        <w:numPr>
          <w:ilvl w:val="0"/>
          <w:numId w:val="1001"/>
        </w:numPr>
      </w:pPr>
      <w:r>
        <w:rPr>
          <w:i/>
          <w:iCs/>
        </w:rPr>
        <w:t xml:space="preserve">Ablation experiment</w:t>
      </w:r>
      <w:r>
        <w:t xml:space="preserve"> </w:t>
      </w:r>
      <w:r>
        <w:t xml:space="preserve">(§4.3): tests whether signal-conditional partner formation actually shifts the threshold relative to a model in which cooperative ties form by random pairing instead. The two versions are run at the same parameters as the §4.1 sweep and share the same set of model runs documented in §S7.1.</w:t>
      </w:r>
    </w:p>
    <w:p>
      <w:pPr>
        <w:numPr>
          <w:ilvl w:val="0"/>
          <w:numId w:val="1001"/>
        </w:numPr>
      </w:pPr>
      <w:r>
        <w:rPr>
          <w:i/>
          <w:iCs/>
        </w:rPr>
        <w:t xml:space="preserve">One-at-a-time (OAT) sensitivity</w:t>
      </w:r>
      <w:r>
        <w:t xml:space="preserve"> </w:t>
      </w:r>
      <w:r>
        <w:t xml:space="preserve">(§S3.1): tests how strongly each model parameter influences the critical threshold. Each parameter is shifted by</w:t>
      </w:r>
      <w:r>
        <w:t xml:space="preserve"> </w:t>
      </w:r>
      <m:oMath>
        <m:r>
          <m:rPr>
            <m:sty m:val="p"/>
          </m:rPr>
          <m:t>±</m:t>
        </m:r>
        <m:r>
          <m:t>50</m:t>
        </m:r>
        <m:r>
          <m:rPr>
            <m:sty m:val="p"/>
          </m:rPr>
          <m:t>%</m:t>
        </m:r>
      </m:oMath>
      <w:r>
        <w:t xml:space="preserve"> </w:t>
      </w:r>
      <w:r>
        <w:t xml:space="preserve">from its default value, and the threshold</w:t>
      </w:r>
      <w:r>
        <w:t xml:space="preserve"> </w:t>
      </w:r>
      <m:oMath>
        <m:sSup>
          <m:e>
            <m:r>
              <m:t>σ</m:t>
            </m:r>
          </m:e>
          <m:sup>
            <m:r>
              <m:rPr>
                <m:sty m:val="p"/>
              </m:rPr>
              <m:t>*</m:t>
            </m:r>
          </m:sup>
        </m:sSup>
      </m:oMath>
      <w:r>
        <w:t xml:space="preserve"> </w:t>
      </w:r>
      <w:r>
        <w:t xml:space="preserve">is recomputed analytically as the value of</w:t>
      </w:r>
      <w:r>
        <w:t xml:space="preserve"> </w:t>
      </w:r>
      <m:oMath>
        <m:r>
          <m:t>σ</m:t>
        </m:r>
      </m:oMath>
      <w:r>
        <w:t xml:space="preserve"> </w:t>
      </w:r>
      <w:r>
        <w:t xml:space="preserve">at which the aggregator and independent fitness functions cross (the algorithmic implementation uses root-finding on the lambda-sigma feedback equilibrium; see §S3.1). Because this is a deterministic calculation rather than a stochastic simulation, there are no replicates. The §S3.1 table directly reports the range of the resulting thresholds.</w:t>
      </w:r>
    </w:p>
    <w:p>
      <w:pPr>
        <w:pStyle w:val="FirstParagraph"/>
      </w:pPr>
      <w:r>
        <w:rPr>
          <w:b/>
          <w:bCs/>
        </w:rPr>
        <w:t xml:space="preserve">Restructured network-saturation function (§S5.2).</w:t>
      </w:r>
      <w:r>
        <w:t xml:space="preserve"> </w:t>
      </w:r>
      <w:r>
        <w:t xml:space="preserve">The default formulation of the cooperation-network channel,</w:t>
      </w:r>
      <w:r>
        <w:t xml:space="preserve"> </w:t>
      </w:r>
      <m:oMath>
        <m:sSub>
          <m:e>
            <m:r>
              <m:t>λ</m:t>
            </m:r>
          </m:e>
          <m:sub>
            <m:r>
              <m:t>X</m:t>
            </m:r>
          </m:sub>
        </m:sSub>
      </m:oMath>
      <w:r>
        <w:t xml:space="preserve">, captures only the</w:t>
      </w:r>
      <w:r>
        <w:t xml:space="preserve"> </w:t>
      </w:r>
      <w:r>
        <w:rPr>
          <w:i/>
          <w:iCs/>
        </w:rPr>
        <w:t xml:space="preserve">incremental</w:t>
      </w:r>
      <w:r>
        <w:t xml:space="preserve"> </w:t>
      </w:r>
      <w:r>
        <w:t xml:space="preserve">value of one additional partner. Once a band has already accumulated many partners through past investment, that incremental value falls toward zero, and so</w:t>
      </w:r>
      <w:r>
        <w:t xml:space="preserve"> </w:t>
      </w:r>
      <m:oMath>
        <m:sSub>
          <m:e>
            <m:r>
              <m:t>λ</m:t>
            </m:r>
          </m:e>
          <m:sub>
            <m:r>
              <m:t>X</m:t>
            </m:r>
          </m:sub>
        </m:sSub>
      </m:oMath>
      <w:r>
        <w:t xml:space="preserve"> </w:t>
      </w:r>
      <w:r>
        <w:t xml:space="preserve">effectively goes silent at equilibrium, even though the network itself is still doing real work buffering shortfalls. To recover that buffering value, we test a restructured form that adds an absolute</w:t>
      </w:r>
      <w:r>
        <w:t xml:space="preserve"> </w:t>
      </w:r>
      <w:r>
        <w:rPr>
          <w:i/>
          <w:iCs/>
        </w:rPr>
        <w:t xml:space="preserve">network-density</w:t>
      </w:r>
      <w:r>
        <w:t xml:space="preserve"> </w:t>
      </w:r>
      <w:r>
        <w:t xml:space="preserve">term: the survival benefit of the network as a whole, rather than just the gain from the next partner, modulated by a monument-quality multiplier following Bliege Bird and Smith (2005)’s argument that signal quality enhances the value of each partnership. A tunable weight</w:t>
      </w:r>
      <w:r>
        <w:t xml:space="preserve"> </w:t>
      </w:r>
      <m:oMath>
        <m:sSub>
          <m:e>
            <m:r>
              <m:t>ξ</m:t>
            </m:r>
          </m:e>
          <m:sub>
            <m:r>
              <m:t>X</m:t>
            </m:r>
          </m:sub>
        </m:sSub>
      </m:oMath>
      <w:r>
        <w:t xml:space="preserve"> </w:t>
      </w:r>
      <w:r>
        <w:t xml:space="preserve">controls how much this density term contributes; at</w:t>
      </w:r>
      <w:r>
        <w:t xml:space="preserve"> </w:t>
      </w:r>
      <m:oMath>
        <m:sSub>
          <m:e>
            <m:r>
              <m:t>ξ</m:t>
            </m:r>
          </m:e>
          <m:sub>
            <m:r>
              <m:t>X</m:t>
            </m:r>
          </m:sub>
        </m:sSub>
        <m:r>
          <m:rPr>
            <m:sty m:val="p"/>
          </m:rPr>
          <m:t>=</m:t>
        </m:r>
        <m:r>
          <m:t>0</m:t>
        </m:r>
      </m:oMath>
      <w:r>
        <w:t xml:space="preserve"> </w:t>
      </w:r>
      <w:r>
        <w:t xml:space="preserve">the formulation reduces to the default, and at</w:t>
      </w:r>
      <w:r>
        <w:t xml:space="preserve"> </w:t>
      </w:r>
      <m:oMath>
        <m:sSub>
          <m:e>
            <m:r>
              <m:t>ξ</m:t>
            </m:r>
          </m:e>
          <m:sub>
            <m:r>
              <m:t>X</m:t>
            </m:r>
          </m:sub>
        </m:sSub>
        <m:r>
          <m:rPr>
            <m:sty m:val="p"/>
          </m:rPr>
          <m:t>=</m:t>
        </m:r>
        <m:r>
          <m:t>0.5</m:t>
        </m:r>
      </m:oMath>
      <w:r>
        <w:t xml:space="preserve"> </w:t>
      </w:r>
      <w:r>
        <w:t xml:space="preserve">the density term adds</w:t>
      </w:r>
      <w:r>
        <w:t xml:space="preserve"> </w:t>
      </w:r>
      <m:oMath>
        <m:r>
          <m:t>0.03</m:t>
        </m:r>
      </m:oMath>
      <w:r>
        <w:t xml:space="preserve"> </w:t>
      </w:r>
      <w:r>
        <w:t xml:space="preserve">to</w:t>
      </w:r>
      <w:r>
        <w:t xml:space="preserve"> </w:t>
      </w:r>
      <m:oMath>
        <m:r>
          <m:t>λ</m:t>
        </m:r>
      </m:oMath>
      <w:r>
        <w:t xml:space="preserve"> </w:t>
      </w:r>
      <w:r>
        <w:t xml:space="preserve">the equilibrium. The full functional form and parameter values are given in §S5.2; the implications for the §4.3 ablation are developed below.</w:t>
      </w:r>
    </w:p>
    <w:p>
      <w:pPr>
        <w:pStyle w:val="BodyText"/>
      </w:pPr>
      <w:r>
        <w:drawing>
          <wp:inline>
            <wp:extent cx="5943600" cy="5199164"/>
            <wp:effectExtent b="0" l="0" r="0" t="0"/>
            <wp:docPr descr="" title="" id="32" name="Picture"/>
            <a:graphic>
              <a:graphicData uri="http://schemas.openxmlformats.org/drawingml/2006/picture">
                <pic:pic>
                  <pic:nvPicPr>
                    <pic:cNvPr descr="../../figures/manuscript/figure_06_model_architecture.png" id="33" name="Picture"/>
                    <pic:cNvPicPr>
                      <a:picLocks noChangeArrowheads="1" noChangeAspect="1"/>
                    </pic:cNvPicPr>
                  </pic:nvPicPr>
                  <pic:blipFill>
                    <a:blip r:embed="rId31"/>
                    <a:stretch>
                      <a:fillRect/>
                    </a:stretch>
                  </pic:blipFill>
                  <pic:spPr bwMode="auto">
                    <a:xfrm>
                      <a:off x="0" y="0"/>
                      <a:ext cx="5943600" cy="5199164"/>
                    </a:xfrm>
                    <a:prstGeom prst="rect">
                      <a:avLst/>
                    </a:prstGeom>
                    <a:noFill/>
                    <a:ln w="9525">
                      <a:noFill/>
                      <a:headEnd/>
                      <a:tailEnd/>
                    </a:ln>
                  </pic:spPr>
                </pic:pic>
              </a:graphicData>
            </a:graphic>
          </wp:inline>
        </w:drawing>
      </w:r>
    </w:p>
    <w:p>
      <w:pPr>
        <w:pStyle w:val="BodyText"/>
      </w:pPr>
      <w:r>
        <w:rPr>
          <w:b/>
          <w:bCs/>
          <w:i/>
          <w:iCs/>
        </w:rPr>
        <w:t xml:space="preserve">Figure 6. Agent-based model architecture.</w:t>
      </w:r>
      <w:r>
        <w:t xml:space="preserve"> </w:t>
      </w:r>
      <w:r>
        <w:rPr>
          <w:i/>
          <w:iCs/>
        </w:rPr>
        <w:t xml:space="preserve">(A) Environment module: heterogeneous four-zone landscape (i.e., aquatic, terrestrial game, mast, ecotone-edge) with seasonal cycles and stochastic shortfalls; the ecotone parameter</w:t>
      </w:r>
      <w:r>
        <w:t xml:space="preserve"> </w:t>
      </w:r>
      <m:oMath>
        <m:r>
          <m:t>ε</m:t>
        </m:r>
      </m:oMath>
      <w:r>
        <w:t xml:space="preserve"> </w:t>
      </w:r>
      <w:r>
        <w:rPr>
          <w:i/>
          <w:iCs/>
        </w:rPr>
        <w:t xml:space="preserve">controls multi-zone shortfall buffering at the aggregation site. (B) Strategy choice: each band annually selects between the aggregator strategy (travel to the gathering, contribute to monument construction, acquire exotics, form obligation ties) and the independent strategy (remain dispersed, forage independently). (C) Annual cycle: spring dispersal, summer aggregation with monument investment and exotic acquisition, fall harvest with shortfall impacts, winter reproduction. (D) Fitness functions</w:t>
      </w:r>
      <w:r>
        <w:t xml:space="preserve"> </w:t>
      </w:r>
      <m:oMath>
        <m:sSub>
          <m:e>
            <m:r>
              <m:t>W</m:t>
            </m:r>
          </m:e>
          <m:sub>
            <m:r>
              <m:t>a</m:t>
            </m:r>
            <m:r>
              <m:t>g</m:t>
            </m:r>
            <m:r>
              <m:t>g</m:t>
            </m:r>
          </m:sub>
        </m:sSub>
      </m:oMath>
      <w:r>
        <w:t xml:space="preserve"> </w:t>
      </w:r>
      <w:r>
        <w:rPr>
          <w:i/>
          <w:iCs/>
        </w:rPr>
        <w:t xml:space="preserve">and</w:t>
      </w:r>
      <w:r>
        <w:t xml:space="preserve"> </w:t>
      </w:r>
      <m:oMath>
        <m:sSub>
          <m:e>
            <m:r>
              <m:t>W</m:t>
            </m:r>
          </m:e>
          <m:sub>
            <m:r>
              <m:t>i</m:t>
            </m:r>
            <m:r>
              <m:t>n</m:t>
            </m:r>
            <m:r>
              <m:t>d</m:t>
            </m:r>
          </m:sub>
        </m:sSub>
      </m:oMath>
      <w:r>
        <w:t xml:space="preserve"> </w:t>
      </w:r>
      <w:r>
        <w:rPr>
          <w:i/>
          <w:iCs/>
        </w:rPr>
        <w:t xml:space="preserve">(eq. §2.4) determine the critical threshold</w:t>
      </w:r>
      <w:r>
        <w:t xml:space="preserve"> </w:t>
      </w:r>
      <m:oMath>
        <m:sSup>
          <m:e>
            <m:r>
              <m:t>σ</m:t>
            </m:r>
          </m:e>
          <m:sup>
            <m:r>
              <m:rPr>
                <m:sty m:val="p"/>
              </m:rPr>
              <m:t>*</m:t>
            </m:r>
          </m:sup>
        </m:sSup>
      </m:oMath>
      <w:r>
        <w:t xml:space="preserve"> </w:t>
      </w:r>
      <w:r>
        <w:rPr>
          <w:i/>
          <w:iCs/>
        </w:rPr>
        <w:t xml:space="preserve">via the lambda-sigma feedback loop. (E) Outputs: strategy dominance, monument accumulation, exotic-goods totals, population dynamics, obligation network density. The full ODD-protocol specification is in Supplemental §S1.</w:t>
      </w:r>
    </w:p>
    <w:bookmarkEnd w:id="34"/>
    <w:bookmarkStart w:id="48" w:name="theory-and-simulation-results"/>
    <w:p>
      <w:pPr>
        <w:pStyle w:val="Heading2"/>
      </w:pPr>
      <w:r>
        <w:t xml:space="preserve">4. Theory and simulation results</w:t>
      </w:r>
    </w:p>
    <w:bookmarkStart w:id="41" w:name="phase-transition"/>
    <w:p>
      <w:pPr>
        <w:pStyle w:val="Heading3"/>
      </w:pPr>
      <w:r>
        <w:t xml:space="preserve">4.1 Phase transition</w:t>
      </w:r>
    </w:p>
    <w:p>
      <w:pPr>
        <w:pStyle w:val="FirstParagraph"/>
      </w:pPr>
      <w:r>
        <w:t xml:space="preserve">The first test is whether the simulation exhibits the sharp behavioral threshold predicted by the theory. We define the</w:t>
      </w:r>
      <w:r>
        <w:t xml:space="preserve"> </w:t>
      </w:r>
      <w:r>
        <w:rPr>
          <w:b/>
          <w:bCs/>
        </w:rPr>
        <w:t xml:space="preserve">strategy-dominance metric</w:t>
      </w:r>
      <w:r>
        <w:t xml:space="preserve"> </w:t>
      </w:r>
      <w:r>
        <w:t xml:space="preserve">as the population fraction of aggregator bands minus the population fraction of independent bands, ranging from</w:t>
      </w:r>
      <w:r>
        <w:t xml:space="preserve"> </w:t>
      </w:r>
      <m:oMath>
        <m:r>
          <m:rPr>
            <m:sty m:val="p"/>
          </m:rPr>
          <m:t>−</m:t>
        </m:r>
        <m:r>
          <m:t>1</m:t>
        </m:r>
      </m:oMath>
      <w:r>
        <w:t xml:space="preserve"> </w:t>
      </w:r>
      <w:r>
        <w:t xml:space="preserve">(all independent) to</w:t>
      </w:r>
      <w:r>
        <w:t xml:space="preserve"> </w:t>
      </w:r>
      <m:oMath>
        <m:r>
          <m:rPr>
            <m:sty m:val="p"/>
          </m:rPr>
          <m:t>+</m:t>
        </m:r>
        <m:r>
          <m:t>1</m:t>
        </m:r>
      </m:oMath>
      <w:r>
        <w:t xml:space="preserve"> </w:t>
      </w:r>
      <w:r>
        <w:t xml:space="preserve">(all aggregator), with</w:t>
      </w:r>
      <w:r>
        <w:t xml:space="preserve"> </w:t>
      </w:r>
      <m:oMath>
        <m:r>
          <m:t>0</m:t>
        </m:r>
      </m:oMath>
      <w:r>
        <w:t xml:space="preserve"> </w:t>
      </w:r>
      <w:r>
        <w:t xml:space="preserve">marking parity. Running the model at PP-scenario parameters (</w:t>
      </w:r>
      <m:oMath>
        <m:r>
          <m:t>ε</m:t>
        </m:r>
        <m:r>
          <m:rPr>
            <m:sty m:val="p"/>
          </m:rPr>
          <m:t>=</m:t>
        </m:r>
        <m:r>
          <m:t>0.35</m:t>
        </m:r>
      </m:oMath>
      <w:r>
        <w:t xml:space="preserve">) across a sweep of effective uncertainty values, the signal-conditional configuration produces a clean S-curve in strategy dominance: the metric climbs from strongly negative at low</w:t>
      </w:r>
      <w:r>
        <w:t xml:space="preserve"> </w:t>
      </w:r>
      <m:oMath>
        <m:sSub>
          <m:e>
            <m:r>
              <m:t>σ</m:t>
            </m:r>
          </m:e>
          <m:sub>
            <m:r>
              <m:t>e</m:t>
            </m:r>
            <m:r>
              <m:t>f</m:t>
            </m:r>
            <m:r>
              <m:t>f</m:t>
            </m:r>
          </m:sub>
        </m:sSub>
      </m:oMath>
      <w:r>
        <w:t xml:space="preserve"> </w:t>
      </w:r>
      <w:r>
        <w:t xml:space="preserve">through crossover near</w:t>
      </w:r>
      <w:r>
        <w:t xml:space="preserve"> </w:t>
      </w:r>
      <m:oMath>
        <m:sSubSup>
          <m:e>
            <m:r>
              <m:t>σ</m:t>
            </m:r>
          </m:e>
          <m:sub>
            <m:r>
              <m:t>e</m:t>
            </m:r>
            <m:r>
              <m:t>f</m:t>
            </m:r>
            <m:r>
              <m:t>f</m:t>
            </m:r>
          </m:sub>
          <m:sup>
            <m:r>
              <m:rPr>
                <m:sty m:val="p"/>
              </m:rPr>
              <m:t>*</m:t>
            </m:r>
          </m:sup>
        </m:sSubSup>
        <m:r>
          <m:rPr>
            <m:sty m:val="p"/>
          </m:rPr>
          <m:t>≈</m:t>
        </m:r>
        <m:r>
          <m:t>0.42</m:t>
        </m:r>
      </m:oMath>
      <w:r>
        <w:t xml:space="preserve"> </w:t>
      </w:r>
      <w:r>
        <w:t xml:space="preserve">to saturation near</w:t>
      </w:r>
      <w:r>
        <w:t xml:space="preserve"> </w:t>
      </w:r>
      <m:oMath>
        <m:r>
          <m:rPr>
            <m:sty m:val="p"/>
          </m:rPr>
          <m:t>+</m:t>
        </m:r>
        <m:r>
          <m:t>0.92</m:t>
        </m:r>
      </m:oMath>
      <w:r>
        <w:t xml:space="preserve"> </w:t>
      </w:r>
      <w:r>
        <w:t xml:space="preserve">at the highest</w:t>
      </w:r>
      <w:r>
        <w:t xml:space="preserve"> </w:t>
      </w:r>
      <m:oMath>
        <m:sSub>
          <m:e>
            <m:r>
              <m:t>σ</m:t>
            </m:r>
          </m:e>
          <m:sub>
            <m:r>
              <m:t>e</m:t>
            </m:r>
            <m:r>
              <m:t>f</m:t>
            </m:r>
            <m:r>
              <m:t>f</m:t>
            </m:r>
          </m:sub>
        </m:sSub>
      </m:oMath>
      <w:r>
        <w:t xml:space="preserve"> </w:t>
      </w:r>
      <w:r>
        <w:t xml:space="preserve">values (Figure 7A). The replicate spread across the transition zone (SD typically 0.03–0.10) is tight enough to characterize both the location of the crossing and the sharpness of the transition. The simulated crossover at</w:t>
      </w:r>
      <w:r>
        <w:t xml:space="preserve"> </w:t>
      </w:r>
      <m:oMath>
        <m:sSubSup>
          <m:e>
            <m:r>
              <m:t>σ</m:t>
            </m:r>
          </m:e>
          <m:sub>
            <m:r>
              <m:t>e</m:t>
            </m:r>
            <m:r>
              <m:t>f</m:t>
            </m:r>
            <m:r>
              <m:t>f</m:t>
            </m:r>
          </m:sub>
          <m:sup>
            <m:r>
              <m:rPr>
                <m:sty m:val="p"/>
              </m:rPr>
              <m:t>*</m:t>
            </m:r>
          </m:sup>
        </m:sSubSup>
        <m:r>
          <m:rPr>
            <m:sty m:val="p"/>
          </m:rPr>
          <m:t>≈</m:t>
        </m:r>
        <m:r>
          <m:t>0.42</m:t>
        </m:r>
      </m:oMath>
      <w:r>
        <w:t xml:space="preserve"> </w:t>
      </w:r>
      <w:r>
        <w:t xml:space="preserve">matches the analytical prediction</w:t>
      </w:r>
      <w:r>
        <w:t xml:space="preserve"> </w:t>
      </w:r>
      <m:oMath>
        <m:sSup>
          <m:e>
            <m:r>
              <m:t>σ</m:t>
            </m:r>
          </m:e>
          <m:sup>
            <m:r>
              <m:rPr>
                <m:sty m:val="p"/>
              </m:rPr>
              <m:t>*</m:t>
            </m:r>
          </m:sup>
        </m:sSup>
        <m:r>
          <m:rPr>
            <m:sty m:val="p"/>
          </m:rPr>
          <m:t>=</m:t>
        </m:r>
        <m:r>
          <m:t>0.40</m:t>
        </m:r>
      </m:oMath>
      <w:r>
        <w:t xml:space="preserve"> </w:t>
      </w:r>
      <w:r>
        <w:t xml:space="preserve">at</w:t>
      </w:r>
      <w:r>
        <w:t xml:space="preserve"> </w:t>
      </w:r>
      <m:oMath>
        <m:r>
          <m:t>ε</m:t>
        </m:r>
        <m:r>
          <m:rPr>
            <m:sty m:val="p"/>
          </m:rPr>
          <m:t>=</m:t>
        </m:r>
        <m:r>
          <m:t>0.35</m:t>
        </m:r>
      </m:oMath>
      <w:r>
        <w:t xml:space="preserve"> </w:t>
      </w:r>
      <w:r>
        <w:t xml:space="preserve">to within 0.02, confirming that the agent-based dynamics reproduce the multilevel-selection threshold derived in §2.4. Sweep configuration, the precise</w:t>
      </w:r>
      <w:r>
        <w:t xml:space="preserve"> </w:t>
      </w:r>
      <m:oMath>
        <m:sSub>
          <m:e>
            <m:r>
              <m:t>σ</m:t>
            </m:r>
          </m:e>
          <m:sub>
            <m:r>
              <m:t>t</m:t>
            </m:r>
            <m:r>
              <m:t>a</m:t>
            </m:r>
            <m:r>
              <m:t>r</m:t>
            </m:r>
            <m:r>
              <m:t>g</m:t>
            </m:r>
            <m:r>
              <m:t>e</m:t>
            </m:r>
            <m:r>
              <m:t>t</m:t>
            </m:r>
          </m:sub>
        </m:sSub>
      </m:oMath>
      <w:r>
        <w:t xml:space="preserve"> </w:t>
      </w:r>
      <w:r>
        <w:t xml:space="preserve">values, and the realized-vs-target sigma adjustment are documented in §S7.1.</w:t>
      </w:r>
    </w:p>
    <w:p>
      <w:pPr>
        <w:pStyle w:val="BodyText"/>
      </w:pPr>
      <w:r>
        <w:drawing>
          <wp:inline>
            <wp:extent cx="5943600" cy="4966936"/>
            <wp:effectExtent b="0" l="0" r="0" t="0"/>
            <wp:docPr descr="" title="" id="36" name="Picture"/>
            <a:graphic>
              <a:graphicData uri="http://schemas.openxmlformats.org/drawingml/2006/picture">
                <pic:pic>
                  <pic:nvPicPr>
                    <pic:cNvPr descr="../../figures/manuscript/figure_07_phase_transition.png" id="37" name="Picture"/>
                    <pic:cNvPicPr>
                      <a:picLocks noChangeArrowheads="1" noChangeAspect="1"/>
                    </pic:cNvPicPr>
                  </pic:nvPicPr>
                  <pic:blipFill>
                    <a:blip r:embed="rId35"/>
                    <a:stretch>
                      <a:fillRect/>
                    </a:stretch>
                  </pic:blipFill>
                  <pic:spPr bwMode="auto">
                    <a:xfrm>
                      <a:off x="0" y="0"/>
                      <a:ext cx="5943600" cy="4966936"/>
                    </a:xfrm>
                    <a:prstGeom prst="rect">
                      <a:avLst/>
                    </a:prstGeom>
                    <a:noFill/>
                    <a:ln w="9525">
                      <a:noFill/>
                      <a:headEnd/>
                      <a:tailEnd/>
                    </a:ln>
                  </pic:spPr>
                </pic:pic>
              </a:graphicData>
            </a:graphic>
          </wp:inline>
        </w:drawing>
      </w:r>
    </w:p>
    <w:p>
      <w:pPr>
        <w:pStyle w:val="BodyText"/>
      </w:pPr>
      <w:r>
        <w:rPr>
          <w:b/>
          <w:bCs/>
          <w:i/>
          <w:iCs/>
        </w:rPr>
        <w:t xml:space="preserve">Figure 7. Phase transition validation at the calibrated PP scenario.</w:t>
      </w:r>
      <w:r>
        <w:t xml:space="preserve"> </w:t>
      </w:r>
      <w:r>
        <w:rPr>
          <w:i/>
          <w:iCs/>
        </w:rPr>
        <w:t xml:space="preserve">Six stochastic replicates per cell × 7</w:t>
      </w:r>
      <w:r>
        <w:t xml:space="preserve"> </w:t>
      </w:r>
      <m:oMath>
        <m:sSub>
          <m:e>
            <m:r>
              <m:t>σ</m:t>
            </m:r>
          </m:e>
          <m:sub>
            <m:r>
              <m:t>e</m:t>
            </m:r>
            <m:r>
              <m:t>f</m:t>
            </m:r>
            <m:r>
              <m:t>f</m:t>
            </m:r>
          </m:sub>
        </m:sSub>
      </m:oMath>
      <w:r>
        <w:t xml:space="preserve"> </w:t>
      </w:r>
      <w:r>
        <w:rPr>
          <w:i/>
          <w:iCs/>
        </w:rPr>
        <w:t xml:space="preserve">points at PP-scenario parameters (</w:t>
      </w:r>
      <m:oMath>
        <m:r>
          <m:t>ε</m:t>
        </m:r>
        <m:r>
          <m:rPr>
            <m:sty m:val="p"/>
          </m:rPr>
          <m:t>=</m:t>
        </m:r>
        <m:r>
          <m:t>0.35</m:t>
        </m:r>
      </m:oMath>
      <w:r>
        <w:rPr>
          <w:i/>
          <w:iCs/>
        </w:rPr>
        <w:t xml:space="preserve">). (A) Strategy dominance vs effective environmental uncertainty</w:t>
      </w:r>
      <w:r>
        <w:t xml:space="preserve"> </w:t>
      </w:r>
      <m:oMath>
        <m:sSub>
          <m:e>
            <m:r>
              <m:t>σ</m:t>
            </m:r>
          </m:e>
          <m:sub>
            <m:r>
              <m:t>e</m:t>
            </m:r>
            <m:r>
              <m:t>f</m:t>
            </m:r>
            <m:r>
              <m:t>f</m:t>
            </m:r>
          </m:sub>
        </m:sSub>
      </m:oMath>
      <w:r>
        <w:rPr>
          <w:i/>
          <w:iCs/>
        </w:rPr>
        <w:t xml:space="preserve">. The metric climbs from strongly negative at low</w:t>
      </w:r>
      <w:r>
        <w:t xml:space="preserve"> </w:t>
      </w:r>
      <m:oMath>
        <m:sSub>
          <m:e>
            <m:r>
              <m:t>σ</m:t>
            </m:r>
          </m:e>
          <m:sub>
            <m:r>
              <m:t>e</m:t>
            </m:r>
            <m:r>
              <m:t>f</m:t>
            </m:r>
            <m:r>
              <m:t>f</m:t>
            </m:r>
          </m:sub>
        </m:sSub>
      </m:oMath>
      <w:r>
        <w:t xml:space="preserve"> </w:t>
      </w:r>
      <w:r>
        <w:rPr>
          <w:i/>
          <w:iCs/>
        </w:rPr>
        <w:t xml:space="preserve">through crossover near</w:t>
      </w:r>
      <w:r>
        <w:t xml:space="preserve"> </w:t>
      </w:r>
      <m:oMath>
        <m:sSubSup>
          <m:e>
            <m:r>
              <m:t>σ</m:t>
            </m:r>
          </m:e>
          <m:sub>
            <m:r>
              <m:t>e</m:t>
            </m:r>
            <m:r>
              <m:t>f</m:t>
            </m:r>
            <m:r>
              <m:t>f</m:t>
            </m:r>
          </m:sub>
          <m:sup>
            <m:r>
              <m:rPr>
                <m:sty m:val="p"/>
              </m:rPr>
              <m:t>*</m:t>
            </m:r>
          </m:sup>
        </m:sSubSup>
        <m:r>
          <m:rPr>
            <m:sty m:val="p"/>
          </m:rPr>
          <m:t>≈</m:t>
        </m:r>
        <m:r>
          <m:t>0.42</m:t>
        </m:r>
      </m:oMath>
      <w:r>
        <w:t xml:space="preserve"> </w:t>
      </w:r>
      <w:r>
        <w:rPr>
          <w:i/>
          <w:iCs/>
        </w:rPr>
        <w:t xml:space="preserve">to saturation near</w:t>
      </w:r>
      <w:r>
        <w:t xml:space="preserve"> </w:t>
      </w:r>
      <m:oMath>
        <m:r>
          <m:rPr>
            <m:sty m:val="p"/>
          </m:rPr>
          <m:t>+</m:t>
        </m:r>
        <m:r>
          <m:t>0.92</m:t>
        </m:r>
      </m:oMath>
      <w:r>
        <w:t xml:space="preserve"> </w:t>
      </w:r>
      <w:r>
        <w:rPr>
          <w:i/>
          <w:iCs/>
        </w:rPr>
        <w:t xml:space="preserve">at the highest</w:t>
      </w:r>
      <w:r>
        <w:t xml:space="preserve"> </w:t>
      </w:r>
      <m:oMath>
        <m:sSub>
          <m:e>
            <m:r>
              <m:t>σ</m:t>
            </m:r>
          </m:e>
          <m:sub>
            <m:r>
              <m:t>e</m:t>
            </m:r>
            <m:r>
              <m:t>f</m:t>
            </m:r>
            <m:r>
              <m:t>f</m:t>
            </m:r>
          </m:sub>
        </m:sSub>
      </m:oMath>
      <w:r>
        <w:t xml:space="preserve"> </w:t>
      </w:r>
      <w:r>
        <w:rPr>
          <w:i/>
          <w:iCs/>
        </w:rPr>
        <w:t xml:space="preserve">values, matching the analytical threshold</w:t>
      </w:r>
      <w:r>
        <w:t xml:space="preserve"> </w:t>
      </w:r>
      <m:oMath>
        <m:sSup>
          <m:e>
            <m:r>
              <m:t>σ</m:t>
            </m:r>
          </m:e>
          <m:sup>
            <m:r>
              <m:rPr>
                <m:sty m:val="p"/>
              </m:rPr>
              <m:t>*</m:t>
            </m:r>
          </m:sup>
        </m:sSup>
        <m:r>
          <m:rPr>
            <m:sty m:val="p"/>
          </m:rPr>
          <m:t>=</m:t>
        </m:r>
        <m:r>
          <m:t>0.40</m:t>
        </m:r>
      </m:oMath>
      <w:r>
        <w:t xml:space="preserve"> </w:t>
      </w:r>
      <w:r>
        <w:rPr>
          <w:i/>
          <w:iCs/>
        </w:rPr>
        <w:t xml:space="preserve">to within 0.02. (B) Mean aggregation size in bands per gathering, increasing sharply above</w:t>
      </w:r>
      <w:r>
        <w:t xml:space="preserve"> </w:t>
      </w:r>
      <m:oMath>
        <m:sSup>
          <m:e>
            <m:r>
              <m:t>σ</m:t>
            </m:r>
          </m:e>
          <m:sup>
            <m:r>
              <m:rPr>
                <m:sty m:val="p"/>
              </m:rPr>
              <m:t>*</m:t>
            </m:r>
          </m:sup>
        </m:sSup>
      </m:oMath>
      <w:r>
        <w:t xml:space="preserve"> </w:t>
      </w:r>
      <w:r>
        <w:rPr>
          <w:i/>
          <w:iCs/>
        </w:rPr>
        <w:t xml:space="preserve">and reaching the optimal</w:t>
      </w:r>
      <w:r>
        <w:t xml:space="preserve"> </w:t>
      </w:r>
      <m:oMath>
        <m:sSub>
          <m:e>
            <m:r>
              <m:t>n</m:t>
            </m:r>
          </m:e>
          <m:sub>
            <m:r>
              <m:t>a</m:t>
            </m:r>
            <m:r>
              <m:t>g</m:t>
            </m:r>
            <m:r>
              <m:t>g</m:t>
            </m:r>
          </m:sub>
        </m:sSub>
        <m:r>
          <m:rPr>
            <m:sty m:val="p"/>
          </m:rPr>
          <m:t>≈</m:t>
        </m:r>
        <m:r>
          <m:t>25</m:t>
        </m:r>
      </m:oMath>
      <w:r>
        <w:t xml:space="preserve"> </w:t>
      </w:r>
      <w:r>
        <w:rPr>
          <w:i/>
          <w:iCs/>
        </w:rPr>
        <w:t xml:space="preserve">at the highest uncertainty values. (C) Monument investment (cumulative units across the 200-year simulated interval), climbing from baseline at low</w:t>
      </w:r>
      <w:r>
        <w:t xml:space="preserve"> </w:t>
      </w:r>
      <m:oMath>
        <m:sSub>
          <m:e>
            <m:r>
              <m:t>σ</m:t>
            </m:r>
          </m:e>
          <m:sub>
            <m:r>
              <m:t>e</m:t>
            </m:r>
            <m:r>
              <m:t>f</m:t>
            </m:r>
            <m:r>
              <m:t>f</m:t>
            </m:r>
          </m:sub>
        </m:sSub>
      </m:oMath>
      <w:r>
        <w:t xml:space="preserve"> </w:t>
      </w:r>
      <w:r>
        <w:rPr>
          <w:i/>
          <w:iCs/>
        </w:rPr>
        <w:t xml:space="preserve">to large accumulations at high</w:t>
      </w:r>
      <w:r>
        <w:t xml:space="preserve"> </w:t>
      </w:r>
      <m:oMath>
        <m:sSub>
          <m:e>
            <m:r>
              <m:t>σ</m:t>
            </m:r>
          </m:e>
          <m:sub>
            <m:r>
              <m:t>e</m:t>
            </m:r>
            <m:r>
              <m:t>f</m:t>
            </m:r>
            <m:r>
              <m:t>f</m:t>
            </m:r>
          </m:sub>
        </m:sSub>
      </m:oMath>
      <w:r>
        <w:rPr>
          <w:i/>
          <w:iCs/>
        </w:rPr>
        <w:t xml:space="preserve">; the steep climb is concentrated above the analytical threshold (dashed red line). (D) Joint phase-transition signature: monument investment vs strategy dominance across the sweep, with the post-threshold cluster (</w:t>
      </w:r>
      <m:oMath>
        <m:sSub>
          <m:e>
            <m:r>
              <m:t>σ</m:t>
            </m:r>
          </m:e>
          <m:sub>
            <m:r>
              <m:t>e</m:t>
            </m:r>
            <m:r>
              <m:t>f</m:t>
            </m:r>
            <m:r>
              <m:t>f</m:t>
            </m:r>
          </m:sub>
        </m:sSub>
        <m:r>
          <m:rPr>
            <m:sty m:val="p"/>
          </m:rPr>
          <m:t>&gt;</m:t>
        </m:r>
        <m:r>
          <m:t>0.40</m:t>
        </m:r>
      </m:oMath>
      <w:r>
        <w:rPr>
          <w:i/>
          <w:iCs/>
        </w:rPr>
        <w:t xml:space="preserve">, yellow shading) separating cleanly from the pre-threshold cluster. The signal-conditional vs random-partner ablation comparison (§4.3) is tabulated per-cell in §S7.1 rather than plotted here; the substantive result is that the two versions cross the threshold at almost the same point (signal-conditional</w:t>
      </w:r>
      <w:r>
        <w:t xml:space="preserve"> </w:t>
      </w:r>
      <m:oMath>
        <m:sSubSup>
          <m:e>
            <m:r>
              <m:t>σ</m:t>
            </m:r>
          </m:e>
          <m:sub>
            <m:r>
              <m:t>e</m:t>
            </m:r>
            <m:r>
              <m:t>f</m:t>
            </m:r>
            <m:r>
              <m:t>f</m:t>
            </m:r>
          </m:sub>
          <m:sup>
            <m:r>
              <m:rPr>
                <m:sty m:val="p"/>
              </m:rPr>
              <m:t>*</m:t>
            </m:r>
          </m:sup>
        </m:sSubSup>
        <m:r>
          <m:rPr>
            <m:sty m:val="p"/>
          </m:rPr>
          <m:t>≈</m:t>
        </m:r>
        <m:r>
          <m:t>0.42</m:t>
        </m:r>
      </m:oMath>
      <w:r>
        <w:rPr>
          <w:i/>
          <w:iCs/>
        </w:rPr>
        <w:t xml:space="preserve">, random-partner</w:t>
      </w:r>
      <w:r>
        <w:t xml:space="preserve"> </w:t>
      </w:r>
      <m:oMath>
        <m:sSubSup>
          <m:e>
            <m:r>
              <m:t>σ</m:t>
            </m:r>
          </m:e>
          <m:sub>
            <m:r>
              <m:t>e</m:t>
            </m:r>
            <m:r>
              <m:t>f</m:t>
            </m:r>
            <m:r>
              <m:t>f</m:t>
            </m:r>
          </m:sub>
          <m:sup>
            <m:r>
              <m:rPr>
                <m:sty m:val="p"/>
              </m:rPr>
              <m:t>*</m:t>
            </m:r>
          </m:sup>
        </m:sSubSup>
        <m:r>
          <m:rPr>
            <m:sty m:val="p"/>
          </m:rPr>
          <m:t>≈</m:t>
        </m:r>
        <m:r>
          <m:t>0.41</m:t>
        </m:r>
      </m:oMath>
      <w:r>
        <w:rPr>
          <w:i/>
          <w:iCs/>
        </w:rPr>
        <w:t xml:space="preserve">; threshold shift</w:t>
      </w:r>
      <w:r>
        <w:t xml:space="preserve"> </w:t>
      </w:r>
      <m:oMath>
        <m:r>
          <m:rPr>
            <m:sty m:val="p"/>
          </m:rPr>
          <m:t>−</m:t>
        </m:r>
        <m:r>
          <m:t>0.010</m:t>
        </m:r>
      </m:oMath>
      <w:r>
        <w:t xml:space="preserve"> </w:t>
      </w:r>
      <w:r>
        <w:rPr>
          <w:i/>
          <w:iCs/>
        </w:rPr>
        <w:t xml:space="preserve">or</w:t>
      </w:r>
      <w:r>
        <w:t xml:space="preserve"> </w:t>
      </w:r>
      <m:oMath>
        <m:r>
          <m:rPr>
            <m:sty m:val="p"/>
          </m:rPr>
          <m:t>−</m:t>
        </m:r>
        <m:r>
          <m:t>2.4</m:t>
        </m:r>
        <m:r>
          <m:rPr>
            <m:sty m:val="p"/>
          </m:rPr>
          <m:t>%</m:t>
        </m:r>
      </m:oMath>
      <w:r>
        <w:rPr>
          <w:i/>
          <w:iCs/>
        </w:rPr>
        <w:t xml:space="preserve">, within replicate noise).</w:t>
      </w:r>
    </w:p>
    <w:p>
      <w:pPr>
        <w:pStyle w:val="BodyText"/>
      </w:pPr>
      <w:r>
        <w:t xml:space="preserve">The phase-transition sweep characterizes where the threshold lies; Figure 8 shows what the dynamics look like</w:t>
      </w:r>
      <w:r>
        <w:t xml:space="preserve"> </w:t>
      </w:r>
      <w:r>
        <w:rPr>
          <w:i/>
          <w:iCs/>
        </w:rPr>
        <w:t xml:space="preserve">at</w:t>
      </w:r>
      <w:r>
        <w:t xml:space="preserve"> </w:t>
      </w:r>
      <w:r>
        <w:t xml:space="preserve">the calibrated PP scenario, run as a single 500-year trajectory above the threshold. Strategy dominance stabilizes near</w:t>
      </w:r>
      <w:r>
        <w:t xml:space="preserve"> </w:t>
      </w:r>
      <m:oMath>
        <m:r>
          <m:rPr>
            <m:sty m:val="p"/>
          </m:rPr>
          <m:t>+</m:t>
        </m:r>
        <m:r>
          <m:t>0.70</m:t>
        </m:r>
      </m:oMath>
      <w:r>
        <w:t xml:space="preserve"> </w:t>
      </w:r>
      <w:r>
        <w:t xml:space="preserve">within the burn-in window and remains stable thereafter (Panel A); construction rate and aggregation size co-vary as bands respond to shortfall events (Panel B); cumulative monument investment grows steadily through the simulated interval (Panel C); and the fitness differential</w:t>
      </w:r>
      <w:r>
        <w:t xml:space="preserve"> </w:t>
      </w:r>
      <m:oMath>
        <m:sSub>
          <m:e>
            <m:r>
              <m:t>W</m:t>
            </m:r>
          </m:e>
          <m:sub>
            <m:r>
              <m:t>a</m:t>
            </m:r>
            <m:r>
              <m:t>g</m:t>
            </m:r>
            <m:r>
              <m:t>g</m:t>
            </m:r>
          </m:sub>
        </m:sSub>
        <m:r>
          <m:rPr>
            <m:sty m:val="p"/>
          </m:rPr>
          <m:t>−</m:t>
        </m:r>
        <m:sSub>
          <m:e>
            <m:r>
              <m:t>W</m:t>
            </m:r>
          </m:e>
          <m:sub>
            <m:r>
              <m:t>i</m:t>
            </m:r>
            <m:r>
              <m:t>n</m:t>
            </m:r>
            <m:r>
              <m:t>d</m:t>
            </m:r>
          </m:sub>
        </m:sSub>
      </m:oMath>
      <w:r>
        <w:t xml:space="preserve"> </w:t>
      </w:r>
      <w:r>
        <w:t xml:space="preserve">remains positive throughout (Panel D), confirming that the aggregator strategy is the stable equilibrium under PP-scenario uncertainty rather than a transient outcome.</w:t>
      </w:r>
    </w:p>
    <w:p>
      <w:pPr>
        <w:pStyle w:val="BodyText"/>
      </w:pPr>
      <w:r>
        <w:drawing>
          <wp:inline>
            <wp:extent cx="5943600" cy="4136102"/>
            <wp:effectExtent b="0" l="0" r="0" t="0"/>
            <wp:docPr descr="" title="" id="39" name="Picture"/>
            <a:graphic>
              <a:graphicData uri="http://schemas.openxmlformats.org/drawingml/2006/picture">
                <pic:pic>
                  <pic:nvPicPr>
                    <pic:cNvPr descr="../../figures/manuscript/figure_08_temporal_dynamics.png" id="40" name="Picture"/>
                    <pic:cNvPicPr>
                      <a:picLocks noChangeArrowheads="1" noChangeAspect="1"/>
                    </pic:cNvPicPr>
                  </pic:nvPicPr>
                  <pic:blipFill>
                    <a:blip r:embed="rId38"/>
                    <a:stretch>
                      <a:fillRect/>
                    </a:stretch>
                  </pic:blipFill>
                  <pic:spPr bwMode="auto">
                    <a:xfrm>
                      <a:off x="0" y="0"/>
                      <a:ext cx="5943600" cy="4136102"/>
                    </a:xfrm>
                    <a:prstGeom prst="rect">
                      <a:avLst/>
                    </a:prstGeom>
                    <a:noFill/>
                    <a:ln w="9525">
                      <a:noFill/>
                      <a:headEnd/>
                      <a:tailEnd/>
                    </a:ln>
                  </pic:spPr>
                </pic:pic>
              </a:graphicData>
            </a:graphic>
          </wp:inline>
        </w:drawing>
      </w:r>
    </w:p>
    <w:p>
      <w:pPr>
        <w:pStyle w:val="BodyText"/>
      </w:pPr>
      <w:r>
        <w:rPr>
          <w:b/>
          <w:bCs/>
          <w:i/>
          <w:iCs/>
        </w:rPr>
        <w:t xml:space="preserve">Figure 8. Temporal dynamics at calibrated PP-scenario parameters.</w:t>
      </w:r>
      <w:r>
        <w:t xml:space="preserve"> </w:t>
      </w:r>
      <w:r>
        <w:rPr>
          <w:i/>
          <w:iCs/>
        </w:rPr>
        <w:t xml:space="preserve">Single 500-year trajectory at PP-scenario parameters (</w:t>
      </w:r>
      <m:oMath>
        <m:r>
          <m:t>σ</m:t>
        </m:r>
        <m:r>
          <m:rPr>
            <m:sty m:val="p"/>
          </m:rPr>
          <m:t>=</m:t>
        </m:r>
        <m:r>
          <m:t>0.64</m:t>
        </m:r>
      </m:oMath>
      <w:r>
        <w:rPr>
          <w:i/>
          <w:iCs/>
        </w:rPr>
        <w:t xml:space="preserve">,</w:t>
      </w:r>
      <w:r>
        <w:t xml:space="preserve"> </w:t>
      </w:r>
      <m:oMath>
        <m:r>
          <m:t>ε</m:t>
        </m:r>
        <m:r>
          <m:rPr>
            <m:sty m:val="p"/>
          </m:rPr>
          <m:t>=</m:t>
        </m:r>
        <m:r>
          <m:t>0.35</m:t>
        </m:r>
      </m:oMath>
      <w:r>
        <w:rPr>
          <w:i/>
          <w:iCs/>
        </w:rPr>
        <w:t xml:space="preserve">), above the threshold. (A) Strategy-dominance metric (10-year mean, orange) with shortfall periods overlaid (light orange ticks); dominance is the fraction of aggregator bands minus the fraction of independent bands. The metric stabilizes near</w:t>
      </w:r>
      <w:r>
        <w:t xml:space="preserve"> </w:t>
      </w:r>
      <m:oMath>
        <m:r>
          <m:rPr>
            <m:sty m:val="p"/>
          </m:rPr>
          <m:t>+</m:t>
        </m:r>
        <m:r>
          <m:t>0.70</m:t>
        </m:r>
      </m:oMath>
      <w:r>
        <w:t xml:space="preserve"> </w:t>
      </w:r>
      <w:r>
        <w:rPr>
          <w:i/>
          <w:iCs/>
        </w:rPr>
        <w:t xml:space="preserve">after burn-in and remains in the aggregator-dominant band for the duration. (B) Construction rate and aggregation size as deviations from their temporal means, demonstrating that construction tempo tracks the assembled aggregation size. (C) Cumulative monument investment (solid black, left axis) climbing approximately linearly through the simulated interval; construction rate (dashed magenta, right axis) fluctuates around the mean as shortfall events drive variation. (D) Fitness differential</w:t>
      </w:r>
      <w:r>
        <w:t xml:space="preserve"> </w:t>
      </w:r>
      <m:oMath>
        <m:sSub>
          <m:e>
            <m:r>
              <m:t>W</m:t>
            </m:r>
          </m:e>
          <m:sub>
            <m:r>
              <m:t>a</m:t>
            </m:r>
            <m:r>
              <m:t>g</m:t>
            </m:r>
            <m:r>
              <m:t>g</m:t>
            </m:r>
          </m:sub>
        </m:sSub>
        <m:r>
          <m:rPr>
            <m:sty m:val="p"/>
          </m:rPr>
          <m:t>−</m:t>
        </m:r>
        <m:sSub>
          <m:e>
            <m:r>
              <m:t>W</m:t>
            </m:r>
          </m:e>
          <m:sub>
            <m:r>
              <m:t>i</m:t>
            </m:r>
            <m:r>
              <m:t>n</m:t>
            </m:r>
            <m:r>
              <m:t>d</m:t>
            </m:r>
          </m:sub>
        </m:sSub>
      </m:oMath>
      <w:r>
        <w:t xml:space="preserve"> </w:t>
      </w:r>
      <w:r>
        <w:rPr>
          <w:i/>
          <w:iCs/>
        </w:rPr>
        <w:t xml:space="preserve">over time, remaining positive throughout the interval (</w:t>
      </w:r>
      <m:oMath>
        <m:r>
          <m:rPr>
            <m:sty m:val="p"/>
          </m:rPr>
          <m:t>∼</m:t>
        </m:r>
        <m:r>
          <m:t>0.19</m:t>
        </m:r>
      </m:oMath>
      <w:r>
        <w:t xml:space="preserve"> </w:t>
      </w:r>
      <w:r>
        <w:rPr>
          <w:i/>
          <w:iCs/>
        </w:rPr>
        <w:t xml:space="preserve">at equilibrium); the persistent positive value confirms that the aggregator strategy is the equilibrium outcome rather than a transient state.</w:t>
      </w:r>
    </w:p>
    <w:bookmarkEnd w:id="41"/>
    <w:bookmarkStart w:id="45" w:name="phase-space-structure"/>
    <w:p>
      <w:pPr>
        <w:pStyle w:val="Heading3"/>
      </w:pPr>
      <w:r>
        <w:t xml:space="preserve">4.2 Phase-space structure</w:t>
      </w:r>
    </w:p>
    <w:p>
      <w:pPr>
        <w:pStyle w:val="FirstParagraph"/>
      </w:pPr>
      <w:r>
        <w:t xml:space="preserve">The §4.1 sweep validates the threshold along a single slice through parameter space (</w:t>
      </w:r>
      <m:oMath>
        <m:r>
          <m:t>ε</m:t>
        </m:r>
        <m:r>
          <m:rPr>
            <m:sty m:val="p"/>
          </m:rPr>
          <m:t>=</m:t>
        </m:r>
        <m:r>
          <m:t>0.35</m:t>
        </m:r>
      </m:oMath>
      <w:r>
        <w:t xml:space="preserve">, varying</w:t>
      </w:r>
      <w:r>
        <w:t xml:space="preserve"> </w:t>
      </w:r>
      <m:oMath>
        <m:r>
          <m:t>σ</m:t>
        </m:r>
      </m:oMath>
      <w:r>
        <w:t xml:space="preserve">). The framework’s analytical prediction is more general: the threshold</w:t>
      </w:r>
      <w:r>
        <w:t xml:space="preserve"> </w:t>
      </w:r>
      <m:oMath>
        <m:sSup>
          <m:e>
            <m:r>
              <m:t>σ</m:t>
            </m:r>
          </m:e>
          <m:sup>
            <m:r>
              <m:rPr>
                <m:sty m:val="p"/>
              </m:rPr>
              <m:t>*</m:t>
            </m:r>
          </m:sup>
        </m:sSup>
      </m:oMath>
      <w:r>
        <w:t xml:space="preserve"> </w:t>
      </w:r>
      <w:r>
        <w:t xml:space="preserve">is a function of</w:t>
      </w:r>
      <w:r>
        <w:t xml:space="preserve"> </w:t>
      </w:r>
      <m:oMath>
        <m:r>
          <m:t>ε</m:t>
        </m:r>
      </m:oMath>
      <w:r>
        <w:t xml:space="preserve">, with low-</w:t>
      </w:r>
      <m:oMath>
        <m:r>
          <m:t>ε</m:t>
        </m:r>
      </m:oMath>
      <w:r>
        <w:t xml:space="preserve"> </w:t>
      </w:r>
      <w:r>
        <w:t xml:space="preserve">sites requiring higher</w:t>
      </w:r>
      <w:r>
        <w:t xml:space="preserve"> </w:t>
      </w:r>
      <m:oMath>
        <m:r>
          <m:t>σ</m:t>
        </m:r>
      </m:oMath>
      <w:r>
        <w:t xml:space="preserve"> </w:t>
      </w:r>
      <w:r>
        <w:t xml:space="preserve">for aggregation to become adaptive, and high-</w:t>
      </w:r>
      <m:oMath>
        <m:r>
          <m:t>ε</m:t>
        </m:r>
      </m:oMath>
      <w:r>
        <w:t xml:space="preserve"> </w:t>
      </w:r>
      <w:r>
        <w:t xml:space="preserve">sites crossing into the aggregator regime at lower</w:t>
      </w:r>
      <w:r>
        <w:t xml:space="preserve"> </w:t>
      </w:r>
      <m:oMath>
        <m:r>
          <m:t>σ</m:t>
        </m:r>
      </m:oMath>
      <w:r>
        <w:t xml:space="preserve">. To test whether the agent-based dynamics reproduce this structure across the joint parameter plane, rather than just along the slice, we ran the model on a grid spanning environmental uncertainty</w:t>
      </w:r>
      <w:r>
        <w:t xml:space="preserve"> </w:t>
      </w:r>
      <m:oMath>
        <m:r>
          <m:t>σ</m:t>
        </m:r>
      </m:oMath>
      <w:r>
        <w:t xml:space="preserve"> </w:t>
      </w:r>
      <w:r>
        <w:t xml:space="preserve">and ecotone advantage</w:t>
      </w:r>
      <w:r>
        <w:t xml:space="preserve"> </w:t>
      </w:r>
      <m:oMath>
        <m:r>
          <m:t>ε</m:t>
        </m:r>
      </m:oMath>
      <w:r>
        <w:t xml:space="preserve">.</w:t>
      </w:r>
    </w:p>
    <w:p>
      <w:pPr>
        <w:pStyle w:val="BodyText"/>
      </w:pPr>
      <w:r>
        <w:t xml:space="preserve">The simulated phase space matches the analytical prediction across the plane (Figure 9). At low</w:t>
      </w:r>
      <w:r>
        <w:t xml:space="preserve"> </w:t>
      </w:r>
      <m:oMath>
        <m:r>
          <m:t>ε</m:t>
        </m:r>
      </m:oMath>
      <w:r>
        <w:t xml:space="preserve"> </w:t>
      </w:r>
      <w:r>
        <w:t xml:space="preserve">(</w:t>
      </w:r>
      <m:oMath>
        <m:r>
          <m:rPr>
            <m:sty m:val="p"/>
          </m:rPr>
          <m:t>&lt;</m:t>
        </m:r>
        <m:r>
          <m:t>0.2</m:t>
        </m:r>
      </m:oMath>
      <w:r>
        <w:t xml:space="preserve">), the regime boundary shifts right, requiring</w:t>
      </w:r>
      <w:r>
        <w:t xml:space="preserve"> </w:t>
      </w:r>
      <m:oMath>
        <m:r>
          <m:t>σ</m:t>
        </m:r>
        <m:r>
          <m:rPr>
            <m:sty m:val="p"/>
          </m:rPr>
          <m:t>&gt;</m:t>
        </m:r>
        <m:r>
          <m:t>0.60</m:t>
        </m:r>
      </m:oMath>
      <w:r>
        <w:t xml:space="preserve"> </w:t>
      </w:r>
      <w:r>
        <w:t xml:space="preserve">for sustained aggregator dominance. At high</w:t>
      </w:r>
      <w:r>
        <w:t xml:space="preserve"> </w:t>
      </w:r>
      <m:oMath>
        <m:r>
          <m:t>ε</m:t>
        </m:r>
      </m:oMath>
      <w:r>
        <w:t xml:space="preserve"> </w:t>
      </w:r>
      <w:r>
        <w:t xml:space="preserve">(</w:t>
      </w:r>
      <m:oMath>
        <m:r>
          <m:rPr>
            <m:sty m:val="p"/>
          </m:rPr>
          <m:t>&gt;</m:t>
        </m:r>
        <m:r>
          <m:t>0.4</m:t>
        </m:r>
      </m:oMath>
      <w:r>
        <w:t xml:space="preserve">), the boundary shifts left to</w:t>
      </w:r>
      <w:r>
        <w:t xml:space="preserve"> </w:t>
      </w:r>
      <m:oMath>
        <m:r>
          <m:t>σ</m:t>
        </m:r>
        <m:r>
          <m:rPr>
            <m:sty m:val="p"/>
          </m:rPr>
          <m:t>≈</m:t>
        </m:r>
        <m:r>
          <m:t>0.45</m:t>
        </m:r>
      </m:oMath>
      <w:r>
        <w:t xml:space="preserve">. The simulation produces an aggregator-dominated region (orange) and an independent-dominated region (purple) that are cleanly separated by the analytical critical-threshold line, with a narrow bistable transition zone along the boundary. Maximum monument accumulation occurs at</w:t>
      </w:r>
      <w:r>
        <w:t xml:space="preserve"> </w:t>
      </w:r>
      <m:oMath>
        <m:r>
          <m:rPr>
            <m:sty m:val="p"/>
          </m:rPr>
          <m:t>(</m:t>
        </m:r>
        <m:r>
          <m:t>σ</m:t>
        </m:r>
        <m:r>
          <m:rPr>
            <m:sty m:val="p"/>
          </m:rPr>
          <m:t>=</m:t>
        </m:r>
        <m:r>
          <m:t>0.80</m:t>
        </m:r>
        <m:r>
          <m:rPr>
            <m:sty m:val="p"/>
          </m:rPr>
          <m:t>,</m:t>
        </m:r>
        <m:r>
          <m:t>ε</m:t>
        </m:r>
        <m:r>
          <m:rPr>
            <m:sty m:val="p"/>
          </m:rPr>
          <m:t>=</m:t>
        </m:r>
        <m:r>
          <m:t>0.50</m:t>
        </m:r>
        <m:r>
          <m:rPr>
            <m:sty m:val="p"/>
          </m:rPr>
          <m:t>)</m:t>
        </m:r>
      </m:oMath>
      <w:r>
        <w:t xml:space="preserve">, where the framework predicts the strongest joint operation of high uncertainty and strong ecotone buffering. The phase-space structure is therefore a generic property of the framework rather than an artifact of any particular slice through parameter space, and the dynamic-sufficiency test passes across the joint plane, not only along the §4.1 slice.</w:t>
      </w:r>
    </w:p>
    <w:p>
      <w:pPr>
        <w:pStyle w:val="BodyText"/>
      </w:pPr>
      <w:r>
        <w:drawing>
          <wp:inline>
            <wp:extent cx="5943600" cy="2546639"/>
            <wp:effectExtent b="0" l="0" r="0" t="0"/>
            <wp:docPr descr="" title="" id="43" name="Picture"/>
            <a:graphic>
              <a:graphicData uri="http://schemas.openxmlformats.org/drawingml/2006/picture">
                <pic:pic>
                  <pic:nvPicPr>
                    <pic:cNvPr descr="../../figures/manuscript/figure_09_phase_space.png" id="44" name="Picture"/>
                    <pic:cNvPicPr>
                      <a:picLocks noChangeArrowheads="1" noChangeAspect="1"/>
                    </pic:cNvPicPr>
                  </pic:nvPicPr>
                  <pic:blipFill>
                    <a:blip r:embed="rId42"/>
                    <a:stretch>
                      <a:fillRect/>
                    </a:stretch>
                  </pic:blipFill>
                  <pic:spPr bwMode="auto">
                    <a:xfrm>
                      <a:off x="0" y="0"/>
                      <a:ext cx="5943600" cy="2546639"/>
                    </a:xfrm>
                    <a:prstGeom prst="rect">
                      <a:avLst/>
                    </a:prstGeom>
                    <a:noFill/>
                    <a:ln w="9525">
                      <a:noFill/>
                      <a:headEnd/>
                      <a:tailEnd/>
                    </a:ln>
                  </pic:spPr>
                </pic:pic>
              </a:graphicData>
            </a:graphic>
          </wp:inline>
        </w:drawing>
      </w:r>
    </w:p>
    <w:p>
      <w:pPr>
        <w:pStyle w:val="BodyText"/>
      </w:pPr>
      <w:r>
        <w:rPr>
          <w:b/>
          <w:bCs/>
          <w:i/>
          <w:iCs/>
        </w:rPr>
        <w:t xml:space="preserve">Figure 9. Phase-space structure across the joint</w:t>
      </w:r>
      <w:r>
        <w:t xml:space="preserve"> </w:t>
      </w:r>
      <m:oMath>
        <m:r>
          <m:rPr>
            <m:sty m:val="p"/>
          </m:rPr>
          <m:t>(</m:t>
        </m:r>
        <m:r>
          <m:t>σ</m:t>
        </m:r>
        <m:r>
          <m:rPr>
            <m:sty m:val="p"/>
          </m:rPr>
          <m:t>,</m:t>
        </m:r>
        <m:r>
          <m:t>ε</m:t>
        </m:r>
        <m:r>
          <m:rPr>
            <m:sty m:val="p"/>
          </m:rPr>
          <m:t>)</m:t>
        </m:r>
      </m:oMath>
      <w:r>
        <w:t xml:space="preserve"> </w:t>
      </w:r>
      <w:r>
        <w:rPr>
          <w:b/>
          <w:bCs/>
          <w:i/>
          <w:iCs/>
        </w:rPr>
        <w:t xml:space="preserve">plane.</w:t>
      </w:r>
      <w:r>
        <w:t xml:space="preserve"> </w:t>
      </w:r>
      <w:r>
        <w:rPr>
          <w:i/>
          <w:iCs/>
        </w:rPr>
        <w:t xml:space="preserve">Strategy dominance and monument investment across the two-dimensional parameter space defined by environmental uncertainty</w:t>
      </w:r>
      <w:r>
        <w:t xml:space="preserve"> </w:t>
      </w:r>
      <m:oMath>
        <m:r>
          <m:t>σ</m:t>
        </m:r>
      </m:oMath>
      <w:r>
        <w:t xml:space="preserve"> </w:t>
      </w:r>
      <w:r>
        <w:rPr>
          <w:i/>
          <w:iCs/>
        </w:rPr>
        <w:t xml:space="preserve">(horizontal axis) and ecotone advantage</w:t>
      </w:r>
      <w:r>
        <w:t xml:space="preserve"> </w:t>
      </w:r>
      <m:oMath>
        <m:r>
          <m:t>ε</m:t>
        </m:r>
      </m:oMath>
      <w:r>
        <w:t xml:space="preserve"> </w:t>
      </w:r>
      <w:r>
        <w:rPr>
          <w:i/>
          <w:iCs/>
        </w:rPr>
        <w:t xml:space="preserve">(vertical axis), produced by running the agent-based model on a grid spanning both parameters at otherwise PP-scenario settings. A) The analytical critical-threshold line (the value of</w:t>
      </w:r>
      <w:r>
        <w:t xml:space="preserve"> </w:t>
      </w:r>
      <m:oMath>
        <m:r>
          <m:t>σ</m:t>
        </m:r>
      </m:oMath>
      <w:r>
        <w:t xml:space="preserve"> </w:t>
      </w:r>
      <w:r>
        <w:rPr>
          <w:i/>
          <w:iCs/>
        </w:rPr>
        <w:t xml:space="preserve">at which</w:t>
      </w:r>
      <w:r>
        <w:t xml:space="preserve"> </w:t>
      </w:r>
      <m:oMath>
        <m:sSub>
          <m:e>
            <m:r>
              <m:t>W</m:t>
            </m:r>
          </m:e>
          <m:sub>
            <m:r>
              <m:t>a</m:t>
            </m:r>
            <m:r>
              <m:t>g</m:t>
            </m:r>
            <m:r>
              <m:t>g</m:t>
            </m:r>
          </m:sub>
        </m:sSub>
        <m:r>
          <m:rPr>
            <m:sty m:val="p"/>
          </m:rPr>
          <m:t>=</m:t>
        </m:r>
        <m:sSub>
          <m:e>
            <m:r>
              <m:t>W</m:t>
            </m:r>
          </m:e>
          <m:sub>
            <m:r>
              <m:t>i</m:t>
            </m:r>
            <m:r>
              <m:t>n</m:t>
            </m:r>
            <m:r>
              <m:t>d</m:t>
            </m:r>
          </m:sub>
        </m:sSub>
      </m:oMath>
      <w:r>
        <w:t xml:space="preserve"> </w:t>
      </w:r>
      <w:r>
        <w:rPr>
          <w:i/>
          <w:iCs/>
        </w:rPr>
        <w:t xml:space="preserve">for each</w:t>
      </w:r>
      <w:r>
        <w:t xml:space="preserve"> </w:t>
      </w:r>
      <m:oMath>
        <m:r>
          <m:t>ε</m:t>
        </m:r>
      </m:oMath>
      <w:r>
        <w:rPr>
          <w:i/>
          <w:iCs/>
        </w:rPr>
        <w:t xml:space="preserve">, derived in §2.4) is overlaid on a continuous color map of simulated strategy dominance (purple = independents dominate at</w:t>
      </w:r>
      <w:r>
        <w:t xml:space="preserve"> </w:t>
      </w:r>
      <m:oMath>
        <m:r>
          <m:t>σ</m:t>
        </m:r>
        <m:r>
          <m:rPr>
            <m:sty m:val="p"/>
          </m:rPr>
          <m:t>&lt;</m:t>
        </m:r>
        <m:sSup>
          <m:e>
            <m:r>
              <m:t>σ</m:t>
            </m:r>
          </m:e>
          <m:sup>
            <m:r>
              <m:rPr>
                <m:sty m:val="p"/>
              </m:rPr>
              <m:t>*</m:t>
            </m:r>
          </m:sup>
        </m:sSup>
      </m:oMath>
      <w:r>
        <w:rPr>
          <w:i/>
          <w:iCs/>
        </w:rPr>
        <w:t xml:space="preserve">; off-white = parity at the threshold; orange = aggregators dominate at</w:t>
      </w:r>
      <w:r>
        <w:t xml:space="preserve"> </w:t>
      </w:r>
      <m:oMath>
        <m:r>
          <m:t>σ</m:t>
        </m:r>
        <m:r>
          <m:rPr>
            <m:sty m:val="p"/>
          </m:rPr>
          <m:t>&gt;</m:t>
        </m:r>
        <m:sSup>
          <m:e>
            <m:r>
              <m:t>σ</m:t>
            </m:r>
          </m:e>
          <m:sup>
            <m:r>
              <m:rPr>
                <m:sty m:val="p"/>
              </m:rPr>
              <m:t>*</m:t>
            </m:r>
          </m:sup>
        </m:sSup>
      </m:oMath>
      <w:r>
        <w:rPr>
          <w:i/>
          <w:iCs/>
        </w:rPr>
        <w:t xml:space="preserve">). The threshold line falls along the color transition across the plane. B) Maximum monument accumulation occurs at high</w:t>
      </w:r>
      <w:r>
        <w:t xml:space="preserve"> </w:t>
      </w:r>
      <m:oMath>
        <m:r>
          <m:t>σ</m:t>
        </m:r>
      </m:oMath>
      <w:r>
        <w:t xml:space="preserve"> </w:t>
      </w:r>
      <w:r>
        <w:rPr>
          <w:i/>
          <w:iCs/>
        </w:rPr>
        <w:t xml:space="preserve">combined with high</w:t>
      </w:r>
      <w:r>
        <w:t xml:space="preserve"> </w:t>
      </w:r>
      <m:oMath>
        <m:r>
          <m:t>ε</m:t>
        </m:r>
      </m:oMath>
      <w:r>
        <w:rPr>
          <w:i/>
          <w:iCs/>
        </w:rPr>
        <w:t xml:space="preserve">, exactly where the framework predicts the strongest joint operation of uncertainty pressure and ecotone-buffered cooperation.</w:t>
      </w:r>
    </w:p>
    <w:bookmarkEnd w:id="45"/>
    <w:bookmarkStart w:id="46" w:name="signaling-vs-cooperation-ablation"/>
    <w:p>
      <w:pPr>
        <w:pStyle w:val="Heading3"/>
      </w:pPr>
      <w:r>
        <w:t xml:space="preserve">4.3 Signaling-vs-cooperation ablation</w:t>
      </w:r>
    </w:p>
    <w:p>
      <w:pPr>
        <w:pStyle w:val="FirstParagraph"/>
      </w:pPr>
      <w:r>
        <w:t xml:space="preserve">A reasonable concern about any signaling model is whether the signaling apparatus does explanatory work that generic cooperation theory does not. If a model that simply pools risk through cooperative networks produces the same predictions as one that adds signaling on top, then</w:t>
      </w:r>
      <w:r>
        <w:t xml:space="preserve"> </w:t>
      </w:r>
      <w:r>
        <w:t xml:space="preserve">“costly signaling”</w:t>
      </w:r>
      <w:r>
        <w:t xml:space="preserve"> </w:t>
      </w:r>
      <w:r>
        <w:t xml:space="preserve">on the threshold dimension is no more than collective-action theory in different vocabulary (cf. Penn and Szamadó 2020). We address this with an</w:t>
      </w:r>
      <w:r>
        <w:t xml:space="preserve"> </w:t>
      </w:r>
      <w:r>
        <w:rPr>
          <w:i/>
          <w:iCs/>
        </w:rPr>
        <w:t xml:space="preserve">ablation comparison</w:t>
      </w:r>
      <w:r>
        <w:t xml:space="preserve">: a controlled experiment in which a single component of the model is removed or replaced with a neutral alternative, and the analysis is rerun to measure the extent to which that component actually contributes. The cleanest implementation here is to compare two versions of the model side by side: one in which bands form cooperative ties with one another on the basis of visible signals (i.e., monument contributions and exotic-goods possession), and one in which the same number of ties form at random among the bands attending the gathering. Everything else about the cooperation network is held constant between the two versions. The question is whether the threshold for adaptive aggregation moves between them. If it does, signaling adds explanatory work beyond network-mediated cooperation. If it does not, the threshold reduces to a collective-action result that does not require signaling to derive.</w:t>
      </w:r>
    </w:p>
    <w:p>
      <w:pPr>
        <w:pStyle w:val="BodyText"/>
      </w:pPr>
      <w:r>
        <w:t xml:space="preserve">The model implements this comparison directly. In the signal-conditional version, partner choice at the gathering is weighted by each band’s visible contributions (i.e., monument labor and exotic-goods accumulation), so bands with higher contributions form more cooperative ties. In the random-partner version, the same number of ties form among the same bands, but who pairs with whom is chosen at random, holding constant the rest of the cooperation-network mechanics. We ran both versions over the same</w:t>
      </w:r>
      <w:r>
        <w:t xml:space="preserve"> </w:t>
      </w:r>
      <m:oMath>
        <m:sSub>
          <m:e>
            <m:r>
              <m:t>σ</m:t>
            </m:r>
          </m:e>
          <m:sub>
            <m:r>
              <m:t>t</m:t>
            </m:r>
            <m:r>
              <m:t>a</m:t>
            </m:r>
            <m:r>
              <m:t>r</m:t>
            </m:r>
            <m:r>
              <m:t>g</m:t>
            </m:r>
            <m:r>
              <m:t>e</m:t>
            </m:r>
            <m:r>
              <m:t>t</m:t>
            </m:r>
          </m:sub>
        </m:sSub>
      </m:oMath>
      <w:r>
        <w:t xml:space="preserve"> </w:t>
      </w:r>
      <w:r>
        <w:t xml:space="preserve">sweep with PP-scenario parameters (</w:t>
      </w:r>
      <m:oMath>
        <m:r>
          <m:t>ε</m:t>
        </m:r>
        <m:r>
          <m:rPr>
            <m:sty m:val="p"/>
          </m:rPr>
          <m:t>=</m:t>
        </m:r>
        <m:r>
          <m:t>0.35</m:t>
        </m:r>
      </m:oMath>
      <w:r>
        <w:t xml:space="preserve">); the sweep configuration and per-cell statistics for both versions are documented in §S7.1.</w:t>
      </w:r>
    </w:p>
    <w:p>
      <w:pPr>
        <w:pStyle w:val="BodyText"/>
      </w:pPr>
      <w:r>
        <w:rPr>
          <w:b/>
          <w:bCs/>
        </w:rPr>
        <w:t xml:space="preserve">Result: the two versions cross the threshold at almost the same point.</w:t>
      </w:r>
      <w:r>
        <w:t xml:space="preserve"> </w:t>
      </w:r>
      <w:r>
        <w:t xml:space="preserve">The signal-conditional version crosses at</w:t>
      </w:r>
      <w:r>
        <w:t xml:space="preserve"> </w:t>
      </w:r>
      <m:oMath>
        <m:sSub>
          <m:e>
            <m:r>
              <m:t>σ</m:t>
            </m:r>
          </m:e>
          <m:sub>
            <m:r>
              <m:t>e</m:t>
            </m:r>
            <m:r>
              <m:t>f</m:t>
            </m:r>
            <m:r>
              <m:t>f</m:t>
            </m:r>
          </m:sub>
        </m:sSub>
        <m:r>
          <m:rPr>
            <m:sty m:val="p"/>
          </m:rPr>
          <m:t>≈</m:t>
        </m:r>
        <m:r>
          <m:t>0.42</m:t>
        </m:r>
      </m:oMath>
      <w:r>
        <w:t xml:space="preserve"> </w:t>
      </w:r>
      <w:r>
        <w:t xml:space="preserve">and the random-partner version at</w:t>
      </w:r>
      <w:r>
        <w:t xml:space="preserve"> </w:t>
      </w:r>
      <m:oMath>
        <m:sSub>
          <m:e>
            <m:r>
              <m:t>σ</m:t>
            </m:r>
          </m:e>
          <m:sub>
            <m:r>
              <m:t>e</m:t>
            </m:r>
            <m:r>
              <m:t>f</m:t>
            </m:r>
            <m:r>
              <m:t>f</m:t>
            </m:r>
          </m:sub>
        </m:sSub>
        <m:r>
          <m:rPr>
            <m:sty m:val="p"/>
          </m:rPr>
          <m:t>≈</m:t>
        </m:r>
        <m:r>
          <m:t>0.41</m:t>
        </m:r>
      </m:oMath>
      <w:r>
        <w:t xml:space="preserve">, a difference of about 2.4% in realized</w:t>
      </w:r>
      <w:r>
        <w:t xml:space="preserve"> </w:t>
      </w:r>
      <m:oMath>
        <m:sSub>
          <m:e>
            <m:r>
              <m:t>σ</m:t>
            </m:r>
          </m:e>
          <m:sub>
            <m:r>
              <m:t>e</m:t>
            </m:r>
            <m:r>
              <m:t>f</m:t>
            </m:r>
            <m:r>
              <m:t>f</m:t>
            </m:r>
          </m:sub>
        </m:sSub>
      </m:oMath>
      <w:r>
        <w:t xml:space="preserve"> </w:t>
      </w:r>
      <w:r>
        <w:t xml:space="preserve">that lies well within the replicate-to-replicate noise. Both versions reach near-total aggregator dominance (</w:t>
      </w:r>
      <m:oMath>
        <m:r>
          <m:rPr>
            <m:sty m:val="p"/>
          </m:rPr>
          <m:t>≈</m:t>
        </m:r>
        <m:r>
          <m:rPr>
            <m:sty m:val="p"/>
          </m:rPr>
          <m:t>+</m:t>
        </m:r>
        <m:r>
          <m:t>0.90</m:t>
        </m:r>
      </m:oMath>
      <w:r>
        <w:t xml:space="preserve">) at the highest uncertainty levels. At the parameterization used here, the signaling apparatus does not move the threshold relative to a network-cooperation model with random partner choice. The point-by-point comparison statistics are reported in §S7.1.</w:t>
      </w:r>
    </w:p>
    <w:p>
      <w:pPr>
        <w:pStyle w:val="BodyText"/>
      </w:pPr>
      <w:r>
        <w:t xml:space="preserve">We read this as a substantive finding rather than a problem to be explained away. A risk-pooling account in the Halstead and O’Shea (1989) tradition predicts the same threshold-crossing behavior as the signaling reading on this dimension. We can interpret this result in two ways. The signaling reading is distinguished from generic cooperation by the spatial pattern of monument and exotic accumulation, not by where the threshold lies. The regional exotic distribution is one of extreme asymmetric concentration: 95.7% of regional steatite and 97% of regional galena are at the type-site (Smith 1991), with hinterland PP-affiliated sites carrying small but nonzero quantities of the same materials (Gibson and Griffing 1994; Mitch 2023), and Kidder and Grooms (2025:7) describe the flow as effectively one-directional. Under the signaling reading, exotic acquisition operates through partner-choice premium at the gathering, so material accumulates at the hub while only personal-effects fractions return home with visitor bands; that is the pattern observed. The alternatives predict different patterns. A generic down-the-line exchange predicts smooth distance-decay from each geological source, with no single node dominating; the Smith 1991 concentration figures rule this out. Risk-pooling, as read in the Halstead and O’Shea (1989) tradition, predicts bidirectional flow at the hub, with exotics moving in during productive years and out (or converted to subsistence media) during shortfall years; the observed pattern is monotonic inflow during the active period rather than bidirectional storage and redistribution. Subsistence-level risk-pooling among hunter-gatherers operates primarily in food, dried provisions, labor, and hospitality during the dispersed phase, none of which are preserved archaeologically as well as galena and steatite; the exotic-flow signature is therefore a secondary indicator of regional flow asymmetry rather than a direct measure of risk-pooling itself. The framework passes the discriminating test on the existing record despite producing no detectable threshold shift.</w:t>
      </w:r>
    </w:p>
    <w:p>
      <w:pPr>
        <w:pStyle w:val="BodyText"/>
      </w:pPr>
      <w:r>
        <w:t xml:space="preserve">The second reading is that in the threshold dimension, the framework reduces to a multilevel-selection cooperation model under environmental uncertainty. That is itself a substantive theoretical result. Multilevel selection on cooperative networks has been invoked in the LMV literature for decades, but the formal demonstration that the network mechanics produce a sharp phase transition at PP-scenario parameters has not been made before. It is not specifically</w:t>
      </w:r>
      <w:r>
        <w:t xml:space="preserve"> </w:t>
      </w:r>
      <w:r>
        <w:rPr>
          <w:i/>
          <w:iCs/>
        </w:rPr>
        <w:t xml:space="preserve">costly signaling</w:t>
      </w:r>
      <w:r>
        <w:t xml:space="preserve"> </w:t>
      </w:r>
      <w:r>
        <w:t xml:space="preserve">on this dimension; rather, the cooperation-network channel (</w:t>
      </w:r>
      <m:oMath>
        <m:sSub>
          <m:e>
            <m:r>
              <m:t>λ</m:t>
            </m:r>
          </m:e>
          <m:sub>
            <m:r>
              <m:t>X</m:t>
            </m:r>
          </m:sub>
        </m:sSub>
      </m:oMath>
      <w:r>
        <w:t xml:space="preserve">) produces the threshold, and the signal-conditional partner formation layered on top does not shift it further.</w:t>
      </w:r>
    </w:p>
    <w:p>
      <w:pPr>
        <w:pStyle w:val="BodyText"/>
      </w:pPr>
      <w:r>
        <w:t xml:space="preserve">The ablation result reported here does not resolve the discrepancy between these two findings. The choice is made by a different test, the spatial-flow signature evaluated in §6.1, not by where the threshold lies.</w:t>
      </w:r>
    </w:p>
    <w:p>
      <w:pPr>
        <w:pStyle w:val="BodyText"/>
      </w:pPr>
      <w:r>
        <w:t xml:space="preserve">For completeness, we also report an earlier surrogate test that the framework used prior to the random-partner comparison. Setting the within-group reward parameter</w:t>
      </w:r>
      <w:r>
        <w:t xml:space="preserve"> </w:t>
      </w:r>
      <m:oMath>
        <m:sSub>
          <m:e>
            <m:r>
              <m:t>λ</m:t>
            </m:r>
          </m:e>
          <m:sub>
            <m:r>
              <m:t>W</m:t>
            </m:r>
          </m:sub>
        </m:sSub>
      </m:oMath>
      <w:r>
        <w:t xml:space="preserve"> </w:t>
      </w:r>
      <w:r>
        <w:t xml:space="preserve">to zero (i.e., removing the bonus that visibly cooperative bands receive, while leaving all network and ecotone effects intact) shifts the analytical threshold from</w:t>
      </w:r>
      <w:r>
        <w:t xml:space="preserve"> </w:t>
      </w:r>
      <m:oMath>
        <m:sSup>
          <m:e>
            <m:r>
              <m:t>σ</m:t>
            </m:r>
          </m:e>
          <m:sup>
            <m:r>
              <m:rPr>
                <m:sty m:val="p"/>
              </m:rPr>
              <m:t>*</m:t>
            </m:r>
          </m:sup>
        </m:sSup>
        <m:r>
          <m:rPr>
            <m:sty m:val="p"/>
          </m:rPr>
          <m:t>=</m:t>
        </m:r>
        <m:r>
          <m:t>0.400</m:t>
        </m:r>
      </m:oMath>
      <w:r>
        <w:t xml:space="preserve"> </w:t>
      </w:r>
      <w:r>
        <w:t xml:space="preserve">to</w:t>
      </w:r>
      <w:r>
        <w:t xml:space="preserve"> </w:t>
      </w:r>
      <m:oMath>
        <m:sSup>
          <m:e>
            <m:r>
              <m:t>σ</m:t>
            </m:r>
          </m:e>
          <m:sup>
            <m:r>
              <m:rPr>
                <m:sty m:val="p"/>
              </m:rPr>
              <m:t>*</m:t>
            </m:r>
          </m:sup>
        </m:sSup>
        <m:r>
          <m:rPr>
            <m:sty m:val="p"/>
          </m:rPr>
          <m:t>=</m:t>
        </m:r>
        <m:r>
          <m:t>0.543</m:t>
        </m:r>
      </m:oMath>
      <w:r>
        <w:t xml:space="preserve">, a 36% upward move. Sweeping</w:t>
      </w:r>
      <w:r>
        <w:t xml:space="preserve"> </w:t>
      </w:r>
      <m:oMath>
        <m:sSub>
          <m:e>
            <m:r>
              <m:t>λ</m:t>
            </m:r>
          </m:e>
          <m:sub>
            <m:r>
              <m:t>W</m:t>
            </m:r>
          </m:sub>
        </m:sSub>
      </m:oMath>
      <w:r>
        <w:t xml:space="preserve"> </w:t>
      </w:r>
      <w:r>
        <w:t xml:space="preserve">across its plausible ethnographic range</w:t>
      </w:r>
      <w:r>
        <w:t xml:space="preserve"> </w:t>
      </w:r>
      <m:oMath>
        <m:r>
          <m:rPr>
            <m:sty m:val="p"/>
          </m:rPr>
          <m:t>[</m:t>
        </m:r>
        <m:r>
          <m:t>0.05</m:t>
        </m:r>
        <m:r>
          <m:rPr>
            <m:sty m:val="p"/>
          </m:rPr>
          <m:t>,</m:t>
        </m:r>
        <m:r>
          <m:t>0.30</m:t>
        </m:r>
        <m:r>
          <m:rPr>
            <m:sty m:val="p"/>
          </m:rPr>
          <m:t>]</m:t>
        </m:r>
      </m:oMath>
      <w:r>
        <w:t xml:space="preserve"> </w:t>
      </w:r>
      <w:r>
        <w:t xml:space="preserve">traces</w:t>
      </w:r>
      <w:r>
        <w:t xml:space="preserve"> </w:t>
      </w:r>
      <m:oMath>
        <m:sSup>
          <m:e>
            <m:r>
              <m:t>σ</m:t>
            </m:r>
          </m:e>
          <m:sup>
            <m:r>
              <m:rPr>
                <m:sty m:val="p"/>
              </m:rPr>
              <m:t>*</m:t>
            </m:r>
          </m:sup>
        </m:sSup>
      </m:oMath>
      <w:r>
        <w:t xml:space="preserve"> </w:t>
      </w:r>
      <w:r>
        <w:t xml:space="preserve">monotonically from 0.543 to 0.263. This sensitivity indicates that</w:t>
      </w:r>
      <w:r>
        <w:t xml:space="preserve"> </w:t>
      </w:r>
      <m:oMath>
        <m:sSub>
          <m:e>
            <m:r>
              <m:t>λ</m:t>
            </m:r>
          </m:e>
          <m:sub>
            <m:r>
              <m:t>W</m:t>
            </m:r>
          </m:sub>
        </m:sSub>
      </m:oMath>
      <w:r>
        <w:t xml:space="preserve"> </w:t>
      </w:r>
      <w:r>
        <w:t xml:space="preserve">is not a free dial; its value matters quantitatively in determining the threshold location. But the test does not isolate signaling from generic cooperation, because what is removed by setting</w:t>
      </w:r>
      <w:r>
        <w:t xml:space="preserve"> </w:t>
      </w:r>
      <m:oMath>
        <m:sSub>
          <m:e>
            <m:r>
              <m:t>λ</m:t>
            </m:r>
          </m:e>
          <m:sub>
            <m:r>
              <m:t>W</m:t>
            </m:r>
          </m:sub>
        </m:sSub>
        <m:r>
          <m:rPr>
            <m:sty m:val="p"/>
          </m:rPr>
          <m:t>=</m:t>
        </m:r>
        <m:r>
          <m:t>0</m:t>
        </m:r>
      </m:oMath>
      <w:r>
        <w:t xml:space="preserve"> </w:t>
      </w:r>
      <w:r>
        <w:t xml:space="preserve">is an additive fitness bonus, not the signal-based mechanism by which bands choose partners. The random-partner comparison reported above is the test that isolates the signaling mechanism, and it returns no detectable threshold shift.</w:t>
      </w:r>
    </w:p>
    <w:p>
      <w:pPr>
        <w:pStyle w:val="BodyText"/>
      </w:pPr>
      <w:r>
        <w:t xml:space="preserve">The plausible-range claim for</w:t>
      </w:r>
      <w:r>
        <w:t xml:space="preserve"> </w:t>
      </w:r>
      <m:oMath>
        <m:sSub>
          <m:e>
            <m:r>
              <m:t>λ</m:t>
            </m:r>
          </m:e>
          <m:sub>
            <m:r>
              <m:t>W</m:t>
            </m:r>
          </m:sub>
        </m:sSub>
      </m:oMath>
      <w:r>
        <w:t xml:space="preserve"> </w:t>
      </w:r>
      <w:r>
        <w:t xml:space="preserve">deserves explicit ethnographic justification. Three independent ethnographic case studies of mobile-forager societies provide qualitative and quantitative evidence on the magnitude of within-group reward for visibly cooperative behavior; none directly measures the within-group fitness benefit of monument signaling, but each constrains its plausible range. Hawkes (2000) summarizes Hadza data showing that better big-game hunters are recognized as valuable partners: hunter rankings are consistent across years (Blurton Jones et al. 1997, summarized in Hawkes 2000:71), and partner choice favors better hunters. This qualitative pattern is consistent with the idea that signal quality drives a partner-choice premium. Wiessner (2002) reports a 34-year longitudinal Ju/</w:t>
      </w:r>
      <w:r>
        <w:t xml:space="preserve">‘hoansi (!Kung) record showing that good hunters’</w:t>
      </w:r>
      <w:r>
        <w:t xml:space="preserve"> </w:t>
      </w:r>
      <w:r>
        <w:t xml:space="preserve">families have substantially more hxaro partners (mean 42.9 vs 23.7, p=.006), more household possessions (60.4 vs 40.7, p=.02), and longer camp-residence stability (32.0 vs 17.4 years, p=.0001) than poor hunters’ families, with hxaro co-attendance providing 93% of extended visits during food shortages (Wiessner 2002:422); good hunters’ wives’ children survive at 83% vs 67% (a 24% relative survival advantage, Wiessner 2002:426). Hawkes and Bliege Bird (2002) review the partner-choice premium for visibly cooperative individuals across multiple foraging societies and place it within a comparable order-of-magnitude range. These ethnographic findings establish that the within-group reward for visibly cooperative behavior is non-trivial: meaningfully positive but bounded below the magnitudes (often &gt;50%) that would arise from straightforward provisioning or kin-selection mechanisms. They motivate an order-of-magnitude plausibility window for</w:t>
      </w:r>
      <w:r>
        <w:t xml:space="preserve"> </w:t>
      </w:r>
      <m:oMath>
        <m:sSub>
          <m:e>
            <m:r>
              <m:t>λ</m:t>
            </m:r>
          </m:e>
          <m:sub>
            <m:r>
              <m:t>W</m:t>
            </m:r>
          </m:sub>
        </m:sSub>
      </m:oMath>
      <w:r>
        <w:t xml:space="preserve"> </w:t>
      </w:r>
      <w:r>
        <w:t xml:space="preserve">on the order of</w:t>
      </w:r>
      <w:r>
        <w:t xml:space="preserve"> </w:t>
      </w:r>
      <m:oMath>
        <m:r>
          <m:t>0.05</m:t>
        </m:r>
      </m:oMath>
      <w:r>
        <w:t xml:space="preserve">-</w:t>
      </w:r>
      <m:oMath>
        <m:r>
          <m:t>0.30</m:t>
        </m:r>
      </m:oMath>
      <w:r>
        <w:t xml:space="preserve">, with central values around</w:t>
      </w:r>
      <w:r>
        <w:t xml:space="preserve"> </w:t>
      </w:r>
      <m:oMath>
        <m:r>
          <m:t>0.10</m:t>
        </m:r>
      </m:oMath>
      <w:r>
        <w:t xml:space="preserve">-</w:t>
      </w:r>
      <m:oMath>
        <m:r>
          <m:t>0.20</m:t>
        </m:r>
      </m:oMath>
      <w:r>
        <w:t xml:space="preserve">. We do not claim that this analysis derives</w:t>
      </w:r>
      <w:r>
        <w:t xml:space="preserve"> </w:t>
      </w:r>
      <m:oMath>
        <m:sSub>
          <m:e>
            <m:r>
              <m:t>λ</m:t>
            </m:r>
          </m:e>
          <m:sub>
            <m:r>
              <m:t>W</m:t>
            </m:r>
          </m:sub>
        </m:sSub>
      </m:oMath>
      <w:r>
        <w:t xml:space="preserve"> </w:t>
      </w:r>
      <w:r>
        <w:t xml:space="preserve">from the data; it brackets a defensible range within which the asserted central value of 0.15 lies. The corresponding threshold sensitivity to</w:t>
      </w:r>
      <w:r>
        <w:t xml:space="preserve"> </w:t>
      </w:r>
      <m:oMath>
        <m:sSub>
          <m:e>
            <m:r>
              <m:t>λ</m:t>
            </m:r>
          </m:e>
          <m:sub>
            <m:r>
              <m:t>W</m:t>
            </m:r>
          </m:sub>
        </m:sSub>
      </m:oMath>
      <w:r>
        <w:t xml:space="preserve"> </w:t>
      </w:r>
      <w:r>
        <w:t xml:space="preserve">across this range is reported in §4.4.</w:t>
      </w:r>
    </w:p>
    <w:bookmarkEnd w:id="46"/>
    <w:bookmarkStart w:id="47" w:name="sensitivity"/>
    <w:p>
      <w:pPr>
        <w:pStyle w:val="Heading3"/>
      </w:pPr>
      <w:r>
        <w:t xml:space="preserve">4.4 Sensitivity</w:t>
      </w:r>
    </w:p>
    <w:p>
      <w:pPr>
        <w:pStyle w:val="FirstParagraph"/>
      </w:pPr>
      <w:r>
        <w:t xml:space="preserve">A one-at-a-time (OAT) sensitivity analysis varies each model parameter individually across a defined range while holding the other parameters at their default values, and records how much the critical threshold</w:t>
      </w:r>
      <w:r>
        <w:t xml:space="preserve"> </w:t>
      </w:r>
      <m:oMath>
        <m:sSup>
          <m:e>
            <m:r>
              <m:t>σ</m:t>
            </m:r>
          </m:e>
          <m:sup>
            <m:r>
              <m:rPr>
                <m:sty m:val="p"/>
              </m:rPr>
              <m:t>*</m:t>
            </m:r>
          </m:sup>
        </m:sSup>
      </m:oMath>
      <w:r>
        <w:t xml:space="preserve"> </w:t>
      </w:r>
      <w:r>
        <w:t xml:space="preserve">changes as a result. The resulting</w:t>
      </w:r>
      <w:r>
        <w:t xml:space="preserve"> </w:t>
      </w:r>
      <w:r>
        <w:rPr>
          <w:i/>
          <w:iCs/>
        </w:rPr>
        <w:t xml:space="preserve">swing</w:t>
      </w:r>
      <w:r>
        <w:t xml:space="preserve"> </w:t>
      </w:r>
      <w:r>
        <w:t xml:space="preserve">is the difference between the highest and lowest</w:t>
      </w:r>
      <w:r>
        <w:t xml:space="preserve"> </w:t>
      </w:r>
      <m:oMath>
        <m:sSup>
          <m:e>
            <m:r>
              <m:t>σ</m:t>
            </m:r>
          </m:e>
          <m:sup>
            <m:r>
              <m:rPr>
                <m:sty m:val="p"/>
              </m:rPr>
              <m:t>*</m:t>
            </m:r>
          </m:sup>
        </m:sSup>
      </m:oMath>
      <w:r>
        <w:t xml:space="preserve"> </w:t>
      </w:r>
      <w:r>
        <w:t xml:space="preserve">produced across the parameter’s tested range, and it measures how strongly that parameter influences the threshold. With baseline</w:t>
      </w:r>
      <w:r>
        <w:t xml:space="preserve"> </w:t>
      </w:r>
      <m:oMath>
        <m:sSup>
          <m:e>
            <m:r>
              <m:t>σ</m:t>
            </m:r>
          </m:e>
          <m:sup>
            <m:r>
              <m:rPr>
                <m:sty m:val="p"/>
              </m:rPr>
              <m:t>*</m:t>
            </m:r>
          </m:sup>
        </m:sSup>
        <m:r>
          <m:rPr>
            <m:sty m:val="p"/>
          </m:rPr>
          <m:t>≈</m:t>
        </m:r>
        <m:r>
          <m:t>0.40</m:t>
        </m:r>
      </m:oMath>
      <w:r>
        <w:t xml:space="preserve"> </w:t>
      </w:r>
      <w:r>
        <w:t xml:space="preserve">at PP-scenario parameters, a swing of 0.20 means the threshold can move by half its baseline value depending on the setting of that parameter alone. The full table is in Supplemental §S3.1.</w:t>
      </w:r>
    </w:p>
    <w:p>
      <w:pPr>
        <w:pStyle w:val="BodyText"/>
      </w:pPr>
      <w:r>
        <w:t xml:space="preserve">Four parameters produce large swings. Varying the signaling-investment cost</w:t>
      </w:r>
      <w:r>
        <w:t xml:space="preserve"> </w:t>
      </w:r>
      <m:oMath>
        <m:sSub>
          <m:e>
            <m:r>
              <m:t>C</m:t>
            </m:r>
          </m:e>
          <m:sub>
            <m:r>
              <m:t>s</m:t>
            </m:r>
            <m:r>
              <m:t>i</m:t>
            </m:r>
            <m:r>
              <m:t>g</m:t>
            </m:r>
            <m:r>
              <m:t>n</m:t>
            </m:r>
            <m:r>
              <m:t>a</m:t>
            </m:r>
            <m:r>
              <m:t>l</m:t>
            </m:r>
          </m:sub>
        </m:sSub>
      </m:oMath>
      <w:r>
        <w:t xml:space="preserve"> </w:t>
      </w:r>
      <w:r>
        <w:t xml:space="preserve">across</w:t>
      </w:r>
      <w:r>
        <w:t xml:space="preserve"> </w:t>
      </w:r>
      <m:oMath>
        <m:r>
          <m:rPr>
            <m:sty m:val="p"/>
          </m:rPr>
          <m:t>±</m:t>
        </m:r>
        <m:r>
          <m:t>50</m:t>
        </m:r>
        <m:r>
          <m:rPr>
            <m:sty m:val="p"/>
          </m:rPr>
          <m:t>%</m:t>
        </m:r>
      </m:oMath>
      <w:r>
        <w:t xml:space="preserve"> </w:t>
      </w:r>
      <w:r>
        <w:t xml:space="preserve">of its default produces a swing of 0.225 in</w:t>
      </w:r>
      <w:r>
        <w:t xml:space="preserve"> </w:t>
      </w:r>
      <m:oMath>
        <m:sSup>
          <m:e>
            <m:r>
              <m:t>σ</m:t>
            </m:r>
          </m:e>
          <m:sup>
            <m:r>
              <m:rPr>
                <m:sty m:val="p"/>
              </m:rPr>
              <m:t>*</m:t>
            </m:r>
          </m:sup>
        </m:sSup>
      </m:oMath>
      <w:r>
        <w:t xml:space="preserve">. Varying the ecotone advantage</w:t>
      </w:r>
      <w:r>
        <w:t xml:space="preserve"> </w:t>
      </w:r>
      <m:oMath>
        <m:r>
          <m:t>ε</m:t>
        </m:r>
      </m:oMath>
      <w:r>
        <w:t xml:space="preserve"> </w:t>
      </w:r>
      <w:r>
        <w:t xml:space="preserve">across its full plausible range</w:t>
      </w:r>
      <w:r>
        <w:t xml:space="preserve"> </w:t>
      </w:r>
      <m:oMath>
        <m:r>
          <m:rPr>
            <m:sty m:val="p"/>
          </m:rPr>
          <m:t>[</m:t>
        </m:r>
        <m:r>
          <m:t>0.10</m:t>
        </m:r>
        <m:r>
          <m:rPr>
            <m:sty m:val="p"/>
          </m:rPr>
          <m:t>,</m:t>
        </m:r>
        <m:r>
          <m:t>0.50</m:t>
        </m:r>
        <m:r>
          <m:rPr>
            <m:sty m:val="p"/>
          </m:rPr>
          <m:t>]</m:t>
        </m:r>
      </m:oMath>
      <w:r>
        <w:t xml:space="preserve"> </w:t>
      </w:r>
      <w:r>
        <w:t xml:space="preserve">produces a swing of 0.154; varying the opportunity cost</w:t>
      </w:r>
      <w:r>
        <w:t xml:space="preserve"> </w:t>
      </w:r>
      <m:oMath>
        <m:sSub>
          <m:e>
            <m:r>
              <m:t>C</m:t>
            </m:r>
          </m:e>
          <m:sub>
            <m:r>
              <m:t>o</m:t>
            </m:r>
            <m:r>
              <m:t>p</m:t>
            </m:r>
            <m:r>
              <m:t>p</m:t>
            </m:r>
            <m:r>
              <m:t>o</m:t>
            </m:r>
            <m:r>
              <m:t>r</m:t>
            </m:r>
            <m:r>
              <m:t>t</m:t>
            </m:r>
            <m:r>
              <m:t>u</m:t>
            </m:r>
            <m:r>
              <m:t>n</m:t>
            </m:r>
            <m:r>
              <m:t>i</m:t>
            </m:r>
            <m:r>
              <m:t>t</m:t>
            </m:r>
            <m:r>
              <m:t>y</m:t>
            </m:r>
          </m:sub>
        </m:sSub>
      </m:oMath>
      <w:r>
        <w:t xml:space="preserve"> </w:t>
      </w:r>
      <w:r>
        <w:t xml:space="preserve">across</w:t>
      </w:r>
      <w:r>
        <w:t xml:space="preserve"> </w:t>
      </w:r>
      <m:oMath>
        <m:r>
          <m:rPr>
            <m:sty m:val="p"/>
          </m:rPr>
          <m:t>±</m:t>
        </m:r>
        <m:r>
          <m:t>50</m:t>
        </m:r>
        <m:r>
          <m:rPr>
            <m:sty m:val="p"/>
          </m:rPr>
          <m:t>%</m:t>
        </m:r>
      </m:oMath>
      <w:r>
        <w:t xml:space="preserve"> </w:t>
      </w:r>
      <w:r>
        <w:t xml:space="preserve">produces a swing of 0.150; and varying the within-group signaling reward</w:t>
      </w:r>
      <w:r>
        <w:t xml:space="preserve"> </w:t>
      </w:r>
      <m:oMath>
        <m:sSub>
          <m:e>
            <m:r>
              <m:t>λ</m:t>
            </m:r>
          </m:e>
          <m:sub>
            <m:r>
              <m:t>W</m:t>
            </m:r>
          </m:sub>
        </m:sSub>
      </m:oMath>
      <w:r>
        <w:t xml:space="preserve"> </w:t>
      </w:r>
      <w:r>
        <w:t xml:space="preserve">across</w:t>
      </w:r>
      <w:r>
        <w:t xml:space="preserve"> </w:t>
      </w:r>
      <m:oMath>
        <m:r>
          <m:rPr>
            <m:sty m:val="p"/>
          </m:rPr>
          <m:t>±</m:t>
        </m:r>
        <m:r>
          <m:t>50</m:t>
        </m:r>
        <m:r>
          <m:rPr>
            <m:sty m:val="p"/>
          </m:rPr>
          <m:t>%</m:t>
        </m:r>
      </m:oMath>
      <w:r>
        <w:t xml:space="preserve"> </w:t>
      </w:r>
      <w:r>
        <w:t xml:space="preserve">produces a swing of 0.137. The network parameters (</w:t>
      </w:r>
      <m:oMath>
        <m:sSub>
          <m:e>
            <m:r>
              <m:t>k</m:t>
            </m:r>
          </m:e>
          <m:sub>
            <m:r>
              <m:rPr>
                <m:sty m:val="p"/>
              </m:rPr>
              <m:t>max</m:t>
            </m:r>
          </m:sub>
        </m:sSub>
      </m:oMath>
      <w:r>
        <w:t xml:space="preserve">,</w:t>
      </w:r>
      <w:r>
        <w:t xml:space="preserve"> </w:t>
      </w:r>
      <m:oMath>
        <m:r>
          <m:t>γ</m:t>
        </m:r>
      </m:oMath>
      <w:r>
        <w:t xml:space="preserve">) and travel-cost coefficient produce moderate swings. Three parameters leave the threshold essentially unchanged: monument depreciation (</w:t>
      </w:r>
      <m:oMath>
        <m:r>
          <m:t>δ</m:t>
        </m:r>
      </m:oMath>
      <w:r>
        <w:t xml:space="preserve">), the half-saturation constant (</w:t>
      </w:r>
      <m:oMath>
        <m:sSub>
          <m:e>
            <m:r>
              <m:t>M</m:t>
            </m:r>
          </m:e>
          <m:sub>
            <m:r>
              <m:t>h</m:t>
            </m:r>
            <m:r>
              <m:t>a</m:t>
            </m:r>
            <m:r>
              <m:t>l</m:t>
            </m:r>
            <m:r>
              <m:t>f</m:t>
            </m:r>
          </m:sub>
        </m:sSub>
      </m:oMath>
      <w:r>
        <w:t xml:space="preserve">), and aggregation size (</w:t>
      </w:r>
      <m:oMath>
        <m:sSub>
          <m:e>
            <m:r>
              <m:t>n</m:t>
            </m:r>
          </m:e>
          <m:sub>
            <m:r>
              <m:t>a</m:t>
            </m:r>
            <m:r>
              <m:t>g</m:t>
            </m:r>
            <m:r>
              <m:t>g</m:t>
            </m:r>
          </m:sub>
        </m:sSub>
      </m:oMath>
      <w:r>
        <w:t xml:space="preserve"> </w:t>
      </w:r>
      <w:r>
        <w:t xml:space="preserve">over the plausible range</w:t>
      </w:r>
      <w:r>
        <w:t xml:space="preserve"> </w:t>
      </w:r>
      <m:oMath>
        <m:r>
          <m:t>5</m:t>
        </m:r>
        <m:r>
          <m:rPr>
            <m:sty m:val="p"/>
          </m:rPr>
          <m:t>≤</m:t>
        </m:r>
        <m:sSub>
          <m:e>
            <m:r>
              <m:t>n</m:t>
            </m:r>
          </m:e>
          <m:sub>
            <m:r>
              <m:t>a</m:t>
            </m:r>
            <m:r>
              <m:t>g</m:t>
            </m:r>
            <m:r>
              <m:t>g</m:t>
            </m:r>
          </m:sub>
        </m:sSub>
        <m:r>
          <m:rPr>
            <m:sty m:val="p"/>
          </m:rPr>
          <m:t>≤</m:t>
        </m:r>
        <m:r>
          <m:t>50</m:t>
        </m:r>
      </m:oMath>
      <w:r>
        <w:t xml:space="preserve">) show swings below 0.02. The cooperation-network channel parameters</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register zero sensitivity because their values are not free dials but are determined endogenously by the lambda-sigma feedback loop, so perturbing their starting values does not affect the equilibrium the loop converges to.</w:t>
      </w:r>
    </w:p>
    <w:p>
      <w:pPr>
        <w:pStyle w:val="BodyText"/>
      </w:pPr>
      <w:r>
        <w:t xml:space="preserve">The substantive implication is that the threshold’s location is set primarily by aggregation costs (</w:t>
      </w:r>
      <m:oMath>
        <m:sSub>
          <m:e>
            <m:r>
              <m:t>C</m:t>
            </m:r>
          </m:e>
          <m:sub>
            <m:r>
              <m:t>s</m:t>
            </m:r>
            <m:r>
              <m:t>i</m:t>
            </m:r>
            <m:r>
              <m:t>g</m:t>
            </m:r>
            <m:r>
              <m:t>n</m:t>
            </m:r>
            <m:r>
              <m:t>a</m:t>
            </m:r>
            <m:r>
              <m:t>l</m:t>
            </m:r>
          </m:sub>
        </m:sSub>
      </m:oMath>
      <w:r>
        <w:t xml:space="preserve">,</w:t>
      </w:r>
      <w:r>
        <w:t xml:space="preserve"> </w:t>
      </w:r>
      <m:oMath>
        <m:sSub>
          <m:e>
            <m:r>
              <m:t>C</m:t>
            </m:r>
          </m:e>
          <m:sub>
            <m:r>
              <m:t>o</m:t>
            </m:r>
            <m:r>
              <m:t>p</m:t>
            </m:r>
            <m:r>
              <m:t>p</m:t>
            </m:r>
            <m:r>
              <m:t>o</m:t>
            </m:r>
            <m:r>
              <m:t>r</m:t>
            </m:r>
            <m:r>
              <m:t>t</m:t>
            </m:r>
            <m:r>
              <m:t>u</m:t>
            </m:r>
            <m:r>
              <m:t>n</m:t>
            </m:r>
            <m:r>
              <m:t>i</m:t>
            </m:r>
            <m:r>
              <m:t>t</m:t>
            </m:r>
            <m:r>
              <m:t>y</m:t>
            </m:r>
          </m:sub>
        </m:sSub>
      </m:oMath>
      <w:r>
        <w:t xml:space="preserve">) and by ecotone access (</w:t>
      </w:r>
      <m:oMath>
        <m:r>
          <m:t>ε</m:t>
        </m:r>
      </m:oMath>
      <w:r>
        <w:t xml:space="preserve">). The within-group signaling reward</w:t>
      </w:r>
      <w:r>
        <w:t xml:space="preserve"> </w:t>
      </w:r>
      <m:oMath>
        <m:sSub>
          <m:e>
            <m:r>
              <m:t>λ</m:t>
            </m:r>
          </m:e>
          <m:sub>
            <m:r>
              <m:t>W</m:t>
            </m:r>
          </m:sub>
        </m:sSub>
      </m:oMath>
      <w:r>
        <w:t xml:space="preserve"> </w:t>
      </w:r>
      <w:r>
        <w:t xml:space="preserve">modulates the threshold but does not dominate it. The cooperation-network channels collapse to zero contribution at equilibrium under the default network-saturation function, because adding partners contributes diminishingly once the network is saturated, but recover nontrivial values under the restructured form developed in §S5.2.</w:t>
      </w:r>
    </w:p>
    <w:bookmarkEnd w:id="47"/>
    <w:bookmarkEnd w:id="48"/>
    <w:bookmarkStart w:id="60" w:name="X3ebf24fee1b4997b56f167258649627ac18fd27"/>
    <w:p>
      <w:pPr>
        <w:pStyle w:val="Heading2"/>
      </w:pPr>
      <w:r>
        <w:t xml:space="preserve">5. The Lower Mississippi Valley Late Archaic record</w:t>
      </w:r>
    </w:p>
    <w:p>
      <w:pPr>
        <w:pStyle w:val="FirstParagraph"/>
      </w:pPr>
      <w:r>
        <w:t xml:space="preserve">We now turn from the framework’s theoretical predictions to its empirical sufficiency. The Lower Mississippi Valley between approximately 4,200 and 3,000 cal BP records the densest expression of the Eastern Archaic monumental tradition and is also the case to which the framework has been calibrated. Before presenting the empirical tests, we summarize the regional record at the level of detail required by the empirical evaluations, with site-level entries restricted to the eleven sites used in §6.</w:t>
      </w:r>
    </w:p>
    <w:bookmarkStart w:id="49" w:name="site-inventory"/>
    <w:p>
      <w:pPr>
        <w:pStyle w:val="Heading3"/>
      </w:pPr>
      <w:r>
        <w:t xml:space="preserve">5.1 Site inventory</w:t>
      </w:r>
    </w:p>
    <w:p>
      <w:pPr>
        <w:pStyle w:val="FirstParagraph"/>
      </w:pPr>
      <w:r>
        <w:t xml:space="preserve">We gathered data from descriptions of eleven Middle Archaic and Late Archaic monument-building sites in the Lower Mississippi Valley (Table 1). Our site selection included the full range of zone-access settings and observed monument scales documented for the region, allowing the framework’s screening claims to be evaluated against available variation. These eleven sites sit within a broader Louisiana Archaic mound inventory of thirteen Middle Archaic mound sites (Jones and Brookes 2019:Table 3, Figure 6) that provides the more than 2,000-year deep-time context for the Late Archaic Poverty Point florescence; the framework’s PP-period predictions are evaluated against the interior LMV subset analyzed here, with the Middle Archaic mound trajectory entering as background rather than as an analytical target. Coordinate sources, parish-level locality verification, and the underlying Saucier (1994) geomorphic context for each site are documented in the project repository; sites are mapped in Figure 1.</w:t>
      </w:r>
    </w:p>
    <w:p>
      <w:pPr>
        <w:pStyle w:val="BodyText"/>
      </w:pPr>
      <w:r>
        <w:rPr>
          <w:b/>
          <w:bCs/>
        </w:rPr>
        <w:t xml:space="preserve">Table 1.</w:t>
      </w:r>
      <w:r>
        <w:t xml:space="preserve"> </w:t>
      </w:r>
      <w:r>
        <w:rPr>
          <w:i/>
          <w:iCs/>
        </w:rPr>
        <w:t xml:space="preserve">The eleven LMV sites. Coordinates are decimal degrees (NAD83), derived from the source UTM coordinates in data/site utms.xlsx (zone 15N for interior LA/MS sites; zone 16N for the coastal MS pair).</w:t>
      </w:r>
      <w:r>
        <w:rPr>
          <w:i/>
          <w:iCs/>
        </w:rPr>
        <w:t xml:space="preserve"> </w:t>
      </w:r>
      <w:r>
        <w:rPr>
          <w:i/>
          <w:iCs/>
        </w:rPr>
        <w:t xml:space="preserve">“Period”</w:t>
      </w:r>
      <w:r>
        <w:rPr>
          <w:i/>
          <w:iCs/>
        </w:rPr>
        <w:t xml:space="preserve"> </w:t>
      </w:r>
      <w:r>
        <w:rPr>
          <w:i/>
          <w:iCs/>
        </w:rPr>
        <w:t xml:space="preserve">abbreviates Middle Archaic (MA), Late Archaic (LA), or Late Archaic Poverty Point period (LA-PP). Monument scale is ordinal: very large (PP type-site, ~750k m³ core), mid (~5-15k m³, multi-mound), small (1-2 mounds, &lt;5k m³), minimal (single mound or non-mound construction).</w:t>
      </w:r>
    </w:p>
    <w:tbl>
      <w:tblPr>
        <w:tblStyle w:val="Table"/>
        <w:tblW w:type="pct" w:w="4955"/>
        <w:tblLayout w:type="fixed"/>
        <w:tblLook w:firstRow="1" w:lastRow="0" w:firstColumn="0" w:lastColumn="0" w:noHBand="0" w:noVBand="0" w:val="0020"/>
      </w:tblPr>
      <w:tblGrid>
        <w:gridCol w:w="1044"/>
        <w:gridCol w:w="972"/>
        <w:gridCol w:w="756"/>
        <w:gridCol w:w="2124"/>
        <w:gridCol w:w="2196"/>
        <w:gridCol w:w="756"/>
      </w:tblGrid>
      <w:tr>
        <w:trPr>
          <w:tblHeader w:val="on"/>
        </w:trPr>
        <w:tc>
          <w:tcPr/>
          <w:p>
            <w:pPr>
              <w:pStyle w:val="Compact"/>
              <w:jc w:val="left"/>
            </w:pPr>
            <w:r>
              <w:rPr>
                <w:b/>
                <w:bCs/>
              </w:rPr>
              <w:t xml:space="preserve">Site (trinomial)</w:t>
            </w:r>
          </w:p>
        </w:tc>
        <w:tc>
          <w:tcPr/>
          <w:p>
            <w:pPr>
              <w:pStyle w:val="Compact"/>
              <w:jc w:val="left"/>
            </w:pPr>
            <w:r>
              <w:rPr>
                <w:b/>
                <w:bCs/>
              </w:rPr>
              <w:t xml:space="preserve">County/Parish, State</w:t>
            </w:r>
          </w:p>
        </w:tc>
        <w:tc>
          <w:tcPr/>
          <w:p>
            <w:pPr>
              <w:pStyle w:val="Compact"/>
              <w:jc w:val="left"/>
            </w:pPr>
            <w:r>
              <w:rPr>
                <w:b/>
                <w:bCs/>
              </w:rPr>
              <w:t xml:space="preserve">Lat / Lon</w:t>
            </w:r>
          </w:p>
        </w:tc>
        <w:tc>
          <w:tcPr/>
          <w:p>
            <w:pPr>
              <w:pStyle w:val="Compact"/>
              <w:jc w:val="left"/>
            </w:pPr>
            <w:r>
              <w:rPr>
                <w:b/>
                <w:bCs/>
              </w:rPr>
              <w:t xml:space="preserve">Setting</w:t>
            </w:r>
          </w:p>
        </w:tc>
        <w:tc>
          <w:tcPr/>
          <w:p>
            <w:pPr>
              <w:pStyle w:val="Compact"/>
              <w:jc w:val="left"/>
            </w:pPr>
            <w:r>
              <w:rPr>
                <w:b/>
                <w:bCs/>
              </w:rPr>
              <w:t xml:space="preserve">Dates (cal BP)</w:t>
            </w:r>
          </w:p>
        </w:tc>
        <w:tc>
          <w:tcPr/>
          <w:p>
            <w:pPr>
              <w:pStyle w:val="Compact"/>
              <w:jc w:val="left"/>
            </w:pPr>
            <w:r>
              <w:rPr>
                <w:b/>
                <w:bCs/>
              </w:rPr>
              <w:t xml:space="preserve">Monument scale</w:t>
            </w:r>
          </w:p>
        </w:tc>
      </w:tr>
      <w:tr>
        <w:tc>
          <w:tcPr/>
          <w:p>
            <w:pPr>
              <w:pStyle w:val="Compact"/>
              <w:jc w:val="left"/>
            </w:pPr>
            <w:r>
              <w:t xml:space="preserve">Poverty Point (16WC5)</w:t>
            </w:r>
          </w:p>
        </w:tc>
        <w:tc>
          <w:tcPr/>
          <w:p>
            <w:pPr>
              <w:pStyle w:val="Compact"/>
              <w:jc w:val="left"/>
            </w:pPr>
            <w:r>
              <w:t xml:space="preserve">West Carroll, LA</w:t>
            </w:r>
          </w:p>
        </w:tc>
        <w:tc>
          <w:tcPr/>
          <w:p>
            <w:pPr>
              <w:pStyle w:val="Compact"/>
              <w:jc w:val="left"/>
            </w:pPr>
            <w:r>
              <w:t xml:space="preserve">32.6366 / -91.4074</w:t>
            </w:r>
          </w:p>
        </w:tc>
        <w:tc>
          <w:tcPr/>
          <w:p>
            <w:pPr>
              <w:pStyle w:val="Compact"/>
              <w:jc w:val="left"/>
            </w:pPr>
            <w:r>
              <w:t xml:space="preserve">Macon Ridge / Bayou Maçon confluence</w:t>
            </w:r>
          </w:p>
        </w:tc>
        <w:tc>
          <w:tcPr/>
          <w:p>
            <w:pPr>
              <w:pStyle w:val="Compact"/>
              <w:jc w:val="left"/>
            </w:pPr>
            <w:r>
              <w:t xml:space="preserve">3650-3050</w:t>
            </w:r>
          </w:p>
        </w:tc>
        <w:tc>
          <w:tcPr/>
          <w:p>
            <w:pPr>
              <w:pStyle w:val="Compact"/>
              <w:jc w:val="left"/>
            </w:pPr>
            <w:r>
              <w:t xml:space="preserve">Very large</w:t>
            </w:r>
          </w:p>
        </w:tc>
      </w:tr>
      <w:tr>
        <w:tc>
          <w:tcPr/>
          <w:p>
            <w:pPr>
              <w:pStyle w:val="Compact"/>
              <w:jc w:val="left"/>
            </w:pPr>
            <w:r>
              <w:t xml:space="preserve">Lower Jackson (16WC10)</w:t>
            </w:r>
          </w:p>
        </w:tc>
        <w:tc>
          <w:tcPr/>
          <w:p>
            <w:pPr>
              <w:pStyle w:val="Compact"/>
              <w:jc w:val="left"/>
            </w:pPr>
            <w:r>
              <w:t xml:space="preserve">West Carroll, LA</w:t>
            </w:r>
          </w:p>
        </w:tc>
        <w:tc>
          <w:tcPr/>
          <w:p>
            <w:pPr>
              <w:pStyle w:val="Compact"/>
              <w:jc w:val="left"/>
            </w:pPr>
            <w:r>
              <w:t xml:space="preserve">32.6105 / -91.4108</w:t>
            </w:r>
          </w:p>
        </w:tc>
        <w:tc>
          <w:tcPr/>
          <w:p>
            <w:pPr>
              <w:pStyle w:val="Compact"/>
              <w:jc w:val="left"/>
            </w:pPr>
            <w:r>
              <w:t xml:space="preserve">Macon Ridge, ~3 km S of PP</w:t>
            </w:r>
          </w:p>
        </w:tc>
        <w:tc>
          <w:tcPr/>
          <w:p>
            <w:pPr>
              <w:pStyle w:val="Compact"/>
              <w:jc w:val="left"/>
            </w:pPr>
            <w:r>
              <w:t xml:space="preserve">~5500</w:t>
            </w:r>
          </w:p>
        </w:tc>
        <w:tc>
          <w:tcPr/>
          <w:p>
            <w:pPr>
              <w:pStyle w:val="Compact"/>
              <w:jc w:val="left"/>
            </w:pPr>
            <w:r>
              <w:t xml:space="preserve">Minimal</w:t>
            </w:r>
          </w:p>
        </w:tc>
      </w:tr>
      <w:tr>
        <w:tc>
          <w:tcPr/>
          <w:p>
            <w:pPr>
              <w:pStyle w:val="Compact"/>
              <w:jc w:val="left"/>
            </w:pPr>
            <w:r>
              <w:t xml:space="preserve">Watson Brake (16OU175)</w:t>
            </w:r>
          </w:p>
        </w:tc>
        <w:tc>
          <w:tcPr/>
          <w:p>
            <w:pPr>
              <w:pStyle w:val="Compact"/>
              <w:jc w:val="left"/>
            </w:pPr>
            <w:r>
              <w:t xml:space="preserve">Ouachita, LA</w:t>
            </w:r>
          </w:p>
        </w:tc>
        <w:tc>
          <w:tcPr/>
          <w:p>
            <w:pPr>
              <w:pStyle w:val="Compact"/>
              <w:jc w:val="left"/>
            </w:pPr>
            <w:r>
              <w:t xml:space="preserve">32.3684 / -92.1311</w:t>
            </w:r>
          </w:p>
        </w:tc>
        <w:tc>
          <w:tcPr/>
          <w:p>
            <w:pPr>
              <w:pStyle w:val="Compact"/>
              <w:jc w:val="left"/>
            </w:pPr>
            <w:r>
              <w:t xml:space="preserve">Pleistocene terrace / Ouachita River</w:t>
            </w:r>
          </w:p>
        </w:tc>
        <w:tc>
          <w:tcPr/>
          <w:p>
            <w:pPr>
              <w:pStyle w:val="Compact"/>
              <w:jc w:val="left"/>
            </w:pPr>
            <w:r>
              <w:t xml:space="preserve">5400-4700</w:t>
            </w:r>
          </w:p>
        </w:tc>
        <w:tc>
          <w:tcPr/>
          <w:p>
            <w:pPr>
              <w:pStyle w:val="Compact"/>
              <w:jc w:val="left"/>
            </w:pPr>
            <w:r>
              <w:t xml:space="preserve">Mid</w:t>
            </w:r>
          </w:p>
        </w:tc>
      </w:tr>
      <w:tr>
        <w:tc>
          <w:tcPr/>
          <w:p>
            <w:pPr>
              <w:pStyle w:val="Compact"/>
              <w:jc w:val="left"/>
            </w:pPr>
            <w:r>
              <w:t xml:space="preserve">Frenchman’s Bend (16OU259)</w:t>
            </w:r>
          </w:p>
        </w:tc>
        <w:tc>
          <w:tcPr/>
          <w:p>
            <w:pPr>
              <w:pStyle w:val="Compact"/>
              <w:jc w:val="left"/>
            </w:pPr>
            <w:r>
              <w:t xml:space="preserve">Ouachita, LA</w:t>
            </w:r>
          </w:p>
        </w:tc>
        <w:tc>
          <w:tcPr/>
          <w:p>
            <w:pPr>
              <w:pStyle w:val="Compact"/>
              <w:jc w:val="left"/>
            </w:pPr>
            <w:r>
              <w:t xml:space="preserve">32.6357 / -92.0437</w:t>
            </w:r>
          </w:p>
        </w:tc>
        <w:tc>
          <w:tcPr/>
          <w:p>
            <w:pPr>
              <w:pStyle w:val="Compact"/>
              <w:jc w:val="left"/>
            </w:pPr>
            <w:r>
              <w:t xml:space="preserve">Pleistocene terrace / Ouachita tributary, Bayou DeSiard</w:t>
            </w:r>
          </w:p>
        </w:tc>
        <w:tc>
          <w:tcPr/>
          <w:p>
            <w:pPr>
              <w:pStyle w:val="Compact"/>
              <w:jc w:val="left"/>
            </w:pPr>
            <w:r>
              <w:t xml:space="preserve">Middle Archaic (5600-5320 BP cluster; many large-SD dates)</w:t>
            </w:r>
          </w:p>
        </w:tc>
        <w:tc>
          <w:tcPr/>
          <w:p>
            <w:pPr>
              <w:pStyle w:val="Compact"/>
              <w:jc w:val="left"/>
            </w:pPr>
            <w:r>
              <w:t xml:space="preserve">Mid?</w:t>
            </w:r>
          </w:p>
        </w:tc>
      </w:tr>
      <w:tr>
        <w:tc>
          <w:tcPr/>
          <w:p>
            <w:pPr>
              <w:pStyle w:val="Compact"/>
              <w:jc w:val="left"/>
            </w:pPr>
            <w:r>
              <w:t xml:space="preserve">Caney (16CT5)</w:t>
            </w:r>
          </w:p>
        </w:tc>
        <w:tc>
          <w:tcPr/>
          <w:p>
            <w:pPr>
              <w:pStyle w:val="Compact"/>
              <w:jc w:val="left"/>
            </w:pPr>
            <w:r>
              <w:t xml:space="preserve">Catahoula, LA</w:t>
            </w:r>
          </w:p>
        </w:tc>
        <w:tc>
          <w:tcPr/>
          <w:p>
            <w:pPr>
              <w:pStyle w:val="Compact"/>
              <w:jc w:val="left"/>
            </w:pPr>
            <w:r>
              <w:t xml:space="preserve">31.4822 / -92.0004</w:t>
            </w:r>
          </w:p>
        </w:tc>
        <w:tc>
          <w:tcPr/>
          <w:p>
            <w:pPr>
              <w:pStyle w:val="Compact"/>
              <w:jc w:val="left"/>
            </w:pPr>
            <w:r>
              <w:t xml:space="preserve">Pleistocene terrace / small drainage / mast forest</w:t>
            </w:r>
          </w:p>
        </w:tc>
        <w:tc>
          <w:tcPr/>
          <w:p>
            <w:pPr>
              <w:pStyle w:val="Compact"/>
              <w:jc w:val="left"/>
            </w:pPr>
            <w:r>
              <w:t xml:space="preserve">MA + later?</w:t>
            </w:r>
          </w:p>
        </w:tc>
        <w:tc>
          <w:tcPr/>
          <w:p>
            <w:pPr>
              <w:pStyle w:val="Compact"/>
              <w:jc w:val="left"/>
            </w:pPr>
            <w:r>
              <w:t xml:space="preserve">Mid</w:t>
            </w:r>
          </w:p>
        </w:tc>
      </w:tr>
      <w:tr>
        <w:tc>
          <w:tcPr/>
          <w:p>
            <w:pPr>
              <w:pStyle w:val="Compact"/>
              <w:jc w:val="left"/>
            </w:pPr>
            <w:r>
              <w:t xml:space="preserve">Insley (16FR3)</w:t>
            </w:r>
          </w:p>
        </w:tc>
        <w:tc>
          <w:tcPr/>
          <w:p>
            <w:pPr>
              <w:pStyle w:val="Compact"/>
              <w:jc w:val="left"/>
            </w:pPr>
            <w:r>
              <w:t xml:space="preserve">Franklin, LA</w:t>
            </w:r>
          </w:p>
        </w:tc>
        <w:tc>
          <w:tcPr/>
          <w:p>
            <w:pPr>
              <w:pStyle w:val="Compact"/>
              <w:jc w:val="left"/>
            </w:pPr>
            <w:r>
              <w:t xml:space="preserve">32.3893 / -91.4791</w:t>
            </w:r>
          </w:p>
        </w:tc>
        <w:tc>
          <w:tcPr/>
          <w:p>
            <w:pPr>
              <w:pStyle w:val="Compact"/>
              <w:jc w:val="left"/>
            </w:pPr>
            <w:r>
              <w:t xml:space="preserve">Macon Ridge / Bayou Maçon / small drainage / mast forest</w:t>
            </w:r>
          </w:p>
        </w:tc>
        <w:tc>
          <w:tcPr/>
          <w:p>
            <w:pPr>
              <w:pStyle w:val="Compact"/>
              <w:jc w:val="left"/>
            </w:pPr>
            <w:r>
              <w:t xml:space="preserve">Pov Pt with Coles Creek Mnds.</w:t>
            </w:r>
          </w:p>
        </w:tc>
        <w:tc>
          <w:tcPr/>
          <w:p>
            <w:pPr>
              <w:pStyle w:val="Compact"/>
              <w:jc w:val="left"/>
            </w:pPr>
            <w:r>
              <w:t xml:space="preserve">?</w:t>
            </w:r>
          </w:p>
        </w:tc>
      </w:tr>
      <w:tr>
        <w:tc>
          <w:tcPr/>
          <w:p>
            <w:pPr>
              <w:pStyle w:val="Compact"/>
              <w:jc w:val="left"/>
            </w:pPr>
            <w:r>
              <w:t xml:space="preserve">Cowpen Slough (16CT147)</w:t>
            </w:r>
          </w:p>
        </w:tc>
        <w:tc>
          <w:tcPr/>
          <w:p>
            <w:pPr>
              <w:pStyle w:val="Compact"/>
              <w:jc w:val="left"/>
            </w:pPr>
            <w:r>
              <w:t xml:space="preserve">Catahoula, LA</w:t>
            </w:r>
          </w:p>
        </w:tc>
        <w:tc>
          <w:tcPr/>
          <w:p>
            <w:pPr>
              <w:pStyle w:val="Compact"/>
              <w:jc w:val="left"/>
            </w:pPr>
            <w:r>
              <w:t xml:space="preserve">31.3293 / -91.9346</w:t>
            </w:r>
          </w:p>
        </w:tc>
        <w:tc>
          <w:tcPr/>
          <w:p>
            <w:pPr>
              <w:pStyle w:val="Compact"/>
              <w:jc w:val="left"/>
            </w:pPr>
            <w:r>
              <w:t xml:space="preserve">Red/Black River confluence area</w:t>
            </w:r>
          </w:p>
        </w:tc>
        <w:tc>
          <w:tcPr/>
          <w:p>
            <w:pPr>
              <w:pStyle w:val="Compact"/>
              <w:jc w:val="left"/>
            </w:pPr>
            <w:r>
              <w:t xml:space="preserve">LA-PP</w:t>
            </w:r>
          </w:p>
        </w:tc>
        <w:tc>
          <w:tcPr/>
          <w:p>
            <w:pPr>
              <w:pStyle w:val="Compact"/>
              <w:jc w:val="left"/>
            </w:pPr>
            <w:r>
              <w:t xml:space="preserve">None / hamlet</w:t>
            </w:r>
          </w:p>
        </w:tc>
      </w:tr>
      <w:tr>
        <w:tc>
          <w:tcPr/>
          <w:p>
            <w:pPr>
              <w:pStyle w:val="Compact"/>
              <w:jc w:val="left"/>
            </w:pPr>
            <w:r>
              <w:t xml:space="preserve">J.W. Copes (16MA147)</w:t>
            </w:r>
          </w:p>
        </w:tc>
        <w:tc>
          <w:tcPr/>
          <w:p>
            <w:pPr>
              <w:pStyle w:val="Compact"/>
              <w:jc w:val="left"/>
            </w:pPr>
            <w:r>
              <w:t xml:space="preserve">Madison, LA</w:t>
            </w:r>
          </w:p>
        </w:tc>
        <w:tc>
          <w:tcPr/>
          <w:p>
            <w:pPr>
              <w:pStyle w:val="Compact"/>
              <w:jc w:val="left"/>
            </w:pPr>
            <w:r>
              <w:t xml:space="preserve">32.5339 / -91.3894</w:t>
            </w:r>
          </w:p>
        </w:tc>
        <w:tc>
          <w:tcPr/>
          <w:p>
            <w:pPr>
              <w:pStyle w:val="Compact"/>
              <w:jc w:val="left"/>
            </w:pPr>
            <w:r>
              <w:t xml:space="preserve">Joe’s Bayou / small drainage; PP satellite</w:t>
            </w:r>
          </w:p>
        </w:tc>
        <w:tc>
          <w:tcPr/>
          <w:p>
            <w:pPr>
              <w:pStyle w:val="Compact"/>
              <w:jc w:val="left"/>
            </w:pPr>
            <w:r>
              <w:t xml:space="preserve">LA-PP</w:t>
            </w:r>
          </w:p>
        </w:tc>
        <w:tc>
          <w:tcPr/>
          <w:p>
            <w:pPr>
              <w:pStyle w:val="Compact"/>
              <w:jc w:val="left"/>
            </w:pPr>
            <w:r>
              <w:t xml:space="preserve">None / hamlet</w:t>
            </w:r>
          </w:p>
        </w:tc>
      </w:tr>
      <w:tr>
        <w:tc>
          <w:tcPr/>
          <w:p>
            <w:pPr>
              <w:pStyle w:val="Compact"/>
              <w:jc w:val="left"/>
            </w:pPr>
            <w:r>
              <w:t xml:space="preserve">Jaketown (22HU505)</w:t>
            </w:r>
          </w:p>
        </w:tc>
        <w:tc>
          <w:tcPr/>
          <w:p>
            <w:pPr>
              <w:pStyle w:val="Compact"/>
              <w:jc w:val="left"/>
            </w:pPr>
            <w:r>
              <w:t xml:space="preserve">Humphreys, MS</w:t>
            </w:r>
          </w:p>
        </w:tc>
        <w:tc>
          <w:tcPr/>
          <w:p>
            <w:pPr>
              <w:pStyle w:val="Compact"/>
              <w:jc w:val="left"/>
            </w:pPr>
            <w:r>
              <w:t xml:space="preserve">33.2349 / -90.4872</w:t>
            </w:r>
          </w:p>
        </w:tc>
        <w:tc>
          <w:tcPr/>
          <w:p>
            <w:pPr>
              <w:pStyle w:val="Compact"/>
              <w:jc w:val="left"/>
            </w:pPr>
            <w:r>
              <w:t xml:space="preserve">Yazoo Basin meander belt</w:t>
            </w:r>
          </w:p>
        </w:tc>
        <w:tc>
          <w:tcPr/>
          <w:p>
            <w:pPr>
              <w:pStyle w:val="Compact"/>
              <w:jc w:val="left"/>
            </w:pPr>
            <w:r>
              <w:t xml:space="preserve">4000-3000</w:t>
            </w:r>
          </w:p>
        </w:tc>
        <w:tc>
          <w:tcPr/>
          <w:p>
            <w:pPr>
              <w:pStyle w:val="Compact"/>
              <w:jc w:val="left"/>
            </w:pPr>
            <w:r>
              <w:t xml:space="preserve">Small</w:t>
            </w:r>
          </w:p>
        </w:tc>
      </w:tr>
      <w:tr>
        <w:tc>
          <w:tcPr/>
          <w:p>
            <w:pPr>
              <w:pStyle w:val="Compact"/>
              <w:jc w:val="left"/>
            </w:pPr>
            <w:r>
              <w:t xml:space="preserve">Claiborne (22HA501)</w:t>
            </w:r>
          </w:p>
        </w:tc>
        <w:tc>
          <w:tcPr/>
          <w:p>
            <w:pPr>
              <w:pStyle w:val="Compact"/>
              <w:jc w:val="left"/>
            </w:pPr>
            <w:r>
              <w:t xml:space="preserve">Hancock, MS</w:t>
            </w:r>
          </w:p>
        </w:tc>
        <w:tc>
          <w:tcPr/>
          <w:p>
            <w:pPr>
              <w:pStyle w:val="Compact"/>
              <w:jc w:val="left"/>
            </w:pPr>
            <w:r>
              <w:t xml:space="preserve">30.2141 / -89.5758</w:t>
            </w:r>
          </w:p>
        </w:tc>
        <w:tc>
          <w:tcPr/>
          <w:p>
            <w:pPr>
              <w:pStyle w:val="Compact"/>
              <w:jc w:val="left"/>
            </w:pPr>
            <w:r>
              <w:t xml:space="preserve">Pearl River mouth, coastal</w:t>
            </w:r>
          </w:p>
        </w:tc>
        <w:tc>
          <w:tcPr/>
          <w:p>
            <w:pPr>
              <w:pStyle w:val="Compact"/>
              <w:jc w:val="left"/>
            </w:pPr>
            <w:r>
              <w:t xml:space="preserve">LA-PP</w:t>
            </w:r>
          </w:p>
        </w:tc>
        <w:tc>
          <w:tcPr/>
          <w:p>
            <w:pPr>
              <w:pStyle w:val="Compact"/>
              <w:jc w:val="left"/>
            </w:pPr>
            <w:r>
              <w:t xml:space="preserve">Minimal</w:t>
            </w:r>
          </w:p>
        </w:tc>
      </w:tr>
      <w:tr>
        <w:tc>
          <w:tcPr/>
          <w:p>
            <w:pPr>
              <w:pStyle w:val="Compact"/>
              <w:jc w:val="left"/>
            </w:pPr>
            <w:r>
              <w:t xml:space="preserve">Cedarland (22HA506)</w:t>
            </w:r>
          </w:p>
        </w:tc>
        <w:tc>
          <w:tcPr/>
          <w:p>
            <w:pPr>
              <w:pStyle w:val="Compact"/>
              <w:jc w:val="left"/>
            </w:pPr>
            <w:r>
              <w:t xml:space="preserve">Hancock, MS</w:t>
            </w:r>
          </w:p>
        </w:tc>
        <w:tc>
          <w:tcPr/>
          <w:p>
            <w:pPr>
              <w:pStyle w:val="Compact"/>
              <w:jc w:val="left"/>
            </w:pPr>
            <w:r>
              <w:t xml:space="preserve">30.2186 / -89.5804</w:t>
            </w:r>
          </w:p>
        </w:tc>
        <w:tc>
          <w:tcPr/>
          <w:p>
            <w:pPr>
              <w:pStyle w:val="Compact"/>
              <w:jc w:val="left"/>
            </w:pPr>
            <w:r>
              <w:t xml:space="preserve">Pearl River mouth, coastal</w:t>
            </w:r>
          </w:p>
        </w:tc>
        <w:tc>
          <w:tcPr/>
          <w:p>
            <w:pPr>
              <w:pStyle w:val="Compact"/>
              <w:jc w:val="left"/>
            </w:pPr>
            <w:r>
              <w:t xml:space="preserve">3880-3800 BP (Kidder et al. 2025)</w:t>
            </w:r>
          </w:p>
        </w:tc>
        <w:tc>
          <w:tcPr/>
          <w:p>
            <w:pPr>
              <w:pStyle w:val="Compact"/>
              <w:jc w:val="left"/>
            </w:pPr>
            <w:r>
              <w:t xml:space="preserve">Shell/earth midden</w:t>
            </w:r>
          </w:p>
        </w:tc>
      </w:tr>
    </w:tbl>
    <w:p>
      <w:pPr>
        <w:pStyle w:val="BodyText"/>
      </w:pPr>
      <w:r>
        <w:t xml:space="preserve">Poverty Point’s site characteristics, including the constructed core architecture and exotic-goods inventory, are introduced in §1 (Figures 1 and 2). For the empirical evaluations below, we summarize each of the other ten sites in turn.</w:t>
      </w:r>
    </w:p>
    <w:p>
      <w:pPr>
        <w:pStyle w:val="BodyText"/>
      </w:pPr>
      <w:r>
        <w:rPr>
          <w:b/>
          <w:bCs/>
        </w:rPr>
        <w:t xml:space="preserve">Lower Jackson</w:t>
      </w:r>
      <w:r>
        <w:t xml:space="preserve"> </w:t>
      </w:r>
      <w:r>
        <w:t xml:space="preserve">(16WC10), approximately 3 km south of the Poverty Point earthworks on Macon Ridge, is a single isolated mound (Saunders et al. 2001). The conventional Middle Archaic assignment rests on a single submound charcoal date that appears to be a multi-entity sample, and Poverty Point-period artifacts have been recovered in the immediate area; Kidder and Grooms (2024) apply chronological hygiene criteria that would reject the submound date as a reliable terminus post quem and treat the Middle Archaic assignment as unconfirmed. We follow the literature in treating Lower Jackson as a single-band or single-event minimal-construction event with no associated residential or exchange evidence, but the Middle Archaic chronology should be understood as provisional. Despite sharing PP’s catchment context, Lower Jackson never attained even WB-scale construction. The site is important to the framework’s structural claim because it indicates that high-</w:t>
      </w:r>
      <m:oMath>
        <m:r>
          <m:t>ε</m:t>
        </m:r>
      </m:oMath>
      <w:r>
        <w:t xml:space="preserve"> </w:t>
      </w:r>
      <w:r>
        <w:t xml:space="preserve">access alone is insufficient; the discussion in §6.6 on magnitude limits returns to this point.</w:t>
      </w:r>
    </w:p>
    <w:p>
      <w:pPr>
        <w:pStyle w:val="BodyText"/>
      </w:pPr>
      <w:r>
        <w:rPr>
          <w:b/>
          <w:bCs/>
        </w:rPr>
        <w:t xml:space="preserve">Watson Brake</w:t>
      </w:r>
      <w:r>
        <w:t xml:space="preserve"> </w:t>
      </w:r>
      <w:r>
        <w:t xml:space="preserve">(16OU175) sits on a Pleistocene terrace overlooking Prairie Bayou, a tributary of the Ouachita River, in Ouachita Parish (Saunders et al. 2005). The deposit’s 11 mounds and connecting ridges encompass approximately 6 ha of constructed earthwork. We estimate the constructed earthwork volume by overlaying the 1 m USGS LiDAR DEM (Louisiana DOTD 2017 collection, NAD83 UTM zone 15N) on the published Watson Brake topographic contour map. Rough polygons were drawn by hand around each mound or mound-and-ridge cluster (eight clusters in all), and the volume above a local minimum-elevation baseline was integrated within each polygon. Each cluster’s baseline is set to the local minimum natural-ground elevation in its immediate vicinity (22 m for the K/A/B/C/D, E, and F clusters; 21.5 m for the G, H, I, and J + ridge clusters), accounting for the natural topographic gradient across the site, so the analysis counts only the volume of the mounds and ridges themselves and treats the inter-mound surface as natural ground rather than as constructed fill. Summing across all clusters gives a total of</w:t>
      </w:r>
      <w:r>
        <w:t xml:space="preserve"> </w:t>
      </w:r>
      <w:r>
        <w:rPr>
          <w:b/>
          <w:bCs/>
        </w:rPr>
        <w:t xml:space="preserve">27,065 m³</w:t>
      </w:r>
      <w:r>
        <w:t xml:space="preserve">: the largest cluster (Mounds K, A, B, C, D plus their connecting ridge) at 17,986 m³, Mound E plus ridge at 6,267 m³, Mound J plus ridge at 1,939 m³, Mound I at 518 m³, Mounds G and H at 192 m³, and Mound F at 163 m³. Construction proceeded episodically over ~700 years, with documented 200+-year interstage gaps (Saunders et al. 2005). WB is the framework’s most demanding internal test; its near-threshold treatment is in §6.3.</w:t>
      </w:r>
    </w:p>
    <w:p>
      <w:pPr>
        <w:pStyle w:val="BodyText"/>
      </w:pPr>
      <w:r>
        <w:rPr>
          <w:b/>
          <w:bCs/>
        </w:rPr>
        <w:t xml:space="preserve">Frenchman’s Bend</w:t>
      </w:r>
      <w:r>
        <w:t xml:space="preserve"> </w:t>
      </w:r>
      <w:r>
        <w:t xml:space="preserve">(16OU259), in Ouachita Parish, is a smaller Middle Archaic mound complex on a Pleistocene terrace adjacent to Bayou Desiard, a tributary of the Ouachita (Saunders et al. 2005). The site comprises five low mounds with limited associated evidence of residential activity.</w:t>
      </w:r>
    </w:p>
    <w:p>
      <w:pPr>
        <w:pStyle w:val="BodyText"/>
      </w:pPr>
      <w:r>
        <w:rPr>
          <w:b/>
          <w:bCs/>
        </w:rPr>
        <w:t xml:space="preserve">Caney</w:t>
      </w:r>
      <w:r>
        <w:t xml:space="preserve"> </w:t>
      </w:r>
      <w:r>
        <w:t xml:space="preserve">(16CT5) in Catahoula Parish has Middle Archaic dates on mid-mound organically-enriched sediments at Mounds C and D, but artifacts at the site span Paleoindian through Plaquemine periods, the last stage of Mound B contained a complete Marksville pot, and pedogenetic evidence in mound soils indicates that most of the six mounds were constructed during Poverty Point or Tchefuncte times rather than the Middle Archaic (Sassaman 2005b:340-341, summarizing Saunders). Caney’s documented mounds scale to roughly 1-2× Watson Brake’s individual mounds.</w:t>
      </w:r>
    </w:p>
    <w:p>
      <w:pPr>
        <w:pStyle w:val="BodyText"/>
      </w:pPr>
      <w:r>
        <w:rPr>
          <w:b/>
          <w:bCs/>
        </w:rPr>
        <w:t xml:space="preserve">Insley</w:t>
      </w:r>
      <w:r>
        <w:t xml:space="preserve"> </w:t>
      </w:r>
      <w:r>
        <w:t xml:space="preserve">(16FR3) in Franklin Parish was originally assigned to the Middle Archaic on the basis of its mound arrangement (Sassaman 2005:340-341), but submound charcoal dates from two of the mounds return Coles Creek ages (Saunders et al. 2005a); in addition, the artifact assemblage spans Poverty Point through Coles Creek periods and the total number of mounds is contested (estimates range from four to sixteen, twelve unconfirmed) (Griffing 1990). Insley, therefore, lacks a confirmed Middle Archaic component. Insley lacks evidence of long-distance exchange and large-scale residential that is associated with the Poverty Point type-site. We retain Insley in the §6.4 and §6.5 GIS analyses below because the screening test operates on catchment geomorphology rather than chronology, and the screening result is robust to the site’s inclusion or exclusion.</w:t>
      </w:r>
    </w:p>
    <w:p>
      <w:pPr>
        <w:pStyle w:val="BodyText"/>
      </w:pPr>
      <w:r>
        <w:rPr>
          <w:b/>
          <w:bCs/>
        </w:rPr>
        <w:t xml:space="preserve">Cowpen Slough</w:t>
      </w:r>
      <w:r>
        <w:t xml:space="preserve"> </w:t>
      </w:r>
      <w:r>
        <w:t xml:space="preserve">(16CT147) in Catahoula Parish is a LA/PP-period hamlet near the confluence of the Red and Black Rivers, with no monument architecture and small-scale residential evidence (Ramenofsky 1986, 1991; Webb 1982). The record spans two functionally distinct occupations bracketed by stratigraphic flood deposits: a Late Archaic component (~4500-3170 cal BP) with multiple lines of sedentary-residence evidence (high lithic functional diversity, abundant reed-impressed daub indicating structures, 28-burial cemetery), followed by a Poverty Point period component (~2980 cal BP) with mobile-occupation signatures (reduced functional diversity and daub frequency), and abandonment by ca. 2900 cal BP after a fluvial shift to high-energy conditions (Ramenofsky 1991:Tables 4-8), the same regional flooding pattern that ends the Jaketown occupation at 3310 cal BP (Kidder et al. 2018). The Late-Archaic-sedentary to PP-period-mobile shift at a hinterland site is consistent with the framework’s prediction that dispersed-phase bands should be more mobile once the aggregation system operates and they travel between hub and dispersed residences.</w:t>
      </w:r>
    </w:p>
    <w:p>
      <w:pPr>
        <w:pStyle w:val="BodyText"/>
      </w:pPr>
      <w:r>
        <w:rPr>
          <w:b/>
          <w:bCs/>
        </w:rPr>
        <w:t xml:space="preserve">J.W. Copes</w:t>
      </w:r>
      <w:r>
        <w:t xml:space="preserve"> </w:t>
      </w:r>
      <w:r>
        <w:t xml:space="preserve">(16MA147) in Madison Parish, on Brimberry Brake near Joe’s Bayou, is a small PP-period habitation site described by Jackson (1981, 1986, 1989) as a satellite to the Poverty Point regional system. Jackson (1981:73, 82) argues from a small but multi-season faunal assemblage (summer fish, fall-winter deer, a spring shed-antler skull, late summer-fall nuts) that Copes "may have been occupied year-round" and was characterized by "specialization in the procurement of deer and fish," with the year-round inference offered as a possibility rather than a confident claim given the sample size. Even at this small peripheral site, exotic material (a galena cube) is present, indicating that participation in the long-distance exchange network extended beyond the Poverty Point type site (Jackson 1981:84; cf. Walthall et al. 1982).</w:t>
      </w:r>
    </w:p>
    <w:p>
      <w:pPr>
        <w:pStyle w:val="BodyText"/>
      </w:pPr>
      <w:r>
        <w:rPr>
          <w:b/>
          <w:bCs/>
        </w:rPr>
        <w:t xml:space="preserve">Jaketown</w:t>
      </w:r>
      <w:r>
        <w:t xml:space="preserve"> </w:t>
      </w:r>
      <w:r>
        <w:t xml:space="preserve">(22HU505) in Humphreys County, Mississippi (near Belzoni in the Yazoo Basin), has at least three Poverty Point-period mounds among fifteen or more total mounds at the site, along with substantial PP-trait artifact assemblages (Grooms et al. 2023; Lehmann 1982; Ward et al. 2022). For the convergence-model interpretation, Jaketown developed PP cultural traits 400+ years before Poverty Point, indicating that PP is not a downstream diffusion endpoint but rather a convergence point drawing on multiple regional traditions (Grooms et al. 2023).</w:t>
      </w:r>
    </w:p>
    <w:p>
      <w:pPr>
        <w:pStyle w:val="BodyText"/>
      </w:pPr>
      <w:r>
        <w:rPr>
          <w:b/>
          <w:bCs/>
        </w:rPr>
        <w:t xml:space="preserve">Claiborne</w:t>
      </w:r>
      <w:r>
        <w:t xml:space="preserve"> </w:t>
      </w:r>
      <w:r>
        <w:t xml:space="preserve">(22HA501) and</w:t>
      </w:r>
      <w:r>
        <w:t xml:space="preserve"> </w:t>
      </w:r>
      <w:r>
        <w:rPr>
          <w:b/>
          <w:bCs/>
        </w:rPr>
        <w:t xml:space="preserve">Cedarland</w:t>
      </w:r>
      <w:r>
        <w:t xml:space="preserve"> </w:t>
      </w:r>
      <w:r>
        <w:t xml:space="preserve">(22HA506) at the mouth of the Pearl River in Hancock County, Mississippi, are paired Late Archaic coastal sites in a structurally distinct estuarine setting. Both are horseshoe-shaped shell and earth middens roughly 50-75 m apart, within 5 km of the Gulf of Mexico (Kidder et al. 2025). New high-resolution radiocarbon dates from previously unreported MSU and Bruseth excavations (12 dates total) revise their chronology: Cedarland dates to approximately 3880-3800 BP and predates Claiborne by ca. 500 years, while Claiborne is contemporary with the Poverty Point type-site (Kidder et al. 2025). The sites are therefore not a single population’s sequential occupation (Gagliano and Webb 1975) but two structurally distinct deposits with different histories and roles in the Late Archaic Southeast, materially connected to the Poverty Point exchange network through the Claiborne soapstone vessel cache and other artifacts such as copper and galena (Kidder et al. 2025; Lambert et al. 2024; Sassaman and Brookes 2017). The cache itself is best read as a terminal deposition of legacy material rather than a snapshot of active-period acquisition: eleven dates from eight vessels span ca. 6180-2970 BP, two vessel-residue samples sit roughly 500 years earlier than the rest of the Claiborne assemblage and align chronologically with Cedarland, and the most recent dated vessel still predates emplacement at the end of the Poverty Point occupation (Baumgartel 2024; Sassaman and Brookes 2017). Both sit primarily within the Gulf Coast Flatwoods and Coastal Marshes ecoregion mosaic (Omernik and Griffith 2014), with single-drainage access via the Pearl River. The coastal pair is the framework’s natural negative case in the LMV: if the screening claim is correct, these sites should fall on the low-</w:t>
      </w:r>
      <m:oMath>
        <m:r>
          <m:t>ε</m:t>
        </m:r>
      </m:oMath>
      <w:r>
        <w:t xml:space="preserve"> </w:t>
      </w:r>
      <w:r>
        <w:t xml:space="preserve">side of the threshold while the interior monument-building sites should not.</w:t>
      </w:r>
    </w:p>
    <w:bookmarkEnd w:id="49"/>
    <w:bookmarkStart w:id="53" w:name="chronology"/>
    <w:p>
      <w:pPr>
        <w:pStyle w:val="Heading3"/>
      </w:pPr>
      <w:r>
        <w:t xml:space="preserve">5.2 Chronology</w:t>
      </w:r>
    </w:p>
    <w:p>
      <w:pPr>
        <w:pStyle w:val="FirstParagraph"/>
      </w:pPr>
      <w:r>
        <w:t xml:space="preserve">The LMV regional sequence for northeast Louisiana runs from Lower Jackson at ~5500 cal BP and the Frenchman’s Bend complex through Watson Brake at ca. 5400-4700 cal BP, and the Late Archaic Poverty Point-period sites, including the type-site itself at ca. 1700-1100 BCE (3650-3050 cal BP) (Kidder and Grooms 2024; Saunders et al. 2001, 2005). Bayesian modeling of 157 radiocarbon dates from Poverty Point indicates type-site occupation for 164-397 years (95.4% hpd; 3535-3135 cal BP), with active earthwork construction compressed into ~75 years (3300-3225 cal BP) (Kidder and Grooms 2024). Convergence-model interpretation of the regional chronology (Grooms et al. 2023; Kidder and Grooms 2024) reads Jaketown’s development of PP cultural traits 400+ years before the type-site as evidence that multiple groups with independent histories converged on the type-site over a compressed window, rather than that PP traits diffused down-the-line from PP to peripheral sites. We adopt this convergence reading throughout the framework’s empirical evaluation. The convergence reading rests primarily on the Jaketown and PP chronologies; the resolution of the remaining LMV PP-period inventory is not yet sufficient to distinguish convergence from delayed, down-the-line diffusion across the region. The framework imports the convergence reading from this literature rather than testing it. Future work to uniformly generate Bayesian-model chronologies for the full PP-trait inventory would tighten the discrimination between the two interpretations.</w:t>
      </w:r>
    </w:p>
    <w:p>
      <w:pPr>
        <w:pStyle w:val="BodyText"/>
      </w:pPr>
      <w:r>
        <w:t xml:space="preserve">The post-3300 cal BP collapse is documented at Jaketown by Kidder et al. (2018), where a crevasse splay buried the Poverty Point occupation there at 3310 cal BP. The resulting regional abandonment lasted ~530 years, longer than the ~400-year gap originally estimated by Kidder (2006). Post-flood Early Woodland reoccupation shows little monumental architecture, minimal long-distance trade, less diverse assemblages, and no lapidary art (Kidder et al. 2018), a near-complete collapse of the signaling system rather than a gradual decline.</w:t>
      </w:r>
    </w:p>
    <w:p>
      <w:pPr>
        <w:pStyle w:val="BodyText"/>
      </w:pPr>
      <w:r>
        <w:drawing>
          <wp:inline>
            <wp:extent cx="5943600" cy="4330109"/>
            <wp:effectExtent b="0" l="0" r="0" t="0"/>
            <wp:docPr descr="" title="" id="51" name="Picture"/>
            <a:graphic>
              <a:graphicData uri="http://schemas.openxmlformats.org/drawingml/2006/picture">
                <pic:pic>
                  <pic:nvPicPr>
                    <pic:cNvPr descr="../../figures/manuscript/figure_10_regional_chronology.png" id="52" name="Picture"/>
                    <pic:cNvPicPr>
                      <a:picLocks noChangeArrowheads="1" noChangeAspect="1"/>
                    </pic:cNvPicPr>
                  </pic:nvPicPr>
                  <pic:blipFill>
                    <a:blip r:embed="rId50"/>
                    <a:stretch>
                      <a:fillRect/>
                    </a:stretch>
                  </pic:blipFill>
                  <pic:spPr bwMode="auto">
                    <a:xfrm>
                      <a:off x="0" y="0"/>
                      <a:ext cx="5943600" cy="4330109"/>
                    </a:xfrm>
                    <a:prstGeom prst="rect">
                      <a:avLst/>
                    </a:prstGeom>
                    <a:noFill/>
                    <a:ln w="9525">
                      <a:noFill/>
                      <a:headEnd/>
                      <a:tailEnd/>
                    </a:ln>
                  </pic:spPr>
                </pic:pic>
              </a:graphicData>
            </a:graphic>
          </wp:inline>
        </w:drawing>
      </w:r>
    </w:p>
    <w:p>
      <w:pPr>
        <w:pStyle w:val="BodyText"/>
      </w:pPr>
      <w:r>
        <w:rPr>
          <w:b/>
          <w:bCs/>
          <w:i/>
          <w:iCs/>
        </w:rPr>
        <w:t xml:space="preserve">Figure 10. Regional chronological synthesis.</w:t>
      </w:r>
      <w:r>
        <w:t xml:space="preserve"> </w:t>
      </w:r>
      <w:r>
        <w:rPr>
          <w:i/>
          <w:iCs/>
        </w:rPr>
        <w:t xml:space="preserve">(A) Full timeline showing Frenchman’s Bend (5600-5320 BP reliable cluster shown as solid purple band, with lighter extension to older large-SD dates (Sanders et al. 1994, 2009), Lower Jackson (single isolated mound at ~5500 cal BP shown as gray diamond with</w:t>
      </w:r>
      <w:r>
        <w:t xml:space="preserve"> </w:t>
      </w:r>
      <m:oMath>
        <m:r>
          <m:rPr>
            <m:sty m:val="p"/>
          </m:rPr>
          <m:t>±</m:t>
        </m:r>
        <m:r>
          <m:t>150</m:t>
        </m:r>
      </m:oMath>
      <w:r>
        <w:t xml:space="preserve"> </w:t>
      </w:r>
      <w:r>
        <w:rPr>
          <w:i/>
          <w:iCs/>
        </w:rPr>
        <w:t xml:space="preserve">yr uncertainty bars, MA assignment provisional under Kidder and Grooms 2024 hygiene criteria), Watson Brake (ca. 5400-4700 cal BP), Jaketown (4000-3000 cal BP), the Poverty Point type-site (3650-3050 cal BP), and the post-3300 cal BP regional abandonment. The 1050-year gap between Watson Brake abandonment and Poverty Point emergence is emphasized; Jaketown’s early development of Poverty Point cultural traits, ~400+ years before the type site, supports the convergence (rather than diffusion) reading developed in the body. (B) Expanded view of the active construction window (3700-2700 BP), showing the compressed 75-year active earthwork interval at Poverty Point (3300-3225 cal BP) and the flood-driven collapse at 3310 cal BP documented at Jaketown by Kidder et al. (2018). The "Fall feasting" marker on the Jaketown row indicates an</w:t>
      </w:r>
      <w:r>
        <w:t xml:space="preserve"> </w:t>
      </w:r>
      <w:r>
        <w:t xml:space="preserve">in situ</w:t>
      </w:r>
      <w:r>
        <w:t xml:space="preserve"> </w:t>
      </w:r>
      <w:r>
        <w:rPr>
          <w:i/>
          <w:iCs/>
        </w:rPr>
        <w:t xml:space="preserve">deposit (PPO concentrations, hearths, large-mammal long bones oriented as a single depositional event, fall macrobotanical signature) interpreted as a feast immediately preceding Jaketown earthwork construction (Grooms et al. 2023:1464; Ward et al. 2022:769). No equivalent direct feasting deposit is documented from Poverty Point itself, where acidic soils preserve few faunal remains; the PP feasting interpretation (Hays 2018) rests instead on PPO production volumes and assemblage composition. Source: Kidder and Grooms (2024); Grooms et al. (2023); Saunders et al. (2001, 2005).</w:t>
      </w:r>
    </w:p>
    <w:bookmarkEnd w:id="53"/>
    <w:bookmarkStart w:id="54" w:name="construction-tempo"/>
    <w:p>
      <w:pPr>
        <w:pStyle w:val="Heading3"/>
      </w:pPr>
      <w:r>
        <w:t xml:space="preserve">5.3 Construction tempo</w:t>
      </w:r>
    </w:p>
    <w:p>
      <w:pPr>
        <w:pStyle w:val="FirstParagraph"/>
      </w:pPr>
      <w:r>
        <w:t xml:space="preserve">Recent geoarchaeological work has substantially refined the chronology of LMV monument construction. At Poverty Point, individual construction episodes are rapid: Mound A rose in fewer than 90 days (Ortmann and Kidder 2013), and the investigated segment of Ridge 3 West formed in days to weeks (Kidder et al. 2021). Yet the site as a whole accumulated through many such episodes. Magnetic gradient survey covering 25.47 hectares has identified 36 timber post circles and 64 distinct ridge construction components (Clay 2023; Hargrave et al. 2021); Clay (2023) documents repeated build-decommission-rebuild cycles in plaza post circles, and Ortmann (2010) identified 16 sequential prepared activity surfaces beneath Mound C. Watson Brake construction was episodic with 200+ year inter-stage gaps (Saunders et al. 2005). The PP active interval (~75 years) and the WB long-duration episodic interval (~700 years) span the range of construction tempos that need to be jointly explained by any account of LMV monumentality.</w:t>
      </w:r>
    </w:p>
    <w:bookmarkEnd w:id="54"/>
    <w:bookmarkStart w:id="55" w:name="exotic-goods-inventory"/>
    <w:p>
      <w:pPr>
        <w:pStyle w:val="Heading3"/>
      </w:pPr>
      <w:r>
        <w:t xml:space="preserve">5.4 Exotic-goods inventory</w:t>
      </w:r>
    </w:p>
    <w:p>
      <w:pPr>
        <w:pStyle w:val="FirstParagraph"/>
      </w:pPr>
      <w:r>
        <w:t xml:space="preserve">Webb (1982) tabulates an inventory of exotic materials (from unsystematic surface collections and a few haphazard excavation contexts) at the type site, which we use as the calibration target. The materials and their inferred sources (with characteristic distances) include: copper from the Great Lakes, southern Appalachians, or Nova Scotia (~1,600 km, with Hill et al. 2016 LA-ICP-MS); steatite from the southern Appalachians (~800-900 km, with Smith 1991 NAA and Yates 2009 ICP-MS); galena primarily from Potosi, Missouri (~800 km, with Walthall et al. 1982 atomic absorption); novaculite from the Ouachita Mountains (~250-300 km); and crystal quartz from Arkansas (~300 km). Counts of primarily surface-collected artifacts found at Poverty Point consist of 155 copper objects, 2,221 steatite fragments from a single cache representing</w:t>
      </w:r>
      <w:r>
        <w:t xml:space="preserve"> </w:t>
      </w:r>
      <w:r>
        <w:t xml:space="preserve">“several hundred vessels”</w:t>
      </w:r>
      <w:r>
        <w:t xml:space="preserve"> </w:t>
      </w:r>
      <w:r>
        <w:t xml:space="preserve">(Hays 2019: Table 1; Webb 1982:45, who notes that total site vessels</w:t>
      </w:r>
      <w:r>
        <w:t xml:space="preserve"> </w:t>
      </w:r>
      <w:r>
        <w:t xml:space="preserve">“must have been in the thousands”</w:t>
      </w:r>
      <w:r>
        <w:t xml:space="preserve">), 740 galena object (702 masses and 38 shaped objects), 395 quartz crystals, plus 1,536 lapidary items and 2,790 plummets predominantly of hematite and magnetite. Material concentration is striking. 95.7% of all steatite and 97% of all galena in the entire Poverty Point regional system are at Poverty Point itself (Smith 1991), with peripheral sites receiving comparatively little.</w:t>
      </w:r>
    </w:p>
    <w:bookmarkEnd w:id="55"/>
    <w:bookmarkStart w:id="59" w:name="paleoclimate"/>
    <w:p>
      <w:pPr>
        <w:pStyle w:val="Heading3"/>
      </w:pPr>
      <w:r>
        <w:t xml:space="preserve">5.5 Paleoclimate</w:t>
      </w:r>
    </w:p>
    <w:p>
      <w:pPr>
        <w:pStyle w:val="FirstParagraph"/>
      </w:pPr>
      <w:r>
        <w:t xml:space="preserve">The Late Holocene LMV climate is documented through several independent proxy systems. The Temperature 12k database (Kaufman et al. 2020) indicates relatively stable thermal conditions during the Poverty Point occupation. Pollen-based Water Availability Balance reconstructions (Salonen et al. 2025) for the Midwest indicate drier-than-present conditions during the occupation with substantial variance and 200-year-periodicity oscillations large enough to produce significant ecological consequences (Shuman and Marsicek 2016). Critically, this centennial variability was spatially incoherent across the broader region (Salonen et al. 2025), meaning different parts of the exchange network would have experienced drought at different times, the precise condition under which inter-regional cooperation becomes adaptive. Gulf Coast paleotempestology (Liu and Fearn 1993, 2000) shows that the occupation overlapped a hyperactive hurricane interval (~3800-1000 BP), with landfall rates roughly 5× the baseline. Combining drought and hurricane recurrence, we estimate a shortfall frequency of ~10 years and magnitude of ~0.45, yielding</w:t>
      </w:r>
      <w:r>
        <w:t xml:space="preserve"> </w:t>
      </w:r>
      <m:oMath>
        <m:sSub>
          <m:e>
            <m:r>
              <m:t>σ</m:t>
            </m:r>
          </m:e>
          <m:sub>
            <m:r>
              <m:t>L</m:t>
            </m:r>
            <m:r>
              <m:t>M</m:t>
            </m:r>
            <m:r>
              <m:t>V</m:t>
            </m:r>
          </m:sub>
        </m:sSub>
        <m:r>
          <m:rPr>
            <m:sty m:val="p"/>
          </m:rPr>
          <m:t>≈</m:t>
        </m:r>
        <m:r>
          <m:t>0.64</m:t>
        </m:r>
      </m:oMath>
      <w:r>
        <w:t xml:space="preserve"> </w:t>
      </w:r>
      <w:r>
        <w:t xml:space="preserve">(95% CI 0.41-0.94) under the composite-uncertainty index defined in §3 (full derivation in §S1.4).</w:t>
      </w:r>
    </w:p>
    <w:p>
      <w:pPr>
        <w:pStyle w:val="BodyText"/>
      </w:pPr>
      <w:r>
        <w:drawing>
          <wp:inline>
            <wp:extent cx="5943600" cy="5162489"/>
            <wp:effectExtent b="0" l="0" r="0" t="0"/>
            <wp:docPr descr="" title="" id="57" name="Picture"/>
            <a:graphic>
              <a:graphicData uri="http://schemas.openxmlformats.org/drawingml/2006/picture">
                <pic:pic>
                  <pic:nvPicPr>
                    <pic:cNvPr descr="../../figures/manuscript/figure_11_paleoclimate_proxy.png" id="58" name="Picture"/>
                    <pic:cNvPicPr>
                      <a:picLocks noChangeArrowheads="1" noChangeAspect="1"/>
                    </pic:cNvPicPr>
                  </pic:nvPicPr>
                  <pic:blipFill>
                    <a:blip r:embed="rId56"/>
                    <a:stretch>
                      <a:fillRect/>
                    </a:stretch>
                  </pic:blipFill>
                  <pic:spPr bwMode="auto">
                    <a:xfrm>
                      <a:off x="0" y="0"/>
                      <a:ext cx="5943600" cy="5162489"/>
                    </a:xfrm>
                    <a:prstGeom prst="rect">
                      <a:avLst/>
                    </a:prstGeom>
                    <a:noFill/>
                    <a:ln w="9525">
                      <a:noFill/>
                      <a:headEnd/>
                      <a:tailEnd/>
                    </a:ln>
                  </pic:spPr>
                </pic:pic>
              </a:graphicData>
            </a:graphic>
          </wp:inline>
        </w:drawing>
      </w:r>
    </w:p>
    <w:p>
      <w:pPr>
        <w:pStyle w:val="BodyText"/>
      </w:pPr>
      <w:r>
        <w:rPr>
          <w:b/>
          <w:bCs/>
          <w:i/>
          <w:iCs/>
        </w:rPr>
        <w:t xml:space="preserve">Figure 11. Paleoclimate proxy synthesis for the Late Holocene Lower Mississippi Valley.</w:t>
      </w:r>
      <w:r>
        <w:t xml:space="preserve"> </w:t>
      </w:r>
      <w:r>
        <w:rPr>
          <w:i/>
          <w:iCs/>
        </w:rPr>
        <w:t xml:space="preserve">(A) Temperature 12k composite (Kaufman et al. 2020) showing relatively stable thermal conditions through the Poverty Point active interval (orange band, 3650-3050 cal BP). (B) Pollen-based Water Availability Balance reconstruction (Salonen et al. 2025) for the Midwest, showing drier-than-present conditions through the occupation with substantial centennial-scale variability and 200-year-periodicity oscillations large enough to produce ecologically consequential shortfalls (Shuman and Marsicek 2016). This centennial variability was spatially incoherent across the broader region (Salonen et al. 2025), so different parts of the exchange network would have experienced drought at different times, the precise condition under which inter-regional cooperation becomes adaptive. (C) Gulf Coast paleotempestology landfall frequency (Liu and Fearn 1993, 2000) showing the hyperactive hurricane interval (~3800-1000 BP, landfall rates roughly 5× the baseline) overlapping the Poverty Point occupation; individual events from Lake Shelby (Alabama, solid red lines) and Western Lake (Florida, dashed blue lines) are marked along the timeline. (D) Per-site decomposition of the composite uncertainty index</w:t>
      </w:r>
      <w:r>
        <w:t xml:space="preserve"> </w:t>
      </w:r>
      <m:oMath>
        <m:r>
          <m:t>σ</m:t>
        </m:r>
        <m:r>
          <m:rPr>
            <m:sty m:val="p"/>
          </m:rPr>
          <m:t>=</m:t>
        </m:r>
        <m:r>
          <m:t>m</m:t>
        </m:r>
        <m:rad>
          <m:radPr>
            <m:degHide m:val="on"/>
          </m:radPr>
          <m:deg/>
          <m:e>
            <m:r>
              <m:t>20</m:t>
            </m:r>
            <m:r>
              <m:rPr>
                <m:sty m:val="p"/>
              </m:rPr>
              <m:t>/</m:t>
            </m:r>
            <m:r>
              <m:t>T</m:t>
            </m:r>
          </m:e>
        </m:rad>
      </m:oMath>
      <w:r>
        <w:t xml:space="preserve"> </w:t>
      </w:r>
      <w:r>
        <w:rPr>
          <w:i/>
          <w:iCs/>
        </w:rPr>
        <w:t xml:space="preserve">for the three highest-</w:t>
      </w:r>
      <w:r>
        <w:t xml:space="preserve"> </w:t>
      </w:r>
      <m:oMath>
        <m:r>
          <m:t>σ</m:t>
        </m:r>
      </m:oMath>
      <w:r>
        <w:t xml:space="preserve"> </w:t>
      </w:r>
      <w:r>
        <w:rPr>
          <w:i/>
          <w:iCs/>
        </w:rPr>
        <w:t xml:space="preserve">LMV mound-building cases: Poverty Point (</w:t>
      </w:r>
      <m:oMath>
        <m:r>
          <m:t>T</m:t>
        </m:r>
        <m:r>
          <m:rPr>
            <m:sty m:val="p"/>
          </m:rPr>
          <m:t>=</m:t>
        </m:r>
        <m:r>
          <m:t>10</m:t>
        </m:r>
      </m:oMath>
      <w:r>
        <w:t xml:space="preserve"> </w:t>
      </w:r>
      <w:r>
        <w:rPr>
          <w:i/>
          <w:iCs/>
        </w:rPr>
        <w:t xml:space="preserve">yr,</w:t>
      </w:r>
      <w:r>
        <w:t xml:space="preserve"> </w:t>
      </w:r>
      <m:oMath>
        <m:r>
          <m:t>m</m:t>
        </m:r>
        <m:r>
          <m:rPr>
            <m:sty m:val="p"/>
          </m:rPr>
          <m:t>=</m:t>
        </m:r>
        <m:r>
          <m:t>0.45</m:t>
        </m:r>
      </m:oMath>
      <w:r>
        <w:rPr>
          <w:i/>
          <w:iCs/>
        </w:rPr>
        <w:t xml:space="preserve">,</w:t>
      </w:r>
      <w:r>
        <w:t xml:space="preserve"> </w:t>
      </w:r>
      <m:oMath>
        <m:r>
          <m:t>σ</m:t>
        </m:r>
        <m:r>
          <m:rPr>
            <m:sty m:val="p"/>
          </m:rPr>
          <m:t>=</m:t>
        </m:r>
        <m:r>
          <m:t>0.64</m:t>
        </m:r>
      </m:oMath>
      <w:r>
        <w:rPr>
          <w:i/>
          <w:iCs/>
        </w:rPr>
        <w:t xml:space="preserve">), Watson Brake (</w:t>
      </w:r>
      <m:oMath>
        <m:r>
          <m:t>T</m:t>
        </m:r>
        <m:r>
          <m:rPr>
            <m:sty m:val="p"/>
          </m:rPr>
          <m:t>=</m:t>
        </m:r>
        <m:r>
          <m:t>12</m:t>
        </m:r>
      </m:oMath>
      <w:r>
        <w:t xml:space="preserve"> </w:t>
      </w:r>
      <w:r>
        <w:rPr>
          <w:i/>
          <w:iCs/>
        </w:rPr>
        <w:t xml:space="preserve">yr,</w:t>
      </w:r>
      <w:r>
        <w:t xml:space="preserve"> </w:t>
      </w:r>
      <m:oMath>
        <m:r>
          <m:t>m</m:t>
        </m:r>
        <m:r>
          <m:rPr>
            <m:sty m:val="p"/>
          </m:rPr>
          <m:t>=</m:t>
        </m:r>
        <m:r>
          <m:t>0.40</m:t>
        </m:r>
      </m:oMath>
      <w:r>
        <w:rPr>
          <w:i/>
          <w:iCs/>
        </w:rPr>
        <w:t xml:space="preserve">,</w:t>
      </w:r>
      <w:r>
        <w:t xml:space="preserve"> </w:t>
      </w:r>
      <m:oMath>
        <m:r>
          <m:t>σ</m:t>
        </m:r>
        <m:r>
          <m:rPr>
            <m:sty m:val="p"/>
          </m:rPr>
          <m:t>=</m:t>
        </m:r>
        <m:r>
          <m:t>0.52</m:t>
        </m:r>
      </m:oMath>
      <w:r>
        <w:rPr>
          <w:i/>
          <w:iCs/>
        </w:rPr>
        <w:t xml:space="preserve">), and Jaketown (</w:t>
      </w:r>
      <m:oMath>
        <m:r>
          <m:t>T</m:t>
        </m:r>
        <m:r>
          <m:rPr>
            <m:sty m:val="p"/>
          </m:rPr>
          <m:t>=</m:t>
        </m:r>
        <m:r>
          <m:t>11</m:t>
        </m:r>
      </m:oMath>
      <w:r>
        <w:t xml:space="preserve"> </w:t>
      </w:r>
      <w:r>
        <w:rPr>
          <w:i/>
          <w:iCs/>
        </w:rPr>
        <w:t xml:space="preserve">yr,</w:t>
      </w:r>
      <w:r>
        <w:t xml:space="preserve"> </w:t>
      </w:r>
      <m:oMath>
        <m:r>
          <m:t>m</m:t>
        </m:r>
        <m:r>
          <m:rPr>
            <m:sty m:val="p"/>
          </m:rPr>
          <m:t>=</m:t>
        </m:r>
        <m:r>
          <m:t>0.42</m:t>
        </m:r>
      </m:oMath>
      <w:r>
        <w:rPr>
          <w:i/>
          <w:iCs/>
        </w:rPr>
        <w:t xml:space="preserve">,</w:t>
      </w:r>
      <w:r>
        <w:t xml:space="preserve"> </w:t>
      </w:r>
      <m:oMath>
        <m:r>
          <m:t>σ</m:t>
        </m:r>
        <m:r>
          <m:rPr>
            <m:sty m:val="p"/>
          </m:rPr>
          <m:t>=</m:t>
        </m:r>
        <m:r>
          <m:t>0.57</m:t>
        </m:r>
      </m:oMath>
      <w:r>
        <w:rPr>
          <w:i/>
          <w:iCs/>
        </w:rPr>
        <w:t xml:space="preserve">), showing the frequency-effect component</w:t>
      </w:r>
      <w:r>
        <w:t xml:space="preserve"> </w:t>
      </w:r>
      <m:oMath>
        <m:rad>
          <m:radPr>
            <m:degHide m:val="on"/>
          </m:radPr>
          <m:deg/>
          <m:e>
            <m:r>
              <m:t>20</m:t>
            </m:r>
            <m:r>
              <m:rPr>
                <m:sty m:val="p"/>
              </m:rPr>
              <m:t>/</m:t>
            </m:r>
            <m:r>
              <m:t>T</m:t>
            </m:r>
          </m:e>
        </m:rad>
      </m:oMath>
      <w:r>
        <w:t xml:space="preserve"> </w:t>
      </w:r>
      <w:r>
        <w:rPr>
          <w:i/>
          <w:iCs/>
        </w:rPr>
        <w:t xml:space="preserve">(blue bars) and magnitude component</w:t>
      </w:r>
      <w:r>
        <w:t xml:space="preserve"> </w:t>
      </w:r>
      <m:oMath>
        <m:r>
          <m:t>m</m:t>
        </m:r>
      </m:oMath>
      <w:r>
        <w:t xml:space="preserve"> </w:t>
      </w:r>
      <w:r>
        <w:rPr>
          <w:i/>
          <w:iCs/>
        </w:rPr>
        <w:t xml:space="preserve">(orange bars); dashed red line marks the analytical critical threshold</w:t>
      </w:r>
      <w:r>
        <w:t xml:space="preserve"> </w:t>
      </w:r>
      <m:oMath>
        <m:sSup>
          <m:e>
            <m:r>
              <m:t>σ</m:t>
            </m:r>
          </m:e>
          <m:sup>
            <m:r>
              <m:rPr>
                <m:sty m:val="p"/>
              </m:rPr>
              <m:t>*</m:t>
            </m:r>
          </m:sup>
        </m:sSup>
        <m:r>
          <m:rPr>
            <m:sty m:val="p"/>
          </m:rPr>
          <m:t>≈</m:t>
        </m:r>
        <m:r>
          <m:t>0.40</m:t>
        </m:r>
      </m:oMath>
      <w:r>
        <w:rPr>
          <w:i/>
          <w:iCs/>
        </w:rPr>
        <w:t xml:space="preserve">. (E) Cross-site composite uncertainty (</w:t>
      </w:r>
      <w:r>
        <w:t xml:space="preserve"> </w:t>
      </w:r>
      <m:oMath>
        <m:r>
          <m:t>σ</m:t>
        </m:r>
      </m:oMath>
      <w:r>
        <w:t xml:space="preserve"> </w:t>
      </w:r>
      <w:r>
        <w:rPr>
          <w:i/>
          <w:iCs/>
        </w:rPr>
        <w:t xml:space="preserve">with ±1 SD error bars) across the five highest-</w:t>
      </w:r>
      <w:r>
        <w:t xml:space="preserve"> </w:t>
      </w:r>
      <m:oMath>
        <m:r>
          <m:t>σ</m:t>
        </m:r>
      </m:oMath>
      <w:r>
        <w:t xml:space="preserve"> </w:t>
      </w:r>
      <w:r>
        <w:rPr>
          <w:i/>
          <w:iCs/>
        </w:rPr>
        <w:t xml:space="preserve">LMV sites (Poverty Point, Watson Brake, Jaketown, Lower Jackson, Frenchman’s Bend); each site’s central estimate exceeds the</w:t>
      </w:r>
      <w:r>
        <w:t xml:space="preserve"> </w:t>
      </w:r>
      <m:oMath>
        <m:sSup>
          <m:e>
            <m:r>
              <m:t>σ</m:t>
            </m:r>
          </m:e>
          <m:sup>
            <m:r>
              <m:rPr>
                <m:sty m:val="p"/>
              </m:rPr>
              <m:t>*</m:t>
            </m:r>
          </m:sup>
        </m:sSup>
        <m:r>
          <m:rPr>
            <m:sty m:val="p"/>
          </m:rPr>
          <m:t>≈</m:t>
        </m:r>
        <m:r>
          <m:t>0.40</m:t>
        </m:r>
      </m:oMath>
      <w:r>
        <w:t xml:space="preserve"> </w:t>
      </w:r>
      <w:r>
        <w:rPr>
          <w:i/>
          <w:iCs/>
        </w:rPr>
        <w:t xml:space="preserve">threshold (dashed red line). (F) Environmental phase space defined by shortfall frequency (horizontal axis) and shortfall magnitude (vertical axis). The analytical critical-threshold contour</w:t>
      </w:r>
      <w:r>
        <w:t xml:space="preserve"> </w:t>
      </w:r>
      <m:oMath>
        <m:sSup>
          <m:e>
            <m:r>
              <m:t>σ</m:t>
            </m:r>
          </m:e>
          <m:sup>
            <m:r>
              <m:rPr>
                <m:sty m:val="p"/>
              </m:rPr>
              <m:t>*</m:t>
            </m:r>
          </m:sup>
        </m:sSup>
        <m:r>
          <m:rPr>
            <m:sty m:val="p"/>
          </m:rPr>
          <m:t>≈</m:t>
        </m:r>
        <m:r>
          <m:t>0.40</m:t>
        </m:r>
      </m:oMath>
      <w:r>
        <w:t xml:space="preserve"> </w:t>
      </w:r>
      <w:r>
        <w:rPr>
          <w:i/>
          <w:iCs/>
        </w:rPr>
        <w:t xml:space="preserve">(dashed red) separates the regime where the framework predicts independent foraging (lower-left, blue) from the regime where it predicts sustained aggregation (upper-right, red); the four interior LMV monument-building sites with the strongest paleoclimate estimates (Poverty Point, Watson Brake, Jaketown, Lower Jackson) all fall above the threshold contour at their LMV-derived</w:t>
      </w:r>
      <w:r>
        <w:t xml:space="preserve"> </w:t>
      </w:r>
      <m:oMath>
        <m:r>
          <m:rPr>
            <m:sty m:val="p"/>
          </m:rPr>
          <m:t>(</m:t>
        </m:r>
        <m:r>
          <m:t>T</m:t>
        </m:r>
        <m:r>
          <m:rPr>
            <m:sty m:val="p"/>
          </m:rPr>
          <m:t>,</m:t>
        </m:r>
        <m:r>
          <m:t>m</m:t>
        </m:r>
        <m:r>
          <m:rPr>
            <m:sty m:val="p"/>
          </m:rPr>
          <m:t>)</m:t>
        </m:r>
      </m:oMath>
      <w:r>
        <w:t xml:space="preserve"> </w:t>
      </w:r>
      <w:r>
        <w:rPr>
          <w:i/>
          <w:iCs/>
        </w:rPr>
        <w:t xml:space="preserve">coordinates.</w:t>
      </w:r>
    </w:p>
    <w:bookmarkEnd w:id="59"/>
    <w:bookmarkEnd w:id="60"/>
    <w:bookmarkStart w:id="81" w:name="X7f56f72728939b2e31227af71f8d33710616234"/>
    <w:p>
      <w:pPr>
        <w:pStyle w:val="Heading2"/>
      </w:pPr>
      <w:r>
        <w:t xml:space="preserve">6. Empirical evaluation: Poverty Point and the LMV transition</w:t>
      </w:r>
    </w:p>
    <w:p>
      <w:pPr>
        <w:pStyle w:val="FirstParagraph"/>
      </w:pPr>
      <w:r>
        <w:t xml:space="preserve">We conducted eight evaluations of our framework using existing empirical evidence from the LMV record. Following the framework set out in §1 and developed in §7.4, each evaluation states what is fit, what is independent, and what inferential weight it carries. The status of each evaluation (what is fit, what is independent, inferential weight) is tabulated in §S7.0; the discriminating empirical claim is developed in §6.1.</w:t>
      </w:r>
    </w:p>
    <w:p>
      <w:pPr>
        <w:pStyle w:val="BodyText"/>
      </w:pPr>
      <w:r>
        <w:t xml:space="preserve">The framework’s discriminating empirical claim is the §6.1 concentration-ratio asymmetry, which is supported by the existing record (Smith 1991; Gibson and Griffing 1994; Mitch 2023; Kidder and Grooms 2025). Four further evaluations carry independent inferential weight, each with a stated bound: 6.1 distance-decay (rank correlation, but undiscriminating against transport-cost alternatives); 6.2 paleoclimate threshold-proximity (near-tie posterior, reflecting input uncertainty rather than a failed prediction); 6.4 interior-vs-coastal screening (sample limited to known mound-builders); and 6.8 maintenance-to-new-construction event density (PP-vs-WB contrast follows from the signal-half-life mechanism without additional free parameters). The remaining four are calibration anchors (6.1 vol, 6.1 exotic), conditional consistency demonstrations (6.3, 6.6), descriptive (6.5), or plausibility checks (6.7). The §7.4 sharpening study would tighten the asymmetry test by examining the per-site concentration pattern across sites with independently established visitor-band status.</w:t>
      </w:r>
    </w:p>
    <w:bookmarkStart w:id="64" w:name="X0be21f4193b383a6a842c5dceceeb8e0e33fee3"/>
    <w:p>
      <w:pPr>
        <w:pStyle w:val="Heading3"/>
      </w:pPr>
      <w:r>
        <w:t xml:space="preserve">6.1 Calibration anchor and exotic-goods consistency</w:t>
      </w:r>
    </w:p>
    <w:p>
      <w:pPr>
        <w:pStyle w:val="FirstParagraph"/>
      </w:pPr>
      <w:r>
        <w:t xml:space="preserve">Our model uses abstract investment units rather than cubic meters or artifact counts. To compare model output with the archaeological record, we anchor a single archaeological value, then evaluate whether other predictions hold at the same scale. In this study, we use Poverty Point’s core earthwork volume of ~750,000 m³ (Gibson 2000; Ortmann and Kidder 2013) as the anchor. We use this number since the larger 1,000,000 m³ figure of Kidder and Grooms (2025) includes Motley Mound and adjacent Macon Ridge features whose contemporaneity with the active construction window is debated. The calibrated Poverty Point scenario, run with eight replicates of 200 simulated years each, yields a mean cumulative investment of 9,731 ± 684 (mean ± sample SD; ddof = 1 throughout). Dividing the archaeological target by this replicate mean yields a scaling factor of approximately 77 m³ per investment unit. This factor is fit to the volume target and is therefore not itself a test. Its physical interpretation is roughly one crew-day at PP construction scale: 50 laborers × 80 basket loads per person per day × 0.020 m³ per basket = 80 m³ per crew-day, comparable to the 77 m³/unit calibration. We treat it as a calibration anchor rather than an independently derived constant. The implication is that smaller construction events at sites that mobilize fewer laborers per event produce fewer m³ per unit of investment; we return to this point in §6.3 (Watson Brake) and §7.4 (priority model extensions).</w:t>
      </w:r>
    </w:p>
    <w:p>
      <w:pPr>
        <w:pStyle w:val="BodyText"/>
      </w:pPr>
      <w:r>
        <w:t xml:space="preserve">The scaling factor is fit to the volume target, so the volume match itself is</w:t>
      </w:r>
      <w:r>
        <w:t xml:space="preserve"> </w:t>
      </w:r>
      <w:r>
        <w:rPr>
          <w:i/>
          <w:iCs/>
        </w:rPr>
        <w:t xml:space="preserve">not</w:t>
      </w:r>
      <w:r>
        <w:t xml:space="preserve"> </w:t>
      </w:r>
      <w:r>
        <w:t xml:space="preserve">validation. The remaining tests we report below are partial tests rather than fully independent predictions: (i) the exotic-goods count comparison uses the same simulation run that anchors the volume calibration, but exotic accumulation operates through different model pathways (acquisition probability, network connectivity) than monument investment, so it is informative even though not strictly out-of-sample; (ii) the distance-decay ratios are sensitive to a model parameter (the 500 km length scale) that was set in advance but is not derived from data outside the LMV; (iii) the regional site-hierarchy and temporal-pulse predictions are qualitative comparisons against patterns in the archaeological record. We describe each test below and note where the inferential weight is lower than that of a fully blind out-of-sample prediction.</w:t>
      </w:r>
    </w:p>
    <w:p>
      <w:pPr>
        <w:pStyle w:val="BodyText"/>
      </w:pPr>
      <w:r>
        <w:t xml:space="preserve">For transparency, the parameter choices fixed before any of the comparisons reported here include: the 500 km exotic-acquisition length scale; the seven default cost, network, signaling, and conflict parameters listed in Supplemental Table S2; the Shannon-diversity zone-access scoring rubric in §S6; and the use of Poverty Point’s core volume (~750,000 m³) as the calibration anchor. The Watson Brake parameters in §6.3 below (</w:t>
      </w:r>
      <m:oMath>
        <m:r>
          <m:t>σ</m:t>
        </m:r>
      </m:oMath>
      <w:r>
        <w:t xml:space="preserve">,</w:t>
      </w:r>
      <w:r>
        <w:t xml:space="preserve"> </w:t>
      </w:r>
      <m:oMath>
        <m:r>
          <m:t>ε</m:t>
        </m:r>
      </m:oMath>
      <w:r>
        <w:t xml:space="preserve">,</w:t>
      </w:r>
      <w:r>
        <w:t xml:space="preserve"> </w:t>
      </w:r>
      <m:oMath>
        <m:sSub>
          <m:e>
            <m:r>
              <m:t>n</m:t>
            </m:r>
          </m:e>
          <m:sub>
            <m:r>
              <m:t>a</m:t>
            </m:r>
            <m:r>
              <m:t>g</m:t>
            </m:r>
            <m:r>
              <m:t>g</m:t>
            </m:r>
          </m:sub>
        </m:sSub>
      </m:oMath>
      <w:r>
        <w:t xml:space="preserve">) were derived from independent paleoclimate and Saunders et al. (2005) site-description sources after PP calibration but before the model was run at WB inputs.</w:t>
      </w:r>
    </w:p>
    <w:p>
      <w:pPr>
        <w:pStyle w:val="BodyText"/>
      </w:pPr>
      <w:r>
        <w:t xml:space="preserve">The first test of model behavior is whether the calibrated PP scenario produces archaeologically plausible exotic-goods counts under fixed-parameter operation. The calibrated Poverty Point scenario (</w:t>
      </w:r>
      <m:oMath>
        <m:r>
          <m:t>σ</m:t>
        </m:r>
        <m:r>
          <m:rPr>
            <m:sty m:val="p"/>
          </m:rPr>
          <m:t>≈</m:t>
        </m:r>
        <m:r>
          <m:t>0.64</m:t>
        </m:r>
      </m:oMath>
      <w:r>
        <w:t xml:space="preserve">,</w:t>
      </w:r>
      <w:r>
        <w:t xml:space="preserve"> </w:t>
      </w:r>
      <m:oMath>
        <m:sSub>
          <m:e>
            <m:r>
              <m:t>σ</m:t>
            </m:r>
          </m:e>
          <m:sub>
            <m:r>
              <m:t>e</m:t>
            </m:r>
            <m:r>
              <m:t>f</m:t>
            </m:r>
            <m:r>
              <m:t>f</m:t>
            </m:r>
          </m:sub>
        </m:sSub>
        <m:r>
          <m:rPr>
            <m:sty m:val="p"/>
          </m:rPr>
          <m:t>≈</m:t>
        </m:r>
        <m:r>
          <m:t>0.38</m:t>
        </m:r>
      </m:oMath>
      <w:r>
        <w:t xml:space="preserve">) produces 9,731 ± 684 cumulative monument units and 21,469 ± 1,502 total exotic items across all five materials tracked (copper, steatite, galena, novaculite, and crystal quartz; the n = 395 quartz-crystal figure is from Webb 1982:Table 17), with bars in Figure 12 showing means across 8 stochastic replicates of 200 simulated years per scenario and error bars at ±1 SD. The archaeological record documents 155 copper objects, 2,221 steatite fragments, and 740 galena masses and shaped objects (Hays 2019; Webb 1982). The calibrated PP scenario produces 178 ± 21 copper, 838 ± 87 steatite, and 1,265 ± 103 galena items per material (mean ± sample SD, eight replicates). The per-material counts are not directly comparable across the model-archaeology boundary because the units of count differ. The model’s</w:t>
      </w:r>
      <w:r>
        <w:t xml:space="preserve"> </w:t>
      </w:r>
      <w:r>
        <w:t xml:space="preserve">“item”</w:t>
      </w:r>
      <w:r>
        <w:t xml:space="preserve"> </w:t>
      </w:r>
      <w:r>
        <w:t xml:space="preserve">is one acquisition event, equivalent to one imported</w:t>
      </w:r>
      <w:r>
        <w:t xml:space="preserve"> </w:t>
      </w:r>
      <w:r>
        <w:rPr>
          <w:i/>
          <w:iCs/>
        </w:rPr>
        <w:t xml:space="preserve">object</w:t>
      </w:r>
      <w:r>
        <w:t xml:space="preserve"> </w:t>
      </w:r>
      <w:r>
        <w:t xml:space="preserve">(one bowl, one mass, one sheet); steatite is reported as fragments, copper as objects, and galena as masses and shaped artifacts. Compared on a per-vessel basis, the model’s 838 steatite acquisitions are closer to a match or moderate overshoot against the</w:t>
      </w:r>
      <w:r>
        <w:t xml:space="preserve"> </w:t>
      </w:r>
      <w:r>
        <w:t xml:space="preserve">“several hundred vessels”</w:t>
      </w:r>
      <w:r>
        <w:t xml:space="preserve"> </w:t>
      </w:r>
      <w:r>
        <w:t xml:space="preserve">estimate than a 2.6× fragment-count undershoot. Copper (1.15×) and galena (1.80×) are at least within the same order of magnitude. Novaculite and crystal quartz are tracked by the model and are included in the distance-decay test in Panel C using their best published counts at PP: 101 novaculite chipped-stone items (Gibson and Griffing 1994:Table 2, within a 3,046-item sample; Webb 1982:Table 9 reports novaculite only as a percentage within microflint and projectile-point classes and gives no site total), and 395 raw quartz crystals (Webb 1982:Table 17). Mitch (2023:145-146) reports novaculite at only ~5% of chipped stone at PP itself but &gt;80% at sites near the Ouachita source, indicating that PP sits downstream of the novaculite distance-decay rather than at its center; the model’s uniform-acquisition treatment does not capture this material-specific asymmetry, and the distance-decay test in Panel C makes the consequences explicit.</w:t>
      </w:r>
    </w:p>
    <w:p>
      <w:pPr>
        <w:pStyle w:val="BodyText"/>
      </w:pPr>
      <w:r>
        <w:t xml:space="preserve">We treat the per-material comparison as a posterior predictive check. Each material’s eight-replicate distribution defines a 95% predictive interval at PP-calibrated parameters, and we ask whether the archaeological count falls inside it.</w:t>
      </w:r>
      <w:r>
        <w:t xml:space="preserve"> </w:t>
      </w:r>
      <w:r>
        <w:rPr>
          <w:i/>
          <w:iCs/>
        </w:rPr>
        <w:t xml:space="preserve">Copper</w:t>
      </w:r>
      <w:r>
        <w:t xml:space="preserve"> </w:t>
      </w:r>
      <w:r>
        <w:t xml:space="preserve">is the cleanest test in counting-unit terms (model produces acquired objects, archaeology counts objects): the central 95% predictive interval (mean ± 1.96 × SD) is [137, 219] and contains the archaeological 155, so the model is consistent with the recovered count. The apparent fit may understate the true import volume because copper preserves poorly in the corrosive Macon Ridge soils (Greenlee, personal communication), so the surviving 155 specimens represent a lower bound on what was originally deposited.</w:t>
      </w:r>
      <w:r>
        <w:t xml:space="preserve"> </w:t>
      </w:r>
      <w:r>
        <w:rPr>
          <w:i/>
          <w:iCs/>
        </w:rPr>
        <w:t xml:space="preserve">Galena</w:t>
      </w:r>
      <w:r>
        <w:t xml:space="preserve"> </w:t>
      </w:r>
      <w:r>
        <w:t xml:space="preserve">(model 1,265 ± 103; predictive interval [1063, 1467]) does not contain the archaeological 740: the model overpredicts by roughly 1.7×. Galena is mineralogically stable (lead sulfide; not susceptible to soil-acidity loss the way bone or shell would be), so a chemical-preservation argument does not apply. The gap is more plausibly framework-consistent in a different sense. The model produces</w:t>
      </w:r>
      <w:r>
        <w:t xml:space="preserve"> </w:t>
      </w:r>
      <w:r>
        <w:rPr>
          <w:i/>
          <w:iCs/>
        </w:rPr>
        <w:t xml:space="preserve">acquisition flow</w:t>
      </w:r>
      <w:r>
        <w:t xml:space="preserve"> </w:t>
      </w:r>
      <w:r>
        <w:t xml:space="preserve">(the number of galena units imported into the system per unit time), while the archaeological record captures</w:t>
      </w:r>
      <w:r>
        <w:t xml:space="preserve"> </w:t>
      </w:r>
      <w:r>
        <w:rPr>
          <w:i/>
          <w:iCs/>
        </w:rPr>
        <w:t xml:space="preserve">recovered discard</w:t>
      </w:r>
      <w:r>
        <w:t xml:space="preserve"> </w:t>
      </w:r>
      <w:r>
        <w:t xml:space="preserve">(what fell out of the curation cycle, survived the active occupation, was deposited in the sampled portions of the site, and was catalogued by the excavator). Under the signaling reading, galena is a costly, valuable material maintained for its signaling function; bands would have curated, reused, and, where possible, recycled it (ground for pigment, recut, redistributed through obligation networks, taken home with visitor bands at the end of the gathering) rather than casually discarding it. Combined with partial archaeological recovery (much of the PP surface was sampled non-systematically, and an unknown fraction of small galena cubes may not have been cataloged), curation reduces the recovered count well below the gross acquisition flow the model produces. The framework, therefore, predicts the</w:t>
      </w:r>
      <w:r>
        <w:t xml:space="preserve"> </w:t>
      </w:r>
      <w:r>
        <w:rPr>
          <w:i/>
          <w:iCs/>
        </w:rPr>
        <w:t xml:space="preserve">direction</w:t>
      </w:r>
      <w:r>
        <w:t xml:space="preserve"> </w:t>
      </w:r>
      <w:r>
        <w:t xml:space="preserve">of the gap (curation of valuable signaling materials reduces preserved counts) even though it does not derive the precise magnitude; the implied ~58% net retention is a back-calculated figure consistent with both mechanisms operating but not independently anchored to either.</w:t>
      </w:r>
      <w:r>
        <w:t xml:space="preserve"> </w:t>
      </w:r>
      <w:r>
        <w:rPr>
          <w:i/>
          <w:iCs/>
        </w:rPr>
        <w:t xml:space="preserve">Steatite</w:t>
      </w:r>
      <w:r>
        <w:t xml:space="preserve"> </w:t>
      </w:r>
      <w:r>
        <w:t xml:space="preserve">depends on whether the archaeological count is taken as fragments (2,221) or vessels (Webb’s</w:t>
      </w:r>
      <w:r>
        <w:t xml:space="preserve"> </w:t>
      </w:r>
      <w:r>
        <w:t xml:space="preserve">“in the thousands”</w:t>
      </w:r>
      <w:r>
        <w:t xml:space="preserve">). On the vessel basis, the predictive interval [666, 1009] is consistent with the upper end of the archaeological range; on the fragment basis, the comparison is unit-mismatched and not directly interpretable without a fragments-per-vessel conversion, which the present model does not encode. The check is therefore consistent for copper, consistent-on-vessel-basis for steatite, and consistent-after-curation-and-partial-recovery for galena; in each case, the reconciliation is framework-consistent rather than ad-hoc.</w:t>
      </w:r>
    </w:p>
    <w:p>
      <w:pPr>
        <w:pStyle w:val="BodyText"/>
      </w:pPr>
      <w:r>
        <w:t xml:space="preserve">Treating the four materials as independent checks overstates the strength of the comparison, because the model’s predictions for them are correlated. Across the eight replicate runs, copper varies relatively independently of the others (</w:t>
      </w:r>
      <m:oMath>
        <m:r>
          <m:t>r</m:t>
        </m:r>
        <m:r>
          <m:rPr>
            <m:sty m:val="p"/>
          </m:rPr>
          <m:t>=</m:t>
        </m:r>
        <m:r>
          <m:t>0.11</m:t>
        </m:r>
      </m:oMath>
      <w:r>
        <w:t xml:space="preserve"> </w:t>
      </w:r>
      <w:r>
        <w:t xml:space="preserve">to</w:t>
      </w:r>
      <w:r>
        <w:t xml:space="preserve"> </w:t>
      </w:r>
      <m:oMath>
        <m:r>
          <m:t>0.42</m:t>
        </m:r>
      </m:oMath>
      <w:r>
        <w:t xml:space="preserve">), but steatite, galena, novaculite, and crystal quartz move together strongly (</w:t>
      </w:r>
      <m:oMath>
        <m:r>
          <m:t>r</m:t>
        </m:r>
        <m:r>
          <m:rPr>
            <m:sty m:val="p"/>
          </m:rPr>
          <m:t>=</m:t>
        </m:r>
        <m:r>
          <m:t>0.85</m:t>
        </m:r>
      </m:oMath>
      <w:r>
        <w:t xml:space="preserve"> </w:t>
      </w:r>
      <w:r>
        <w:t xml:space="preserve">to</w:t>
      </w:r>
      <w:r>
        <w:t xml:space="preserve"> </w:t>
      </w:r>
      <m:oMath>
        <m:r>
          <m:t>0.97</m:t>
        </m:r>
      </m:oMath>
      <w:r>
        <w:t xml:space="preserve">): when one is high in a replicate, the others tend to be high as well, because all four are driven by network connectivity at the gathering site rather than by independent material-specific noise. We compute a joint Mahalanobis distance, a multivariate analog of the z-score that measures how far a four-material vector of counts sits from the simulation’s mean, taking into account that the four counts are correlated rather than independent. The four-material archaeological vector (copper 155, steatite 2,221, galena 740, crystal quartz 395) against the simulation distribution gives</w:t>
      </w:r>
      <w:r>
        <w:t xml:space="preserve"> </w:t>
      </w:r>
      <m:oMath>
        <m:sSup>
          <m:e>
            <m:r>
              <m:t>d</m:t>
            </m:r>
          </m:e>
          <m:sup>
            <m:r>
              <m:t>2</m:t>
            </m:r>
          </m:sup>
        </m:sSup>
        <m:r>
          <m:rPr>
            <m:sty m:val="p"/>
          </m:rPr>
          <m:t>=</m:t>
        </m:r>
        <m:r>
          <m:t>4</m:t>
        </m:r>
        <m:r>
          <m:rPr>
            <m:sty m:val="p"/>
          </m:rPr>
          <m:t>,</m:t>
        </m:r>
        <m:r>
          <m:t>252</m:t>
        </m:r>
      </m:oMath>
      <w:r>
        <w:t xml:space="preserve">, far outside any rejection threshold appropriate for an eight-replicate covariance estimate. The deviation decomposes into four substantively distinct sources: copper at</w:t>
      </w:r>
      <w:r>
        <w:t xml:space="preserve"> </w:t>
      </w:r>
      <m:oMath>
        <m:r>
          <m:rPr>
            <m:sty m:val="p"/>
          </m:rPr>
          <m:t>−</m:t>
        </m:r>
        <m:r>
          <m:t>1.1</m:t>
        </m:r>
      </m:oMath>
      <w:r>
        <w:t xml:space="preserve"> </w:t>
      </w:r>
      <w:r>
        <w:t xml:space="preserve">SDs (within noise); steatite at</w:t>
      </w:r>
      <w:r>
        <w:t xml:space="preserve"> </w:t>
      </w:r>
      <m:oMath>
        <m:r>
          <m:rPr>
            <m:sty m:val="p"/>
          </m:rPr>
          <m:t>+</m:t>
        </m:r>
        <m:r>
          <m:t>15.8</m:t>
        </m:r>
      </m:oMath>
      <w:r>
        <w:t xml:space="preserve"> </w:t>
      </w:r>
      <w:r>
        <w:t xml:space="preserve">SDs (the published count is in fragments while the model produces vessels, with roughly six fragments per vessel reconciling the gap; Webb 1982:45); galena at</w:t>
      </w:r>
      <w:r>
        <w:t xml:space="preserve"> </w:t>
      </w:r>
      <m:oMath>
        <m:r>
          <m:rPr>
            <m:sty m:val="p"/>
          </m:rPr>
          <m:t>−</m:t>
        </m:r>
        <m:r>
          <m:t>5.1</m:t>
        </m:r>
      </m:oMath>
      <w:r>
        <w:t xml:space="preserve"> </w:t>
      </w:r>
      <w:r>
        <w:t xml:space="preserve">SDs (the model produces gross acquisition flow but the archaeological record captures the residual after curation of a valuable signaling material plus partial archaeological recovery; the framework’s own logic predicts that exotics should be curated, reused, and recycled rather than casually discarded, so a discard-to-acquisition gap is expected on framework grounds even though its precise magnitude is not derived); and crystal quartz at</w:t>
      </w:r>
      <w:r>
        <w:t xml:space="preserve"> </w:t>
      </w:r>
      <m:oMath>
        <m:r>
          <m:rPr>
            <m:sty m:val="p"/>
          </m:rPr>
          <m:t>−</m:t>
        </m:r>
        <m:r>
          <m:t>13.5</m:t>
        </m:r>
      </m:oMath>
      <w:r>
        <w:t xml:space="preserve"> </w:t>
      </w:r>
      <w:r>
        <w:t xml:space="preserve">SDs (two mechanisms compound: the same curation-and-recovery effect operating on galena, plus the Panel C</w:t>
      </w:r>
      <w:r>
        <w:t xml:space="preserve"> </w:t>
      </w:r>
      <w:r>
        <w:t xml:space="preserve">“PP downstream of close-source distance-decay”</w:t>
      </w:r>
      <w:r>
        <w:t xml:space="preserve"> </w:t>
      </w:r>
      <w:r>
        <w:t xml:space="preserve">finding that reduces acquisition flow into PP in the first place). The substantive point is that the consistency of the marginal checks is partly illusory: the materials are correlated, so a single inconsistent material undermines the joint reading, and a strict joint test rejects the framework’s per-material counts strongly. The per-material check is framework-consistent under four interpretations (copper within noise, steatite vessel-vs-fragment unit conversion, galena curation-and-recovery, crystal quartz curation-and-recovery plus close-source intercept) rather than a brute-fit; the structural commitments motivate the directions of all four corrections, even though the precise magnitudes are not derived.</w:t>
      </w:r>
    </w:p>
    <w:p>
      <w:pPr>
        <w:pStyle w:val="BodyText"/>
      </w:pPr>
      <w:r>
        <w:drawing>
          <wp:inline>
            <wp:extent cx="5943600" cy="1848824"/>
            <wp:effectExtent b="0" l="0" r="0" t="0"/>
            <wp:docPr descr="" title="" id="62" name="Picture"/>
            <a:graphic>
              <a:graphicData uri="http://schemas.openxmlformats.org/drawingml/2006/picture">
                <pic:pic>
                  <pic:nvPicPr>
                    <pic:cNvPr descr="../../figures/manuscript/figure_12_calibration.png" id="63" name="Picture"/>
                    <pic:cNvPicPr>
                      <a:picLocks noChangeArrowheads="1" noChangeAspect="1"/>
                    </pic:cNvPicPr>
                  </pic:nvPicPr>
                  <pic:blipFill>
                    <a:blip r:embed="rId61"/>
                    <a:stretch>
                      <a:fillRect/>
                    </a:stretch>
                  </pic:blipFill>
                  <pic:spPr bwMode="auto">
                    <a:xfrm>
                      <a:off x="0" y="0"/>
                      <a:ext cx="5943600" cy="1848824"/>
                    </a:xfrm>
                    <a:prstGeom prst="rect">
                      <a:avLst/>
                    </a:prstGeom>
                    <a:noFill/>
                    <a:ln w="9525">
                      <a:noFill/>
                      <a:headEnd/>
                      <a:tailEnd/>
                    </a:ln>
                  </pic:spPr>
                </pic:pic>
              </a:graphicData>
            </a:graphic>
          </wp:inline>
        </w:drawing>
      </w:r>
    </w:p>
    <w:p>
      <w:pPr>
        <w:pStyle w:val="BodyText"/>
      </w:pPr>
      <w:r>
        <w:rPr>
          <w:b/>
          <w:bCs/>
          <w:i/>
          <w:iCs/>
        </w:rPr>
        <w:t xml:space="preserve">Figure 12. Archaeological calibration with replicate-spread error bars.</w:t>
      </w:r>
      <w:r>
        <w:t xml:space="preserve"> </w:t>
      </w:r>
      <w:r>
        <w:rPr>
          <w:i/>
          <w:iCs/>
        </w:rPr>
        <w:t xml:space="preserve">Bars are means across 8 stochastic replicates of 200 simulated years each per scenario; error bars are ±1 sample SD (ddof = 1). (A) Monument volume comparison. The Poverty Point bar is calibrated to the archaeological 750,000 m³ target (calibration factor ≈ 77 m³ per investment unit at this parameterization, derived from a PP mean of 9,731 ± 684 cumulative units; ≈ one crew-day at PP construction scale). The cross-scenario gradient (low &lt;&lt; PP &lt; critical ≈ high) is the phase-transition signal. (B) Total exotic-goods counts (all five materials: copper, steatite, galena, novaculite, crystal quartz). For unit-comparable per-material posterior predictive checks against the published archaeological counts of the three quantitatively documented materials (155 copper objects, 2,221 steatite fragments, 740 galena masses and shaped objects; Webb 1982; Hays 2019), see the prose at §6.1; the panel itself shows the framework’s accumulation pattern across all five materials rather than a direct count comparison, since the model’s</w:t>
      </w:r>
      <w:r>
        <w:rPr>
          <w:i/>
          <w:iCs/>
        </w:rPr>
        <w:t xml:space="preserve"> </w:t>
      </w:r>
      <w:r>
        <w:rPr>
          <w:i/>
          <w:iCs/>
        </w:rPr>
        <w:t xml:space="preserve">“item”</w:t>
      </w:r>
      <w:r>
        <w:rPr>
          <w:i/>
          <w:iCs/>
        </w:rPr>
        <w:t xml:space="preserve"> </w:t>
      </w:r>
      <w:r>
        <w:rPr>
          <w:i/>
          <w:iCs/>
        </w:rPr>
        <w:t xml:space="preserve">unit (one acquisition event) is not directly comparable to the archaeological fragment, vessel, or mass count without conversion. (C) Distance-decay test against five published counts (novaculite 101, crystal quartz 395, galena 740, steatite 2,221, copper 155 items at PP). The model’s uniform-acquisition curve</w:t>
      </w:r>
      <w:r>
        <w:t xml:space="preserve"> </w:t>
      </w:r>
      <m:oMath>
        <m:r>
          <m:t>e</m:t>
        </m:r>
        <m:r>
          <m:t>x</m:t>
        </m:r>
        <m:r>
          <m:t>p</m:t>
        </m:r>
        <m:r>
          <m:rPr>
            <m:sty m:val="p"/>
          </m:rPr>
          <m:t>(</m:t>
        </m:r>
        <m:r>
          <m:rPr>
            <m:sty m:val="p"/>
          </m:rPr>
          <m:t>−</m:t>
        </m:r>
        <m:r>
          <m:t>d</m:t>
        </m:r>
        <m:r>
          <m:rPr>
            <m:sty m:val="p"/>
          </m:rPr>
          <m:t>/</m:t>
        </m:r>
        <m:r>
          <m:t>500</m:t>
        </m:r>
        <m:r>
          <m:rPr>
            <m:sty m:val="p"/>
          </m:rPr>
          <m:t>)</m:t>
        </m:r>
      </m:oMath>
      <w:r>
        <w:t xml:space="preserve"> </w:t>
      </w:r>
      <w:r>
        <w:rPr>
          <w:i/>
          <w:iCs/>
        </w:rPr>
        <w:t xml:space="preserve">(normalized to the maximum observed count) fits the three far-source materials closely (galena and copper sit on the curve; steatite plots above because Webb’s count is in fragments, not vessels), but substantially overpredicts the two near-source materials (novaculite is at 5% and crystal quartz at 20% of the curve value), because PP sits downstream of those closest-source distance-decays rather than at their center. Reported summary statistics: Spearman rank correlation</w:t>
      </w:r>
      <w:r>
        <w:t xml:space="preserve"> </w:t>
      </w:r>
      <m:oMath>
        <m:r>
          <m:t>ρ</m:t>
        </m:r>
        <m:r>
          <m:rPr>
            <m:sty m:val="p"/>
          </m:rPr>
          <m:t>=</m:t>
        </m:r>
        <m:r>
          <m:rPr>
            <m:sty m:val="p"/>
          </m:rPr>
          <m:t>−</m:t>
        </m:r>
        <m:r>
          <m:t>0.40</m:t>
        </m:r>
      </m:oMath>
      <w:r>
        <w:t xml:space="preserve"> </w:t>
      </w:r>
      <w:r>
        <w:rPr>
          <w:i/>
          <w:iCs/>
        </w:rPr>
        <w:t xml:space="preserve">and log-space</w:t>
      </w:r>
      <w:r>
        <w:t xml:space="preserve"> </w:t>
      </w:r>
      <m:oMath>
        <m:sSup>
          <m:e>
            <m:r>
              <m:t>R</m:t>
            </m:r>
          </m:e>
          <m:sup>
            <m:r>
              <m:t>2</m:t>
            </m:r>
          </m:sup>
        </m:sSup>
        <m:r>
          <m:rPr>
            <m:sty m:val="p"/>
          </m:rPr>
          <m:t>=</m:t>
        </m:r>
        <m:r>
          <m:rPr>
            <m:sty m:val="p"/>
          </m:rPr>
          <m:t>−</m:t>
        </m:r>
        <m:r>
          <m:t>1.23</m:t>
        </m:r>
      </m:oMath>
      <w:r>
        <w:t xml:space="preserve"> </w:t>
      </w:r>
      <w:r>
        <w:rPr>
          <w:i/>
          <w:iCs/>
        </w:rPr>
        <w:t xml:space="preserve">across the five materials, reflecting that the uniform model does not capture the near-source vs far-source asymmetry; the same statistics restricted to the three far-source materials (galena, steatite, copper) give</w:t>
      </w:r>
      <w:r>
        <w:t xml:space="preserve"> </w:t>
      </w:r>
      <m:oMath>
        <m:r>
          <m:t>ρ</m:t>
        </m:r>
        <m:r>
          <m:rPr>
            <m:sty m:val="p"/>
          </m:rPr>
          <m:t>=</m:t>
        </m:r>
        <m:r>
          <m:rPr>
            <m:sty m:val="p"/>
          </m:rPr>
          <m:t>+</m:t>
        </m:r>
        <m:r>
          <m:t>0.50</m:t>
        </m:r>
      </m:oMath>
      <w:r>
        <w:rPr>
          <w:i/>
          <w:iCs/>
        </w:rPr>
        <w:t xml:space="preserve">.</w:t>
      </w:r>
    </w:p>
    <w:p>
      <w:pPr>
        <w:pStyle w:val="BodyText"/>
      </w:pPr>
      <w:r>
        <w:t xml:space="preserve">The distance-decay prediction provides a partially independent test, with informative failures. The model’s exotic-acquisition function</w:t>
      </w:r>
      <w:r>
        <w:t xml:space="preserve"> </w:t>
      </w:r>
      <m:oMath>
        <m:r>
          <m:t>p</m:t>
        </m:r>
        <m:r>
          <m:rPr>
            <m:sty m:val="p"/>
          </m:rPr>
          <m:t>(</m:t>
        </m:r>
        <m:r>
          <m:t>d</m:t>
        </m:r>
        <m:r>
          <m:rPr>
            <m:sty m:val="p"/>
          </m:rPr>
          <m:t>)</m:t>
        </m:r>
        <m:r>
          <m:rPr>
            <m:sty m:val="p"/>
          </m:rPr>
          <m:t>=</m:t>
        </m:r>
        <m:r>
          <m:t>e</m:t>
        </m:r>
        <m:r>
          <m:t>x</m:t>
        </m:r>
        <m:r>
          <m:t>p</m:t>
        </m:r>
        <m:r>
          <m:rPr>
            <m:sty m:val="p"/>
          </m:rPr>
          <m:t>(</m:t>
        </m:r>
        <m:r>
          <m:rPr>
            <m:sty m:val="p"/>
          </m:rPr>
          <m:t>−</m:t>
        </m:r>
        <m:r>
          <m:t>d</m:t>
        </m:r>
        <m:r>
          <m:rPr>
            <m:sty m:val="p"/>
          </m:rPr>
          <m:t>/</m:t>
        </m:r>
        <m:r>
          <m:t>500</m:t>
        </m:r>
        <m:r>
          <m:rPr>
            <m:sty m:val="p"/>
          </m:rPr>
          <m:t>)</m:t>
        </m:r>
      </m:oMath>
      <w:r>
        <w:t xml:space="preserve"> </w:t>
      </w:r>
      <w:r>
        <w:t xml:space="preserve">predicts that material abundance at PP should fall off smoothly with source distance, so novaculite from the Ouachitas (~250 km) should be the most abundant material, and copper from the Great Lakes (~1,600 km) should be the least. Comparing the curve against five published counts at PP (novaculite 101, crystal quartz 395, galena 740, steatite 2,221, copper 155) gives Spearman</w:t>
      </w:r>
      <w:r>
        <w:t xml:space="preserve"> </w:t>
      </w:r>
      <m:oMath>
        <m:r>
          <m:t>ρ</m:t>
        </m:r>
        <m:r>
          <m:rPr>
            <m:sty m:val="p"/>
          </m:rPr>
          <m:t>=</m:t>
        </m:r>
        <m:r>
          <m:rPr>
            <m:sty m:val="p"/>
          </m:rPr>
          <m:t>−</m:t>
        </m:r>
        <m:r>
          <m:t>0.40</m:t>
        </m:r>
      </m:oMath>
      <w:r>
        <w:t xml:space="preserve"> </w:t>
      </w:r>
      <w:r>
        <w:t xml:space="preserve">and log-space</w:t>
      </w:r>
      <w:r>
        <w:t xml:space="preserve"> </w:t>
      </w:r>
      <m:oMath>
        <m:sSup>
          <m:e>
            <m:r>
              <m:t>R</m:t>
            </m:r>
          </m:e>
          <m:sup>
            <m:r>
              <m:t>2</m:t>
            </m:r>
          </m:sup>
        </m:sSup>
        <m:r>
          <m:rPr>
            <m:sty m:val="p"/>
          </m:rPr>
          <m:t>=</m:t>
        </m:r>
        <m:r>
          <m:rPr>
            <m:sty m:val="p"/>
          </m:rPr>
          <m:t>−</m:t>
        </m:r>
        <m:r>
          <m:t>1.23</m:t>
        </m:r>
      </m:oMath>
      <w:r>
        <w:t xml:space="preserve"> </w:t>
      </w:r>
      <w:r>
        <w:t xml:space="preserve">across the full set: the uniform-decay model does not pass the test as posed. What the data show instead is a near-source/far-source split. The three far-source materials (galena at 800 km, steatite at 850 km, copper at 1,600 km) sit close to the model curve: galena at the model value, copper slightly above, and steatite above by the count-unit conversion already discussed (the Webb fragment count overstates the vessel count). Restricted to these three, Spearman</w:t>
      </w:r>
      <w:r>
        <w:t xml:space="preserve"> </w:t>
      </w:r>
      <m:oMath>
        <m:r>
          <m:t>ρ</m:t>
        </m:r>
        <m:r>
          <m:rPr>
            <m:sty m:val="p"/>
          </m:rPr>
          <m:t>=</m:t>
        </m:r>
        <m:r>
          <m:rPr>
            <m:sty m:val="p"/>
          </m:rPr>
          <m:t>+</m:t>
        </m:r>
        <m:r>
          <m:t>0.50</m:t>
        </m:r>
      </m:oMath>
      <w:r>
        <w:t xml:space="preserve">. The two near-source materials (novaculite at 250 km, crystal quartz at 300 km) plot well below the curve: PP holds 5% of the curve’s predicted novaculite abundance and 20% of its predicted quartz abundance. This is consistent with Mitch (2023:145-146) and Gibson and Griffing (1994), who document that novaculite concentrates at sites near the Ouachita source and reaches PP only as a small intercept-and-transit fraction. PP is structurally downstream of those closest-source distance-decays rather than the acquisition hub, which the model’s uniform-acquisition treatment does not capture. Read this way, Panel C is not a failed empirical fit but an empirical demonstration of a specific framework limitation: the model treats PP as a hub for all materials uniformly, whereas the data say PP is a hub for materials whose distance-coordinated procurement</w:t>
      </w:r>
      <w:r>
        <w:t xml:space="preserve"> </w:t>
      </w:r>
      <w:r>
        <w:rPr>
          <w:i/>
          <w:iCs/>
        </w:rPr>
        <w:t xml:space="preserve">requires</w:t>
      </w:r>
      <w:r>
        <w:t xml:space="preserve"> </w:t>
      </w:r>
      <w:r>
        <w:t xml:space="preserve">a partner network (far-source materials) and merely a downstream beneficiary for materials that closer sites can intercept (near-source materials).</w:t>
      </w:r>
    </w:p>
    <w:p>
      <w:pPr>
        <w:pStyle w:val="BodyText"/>
      </w:pPr>
      <w:r>
        <w:t xml:space="preserve">Three caveats apply to this test. First, the 500 km characteristic length scale is a model parameter, not an</w:t>
      </w:r>
      <w:r>
        <w:t xml:space="preserve"> </w:t>
      </w:r>
      <w:r>
        <w:rPr>
          <w:i/>
          <w:iCs/>
        </w:rPr>
        <w:t xml:space="preserve">a priori</w:t>
      </w:r>
      <w:r>
        <w:t xml:space="preserve"> </w:t>
      </w:r>
      <w:r>
        <w:t xml:space="preserve">prediction, and it is not derived from data independent of the LMV. Second, the Spearman ranking is invariant under any monotonically decreasing</w:t>
      </w:r>
      <w:r>
        <w:t xml:space="preserve"> </w:t>
      </w:r>
      <m:oMath>
        <m:r>
          <m:t>p</m:t>
        </m:r>
        <m:r>
          <m:rPr>
            <m:sty m:val="p"/>
          </m:rPr>
          <m:t>(</m:t>
        </m:r>
        <m:r>
          <m:t>d</m:t>
        </m:r>
        <m:r>
          <m:rPr>
            <m:sty m:val="p"/>
          </m:rPr>
          <m:t>)</m:t>
        </m:r>
      </m:oMath>
      <w:r>
        <w:t xml:space="preserve">, so any model in the uniform-decay family (including a generic transport-cost or down-the-line exchange model) would produce the same</w:t>
      </w:r>
      <w:r>
        <w:t xml:space="preserve"> </w:t>
      </w:r>
      <m:oMath>
        <m:r>
          <m:t>ρ</m:t>
        </m:r>
      </m:oMath>
      <w:r>
        <w:t xml:space="preserve">; the Spearman result therefore does not discriminate the costly-signaling acquisition mechanism from those alternatives. Third, and substantively most important, the near-source vs far-source split that breaks the uniform fit is itself a prediction the framework can carry: under the signaling reading, materials that require organized long-distance procurement through partner networks accumulate at the hub where the partner network meets (PP), while materials available from sources within day-trip range of multiple regional sites are intercepted at those sites before reaching the hub. The §6.1 concentration-ratio asymmetry analysis (95.7% of regional steatite and 97% of regional galena at PP; Smith 1991) is consistent with this reading: the two far-source materials whose distance-decay fits the model are also the two with the highest hub-concentration ratios. The §7.4(f) sharpening study, which would examine the per-site concentration pattern at independently-confirmed visitor-band sites, would tighten this reading.</w:t>
      </w:r>
    </w:p>
    <w:p>
      <w:pPr>
        <w:pStyle w:val="BodyText"/>
      </w:pPr>
      <w:r>
        <w:t xml:space="preserve">The signaling-specific signature in the exotic record is an asymmetric concentration ratio: under partner-choice premium at the gathering, material accumulation should be strongly disproportionate at the hub, with visitor-band home territories retaining only the personal-effects fraction returning home with bands at the end of the gathering. At Poverty Point, exotic material arrives in metric-ton quantities (~71 metric tons of lithic raw materials, with ~2,790 plummets, ~2,221 steatite fragments, ~740 galena pieces, and ~155 copper objects in the published inventory; Webb 1982), while hinterland PP-affiliated sites carry small but nonzero quantities of the same materials (Gibson and Griffing 1994; Mitch 2023). At the regional scale, 95.7% of all steatite and 97% of all galena are concentrated at the Poverty Point deposit (Smith 1991), and Kidder and Grooms (2025:7) characterize the flow as effectively one-directional. The empirical question is therefore not whether outflow exists in principle but whether the regional concentration ratio is high enough, and the directionality consistent enough, to discriminate among the candidate mechanisms.</w:t>
      </w:r>
    </w:p>
    <w:p>
      <w:pPr>
        <w:pStyle w:val="BodyText"/>
      </w:pPr>
      <w:r>
        <w:t xml:space="preserve">Generic down-the-line exchange predicts smooth distance-decay from each geological source with no single node dominating, ruled out by the Smith 1991 concentration figures. Risk-pooling, as social storage in the Halstead and O’Shea (1989) tradition, predicts bidirectional flow at the hub, with exotics moving in during productive years and out (or converted to subsistence media) during shortfall years; the observed pattern is monotonic inflow during the active period with low-magnitude hinterland leakage, consistent with personal-effects return rather than systematic redistribution. Subsistence-level risk-pooling among hunter-gatherers operates primarily through food, dried provisions, reciprocal labor, and hospitality during the dispersed phase, none of which are preserved archaeologically in the same way as galena and steatite, so the exotic-flow signature should be read as a secondary indicator of regional flow asymmetry rather than as a direct test of risk-pooling itself. The framework passes the discriminating empirical test on the existing data: under the signaling reading, signal-bearing materials concentrate at the gathering because the signal accrues there and decays for the absent, and the observed magnitude of the concentration asymmetry matches that prediction.</w:t>
      </w:r>
    </w:p>
    <w:p>
      <w:pPr>
        <w:pStyle w:val="BodyText"/>
      </w:pPr>
      <w:r>
        <w:t xml:space="preserve">The coarse asymmetry test (</w:t>
      </w:r>
      <w:r>
        <w:t xml:space="preserve">“is the regional concentration ratio strong enough, and the directionality one-way enough, to distinguish hub-accumulation from bidirectional storage-and-redistribution or smooth distance-decay?”</w:t>
      </w:r>
      <w:r>
        <w:t xml:space="preserve">) is passed by Smith (1991) on concentration, by Gibson and Griffing (1994) and Mitch (2023) on the low magnitude of hinterland counts, and by Kidder and Grooms (2025:7) on the unidirectionality of flow during the active period. The finer-grained version of the test (</w:t>
      </w:r>
      <w:r>
        <w:t xml:space="preserve">“is the hinterland-to-hub concentration ratio specifically patterned at sites whose visitor-band status is independently established?”</w:t>
      </w:r>
      <w:r>
        <w:t xml:space="preserve">) would require controlled provenience analysis of PP-style material at sites with independently determined participation status, which we identify as a sharpening study in §7.4. The coarse test is the discriminating test on the existing record; a fine-grained test would tighten it by examining the spatial structure of the asymmetry rather than its overall magnitude. We do not need the fine-grained test to discriminate the signaling reading from risk-pooling-as-social-storage and from down-the-line exchange; the existing record already does that. However, we do need it to characterize the system at finer site-by-site resolution.</w:t>
      </w:r>
    </w:p>
    <w:bookmarkEnd w:id="64"/>
    <w:bookmarkStart w:id="65" w:name="X30d067d1428e93f9cbd7fad145481defb73175e"/>
    <w:p>
      <w:pPr>
        <w:pStyle w:val="Heading3"/>
      </w:pPr>
      <w:r>
        <w:t xml:space="preserve">6.2 Bayesian threshold-proximity under joint uncertainty propagation</w:t>
      </w:r>
    </w:p>
    <w:p>
      <w:pPr>
        <w:pStyle w:val="FirstParagraph"/>
      </w:pPr>
      <w:r>
        <w:t xml:space="preserve">A demanding test of the framework is whether environmental conditions estimated from paleoclimate proxies, with no archaeological data included in the</w:t>
      </w:r>
      <w:r>
        <w:t xml:space="preserve"> </w:t>
      </w:r>
      <m:oMath>
        <m:r>
          <m:t>σ</m:t>
        </m:r>
      </m:oMath>
      <w:r>
        <w:t xml:space="preserve"> </w:t>
      </w:r>
      <w:r>
        <w:t xml:space="preserve">calculation, fall on the model-predicted threshold. The structural reasoning is that if Poverty Point exhibits the archaeological hallmarks of monumental aggregation, and the framework predicts that such aggregation should occur only when</w:t>
      </w:r>
      <w:r>
        <w:t xml:space="preserve"> </w:t>
      </w:r>
      <m:oMath>
        <m:r>
          <m:t>σ</m:t>
        </m:r>
      </m:oMath>
      <w:r>
        <w:t xml:space="preserve"> </w:t>
      </w:r>
      <w:r>
        <w:t xml:space="preserve">exceeds</w:t>
      </w:r>
      <w:r>
        <w:t xml:space="preserve"> </w:t>
      </w:r>
      <m:oMath>
        <m:sSup>
          <m:e>
            <m:r>
              <m:t>σ</m:t>
            </m:r>
          </m:e>
          <m:sup>
            <m:r>
              <m:rPr>
                <m:sty m:val="p"/>
              </m:rPr>
              <m:t>*</m:t>
            </m:r>
          </m:sup>
        </m:sSup>
      </m:oMath>
      <w:r>
        <w:t xml:space="preserve">, then estimating</w:t>
      </w:r>
      <w:r>
        <w:t xml:space="preserve"> </w:t>
      </w:r>
      <m:oMath>
        <m:r>
          <m:t>σ</m:t>
        </m:r>
      </m:oMath>
      <w:r>
        <w:t xml:space="preserve"> </w:t>
      </w:r>
      <w:r>
        <w:t xml:space="preserve">from independent climate proxies and comparing it to</w:t>
      </w:r>
      <w:r>
        <w:t xml:space="preserve"> </w:t>
      </w:r>
      <m:oMath>
        <m:sSup>
          <m:e>
            <m:r>
              <m:t>σ</m:t>
            </m:r>
          </m:e>
          <m:sup>
            <m:r>
              <m:rPr>
                <m:sty m:val="p"/>
              </m:rPr>
              <m:t>*</m:t>
            </m:r>
          </m:sup>
        </m:sSup>
      </m:oMath>
      <w:r>
        <w:t xml:space="preserve"> </w:t>
      </w:r>
      <w:r>
        <w:t xml:space="preserve">tests the prediction. If proxy-derived</w:t>
      </w:r>
      <w:r>
        <w:t xml:space="preserve"> </w:t>
      </w:r>
      <m:oMath>
        <m:r>
          <m:t>σ</m:t>
        </m:r>
      </m:oMath>
      <w:r>
        <w:t xml:space="preserve"> </w:t>
      </w:r>
      <w:r>
        <w:t xml:space="preserve">falls</w:t>
      </w:r>
      <w:r>
        <w:t xml:space="preserve"> </w:t>
      </w:r>
      <w:r>
        <w:rPr>
          <w:i/>
          <w:iCs/>
        </w:rPr>
        <w:t xml:space="preserve">above</w:t>
      </w:r>
      <w:r>
        <w:t xml:space="preserve"> </w:t>
      </w:r>
      <m:oMath>
        <m:sSup>
          <m:e>
            <m:r>
              <m:t>σ</m:t>
            </m:r>
          </m:e>
          <m:sup>
            <m:r>
              <m:rPr>
                <m:sty m:val="p"/>
              </m:rPr>
              <m:t>*</m:t>
            </m:r>
          </m:sup>
        </m:sSup>
      </m:oMath>
      <w:r>
        <w:t xml:space="preserve">, the prediction holds. If it falls below, the prediction fails.</w:t>
      </w:r>
    </w:p>
    <w:p>
      <w:pPr>
        <w:pStyle w:val="BodyText"/>
      </w:pPr>
      <w:r>
        <w:t xml:space="preserve">The</w:t>
      </w:r>
      <w:r>
        <w:t xml:space="preserve"> </w:t>
      </w:r>
      <w:r>
        <w:t xml:space="preserve">“independence”</w:t>
      </w:r>
      <w:r>
        <w:t xml:space="preserve"> </w:t>
      </w:r>
      <w:r>
        <w:t xml:space="preserve">framing of this test has a caveat: the model’s threshold</w:t>
      </w:r>
      <w:r>
        <w:t xml:space="preserve"> </w:t>
      </w:r>
      <m:oMath>
        <m:sSup>
          <m:e>
            <m:r>
              <m:t>σ</m:t>
            </m:r>
          </m:e>
          <m:sup>
            <m:r>
              <m:rPr>
                <m:sty m:val="p"/>
              </m:rPr>
              <m:t>*</m:t>
            </m:r>
          </m:sup>
        </m:sSup>
      </m:oMath>
      <w:r>
        <w:t xml:space="preserve"> </w:t>
      </w:r>
      <w:r>
        <w:t xml:space="preserve">is not derived independently of Poverty Point. The cost parameters (</w:t>
      </w:r>
      <m:oMath>
        <m:sSub>
          <m:e>
            <m:r>
              <m:t>C</m:t>
            </m:r>
          </m:e>
          <m:sub>
            <m:r>
              <m:t>s</m:t>
            </m:r>
            <m:r>
              <m:t>i</m:t>
            </m:r>
            <m:r>
              <m:t>g</m:t>
            </m:r>
            <m:r>
              <m:t>n</m:t>
            </m:r>
            <m:r>
              <m:t>a</m:t>
            </m:r>
            <m:r>
              <m:t>l</m:t>
            </m:r>
          </m:sub>
        </m:sSub>
        <m:r>
          <m:rPr>
            <m:sty m:val="p"/>
          </m:rPr>
          <m:t>=</m:t>
        </m:r>
        <m:r>
          <m:t>0.18</m:t>
        </m:r>
      </m:oMath>
      <w:r>
        <w:t xml:space="preserve">,</w:t>
      </w:r>
      <w:r>
        <w:t xml:space="preserve"> </w:t>
      </w:r>
      <m:oMath>
        <m:sSub>
          <m:e>
            <m:r>
              <m:t>C</m:t>
            </m:r>
          </m:e>
          <m:sub>
            <m:r>
              <m:t>o</m:t>
            </m:r>
            <m:r>
              <m:t>p</m:t>
            </m:r>
            <m:r>
              <m:t>p</m:t>
            </m:r>
            <m:r>
              <m:t>o</m:t>
            </m:r>
            <m:r>
              <m:t>r</m:t>
            </m:r>
            <m:r>
              <m:t>t</m:t>
            </m:r>
            <m:r>
              <m:t>u</m:t>
            </m:r>
            <m:r>
              <m:t>n</m:t>
            </m:r>
            <m:r>
              <m:t>i</m:t>
            </m:r>
            <m:r>
              <m:t>t</m:t>
            </m:r>
            <m:r>
              <m:t>y</m:t>
            </m:r>
          </m:sub>
        </m:sSub>
        <m:r>
          <m:rPr>
            <m:sty m:val="p"/>
          </m:rPr>
          <m:t>=</m:t>
        </m:r>
        <m:r>
          <m:t>0.12</m:t>
        </m:r>
      </m:oMath>
      <w:r>
        <w:t xml:space="preserve">), the within-group reward asserted at</w:t>
      </w:r>
      <w:r>
        <w:t xml:space="preserve"> </w:t>
      </w:r>
      <m:oMath>
        <m:sSub>
          <m:e>
            <m:r>
              <m:t>λ</m:t>
            </m:r>
          </m:e>
          <m:sub>
            <m:r>
              <m:t>W</m:t>
            </m:r>
          </m:sub>
        </m:sSub>
        <m:r>
          <m:rPr>
            <m:sty m:val="p"/>
          </m:rPr>
          <m:t>=</m:t>
        </m:r>
        <m:r>
          <m:t>0.15</m:t>
        </m:r>
      </m:oMath>
      <w:r>
        <w:t xml:space="preserve">, the network-saturation constants (</w:t>
      </w:r>
      <m:oMath>
        <m:sSub>
          <m:e>
            <m:r>
              <m:t>k</m:t>
            </m:r>
          </m:e>
          <m:sub>
            <m:r>
              <m:rPr>
                <m:sty m:val="p"/>
              </m:rPr>
              <m:t>max</m:t>
            </m:r>
          </m:sub>
        </m:sSub>
      </m:oMath>
      <w:r>
        <w:t xml:space="preserve">,</w:t>
      </w:r>
      <w:r>
        <w:t xml:space="preserve"> </w:t>
      </w:r>
      <m:oMath>
        <m:sSub>
          <m:e>
            <m:r>
              <m:t>M</m:t>
            </m:r>
          </m:e>
          <m:sub>
            <m:r>
              <m:t>h</m:t>
            </m:r>
            <m:r>
              <m:t>a</m:t>
            </m:r>
            <m:r>
              <m:t>l</m:t>
            </m:r>
            <m:r>
              <m:t>f</m:t>
            </m:r>
          </m:sub>
        </m:sSub>
      </m:oMath>
      <w:r>
        <w:t xml:space="preserve">,</w:t>
      </w:r>
      <w:r>
        <w:t xml:space="preserve"> </w:t>
      </w:r>
      <m:oMath>
        <m:r>
          <m:t>γ</m:t>
        </m:r>
      </m:oMath>
      <w:r>
        <w:t xml:space="preserve">), and the default ecotone-weighting rubric were all chosen so that the model run at PP-scenario parameters produces a calibrated PP-scale operation. The §S3.1 one-at-a-time sensitivity table shows that</w:t>
      </w:r>
      <w:r>
        <w:t xml:space="preserve"> </w:t>
      </w:r>
      <m:oMath>
        <m:sSup>
          <m:e>
            <m:r>
              <m:t>σ</m:t>
            </m:r>
          </m:e>
          <m:sup>
            <m:r>
              <m:rPr>
                <m:sty m:val="p"/>
              </m:rPr>
              <m:t>*</m:t>
            </m:r>
          </m:sup>
        </m:sSup>
      </m:oMath>
      <w:r>
        <w:t xml:space="preserve"> </w:t>
      </w:r>
      <w:r>
        <w:t xml:space="preserve">has a 0.225 swing under</w:t>
      </w:r>
      <w:r>
        <w:t xml:space="preserve"> </w:t>
      </w:r>
      <m:oMath>
        <m:r>
          <m:rPr>
            <m:sty m:val="p"/>
          </m:rPr>
          <m:t>±</m:t>
        </m:r>
        <m:r>
          <m:t>50</m:t>
        </m:r>
        <m:r>
          <m:rPr>
            <m:sty m:val="p"/>
          </m:rPr>
          <m:t>%</m:t>
        </m:r>
      </m:oMath>
      <w:r>
        <w:t xml:space="preserve"> </w:t>
      </w:r>
      <m:oMath>
        <m:sSub>
          <m:e>
            <m:r>
              <m:t>C</m:t>
            </m:r>
          </m:e>
          <m:sub>
            <m:r>
              <m:t>s</m:t>
            </m:r>
            <m:r>
              <m:t>i</m:t>
            </m:r>
            <m:r>
              <m:t>g</m:t>
            </m:r>
            <m:r>
              <m:t>n</m:t>
            </m:r>
            <m:r>
              <m:t>a</m:t>
            </m:r>
            <m:r>
              <m:t>l</m:t>
            </m:r>
          </m:sub>
        </m:sSub>
      </m:oMath>
      <w:r>
        <w:t xml:space="preserve"> </w:t>
      </w:r>
      <w:r>
        <w:t xml:space="preserve">and a 0.154 swing under</w:t>
      </w:r>
      <w:r>
        <w:t xml:space="preserve"> </w:t>
      </w:r>
      <m:oMath>
        <m:r>
          <m:t>ε</m:t>
        </m:r>
        <m:r>
          <m:rPr>
            <m:sty m:val="p"/>
          </m:rPr>
          <m:t>∈</m:t>
        </m:r>
        <m:r>
          <m:rPr>
            <m:sty m:val="p"/>
          </m:rPr>
          <m:t>[</m:t>
        </m:r>
        <m:r>
          <m:t>0.10</m:t>
        </m:r>
        <m:r>
          <m:rPr>
            <m:sty m:val="p"/>
          </m:rPr>
          <m:t>,</m:t>
        </m:r>
        <m:r>
          <m:t>0.50</m:t>
        </m:r>
        <m:r>
          <m:rPr>
            <m:sty m:val="p"/>
          </m:rPr>
          <m:t>]</m:t>
        </m:r>
      </m:oMath>
      <w:r>
        <w:t xml:space="preserve">. So</w:t>
      </w:r>
      <w:r>
        <w:t xml:space="preserve"> </w:t>
      </w:r>
      <m:oMath>
        <m:sSup>
          <m:e>
            <m:r>
              <m:t>σ</m:t>
            </m:r>
          </m:e>
          <m:sup>
            <m:r>
              <m:rPr>
                <m:sty m:val="p"/>
              </m:rPr>
              <m:t>*</m:t>
            </m:r>
          </m:sup>
        </m:sSup>
      </m:oMath>
      <w:r>
        <w:t xml:space="preserve"> </w:t>
      </w:r>
      <w:r>
        <w:t xml:space="preserve">is conditioned on a parameter set chosen consistent with Poverty Point operation, even though the paleoclimate</w:t>
      </w:r>
      <w:r>
        <w:t xml:space="preserve"> </w:t>
      </w:r>
      <m:oMath>
        <m:r>
          <m:t>σ</m:t>
        </m:r>
      </m:oMath>
      <w:r>
        <w:t xml:space="preserve"> </w:t>
      </w:r>
      <w:r>
        <w:t xml:space="preserve">is independent of the Poverty Point archaeological record. The test below evaluates whether paleoclimate</w:t>
      </w:r>
      <w:r>
        <w:t xml:space="preserve"> </w:t>
      </w:r>
      <m:oMath>
        <m:r>
          <m:t>σ</m:t>
        </m:r>
      </m:oMath>
      <w:r>
        <w:t xml:space="preserve"> </w:t>
      </w:r>
      <w:r>
        <w:t xml:space="preserve">exceeds a threshold that the model places near PP-calibrated operating conditions; it does not evaluate whether Poverty Point-scenario conditions exceed a threshold derived without reference to the Poverty Point site. The test’s inferential weight depends on this conditioning. A fuller test would propagate joint uncertainty over the parameter set that defines</w:t>
      </w:r>
      <w:r>
        <w:t xml:space="preserve"> </w:t>
      </w:r>
      <m:oMath>
        <m:sSup>
          <m:e>
            <m:r>
              <m:t>σ</m:t>
            </m:r>
          </m:e>
          <m:sup>
            <m:r>
              <m:rPr>
                <m:sty m:val="p"/>
              </m:rPr>
              <m:t>*</m:t>
            </m:r>
          </m:sup>
        </m:sSup>
      </m:oMath>
      <w:r>
        <w:t xml:space="preserve"> </w:t>
      </w:r>
      <w:r>
        <w:t xml:space="preserve">as well; we identify this as a priority for empirical work in §7.4.</w:t>
      </w:r>
    </w:p>
    <w:p>
      <w:pPr>
        <w:pStyle w:val="BodyText"/>
      </w:pPr>
      <w:r>
        <w:t xml:space="preserve">Our estimated regional uncertainty for Poverty Point (</w:t>
      </w:r>
      <m:oMath>
        <m:sSub>
          <m:e>
            <m:r>
              <m:t>σ</m:t>
            </m:r>
          </m:e>
          <m:sub>
            <m:r>
              <m:t>L</m:t>
            </m:r>
            <m:r>
              <m:t>M</m:t>
            </m:r>
            <m:r>
              <m:t>V</m:t>
            </m:r>
          </m:sub>
        </m:sSub>
        <m:r>
          <m:rPr>
            <m:sty m:val="p"/>
          </m:rPr>
          <m:t>≈</m:t>
        </m:r>
        <m:r>
          <m:t>0.64</m:t>
        </m:r>
      </m:oMath>
      <w:r>
        <w:t xml:space="preserve">, 95% CI 0.41-0.94) was derived from paleoclimate proxies (§5.5). The central estimate exceeds the model-predicted threshold (</w:t>
      </w:r>
      <m:oMath>
        <m:sSup>
          <m:e>
            <m:r>
              <m:t>σ</m:t>
            </m:r>
          </m:e>
          <m:sup>
            <m:r>
              <m:rPr>
                <m:sty m:val="p"/>
              </m:rPr>
              <m:t>*</m:t>
            </m:r>
          </m:sup>
        </m:sSup>
        <m:r>
          <m:rPr>
            <m:sty m:val="p"/>
          </m:rPr>
          <m:t>≈</m:t>
        </m:r>
        <m:r>
          <m:t>0.40</m:t>
        </m:r>
      </m:oMath>
      <w:r>
        <w:t xml:space="preserve"> </w:t>
      </w:r>
      <w:r>
        <w:t xml:space="preserve">given the site’s ecotone advantage;</w:t>
      </w:r>
      <w:r>
        <w:t xml:space="preserve"> </w:t>
      </w:r>
      <m:oMath>
        <m:sSup>
          <m:e>
            <m:r>
              <m:t>σ</m:t>
            </m:r>
          </m:e>
          <m:sup>
            <m:r>
              <m:rPr>
                <m:sty m:val="p"/>
              </m:rPr>
              <m:t>*</m:t>
            </m:r>
          </m:sup>
        </m:sSup>
        <m:r>
          <m:rPr>
            <m:sty m:val="p"/>
          </m:rPr>
          <m:t>≈</m:t>
        </m:r>
        <m:r>
          <m:t>0.57</m:t>
        </m:r>
      </m:oMath>
      <w:r>
        <w:t xml:space="preserve"> </w:t>
      </w:r>
      <w:r>
        <w:t xml:space="preserve">without). However, two sources of uncertainty must be propagated through the comparison: the paleoclimate uncertainty in</w:t>
      </w:r>
      <w:r>
        <w:t xml:space="preserve"> </w:t>
      </w:r>
      <m:oMath>
        <m:sSub>
          <m:e>
            <m:r>
              <m:t>σ</m:t>
            </m:r>
          </m:e>
          <m:sub>
            <m:r>
              <m:t>L</m:t>
            </m:r>
            <m:r>
              <m:t>M</m:t>
            </m:r>
            <m:r>
              <m:t>V</m:t>
            </m:r>
          </m:sub>
        </m:sSub>
      </m:oMath>
      <w:r>
        <w:t xml:space="preserve">, and the ecotone-weighting uncertainty in</w:t>
      </w:r>
      <w:r>
        <w:t xml:space="preserve"> </w:t>
      </w:r>
      <m:oMath>
        <m:r>
          <m:t>ε</m:t>
        </m:r>
      </m:oMath>
      <w:r>
        <w:t xml:space="preserve">. Once both are propagated, the inference is more measured than the central estimate alone suggests.</w:t>
      </w:r>
    </w:p>
    <w:p>
      <w:pPr>
        <w:pStyle w:val="BodyText"/>
      </w:pPr>
      <w:r>
        <w:t xml:space="preserve">We propagate this uncertainty using a Bayesian approach, which here means treating each unknown input as a probability distribution rather than a fixed number, drawing many simulated values from those distributions, and asking how often the model returns the</w:t>
      </w:r>
      <w:r>
        <w:t xml:space="preserve"> </w:t>
      </w:r>
      <w:r>
        <w:t xml:space="preserve">“above threshold”</w:t>
      </w:r>
      <w:r>
        <w:t xml:space="preserve"> </w:t>
      </w:r>
      <w:r>
        <w:t xml:space="preserve">conclusion across those draws. The fraction of draws above threshold is the probability that the framework’s prediction holds, given what we honestly do and do not know about the inputs. In practice, we start by specifying reasonable ranges for the inputs we cannot pin down precisely (how often shortfalls occur, how severe they are, and how much the ecotone position buffers them), draw 1,000 samples from those ranges (the</w:t>
      </w:r>
      <w:r>
        <w:t xml:space="preserve"> </w:t>
      </w:r>
      <w:r>
        <w:t xml:space="preserve">“priors”</w:t>
      </w:r>
      <w:r>
        <w:t xml:space="preserve">), and run the model on each sample. The result is a distribution of outcomes (the</w:t>
      </w:r>
      <w:r>
        <w:t xml:space="preserve"> </w:t>
      </w:r>
      <w:r>
        <w:t xml:space="preserve">“posterior”</w:t>
      </w:r>
      <w:r>
        <w:t xml:space="preserve">) for</w:t>
      </w:r>
      <w:r>
        <w:t xml:space="preserve"> </w:t>
      </w:r>
      <m:oMath>
        <m:r>
          <m:t>σ</m:t>
        </m:r>
      </m:oMath>
      <w:r>
        <w:t xml:space="preserve">,</w:t>
      </w:r>
      <w:r>
        <w:t xml:space="preserve"> </w:t>
      </w:r>
      <m:oMath>
        <m:r>
          <m:t>ε</m:t>
        </m:r>
      </m:oMath>
      <w:r>
        <w:t xml:space="preserve">,</w:t>
      </w:r>
      <w:r>
        <w:t xml:space="preserve"> </w:t>
      </w:r>
      <m:oMath>
        <m:sSub>
          <m:e>
            <m:r>
              <m:t>σ</m:t>
            </m:r>
          </m:e>
          <m:sub>
            <m:r>
              <m:t>e</m:t>
            </m:r>
            <m:r>
              <m:t>f</m:t>
            </m:r>
            <m:r>
              <m:t>f</m:t>
            </m:r>
          </m:sub>
        </m:sSub>
      </m:oMath>
      <w:r>
        <w:t xml:space="preserve">, and</w:t>
      </w:r>
      <w:r>
        <w:t xml:space="preserve"> </w:t>
      </w:r>
      <m:oMath>
        <m:sSup>
          <m:e>
            <m:r>
              <m:t>σ</m:t>
            </m:r>
          </m:e>
          <m:sup>
            <m:r>
              <m:rPr>
                <m:sty m:val="p"/>
              </m:rPr>
              <m:t>*</m:t>
            </m:r>
          </m:sup>
        </m:sSup>
      </m:oMath>
      <w:r>
        <w:t xml:space="preserve"> </w:t>
      </w:r>
      <w:r>
        <w:t xml:space="preserve">from which we can read off the probability that Poverty Point sat above the threshold. The shortfall priors are uniform on recurrence interval (</w:t>
      </w:r>
      <m:oMath>
        <m:r>
          <m:t>T</m:t>
        </m:r>
        <m:r>
          <m:rPr>
            <m:sty m:val="p"/>
          </m:rPr>
          <m:t>∼</m:t>
        </m:r>
        <m:r>
          <m:t>U</m:t>
        </m:r>
        <m:r>
          <m:rPr>
            <m:sty m:val="p"/>
          </m:rPr>
          <m:t>[</m:t>
        </m:r>
        <m:r>
          <m:t>6</m:t>
        </m:r>
        <m:r>
          <m:rPr>
            <m:sty m:val="p"/>
          </m:rPr>
          <m:t>,</m:t>
        </m:r>
        <m:r>
          <m:t>18</m:t>
        </m:r>
        <m:r>
          <m:rPr>
            <m:sty m:val="p"/>
          </m:rPr>
          <m:t>]</m:t>
        </m:r>
      </m:oMath>
      <w:r>
        <w:t xml:space="preserve"> </w:t>
      </w:r>
      <w:r>
        <w:t xml:space="preserve">years, bracketing late-Holocene LMV drought reconstructions) and magnitude (</w:t>
      </w:r>
      <m:oMath>
        <m:r>
          <m:t>m</m:t>
        </m:r>
        <m:r>
          <m:rPr>
            <m:sty m:val="p"/>
          </m:rPr>
          <m:t>∼</m:t>
        </m:r>
        <m:r>
          <m:t>U</m:t>
        </m:r>
        <m:r>
          <m:rPr>
            <m:sty m:val="p"/>
          </m:rPr>
          <m:t>[</m:t>
        </m:r>
        <m:r>
          <m:t>0.30</m:t>
        </m:r>
        <m:r>
          <m:rPr>
            <m:sty m:val="p"/>
          </m:rPr>
          <m:t>,</m:t>
        </m:r>
        <m:r>
          <m:t>0.60</m:t>
        </m:r>
        <m:r>
          <m:rPr>
            <m:sty m:val="p"/>
          </m:rPr>
          <m:t>]</m:t>
        </m:r>
      </m:oMath>
      <w:r>
        <w:t xml:space="preserve">).</w:t>
      </w:r>
    </w:p>
    <w:p>
      <w:pPr>
        <w:pStyle w:val="BodyText"/>
      </w:pPr>
      <w:r>
        <w:t xml:space="preserve">Three different priors on the ecotone parameter test whether the result hinges on a specific operationalization.</w:t>
      </w:r>
      <w:r>
        <w:t xml:space="preserve"> </w:t>
      </w:r>
      <w:r>
        <w:rPr>
          <w:i/>
          <w:iCs/>
        </w:rPr>
        <w:t xml:space="preserve">Prior 1 (rubric):</w:t>
      </w:r>
      <w:r>
        <w:t xml:space="preserve"> </w:t>
      </w:r>
      <w:r>
        <w:t xml:space="preserve">uniform</w:t>
      </w:r>
      <w:r>
        <w:t xml:space="preserve"> </w:t>
      </w:r>
      <m:oMath>
        <m:r>
          <m:rPr>
            <m:sty m:val="p"/>
          </m:rPr>
          <m:t>±</m:t>
        </m:r>
        <m:r>
          <m:t>0.2</m:t>
        </m:r>
      </m:oMath>
      <w:r>
        <w:t xml:space="preserve"> </w:t>
      </w:r>
      <w:r>
        <w:t xml:space="preserve">on each of the five PP ecotone weights, centered on the qualitative rubric of §S6.</w:t>
      </w:r>
      <w:r>
        <w:t xml:space="preserve"> </w:t>
      </w:r>
      <w:r>
        <w:rPr>
          <w:i/>
          <w:iCs/>
        </w:rPr>
        <w:t xml:space="preserve">Prior 2 (flat):</w:t>
      </w:r>
      <w:r>
        <w:t xml:space="preserve"> </w:t>
      </w:r>
      <m:oMath>
        <m:r>
          <m:t>ε</m:t>
        </m:r>
        <m:r>
          <m:rPr>
            <m:sty m:val="p"/>
          </m:rPr>
          <m:t>∼</m:t>
        </m:r>
        <m:r>
          <m:t>U</m:t>
        </m:r>
        <m:r>
          <m:rPr>
            <m:sty m:val="p"/>
          </m:rPr>
          <m:t>[</m:t>
        </m:r>
        <m:r>
          <m:t>0.10</m:t>
        </m:r>
        <m:r>
          <m:rPr>
            <m:sty m:val="p"/>
          </m:rPr>
          <m:t>,</m:t>
        </m:r>
        <m:r>
          <m:t>0.50</m:t>
        </m:r>
        <m:r>
          <m:rPr>
            <m:sty m:val="p"/>
          </m:rPr>
          <m:t>]</m:t>
        </m:r>
      </m:oMath>
      <w:r>
        <w:t xml:space="preserve">, treating the disagreement among GIS-derived and rubric-based estimates (Saucier-categorical 0.22, EPA L4 0.33, rubric 0.49, phenology 0.50) as genuine uncertainty over the operative quantity.</w:t>
      </w:r>
      <w:r>
        <w:t xml:space="preserve"> </w:t>
      </w:r>
      <w:r>
        <w:rPr>
          <w:i/>
          <w:iCs/>
        </w:rPr>
        <w:t xml:space="preserve">Prior 3 (GIS mixture):</w:t>
      </w:r>
      <w:r>
        <w:t xml:space="preserve"> </w:t>
      </w:r>
      <w:r>
        <w:t xml:space="preserve">draws from the four GIS-derived</w:t>
      </w:r>
      <w:r>
        <w:t xml:space="preserve"> </w:t>
      </w:r>
      <m:oMath>
        <m:r>
          <m:t>ε</m:t>
        </m:r>
      </m:oMath>
      <w:r>
        <w:t xml:space="preserve"> </w:t>
      </w:r>
      <w:r>
        <w:t xml:space="preserve">estimates with</w:t>
      </w:r>
      <w:r>
        <w:t xml:space="preserve"> </w:t>
      </w:r>
      <m:oMath>
        <m:r>
          <m:rPr>
            <m:sty m:val="p"/>
          </m:rPr>
          <m:t>±</m:t>
        </m:r>
        <m:r>
          <m:t>0.05</m:t>
        </m:r>
      </m:oMath>
      <w:r>
        <w:t xml:space="preserve"> </w:t>
      </w:r>
      <w:r>
        <w:t xml:space="preserve">jitter. Under the three priors, the average posterior</w:t>
      </w:r>
      <w:r>
        <w:t xml:space="preserve"> </w:t>
      </w:r>
      <m:oMath>
        <m:sSub>
          <m:e>
            <m:r>
              <m:t>σ</m:t>
            </m:r>
          </m:e>
          <m:sub>
            <m:r>
              <m:t>e</m:t>
            </m:r>
            <m:r>
              <m:t>f</m:t>
            </m:r>
            <m:r>
              <m:t>f</m:t>
            </m:r>
          </m:sub>
        </m:sSub>
      </m:oMath>
      <w:r>
        <w:t xml:space="preserve"> </w:t>
      </w:r>
      <w:r>
        <w:t xml:space="preserve">is 0.324, 0.445, and 0.393, and the average posterior</w:t>
      </w:r>
      <w:r>
        <w:t xml:space="preserve"> </w:t>
      </w:r>
      <m:oMath>
        <m:sSup>
          <m:e>
            <m:r>
              <m:t>σ</m:t>
            </m:r>
          </m:e>
          <m:sup>
            <m:r>
              <m:rPr>
                <m:sty m:val="p"/>
              </m:rPr>
              <m:t>*</m:t>
            </m:r>
          </m:sup>
        </m:sSup>
      </m:oMath>
      <w:r>
        <w:t xml:space="preserve"> </w:t>
      </w:r>
      <w:r>
        <w:t xml:space="preserve">is 0.357, 0.422, and 0.392. The probability that aggregation is adaptive at Poverty Point,</w:t>
      </w:r>
      <w: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t xml:space="preserve">, is</w:t>
      </w:r>
      <w:r>
        <w:t xml:space="preserve"> </w:t>
      </w:r>
      <w:r>
        <w:rPr>
          <w:b/>
          <w:bCs/>
        </w:rPr>
        <w:t xml:space="preserve">0.36</w:t>
      </w:r>
      <w:r>
        <w:t xml:space="preserve"> </w:t>
      </w:r>
      <w:r>
        <w:t xml:space="preserve">under the rubric prior,</w:t>
      </w:r>
      <w:r>
        <w:t xml:space="preserve"> </w:t>
      </w:r>
      <w:r>
        <w:rPr>
          <w:b/>
          <w:bCs/>
        </w:rPr>
        <w:t xml:space="preserve">0.56</w:t>
      </w:r>
      <w:r>
        <w:t xml:space="preserve"> </w:t>
      </w:r>
      <w:r>
        <w:t xml:space="preserve">under the flat prior, and</w:t>
      </w:r>
      <w:r>
        <w:t xml:space="preserve"> </w:t>
      </w:r>
      <w:r>
        <w:rPr>
          <w:b/>
          <w:bCs/>
        </w:rPr>
        <w:t xml:space="preserve">0.48</w:t>
      </w:r>
      <w:r>
        <w:t xml:space="preserve"> </w:t>
      </w:r>
      <w:r>
        <w:t xml:space="preserve">under the GIS-mixture prior. The probability rises rather than falls under less-informative priors, because lower-</w:t>
      </w:r>
      <m:oMath>
        <m:r>
          <m:t>ε</m:t>
        </m:r>
      </m:oMath>
      <w:r>
        <w:t xml:space="preserve"> </w:t>
      </w:r>
      <w:r>
        <w:t xml:space="preserve">samples raise</w:t>
      </w:r>
      <w:r>
        <w:t xml:space="preserve"> </w:t>
      </w:r>
      <m:oMath>
        <m:sSup>
          <m:e>
            <m:r>
              <m:t>σ</m:t>
            </m:r>
          </m:e>
          <m:sup>
            <m:r>
              <m:rPr>
                <m:sty m:val="p"/>
              </m:rPr>
              <m:t>*</m:t>
            </m:r>
          </m:sup>
        </m:sSup>
      </m:oMath>
      <w:r>
        <w:t xml:space="preserve"> </w:t>
      </w:r>
      <w:r>
        <w:t xml:space="preserve">but raise</w:t>
      </w:r>
      <w:r>
        <w:t xml:space="preserve"> </w:t>
      </w:r>
      <m:oMath>
        <m:sSub>
          <m:e>
            <m:r>
              <m:t>σ</m:t>
            </m:r>
          </m:e>
          <m:sub>
            <m:r>
              <m:t>e</m:t>
            </m:r>
            <m:r>
              <m:t>f</m:t>
            </m:r>
            <m:r>
              <m:t>f</m:t>
            </m:r>
          </m:sub>
        </m:sSub>
      </m:oMath>
      <w:r>
        <w:t xml:space="preserve"> </w:t>
      </w:r>
      <w:r>
        <w:t xml:space="preserve">even faster (since</w:t>
      </w:r>
      <w: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t xml:space="preserve">). The qualitative conclusion that Poverty Point sits in the threshold zone is robust to the choice of prior. What is not robust is whether the site sits clearly above or below the threshold; the interval</w:t>
      </w:r>
      <w:r>
        <w:t xml:space="preserve"> </w:t>
      </w:r>
      <m:oMath>
        <m:r>
          <m:t>P</m:t>
        </m:r>
        <m:r>
          <m:rPr>
            <m:sty m:val="p"/>
          </m:rPr>
          <m:t>∈</m:t>
        </m:r>
        <m:r>
          <m:rPr>
            <m:sty m:val="p"/>
          </m:rPr>
          <m:t>[</m:t>
        </m:r>
        <m:r>
          <m:t>0.36</m:t>
        </m:r>
        <m:r>
          <m:rPr>
            <m:sty m:val="p"/>
          </m:rPr>
          <m:t>,</m:t>
        </m:r>
        <m:r>
          <m:t>0.56</m:t>
        </m:r>
        <m:r>
          <m:rPr>
            <m:sty m:val="p"/>
          </m:rPr>
          <m:t>]</m:t>
        </m:r>
      </m:oMath>
      <w:r>
        <w:t xml:space="preserve"> </w:t>
      </w:r>
      <w:r>
        <w:t xml:space="preserve">across plausible priors describes a near-tie rather than a confident result. Tightening the input distributions, either by using a narrower LMV-specific paleoclimate reconstruction or by deriving a covariance-based</w:t>
      </w:r>
      <w:r>
        <w:t xml:space="preserve"> </w:t>
      </w:r>
      <m:oMath>
        <m:r>
          <m:t>ε</m:t>
        </m:r>
      </m:oMath>
      <w:r>
        <w:t xml:space="preserve"> </w:t>
      </w:r>
      <w:r>
        <w:t xml:space="preserve">from drainage-resolved hydrographs, would shift the probability further; the full sensitivity output is available in the project repository.</w:t>
      </w:r>
    </w:p>
    <w:p>
      <w:pPr>
        <w:pStyle w:val="BodyText"/>
      </w:pPr>
      <w:r>
        <w:t xml:space="preserve">To address the conditioning caveat above, we extend the Bayesian propagation to include uncertainty in the model parameters that determine where</w:t>
      </w:r>
      <w:r>
        <w:t xml:space="preserve"> </w:t>
      </w:r>
      <m:oMath>
        <m:sSup>
          <m:e>
            <m:r>
              <m:t>σ</m:t>
            </m:r>
          </m:e>
          <m:sup>
            <m:r>
              <m:rPr>
                <m:sty m:val="p"/>
              </m:rPr>
              <m:t>*</m:t>
            </m:r>
          </m:sup>
        </m:sSup>
      </m:oMath>
      <w:r>
        <w:t xml:space="preserve"> </w:t>
      </w:r>
      <w:r>
        <w:t xml:space="preserve">lies. We sample the six parameters that the §S3.1 sensitivity analysis identifies as determining</w:t>
      </w:r>
      <w:r>
        <w:t xml:space="preserve"> </w:t>
      </w:r>
      <m:oMath>
        <m:sSup>
          <m:e>
            <m:r>
              <m:t>σ</m:t>
            </m:r>
          </m:e>
          <m:sup>
            <m:r>
              <m:rPr>
                <m:sty m:val="p"/>
              </m:rPr>
              <m:t>*</m:t>
            </m:r>
          </m:sup>
        </m:sSup>
      </m:oMath>
      <w:r>
        <w:t xml:space="preserve"> </w:t>
      </w:r>
      <w:r>
        <w:t xml:space="preserve">(</w:t>
      </w:r>
      <m:oMath>
        <m:sSub>
          <m:e>
            <m:r>
              <m:t>C</m:t>
            </m:r>
          </m:e>
          <m:sub>
            <m:r>
              <m:t>s</m:t>
            </m:r>
            <m:r>
              <m:t>i</m:t>
            </m:r>
            <m:r>
              <m:t>g</m:t>
            </m:r>
            <m:r>
              <m:t>n</m:t>
            </m:r>
            <m:r>
              <m:t>a</m:t>
            </m:r>
            <m:r>
              <m:t>l</m:t>
            </m:r>
          </m:sub>
        </m:sSub>
      </m:oMath>
      <w:r>
        <w:t xml:space="preserve">,</w:t>
      </w:r>
      <w:r>
        <w:t xml:space="preserve"> </w:t>
      </w:r>
      <m:oMath>
        <m:sSub>
          <m:e>
            <m:r>
              <m:t>C</m:t>
            </m:r>
          </m:e>
          <m:sub>
            <m:r>
              <m:t>o</m:t>
            </m:r>
            <m:r>
              <m:t>p</m:t>
            </m:r>
            <m:r>
              <m:t>p</m:t>
            </m:r>
            <m:r>
              <m:t>o</m:t>
            </m:r>
            <m:r>
              <m:t>r</m:t>
            </m:r>
            <m:r>
              <m:t>t</m:t>
            </m:r>
            <m:r>
              <m:t>u</m:t>
            </m:r>
            <m:r>
              <m:t>n</m:t>
            </m:r>
            <m:r>
              <m:t>i</m:t>
            </m:r>
            <m:r>
              <m:t>t</m:t>
            </m:r>
            <m:r>
              <m:t>y</m:t>
            </m:r>
          </m:sub>
        </m:sSub>
      </m:oMath>
      <w:r>
        <w:t xml:space="preserve">,</w:t>
      </w:r>
      <w:r>
        <w:t xml:space="preserve"> </w:t>
      </w:r>
      <m:oMath>
        <m:sSub>
          <m:e>
            <m:r>
              <m:t>λ</m:t>
            </m:r>
          </m:e>
          <m:sub>
            <m:r>
              <m:t>W</m:t>
            </m:r>
          </m:sub>
        </m:sSub>
      </m:oMath>
      <w:r>
        <w:t xml:space="preserve">,</w:t>
      </w:r>
      <w:r>
        <w:t xml:space="preserve"> </w:t>
      </w:r>
      <m:oMath>
        <m:sSub>
          <m:e>
            <m:r>
              <m:t>k</m:t>
            </m:r>
          </m:e>
          <m:sub>
            <m:r>
              <m:rPr>
                <m:sty m:val="p"/>
              </m:rPr>
              <m:t>max</m:t>
            </m:r>
          </m:sub>
        </m:sSub>
      </m:oMath>
      <w:r>
        <w:t xml:space="preserve">,</w:t>
      </w:r>
      <w:r>
        <w:t xml:space="preserve"> </w:t>
      </w:r>
      <m:oMath>
        <m:sSub>
          <m:e>
            <m:r>
              <m:t>M</m:t>
            </m:r>
          </m:e>
          <m:sub>
            <m:r>
              <m:t>h</m:t>
            </m:r>
            <m:r>
              <m:t>a</m:t>
            </m:r>
            <m:r>
              <m:t>l</m:t>
            </m:r>
            <m:r>
              <m:t>f</m:t>
            </m:r>
          </m:sub>
        </m:sSub>
      </m:oMath>
      <w:r>
        <w:t xml:space="preserve">,</w:t>
      </w:r>
      <w:r>
        <w:t xml:space="preserve"> </w:t>
      </w:r>
      <m:oMath>
        <m:r>
          <m:t>γ</m:t>
        </m:r>
      </m:oMath>
      <w:r>
        <w:t xml:space="preserve">) from independent uniform priors at</w:t>
      </w:r>
      <w:r>
        <w:t xml:space="preserve"> </w:t>
      </w:r>
      <m:oMath>
        <m:r>
          <m:rPr>
            <m:sty m:val="p"/>
          </m:rPr>
          <m:t>±</m:t>
        </m:r>
        <m:r>
          <m:t>50</m:t>
        </m:r>
        <m:r>
          <m:rPr>
            <m:sty m:val="p"/>
          </m:rPr>
          <m:t>%</m:t>
        </m:r>
      </m:oMath>
      <w:r>
        <w:t xml:space="preserve"> </w:t>
      </w:r>
      <w:r>
        <w:t xml:space="preserve">around their default values, jointly with the rubric priors on</w:t>
      </w:r>
      <w:r>
        <w:t xml:space="preserve"> </w:t>
      </w:r>
      <m:oMath>
        <m:r>
          <m:t>σ</m:t>
        </m:r>
      </m:oMath>
      <w:r>
        <w:t xml:space="preserve"> </w:t>
      </w:r>
      <w:r>
        <w:t xml:space="preserve">and</w:t>
      </w:r>
      <w:r>
        <w:t xml:space="preserve"> </w:t>
      </w:r>
      <m:oMath>
        <m:r>
          <m:t>ε</m:t>
        </m:r>
      </m:oMath>
      <w:r>
        <w:t xml:space="preserve">. Across 1,000 joint samples (Figure S2; full output in the project repository), the posterior probability</w:t>
      </w:r>
      <w: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t xml:space="preserve"> </w:t>
      </w:r>
      <w:r>
        <w:t xml:space="preserve">is between 0.33 and 0.36 depending on Monte Carlo seed, comparable to the 0.36 result under the rubric prior alone. The posterior on the gap</w:t>
      </w:r>
      <w:r>
        <w:t xml:space="preserve"> </w:t>
      </w:r>
      <m:oMath>
        <m:sSub>
          <m:e>
            <m:r>
              <m:t>σ</m:t>
            </m:r>
          </m:e>
          <m:sub>
            <m:r>
              <m:t>e</m:t>
            </m:r>
            <m:r>
              <m:t>f</m:t>
            </m:r>
            <m:r>
              <m:t>f</m:t>
            </m:r>
          </m:sub>
        </m:sSub>
        <m:r>
          <m:rPr>
            <m:sty m:val="p"/>
          </m:rPr>
          <m:t>−</m:t>
        </m:r>
        <m:sSup>
          <m:e>
            <m:r>
              <m:t>σ</m:t>
            </m:r>
          </m:e>
          <m:sup>
            <m:r>
              <m:rPr>
                <m:sty m:val="p"/>
              </m:rPr>
              <m:t>*</m:t>
            </m:r>
          </m:sup>
        </m:sSup>
      </m:oMath>
      <w:r>
        <w:t xml:space="preserve"> </w:t>
      </w:r>
      <w:r>
        <w:t xml:space="preserve">has a mean</w:t>
      </w:r>
      <w:r>
        <w:t xml:space="preserve"> </w:t>
      </w:r>
      <m:oMath>
        <m:r>
          <m:rPr>
            <m:sty m:val="p"/>
          </m:rPr>
          <m:t>−</m:t>
        </m:r>
        <m:r>
          <m:t>0.05</m:t>
        </m:r>
      </m:oMath>
      <w:r>
        <w:t xml:space="preserve"> </w:t>
      </w:r>
      <w:r>
        <w:t xml:space="preserve">with a 95% interval</w:t>
      </w:r>
      <w:r>
        <w:t xml:space="preserve"> </w:t>
      </w:r>
      <m:oMath>
        <m:r>
          <m:rPr>
            <m:sty m:val="p"/>
          </m:rPr>
          <m:t>[</m:t>
        </m:r>
        <m:r>
          <m:rPr>
            <m:sty m:val="p"/>
          </m:rPr>
          <m:t>−</m:t>
        </m:r>
        <m:r>
          <m:t>0.26</m:t>
        </m:r>
        <m:r>
          <m:rPr>
            <m:sty m:val="p"/>
          </m:rPr>
          <m:t>,</m:t>
        </m:r>
        <m:r>
          <m:rPr>
            <m:sty m:val="p"/>
          </m:rPr>
          <m:t>+</m:t>
        </m:r>
        <m:r>
          <m:t>0.18</m:t>
        </m:r>
        <m:r>
          <m:rPr>
            <m:sty m:val="p"/>
          </m:rPr>
          <m:t>]</m:t>
        </m:r>
      </m:oMath>
      <w:r>
        <w:t xml:space="preserve"> </w:t>
      </w:r>
      <w:r>
        <w:t xml:space="preserve">that substantially straddles zero. The conditioning caveat is therefore real but bounded: the §6.2 result is robust against adding</w:t>
      </w:r>
      <w:r>
        <w:t xml:space="preserve"> </w:t>
      </w:r>
      <m:oMath>
        <m:r>
          <m:rPr>
            <m:sty m:val="p"/>
          </m:rPr>
          <m:t>±</m:t>
        </m:r>
        <m:r>
          <m:t>50</m:t>
        </m:r>
        <m:r>
          <m:rPr>
            <m:sty m:val="p"/>
          </m:rPr>
          <m:t>%</m:t>
        </m:r>
      </m:oMath>
      <w:r>
        <w:t xml:space="preserve"> </w:t>
      </w:r>
      <w:r>
        <w:t xml:space="preserve">uncertainty in the parameters that fix</w:t>
      </w:r>
      <w:r>
        <w:t xml:space="preserve"> </w:t>
      </w:r>
      <m:oMath>
        <m:sSup>
          <m:e>
            <m:r>
              <m:t>σ</m:t>
            </m:r>
          </m:e>
          <m:sup>
            <m:r>
              <m:rPr>
                <m:sty m:val="p"/>
              </m:rPr>
              <m:t>*</m:t>
            </m:r>
          </m:sup>
        </m:sSup>
      </m:oMath>
      <w:r>
        <w:t xml:space="preserve">, and the threshold-proximity claim does not depend on a precisely calibrated parameter set; it depends on the joint constraint that the paleoclimate inputs and the model-derived threshold sit in a roughly comparable range. The bounded reading is therefore: Poverty Point sits near the threshold under defensible parameter choices, the posterior probability is bounded between roughly 0.25 and 0.50 across plausible prior structures, and the §6.2 test is best interpreted as a near-tie that does not by itself confirm or refute the threshold-crossing prediction. The substantive content of the test, that the convergence of hydroclimate variability and elevated hurricane activity during the 3800-3050 BP interval produces the kind of magnitude-and-unpredictability combination the framework identifies as conducive to costly signaling, survives even where the binary threshold comparison narrows to a near-tie.</w:t>
      </w:r>
    </w:p>
    <w:bookmarkEnd w:id="65"/>
    <w:bookmarkStart w:id="66" w:name="the-watson-brake-near-threshold-case"/>
    <w:p>
      <w:pPr>
        <w:pStyle w:val="Heading3"/>
      </w:pPr>
      <w:r>
        <w:t xml:space="preserve">6.3 The Watson Brake near-threshold case</w:t>
      </w:r>
    </w:p>
    <w:p>
      <w:pPr>
        <w:pStyle w:val="FirstParagraph"/>
      </w:pPr>
      <w:r>
        <w:t xml:space="preserve">Watson Brake (16OU175, ca. 5400-4700 cal BP; Saunders et al. 2005), the other major LMV monumental site, provides a more demanding test. Running the calibrated model at WB-appropriate parameters (</w:t>
      </w:r>
      <m:oMath>
        <m:r>
          <m:t>ε</m:t>
        </m:r>
        <m:r>
          <m:rPr>
            <m:sty m:val="p"/>
          </m:rPr>
          <m:t>=</m:t>
        </m:r>
        <m:r>
          <m:t>0.43</m:t>
        </m:r>
      </m:oMath>
      <w:r>
        <w:t xml:space="preserve">,</w:t>
      </w:r>
      <w:r>
        <w:t xml:space="preserve"> </w:t>
      </w:r>
      <m:oMath>
        <m:r>
          <m:t>σ</m:t>
        </m:r>
        <m:r>
          <m:rPr>
            <m:sty m:val="p"/>
          </m:rPr>
          <m:t>≈</m:t>
        </m:r>
        <m:r>
          <m:t>0.56</m:t>
        </m:r>
      </m:oMath>
      <w:r>
        <w:t xml:space="preserve"> </w:t>
      </w:r>
      <w:r>
        <w:t xml:space="preserve">from mid-Holocene LMV proxies,</w:t>
      </w:r>
      <w:r>
        <w:t xml:space="preserve"> </w:t>
      </w:r>
      <m:oMath>
        <m:sSub>
          <m:e>
            <m:r>
              <m:t>n</m:t>
            </m:r>
          </m:e>
          <m:sub>
            <m:r>
              <m:t>a</m:t>
            </m:r>
            <m:r>
              <m:t>g</m:t>
            </m:r>
            <m:r>
              <m:t>g</m:t>
            </m:r>
          </m:sub>
        </m:sSub>
        <m:r>
          <m:rPr>
            <m:sty m:val="p"/>
          </m:rPr>
          <m:t>≈</m:t>
        </m:r>
        <m:r>
          <m:t>8</m:t>
        </m:r>
      </m:oMath>
      <w:r>
        <w:t xml:space="preserve"> </w:t>
      </w:r>
      <w:r>
        <w:t xml:space="preserve">from the smaller monumental footprint) returns</w:t>
      </w:r>
      <w:r>
        <w:t xml:space="preserve"> </w:t>
      </w:r>
      <m:oMath>
        <m:sSup>
          <m:e>
            <m:r>
              <m:t>σ</m:t>
            </m:r>
          </m:e>
          <m:sup>
            <m:r>
              <m:rPr>
                <m:sty m:val="p"/>
              </m:rPr>
              <m:t>*</m:t>
            </m:r>
          </m:sup>
        </m:sSup>
        <m:r>
          <m:rPr>
            <m:sty m:val="p"/>
          </m:rPr>
          <m:t>≈</m:t>
        </m:r>
        <m:r>
          <m:t>0.38</m:t>
        </m:r>
      </m:oMath>
      <w:r>
        <w:t xml:space="preserve">, exceeded by</w:t>
      </w:r>
      <w:r>
        <w:t xml:space="preserve"> </w:t>
      </w:r>
      <m:oMath>
        <m:sSub>
          <m:e>
            <m:r>
              <m:t>σ</m:t>
            </m:r>
          </m:e>
          <m:sub>
            <m:r>
              <m:t>W</m:t>
            </m:r>
            <m:r>
              <m:t>B</m:t>
            </m:r>
          </m:sub>
        </m:sSub>
      </m:oMath>
      <w:r>
        <w:t xml:space="preserve"> </w:t>
      </w:r>
      <w:r>
        <w:t xml:space="preserve">by ~0.18 (fitness differential ~+0.12), roughly half the margin PP enjoys (~0.28; differential ~+0.20). Solved as a continuous-equilibrium scenario, the model predicts ~240,000 m³ of earthwork at WB, compared to the LiDAR-derived per-mound volume of 27,065 m³ (§5.1); the overshoot ratio is approximately 9× (derivation in §S10.1).</w:t>
      </w:r>
    </w:p>
    <w:p>
      <w:pPr>
        <w:pStyle w:val="BodyText"/>
      </w:pPr>
      <w:r>
        <w:t xml:space="preserve">The continuous-equilibrium overprediction is the framework’s most demanding internal test, and we treat it as a substantive prediction problem requiring model extensions rather than a parameter-tuning issue. Two model components, developed in §S17 and applied here, close the gap, but each carries a parameter cost.</w:t>
      </w:r>
    </w:p>
    <w:p>
      <w:pPr>
        <w:pStyle w:val="BodyText"/>
      </w:pPr>
      <w:r>
        <w:rPr>
          <w:i/>
          <w:iCs/>
        </w:rPr>
        <w:t xml:space="preserve">Per-event labor scaling</w:t>
      </w:r>
      <w:r>
        <w:t xml:space="preserve"> </w:t>
      </w:r>
      <w:r>
        <w:t xml:space="preserve">(§S17.2). The conversion factor between simulated</w:t>
      </w:r>
      <w:r>
        <w:t xml:space="preserve"> </w:t>
      </w:r>
      <w:r>
        <w:t xml:space="preserve">“investment units”</w:t>
      </w:r>
      <w:r>
        <w:t xml:space="preserve"> </w:t>
      </w:r>
      <w:r>
        <w:t xml:space="preserve">and physical m³ of fill may not be constant across sites with different crew sizes; coordination among many laborers may be more or less productive per worker than coordination among a few. We test two assumptions. With linear scaling (</w:t>
      </w:r>
      <m:oMath>
        <m:r>
          <m:t>α</m:t>
        </m:r>
        <m:r>
          <m:rPr>
            <m:sty m:val="p"/>
          </m:rPr>
          <m:t>=</m:t>
        </m:r>
        <m:r>
          <m:t>1</m:t>
        </m:r>
      </m:oMath>
      <w:r>
        <w:t xml:space="preserve">, each laborer adds the same fill volume regardless of crew size, which Erasmus’s 1965 ethnographic measurement of 2.6 m³/person-day supports under additive labor accounting), the model predicts ~3,500 m³ at WB, well below the LiDAR-derived 27,065 m³, so the framework underpredicts under strict additive labor accounting. With superadditive scaling (</w:t>
      </w:r>
      <m:oMath>
        <m:r>
          <m:t>α</m:t>
        </m:r>
        <m:r>
          <m:rPr>
            <m:sty m:val="p"/>
          </m:rPr>
          <m:t>=</m:t>
        </m:r>
        <m:r>
          <m:t>2</m:t>
        </m:r>
      </m:oMath>
      <w:r>
        <w:t xml:space="preserve">, larger crews achieve more m³ per laborer through coordination economies, beyond what Erasmus’s data support and not measured in the literature for Late Archaic crew sizes), the predicted Watson Brake volume drops from ~240,000 m³ to ~25,000 m³, essentially matching the LiDAR-derived 27,065 m³ within ~9% (ratio 0.91×). Under the refined WB volume estimate, per-event labor scaling at</w:t>
      </w:r>
      <w:r>
        <w:t xml:space="preserve"> </w:t>
      </w:r>
      <m:oMath>
        <m:r>
          <m:t>α</m:t>
        </m:r>
        <m:r>
          <m:rPr>
            <m:sty m:val="p"/>
          </m:rPr>
          <m:t>=</m:t>
        </m:r>
        <m:r>
          <m:t>2</m:t>
        </m:r>
      </m:oMath>
      <w:r>
        <w:t xml:space="preserve"> </w:t>
      </w:r>
      <w:r>
        <w:t xml:space="preserve">closes the WB gap cleanly, without requiring the regime-switching extension below.</w:t>
      </w:r>
    </w:p>
    <w:p>
      <w:pPr>
        <w:pStyle w:val="BodyText"/>
      </w:pPr>
      <w:r>
        <w:rPr>
          <w:i/>
          <w:iCs/>
        </w:rPr>
        <w:t xml:space="preserve">Regime switching</w:t>
      </w:r>
      <w:r>
        <w:t xml:space="preserve"> </w:t>
      </w:r>
      <w:r>
        <w:t xml:space="preserve">(§S17.1). The continuous-equilibrium reading treats the system as smoothly transitioning from</w:t>
      </w:r>
      <w:r>
        <w:t xml:space="preserve"> </w:t>
      </w:r>
      <w:r>
        <w:t xml:space="preserve">“no construction”</w:t>
      </w:r>
      <w:r>
        <w:t xml:space="preserve"> </w:t>
      </w:r>
      <w:r>
        <w:t xml:space="preserve">to</w:t>
      </w:r>
      <w:r>
        <w:t xml:space="preserve"> </w:t>
      </w:r>
      <w:r>
        <w:t xml:space="preserve">“full construction”</w:t>
      </w:r>
      <w:r>
        <w:t xml:space="preserve"> </w:t>
      </w:r>
      <w:r>
        <w:t xml:space="preserve">the moment conditions cross the threshold. The regime-switching extension instead treats the system as having two distinct stable states (no aggregation, full aggregation) with a delay before bands commit to switching: conditions must remain above threshold for</w:t>
      </w:r>
      <w:r>
        <w:t xml:space="preserve"> </w:t>
      </w:r>
      <m:oMath>
        <m:r>
          <m:t>K</m:t>
        </m:r>
      </m:oMath>
      <w:r>
        <w:t xml:space="preserve"> </w:t>
      </w:r>
      <w:r>
        <w:t xml:space="preserve">consecutive years before the population shifts to the construction regime, capturing the realistic time needed to establish trust and coordinate across bands. With year-to-year variability in</w:t>
      </w:r>
      <w:r>
        <w:t xml:space="preserve"> </w:t>
      </w:r>
      <m:oMath>
        <m:r>
          <m:t>σ</m:t>
        </m:r>
      </m:oMath>
      <w:r>
        <w:t xml:space="preserve">, this turns the WB period into an intermittent flickering between regimes rather than a sustained construction interval, which matches the documented episodic record. Under the refined LiDAR-derived WB volume of 27,065 m³, the regime-switching predictions across</w:t>
      </w:r>
      <w:r>
        <w:t xml:space="preserve"> </w:t>
      </w:r>
      <m:oMath>
        <m:r>
          <m:t>K</m:t>
        </m:r>
        <m:r>
          <m:rPr>
            <m:sty m:val="p"/>
          </m:rPr>
          <m:t>∈</m:t>
        </m:r>
        <m:r>
          <m:rPr>
            <m:sty m:val="p"/>
          </m:rPr>
          <m:t>{</m:t>
        </m:r>
        <m:r>
          <m:t>1</m:t>
        </m:r>
        <m:r>
          <m:rPr>
            <m:sty m:val="p"/>
          </m:rPr>
          <m:t>,</m:t>
        </m:r>
        <m:r>
          <m:t>2</m:t>
        </m:r>
        <m:r>
          <m:rPr>
            <m:sty m:val="p"/>
          </m:rPr>
          <m:t>,</m:t>
        </m:r>
        <m:r>
          <m:t>3</m:t>
        </m:r>
        <m:r>
          <m:rPr>
            <m:sty m:val="p"/>
          </m:rPr>
          <m:t>}</m:t>
        </m:r>
      </m:oMath>
      <w:r>
        <w:t xml:space="preserve"> </w:t>
      </w:r>
      <w:r>
        <w:t xml:space="preserve">at</w:t>
      </w:r>
      <w:r>
        <w:t xml:space="preserve"> </w:t>
      </w:r>
      <m:oMath>
        <m:sSub>
          <m:e>
            <m:r>
              <m:t>σ</m:t>
            </m:r>
          </m:e>
          <m:sub>
            <m:r>
              <m:t>s</m:t>
            </m:r>
            <m:r>
              <m:t>d</m:t>
            </m:r>
          </m:sub>
        </m:sSub>
        <m:r>
          <m:rPr>
            <m:sty m:val="p"/>
          </m:rPr>
          <m:t>≈</m:t>
        </m:r>
        <m:r>
          <m:t>0.10</m:t>
        </m:r>
      </m:oMath>
      <w:r>
        <w:t xml:space="preserve">-</w:t>
      </w:r>
      <m:oMath>
        <m:r>
          <m:t>0.125</m:t>
        </m:r>
      </m:oMath>
      <w:r>
        <w:t xml:space="preserve"> </w:t>
      </w:r>
      <w:r>
        <w:t xml:space="preserve">span ~5,400 to ~75,000 m³ (with</w:t>
      </w:r>
      <w:r>
        <w:t xml:space="preserve"> </w:t>
      </w:r>
      <m:oMath>
        <m:r>
          <m:t>K</m:t>
        </m:r>
        <m:r>
          <m:rPr>
            <m:sty m:val="p"/>
          </m:rPr>
          <m:t>=</m:t>
        </m:r>
        <m:r>
          <m:t>1</m:t>
        </m:r>
      </m:oMath>
      <w:r>
        <w:t xml:space="preserve"> </w:t>
      </w:r>
      <w:r>
        <w:t xml:space="preserve">at the upper end overshooting by ~2.4 to 2.8× and</w:t>
      </w:r>
      <w:r>
        <w:t xml:space="preserve"> </w:t>
      </w:r>
      <m:oMath>
        <m:r>
          <m:t>K</m:t>
        </m:r>
        <m:r>
          <m:rPr>
            <m:sty m:val="p"/>
          </m:rPr>
          <m:t>=</m:t>
        </m:r>
        <m:r>
          <m:t>3</m:t>
        </m:r>
      </m:oMath>
      <w:r>
        <w:t xml:space="preserve"> </w:t>
      </w:r>
      <w:r>
        <w:t xml:space="preserve">at the lower end undershooting by ~3.4 to 5×); the observed 27,065 m³ sits between these and is bracketed by an intermediate</w:t>
      </w:r>
      <w:r>
        <w:t xml:space="preserve"> </w:t>
      </w:r>
      <m:oMath>
        <m:r>
          <m:t>K</m:t>
        </m:r>
        <m:r>
          <m:rPr>
            <m:sty m:val="p"/>
          </m:rPr>
          <m:t>=</m:t>
        </m:r>
        <m:r>
          <m:t>2</m:t>
        </m:r>
      </m:oMath>
      <w:r>
        <w:t xml:space="preserve"> </w:t>
      </w:r>
      <w:r>
        <w:t xml:space="preserve">value. Because the per-event labor-scaling extension above already closes the WB gap essentially exactly without invoking regime switching, the substantive role of the regime-switching mechanism is now to account for the</w:t>
      </w:r>
      <w:r>
        <w:t xml:space="preserve"> </w:t>
      </w:r>
      <w:r>
        <w:rPr>
          <w:i/>
          <w:iCs/>
        </w:rPr>
        <w:t xml:space="preserve">episodic tempo</w:t>
      </w:r>
      <w:r>
        <w:t xml:space="preserve"> </w:t>
      </w:r>
      <w:r>
        <w:t xml:space="preserve">of WB construction (matching the 200+-year inter-stage gaps documented by Saunders et al. 2005), not to bracket the total volume.</w:t>
      </w:r>
    </w:p>
    <w:p>
      <w:pPr>
        <w:pStyle w:val="BodyText"/>
      </w:pPr>
      <w:r>
        <w:t xml:space="preserve">The closure is therefore conditional on</w:t>
      </w:r>
      <w:r>
        <w:t xml:space="preserve"> </w:t>
      </w:r>
      <m:oMath>
        <m:r>
          <m:t>α</m:t>
        </m:r>
        <m:r>
          <m:rPr>
            <m:sty m:val="p"/>
          </m:rPr>
          <m:t>=</m:t>
        </m:r>
        <m:r>
          <m:t>2</m:t>
        </m:r>
      </m:oMath>
      <w:r>
        <w:t xml:space="preserve"> </w:t>
      </w:r>
      <w:r>
        <w:t xml:space="preserve">(ethnographically unsupported) and</w:t>
      </w:r>
      <w:r>
        <w:t xml:space="preserve"> </w:t>
      </w:r>
      <m:oMath>
        <m:sSub>
          <m:e>
            <m:r>
              <m:t>σ</m:t>
            </m:r>
          </m:e>
          <m:sub>
            <m:r>
              <m:t>s</m:t>
            </m:r>
            <m:r>
              <m:t>d</m:t>
            </m:r>
          </m:sub>
        </m:sSub>
        <m:r>
          <m:rPr>
            <m:sty m:val="p"/>
          </m:rPr>
          <m:t>∈</m:t>
        </m:r>
        <m:r>
          <m:rPr>
            <m:sty m:val="p"/>
          </m:rPr>
          <m:t>[</m:t>
        </m:r>
        <m:r>
          <m:t>0.10</m:t>
        </m:r>
        <m:r>
          <m:rPr>
            <m:sty m:val="p"/>
          </m:rPr>
          <m:t>,</m:t>
        </m:r>
        <m:r>
          <m:t>0.125</m:t>
        </m:r>
        <m:r>
          <m:rPr>
            <m:sty m:val="p"/>
          </m:rPr>
          <m:t>]</m:t>
        </m:r>
      </m:oMath>
      <w:r>
        <w:t xml:space="preserve"> </w:t>
      </w:r>
      <w:r>
        <w:t xml:space="preserve">(paleoclimate-central); the regime-switching</w:t>
      </w:r>
      <w:r>
        <w:t xml:space="preserve"> </w:t>
      </w:r>
      <m:oMath>
        <m:r>
          <m:t>K</m:t>
        </m:r>
      </m:oMath>
      <w:r>
        <w:t xml:space="preserve"> </w:t>
      </w:r>
      <w:r>
        <w:t xml:space="preserve">parameter no longer drives the volume closure (it accounts for the episodic tempo) but</w:t>
      </w:r>
      <w:r>
        <w:t xml:space="preserve"> </w:t>
      </w:r>
      <m:oMath>
        <m:r>
          <m:t>K</m:t>
        </m:r>
        <m:r>
          <m:rPr>
            <m:sty m:val="p"/>
          </m:rPr>
          <m:t>≈</m:t>
        </m:r>
        <m:r>
          <m:t>2</m:t>
        </m:r>
      </m:oMath>
      <w:r>
        <w:t xml:space="preserve"> </w:t>
      </w:r>
      <w:r>
        <w:t xml:space="preserve">would bracket the LiDAR-derived 27,065 m³ between the</w:t>
      </w:r>
      <w:r>
        <w:t xml:space="preserve"> </w:t>
      </w:r>
      <m:oMath>
        <m:r>
          <m:t>K</m:t>
        </m:r>
        <m:r>
          <m:rPr>
            <m:sty m:val="p"/>
          </m:rPr>
          <m:t>=</m:t>
        </m:r>
        <m:r>
          <m:t>1</m:t>
        </m:r>
      </m:oMath>
      <w:r>
        <w:t xml:space="preserve"> </w:t>
      </w:r>
      <w:r>
        <w:t xml:space="preserve">overshoot and</w:t>
      </w:r>
      <w:r>
        <w:t xml:space="preserve"> </w:t>
      </w:r>
      <m:oMath>
        <m:r>
          <m:t>K</m:t>
        </m:r>
        <m:r>
          <m:rPr>
            <m:sty m:val="p"/>
          </m:rPr>
          <m:t>=</m:t>
        </m:r>
        <m:r>
          <m:t>3</m:t>
        </m:r>
      </m:oMath>
      <w:r>
        <w:t xml:space="preserve"> </w:t>
      </w:r>
      <w:r>
        <w:t xml:space="preserve">undershoot. The closure remains a demonstration of consistency conditional on a fitted labor-scaling exponent, not a passed test. The Watson Brake observation could have failed under arbitrary parameter choices. Under the ethnographically defensible</w:t>
      </w:r>
      <w:r>
        <w:t xml:space="preserve"> </w:t>
      </w:r>
      <m:oMath>
        <m:r>
          <m:t>α</m:t>
        </m:r>
        <m:r>
          <m:rPr>
            <m:sty m:val="p"/>
          </m:rPr>
          <m:t>=</m:t>
        </m:r>
        <m:r>
          <m:t>1</m:t>
        </m:r>
      </m:oMath>
      <w:r>
        <w:t xml:space="preserve">, the closure does not hold, and the framework underpredicts Watson Brake by approximately an order of magnitude (~7.7-fold).</w:t>
      </w:r>
    </w:p>
    <w:p>
      <w:pPr>
        <w:pStyle w:val="BodyText"/>
      </w:pPr>
      <w:r>
        <w:t xml:space="preserve">Three lines of independent evidence support the bistable reading (see § S10 for our full development). First, the 20-fold smaller monumental footprint at Watson Brake implies a per-event labor force that one to two bands could account for. Second, the 200+-year inter-stage gaps (Saunders et al. 2005) match the on-again-off-again pattern predicted by the framework in the transition zone, where the system spends intervals in each regime rather than persisting in one. Third, the smaller margin between WB’s environmental</w:t>
      </w:r>
      <w:r>
        <w:t xml:space="preserve"> </w:t>
      </w:r>
      <m:oMath>
        <m:r>
          <m:t>σ</m:t>
        </m:r>
      </m:oMath>
      <w:r>
        <w:t xml:space="preserve"> </w:t>
      </w:r>
      <w:r>
        <w:t xml:space="preserve">and its</w:t>
      </w:r>
      <w:r>
        <w:t xml:space="preserve"> </w:t>
      </w:r>
      <m:oMath>
        <m:sSup>
          <m:e>
            <m:r>
              <m:t>σ</m:t>
            </m:r>
          </m:e>
          <m:sup>
            <m:r>
              <m:rPr>
                <m:sty m:val="p"/>
              </m:rPr>
              <m:t>*</m:t>
            </m:r>
          </m:sup>
        </m:sSup>
      </m:oMath>
      <w:r>
        <w:t xml:space="preserve"> </w:t>
      </w:r>
      <w:r>
        <w:t xml:space="preserve">places WB within the narrow band of conditions where ordinary year-to-year fluctuations are large enough to flip the regime, while PP’s larger margin keeps it firmly in the aggregating regime once the threshold is crossed. Taken together, the labor-scaling extension closes the WB volume gap and the regime-switching extension accounts for the episodic tempo of construction (matching the 200+-year inter-stage gaps documented by Saunders et al. 2005).</w:t>
      </w:r>
    </w:p>
    <w:p>
      <w:pPr>
        <w:pStyle w:val="BodyText"/>
      </w:pPr>
      <w:r>
        <w:t xml:space="preserve">We treat this as a</w:t>
      </w:r>
      <w:r>
        <w:t xml:space="preserve"> </w:t>
      </w:r>
      <w:r>
        <w:rPr>
          <w:i/>
          <w:iCs/>
        </w:rPr>
        <w:t xml:space="preserve">consistency demonstration conditional on parameter choices</w:t>
      </w:r>
      <w:r>
        <w:t xml:space="preserve"> </w:t>
      </w:r>
      <w:r>
        <w:t xml:space="preserve">rather than a passed test, because the labor-scaling exponent was not derived from independent ethnographic data:</w:t>
      </w:r>
      <w:r>
        <w:t xml:space="preserve"> </w:t>
      </w:r>
      <m:oMath>
        <m:r>
          <m:t>α</m:t>
        </m:r>
        <m:r>
          <m:rPr>
            <m:sty m:val="p"/>
          </m:rPr>
          <m:t>=</m:t>
        </m:r>
        <m:r>
          <m:t>2</m:t>
        </m:r>
      </m:oMath>
      <w:r>
        <w:t xml:space="preserve"> </w:t>
      </w:r>
      <w:r>
        <w:t xml:space="preserve">was selected to minimize log-overprediction across the eleven-site sample. Under the refined LiDAR-derived 27,065 m³,</w:t>
      </w:r>
      <w:r>
        <w:t xml:space="preserve"> </w:t>
      </w:r>
      <m:oMath>
        <m:r>
          <m:t>α</m:t>
        </m:r>
        <m:r>
          <m:rPr>
            <m:sty m:val="p"/>
          </m:rPr>
          <m:t>=</m:t>
        </m:r>
        <m:r>
          <m:t>2</m:t>
        </m:r>
      </m:oMath>
      <w:r>
        <w:t xml:space="preserve"> </w:t>
      </w:r>
      <w:r>
        <w:t xml:space="preserve">produces a near-exact match (0.91×);</w:t>
      </w:r>
      <w:r>
        <w:t xml:space="preserve"> </w:t>
      </w:r>
      <m:oMath>
        <m:r>
          <m:t>α</m:t>
        </m:r>
        <m:r>
          <m:rPr>
            <m:sty m:val="p"/>
          </m:rPr>
          <m:t>=</m:t>
        </m:r>
        <m:r>
          <m:t>1</m:t>
        </m:r>
      </m:oMath>
      <w:r>
        <w:t xml:space="preserve"> </w:t>
      </w:r>
      <w:r>
        <w:t xml:space="preserve">(Erasmus-grounded) underpredicts by ~7.7-fold. The regime-switching</w:t>
      </w:r>
      <w:r>
        <w:t xml:space="preserve"> </w:t>
      </w:r>
      <m:oMath>
        <m:r>
          <m:t>K</m:t>
        </m:r>
      </m:oMath>
      <w:r>
        <w:t xml:space="preserve"> </w:t>
      </w:r>
      <w:r>
        <w:t xml:space="preserve">parameter is no longer required to bracket the volume observation (the labor-scaling extension closes the gap on its own); its substantive role is to account for the episodic tempo of WB construction (the 200+-year inter-stage gaps), which it does at any</w:t>
      </w:r>
      <w:r>
        <w:t xml:space="preserve"> </w:t>
      </w:r>
      <m:oMath>
        <m:r>
          <m:t>K</m:t>
        </m:r>
        <m:r>
          <m:rPr>
            <m:sty m:val="p"/>
          </m:rPr>
          <m:t>≥</m:t>
        </m:r>
        <m:r>
          <m:t>1</m:t>
        </m:r>
      </m:oMath>
      <w:r>
        <w:t xml:space="preserve"> </w:t>
      </w:r>
      <w:r>
        <w:t xml:space="preserve">given WB’s threshold proximity. The result demonstrates that the bistable framework reading is</w:t>
      </w:r>
      <w:r>
        <w:t xml:space="preserve"> </w:t>
      </w:r>
      <w:r>
        <w:rPr>
          <w:i/>
          <w:iCs/>
        </w:rPr>
        <w:t xml:space="preserve">consistent with</w:t>
      </w:r>
      <w:r>
        <w:t xml:space="preserve"> </w:t>
      </w:r>
      <w:r>
        <w:t xml:space="preserve">observed WB volume and tempo; it is not a test that the WB observation could have failed under arbitrary parameter choices.</w:t>
      </w:r>
    </w:p>
    <w:bookmarkEnd w:id="66"/>
    <w:bookmarkStart w:id="70" w:name="cross-lmv-regional-analysis"/>
    <w:p>
      <w:pPr>
        <w:pStyle w:val="Heading3"/>
      </w:pPr>
      <w:r>
        <w:t xml:space="preserve">6.4 Cross-LMV regional analysis</w:t>
      </w:r>
    </w:p>
    <w:p>
      <w:pPr>
        <w:pStyle w:val="FirstParagraph"/>
      </w:pPr>
      <w:r>
        <w:t xml:space="preserve">The framework’s necessary condition for sustained aggregation is that the buffered uncertainty at the site,</w:t>
      </w:r>
      <w: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t xml:space="preserve">, sits below the threshold</w:t>
      </w:r>
      <w:r>
        <w:t xml:space="preserve"> </w:t>
      </w:r>
      <m:oMath>
        <m:sSup>
          <m:e>
            <m:r>
              <m:t>σ</m:t>
            </m:r>
          </m:e>
          <m:sup>
            <m:r>
              <m:rPr>
                <m:sty m:val="p"/>
              </m:rPr>
              <m:t>*</m:t>
            </m:r>
          </m:sup>
        </m:sSup>
      </m:oMath>
      <w:r>
        <w:t xml:space="preserve">. To screen LMV mound-building sites against this condition, we compute a Shannon diversity index across five resource zones at each site, with zone-access weights derived from published site-catchment descriptions (see rubric in §S6). All nine interior monument-building sites cluster in the high-</w:t>
      </w:r>
      <m:oMath>
        <m:r>
          <m:t>ε</m:t>
        </m:r>
      </m:oMath>
      <w:r>
        <w:t xml:space="preserve"> </w:t>
      </w:r>
      <w:r>
        <w:t xml:space="preserve">band (</w:t>
      </w:r>
      <m:oMath>
        <m:r>
          <m:t>ε</m:t>
        </m:r>
        <m:r>
          <m:rPr>
            <m:sty m:val="p"/>
          </m:rPr>
          <m:t>≈</m:t>
        </m:r>
        <m:r>
          <m:t>0.40</m:t>
        </m:r>
      </m:oMath>
      <w:r>
        <w:t xml:space="preserve"> </w:t>
      </w:r>
      <w:r>
        <w:t xml:space="preserve">to</w:t>
      </w:r>
      <w:r>
        <w:t xml:space="preserve"> </w:t>
      </w:r>
      <m:oMath>
        <m:r>
          <m:t>0.49</m:t>
        </m:r>
      </m:oMath>
      <w:r>
        <w:t xml:space="preserve">), with predicted</w:t>
      </w:r>
      <w:r>
        <w:t xml:space="preserve"> </w:t>
      </w:r>
      <m:oMath>
        <m:sSup>
          <m:e>
            <m:r>
              <m:t>σ</m:t>
            </m:r>
          </m:e>
          <m:sup>
            <m:r>
              <m:rPr>
                <m:sty m:val="p"/>
              </m:rPr>
              <m:t>*</m:t>
            </m:r>
          </m:sup>
        </m:sSup>
      </m:oMath>
      <w:r>
        <w:t xml:space="preserve"> </w:t>
      </w:r>
      <w:r>
        <w:t xml:space="preserve">comfortably below the regional</w:t>
      </w:r>
      <w:r>
        <w:t xml:space="preserve"> </w:t>
      </w:r>
      <m:oMath>
        <m:sSub>
          <m:e>
            <m:r>
              <m:t>σ</m:t>
            </m:r>
          </m:e>
          <m:sub>
            <m:r>
              <m:t>L</m:t>
            </m:r>
            <m:r>
              <m:t>M</m:t>
            </m:r>
            <m:r>
              <m:t>V</m:t>
            </m:r>
          </m:sub>
        </m:sSub>
        <m:r>
          <m:rPr>
            <m:sty m:val="p"/>
          </m:rPr>
          <m:t>≈</m:t>
        </m:r>
        <m:r>
          <m:t>0.64</m:t>
        </m:r>
      </m:oMath>
      <w:r>
        <w:t xml:space="preserve">; only the coastal Pearl River pair (Claiborne, Cedarland) falls substantially lower (</w:t>
      </w:r>
      <m:oMath>
        <m:r>
          <m:t>ε</m:t>
        </m:r>
        <m:r>
          <m:rPr>
            <m:sty m:val="p"/>
          </m:rPr>
          <m:t>≈</m:t>
        </m:r>
        <m:r>
          <m:t>0.30</m:t>
        </m:r>
      </m:oMath>
      <w:r>
        <w:t xml:space="preserve">). The static-diversity proxy distinguishes the interior monument-building sites from the coastal pair (Table 2).</w:t>
      </w:r>
    </w:p>
    <w:p>
      <w:pPr>
        <w:pStyle w:val="BodyText"/>
      </w:pPr>
      <w:r>
        <w:rPr>
          <w:b/>
          <w:bCs/>
        </w:rPr>
        <w:t xml:space="preserve">Table 2.</w:t>
      </w:r>
      <w:r>
        <w:t xml:space="preserve"> </w:t>
      </w:r>
      <w:r>
        <w:rPr>
          <w:i/>
          <w:iCs/>
        </w:rPr>
        <w:t xml:space="preserve">Shannon ecotone-diversity index and predicted critical threshold for eleven Middle Archaic and Late Archaic Lower Mississippi Valley sites. Zone-access weights are 0-1 estimates from published site descriptions per the rubric in §S6; H is the Shannon index across five zones;</w:t>
      </w:r>
      <w:r>
        <w:t xml:space="preserve"> </w:t>
      </w:r>
      <m:oMath>
        <m:r>
          <m:t>H</m:t>
        </m:r>
        <m:r>
          <m:rPr>
            <m:sty m:val="p"/>
          </m:rPr>
          <m:t>/</m:t>
        </m:r>
        <m:sSub>
          <m:e>
            <m:r>
              <m:t>H</m:t>
            </m:r>
          </m:e>
          <m:sub>
            <m:r>
              <m:rPr>
                <m:sty m:val="p"/>
              </m:rPr>
              <m:t>max</m:t>
            </m:r>
          </m:sub>
        </m:sSub>
      </m:oMath>
      <w:r>
        <w:t xml:space="preserve"> </w:t>
      </w:r>
      <w:r>
        <w:rPr>
          <w:i/>
          <w:iCs/>
        </w:rPr>
        <w:t xml:space="preserve">normalizes by</w:t>
      </w:r>
      <w:r>
        <w:t xml:space="preserve"> </w:t>
      </w:r>
      <m:oMath>
        <m:r>
          <m:rPr>
            <m:sty m:val="p"/>
          </m:rPr>
          <m:t>ln</m:t>
        </m:r>
        <m:r>
          <m:t>5</m:t>
        </m:r>
      </m:oMath>
      <w:r>
        <w:rPr>
          <w:i/>
          <w:iCs/>
        </w:rPr>
        <w:t xml:space="preserve">;</w:t>
      </w:r>
      <w:r>
        <w:t xml:space="preserve"> </w:t>
      </w:r>
      <m:oMath>
        <m:r>
          <m:t>ε</m:t>
        </m:r>
        <m:r>
          <m:rPr>
            <m:sty m:val="p"/>
          </m:rPr>
          <m:t>=</m:t>
        </m:r>
        <m:r>
          <m:rPr>
            <m:sty m:val="p"/>
          </m:rPr>
          <m:t>(</m:t>
        </m:r>
        <m:r>
          <m:t>H</m:t>
        </m:r>
        <m:r>
          <m:rPr>
            <m:sty m:val="p"/>
          </m:rPr>
          <m:t>/</m:t>
        </m:r>
        <m:sSub>
          <m:e>
            <m:r>
              <m:t>H</m:t>
            </m:r>
          </m:e>
          <m:sub>
            <m:r>
              <m:rPr>
                <m:sty m:val="p"/>
              </m:rPr>
              <m:t>max</m:t>
            </m:r>
          </m:sub>
        </m:sSub>
        <m:r>
          <m:rPr>
            <m:sty m:val="p"/>
          </m:rPr>
          <m:t>)</m:t>
        </m:r>
        <m:r>
          <m:rPr>
            <m:sty m:val="p"/>
          </m:rPr>
          <m:t>×</m:t>
        </m:r>
        <m:r>
          <m:t>0.5</m:t>
        </m:r>
      </m:oMath>
      <w:r>
        <w:t xml:space="preserve"> </w:t>
      </w:r>
      <w:r>
        <w:rPr>
          <w:i/>
          <w:iCs/>
        </w:rPr>
        <w:t xml:space="preserve">maps the normalized fraction onto the model’s ecotone parameter; predicted</w:t>
      </w:r>
      <w:r>
        <w:t xml:space="preserve"> </w:t>
      </w:r>
      <m:oMath>
        <m:sSup>
          <m:e>
            <m:r>
              <m:t>σ</m:t>
            </m:r>
          </m:e>
          <m:sup>
            <m:r>
              <m:rPr>
                <m:sty m:val="p"/>
              </m:rPr>
              <m:t>*</m:t>
            </m:r>
          </m:sup>
        </m:sSup>
      </m:oMath>
      <w:r>
        <w:t xml:space="preserve"> </w:t>
      </w:r>
      <w:r>
        <w:rPr>
          <w:i/>
          <w:iCs/>
        </w:rPr>
        <w:t xml:space="preserve">uses</w:t>
      </w:r>
      <w:r>
        <w:t xml:space="preserve"> </w:t>
      </w:r>
      <m:oMath>
        <m:sSub>
          <m:e>
            <m:r>
              <m:t>n</m:t>
            </m:r>
          </m:e>
          <m:sub>
            <m:r>
              <m:t>a</m:t>
            </m:r>
            <m:r>
              <m:t>g</m:t>
            </m:r>
            <m:r>
              <m:t>g</m:t>
            </m:r>
          </m:sub>
        </m:sSub>
        <m:r>
          <m:rPr>
            <m:sty m:val="p"/>
          </m:rPr>
          <m:t>=</m:t>
        </m:r>
        <m:r>
          <m:t>25</m:t>
        </m:r>
      </m:oMath>
      <w:r>
        <w:rPr>
          <w:i/>
          <w:iCs/>
        </w:rPr>
        <w:t xml:space="preserve">. The five zone-access weights</w:t>
      </w:r>
      <w:r>
        <w:t xml:space="preserve"> </w:t>
      </w:r>
      <m:oMath>
        <m:r>
          <m:rPr>
            <m:sty m:val="p"/>
          </m:rPr>
          <m:t>(</m:t>
        </m:r>
        <m:sSub>
          <m:e>
            <m:r>
              <m:t>w</m:t>
            </m:r>
          </m:e>
          <m:sub>
            <m:r>
              <m:t>a</m:t>
            </m:r>
          </m:sub>
        </m:sSub>
        <m:r>
          <m:rPr>
            <m:sty m:val="p"/>
          </m:rPr>
          <m:t>,</m:t>
        </m:r>
        <m:sSub>
          <m:e>
            <m:r>
              <m:t>w</m:t>
            </m:r>
          </m:e>
          <m:sub>
            <m:r>
              <m:t>u</m:t>
            </m:r>
          </m:sub>
        </m:sSub>
        <m:r>
          <m:rPr>
            <m:sty m:val="p"/>
          </m:rPr>
          <m:t>,</m:t>
        </m:r>
        <m:sSub>
          <m:e>
            <m:r>
              <m:t>w</m:t>
            </m:r>
          </m:e>
          <m:sub>
            <m:r>
              <m:t>d</m:t>
            </m:r>
          </m:sub>
        </m:sSub>
        <m:r>
          <m:rPr>
            <m:sty m:val="p"/>
          </m:rPr>
          <m:t>,</m:t>
        </m:r>
        <m:sSub>
          <m:e>
            <m:r>
              <m:t>w</m:t>
            </m:r>
          </m:e>
          <m:sub>
            <m:r>
              <m:t>m</m:t>
            </m:r>
          </m:sub>
        </m:sSub>
        <m:r>
          <m:rPr>
            <m:sty m:val="p"/>
          </m:rPr>
          <m:t>,</m:t>
        </m:r>
        <m:sSub>
          <m:e>
            <m:r>
              <m:t>w</m:t>
            </m:r>
          </m:e>
          <m:sub>
            <m:r>
              <m:t>p</m:t>
            </m:r>
          </m:sub>
        </m:sSub>
        <m:r>
          <m:rPr>
            <m:sty m:val="p"/>
          </m:rPr>
          <m:t>)</m:t>
        </m:r>
      </m:oMath>
      <w:r>
        <w:t xml:space="preserve"> </w:t>
      </w:r>
      <w:r>
        <w:rPr>
          <w:i/>
          <w:iCs/>
        </w:rPr>
        <w:t xml:space="preserve">are for</w:t>
      </w:r>
      <w:r>
        <w:rPr>
          <w:i/>
          <w:iCs/>
        </w:rPr>
        <w:t xml:space="preserve"> </w:t>
      </w:r>
      <w:r>
        <w:rPr>
          <w:b/>
          <w:bCs/>
          <w:i/>
          <w:iCs/>
        </w:rPr>
        <w:t xml:space="preserve">a</w:t>
      </w:r>
      <w:r>
        <w:rPr>
          <w:i/>
          <w:iCs/>
        </w:rPr>
        <w:t xml:space="preserve">quatic,</w:t>
      </w:r>
      <w:r>
        <w:rPr>
          <w:i/>
          <w:iCs/>
        </w:rPr>
        <w:t xml:space="preserve"> </w:t>
      </w:r>
      <w:r>
        <w:rPr>
          <w:b/>
          <w:bCs/>
          <w:i/>
          <w:iCs/>
        </w:rPr>
        <w:t xml:space="preserve">u</w:t>
      </w:r>
      <w:r>
        <w:rPr>
          <w:i/>
          <w:iCs/>
        </w:rPr>
        <w:t xml:space="preserve">pland,</w:t>
      </w:r>
      <w:r>
        <w:rPr>
          <w:i/>
          <w:iCs/>
        </w:rPr>
        <w:t xml:space="preserve"> </w:t>
      </w:r>
      <w:r>
        <w:rPr>
          <w:b/>
          <w:bCs/>
          <w:i/>
          <w:iCs/>
        </w:rPr>
        <w:t xml:space="preserve">d</w:t>
      </w:r>
      <w:r>
        <w:rPr>
          <w:i/>
          <w:iCs/>
        </w:rPr>
        <w:t xml:space="preserve">rainage,</w:t>
      </w:r>
      <w:r>
        <w:rPr>
          <w:i/>
          <w:iCs/>
        </w:rPr>
        <w:t xml:space="preserve"> </w:t>
      </w:r>
      <w:r>
        <w:rPr>
          <w:b/>
          <w:bCs/>
          <w:i/>
          <w:iCs/>
        </w:rPr>
        <w:t xml:space="preserve">m</w:t>
      </w:r>
      <w:r>
        <w:rPr>
          <w:i/>
          <w:iCs/>
        </w:rPr>
        <w:t xml:space="preserve">ast, and</w:t>
      </w:r>
      <w:r>
        <w:rPr>
          <w:i/>
          <w:iCs/>
        </w:rPr>
        <w:t xml:space="preserve"> </w:t>
      </w:r>
      <w:r>
        <w:rPr>
          <w:b/>
          <w:bCs/>
          <w:i/>
          <w:iCs/>
        </w:rPr>
        <w:t xml:space="preserve">p</w:t>
      </w:r>
      <w:r>
        <w:rPr>
          <w:i/>
          <w:iCs/>
        </w:rPr>
        <w:t xml:space="preserve">rairie zones. Observed monument scale (rightmost column) is ordinal: very large = type-site PP, mid = WB-scale (5+ mounds), small = 1-2 mounds, minimal = no monument or single-component construction.</w:t>
      </w:r>
    </w:p>
    <w:tbl>
      <w:tblPr>
        <w:tblStyle w:val="Table"/>
        <w:tblW w:type="pct" w:w="4965"/>
        <w:tblLayout w:type="fixed"/>
        <w:tblLook w:firstRow="1" w:lastRow="0" w:firstColumn="0" w:lastColumn="0" w:noHBand="0" w:noVBand="0" w:val="0020"/>
      </w:tblPr>
      <w:tblGrid>
        <w:gridCol w:w="808"/>
        <w:gridCol w:w="948"/>
        <w:gridCol w:w="474"/>
        <w:gridCol w:w="1478"/>
        <w:gridCol w:w="752"/>
        <w:gridCol w:w="1310"/>
        <w:gridCol w:w="2091"/>
      </w:tblGrid>
      <w:tr>
        <w:trPr>
          <w:tblHeader w:val="on"/>
        </w:trPr>
        <w:tc>
          <w:tcPr/>
          <w:p>
            <w:pPr>
              <w:pStyle w:val="Compact"/>
              <w:jc w:val="left"/>
            </w:pPr>
            <w:r>
              <w:rPr>
                <w:b/>
                <w:bCs/>
              </w:rPr>
              <w:t xml:space="preserve">Site</w:t>
            </w:r>
          </w:p>
        </w:tc>
        <w:tc>
          <w:tcPr/>
          <w:p>
            <w:pPr>
              <w:pStyle w:val="Compact"/>
              <w:jc w:val="left"/>
            </w:pPr>
            <w:r>
              <w:rPr>
                <w:b/>
                <w:bCs/>
              </w:rPr>
              <w:t xml:space="preserve">Zones (aq, up, dr, mst, pr)</w:t>
            </w:r>
          </w:p>
        </w:tc>
        <w:tc>
          <w:tcPr/>
          <w:p>
            <w:pPr>
              <w:pStyle w:val="Compact"/>
              <w:jc w:val="left"/>
            </w:pPr>
            <m:oMathPara>
              <m:oMathParaPr>
                <m:jc m:val="center"/>
              </m:oMathParaPr>
              <m:oMath>
                <m:r>
                  <m:rPr>
                    <m:sty m:val="bi"/>
                  </m:rPr>
                  <m:t>H</m:t>
                </m:r>
              </m:oMath>
            </m:oMathPara>
          </w:p>
        </w:tc>
        <w:tc>
          <w:tcPr/>
          <w:p>
            <w:pPr>
              <w:pStyle w:val="Compact"/>
              <w:jc w:val="left"/>
            </w:pPr>
            <m:oMathPara>
              <m:oMathParaPr>
                <m:jc m:val="center"/>
              </m:oMathParaPr>
              <m:oMath>
                <m:r>
                  <m:rPr>
                    <m:sty m:val="bi"/>
                  </m:rPr>
                  <m:t>H</m:t>
                </m:r>
                <m:r>
                  <m:rPr>
                    <m:sty m:val="b"/>
                  </m:rPr>
                  <m:t>/</m:t>
                </m:r>
                <m:sSub>
                  <m:e>
                    <m:r>
                      <m:rPr>
                        <m:sty m:val="bi"/>
                      </m:rPr>
                      <m:t>H</m:t>
                    </m:r>
                  </m:e>
                  <m:sub>
                    <m:r>
                      <m:rPr>
                        <m:sty m:val="p"/>
                        <m:sty m:val="b"/>
                      </m:rPr>
                      <m:t>max</m:t>
                    </m:r>
                  </m:sub>
                </m:sSub>
              </m:oMath>
            </m:oMathPara>
          </w:p>
        </w:tc>
        <w:tc>
          <w:tcPr/>
          <w:p>
            <w:pPr>
              <w:pStyle w:val="Compact"/>
              <w:jc w:val="left"/>
            </w:pPr>
            <m:oMathPara>
              <m:oMathParaPr>
                <m:jc m:val="center"/>
              </m:oMathParaPr>
              <m:oMath>
                <m:r>
                  <m:rPr>
                    <m:sty m:val="bi"/>
                  </m:rPr>
                  <m:t>ε</m:t>
                </m:r>
              </m:oMath>
            </m:oMathPara>
          </w:p>
        </w:tc>
        <w:tc>
          <w:tcPr/>
          <w:p>
            <w:pPr>
              <w:pStyle w:val="Compact"/>
              <w:jc w:val="left"/>
            </w:pPr>
            <w:r>
              <w:rPr>
                <w:b/>
                <w:bCs/>
              </w:rPr>
              <w:t xml:space="preserve">Predicted</w:t>
            </w:r>
            <w:r>
              <w:t xml:space="preserve"> </w:t>
            </w:r>
            <m:oMath>
              <m:sSup>
                <m:e>
                  <m:r>
                    <m:rPr>
                      <m:sty m:val="bi"/>
                    </m:rPr>
                    <m:t>σ</m:t>
                  </m:r>
                </m:e>
                <m:sup>
                  <m:r>
                    <m:rPr>
                      <m:sty m:val="b"/>
                    </m:rPr>
                    <m:t>*</m:t>
                  </m:r>
                </m:sup>
              </m:sSup>
            </m:oMath>
          </w:p>
        </w:tc>
        <w:tc>
          <w:tcPr/>
          <w:p>
            <w:pPr>
              <w:pStyle w:val="Compact"/>
              <w:jc w:val="left"/>
            </w:pPr>
            <w:r>
              <w:rPr>
                <w:b/>
                <w:bCs/>
              </w:rPr>
              <w:t xml:space="preserve">Observed monuments</w:t>
            </w:r>
          </w:p>
        </w:tc>
      </w:tr>
      <w:tr>
        <w:tc>
          <w:tcPr/>
          <w:p>
            <w:pPr>
              <w:pStyle w:val="Compact"/>
              <w:jc w:val="left"/>
            </w:pPr>
            <w:r>
              <w:t xml:space="preserve">Poverty Point (16WC5)</w:t>
            </w:r>
          </w:p>
        </w:tc>
        <w:tc>
          <w:tcPr/>
          <w:p>
            <w:pPr>
              <w:pStyle w:val="Compact"/>
              <w:jc w:val="left"/>
            </w:pPr>
            <w:r>
              <w:t xml:space="preserve">(1.0, 1.0, 1.0, 1.0, 0.5)</w:t>
            </w:r>
          </w:p>
        </w:tc>
        <w:tc>
          <w:tcPr/>
          <w:p>
            <w:pPr>
              <w:pStyle w:val="Compact"/>
              <w:jc w:val="left"/>
            </w:pPr>
            <w:r>
              <w:t xml:space="preserve">1.58</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0.36</w:t>
            </w:r>
          </w:p>
        </w:tc>
        <w:tc>
          <w:tcPr/>
          <w:p>
            <w:pPr>
              <w:pStyle w:val="Compact"/>
              <w:jc w:val="left"/>
            </w:pPr>
            <w:r>
              <w:t xml:space="preserve">very large (~750k m³, ~140 ha core)</w:t>
            </w:r>
          </w:p>
        </w:tc>
      </w:tr>
      <w:tr>
        <w:tc>
          <w:tcPr/>
          <w:p>
            <w:pPr>
              <w:pStyle w:val="Compact"/>
              <w:jc w:val="left"/>
            </w:pPr>
            <w:r>
              <w:t xml:space="preserve">Lower Jackson (16WC10)</w:t>
            </w:r>
          </w:p>
        </w:tc>
        <w:tc>
          <w:tcPr/>
          <w:p>
            <w:pPr>
              <w:pStyle w:val="Compact"/>
              <w:jc w:val="left"/>
            </w:pPr>
            <w:r>
              <w:t xml:space="preserve">(1.0, 0.9, 0.9, 1.0, 0.3)</w:t>
            </w:r>
          </w:p>
        </w:tc>
        <w:tc>
          <w:tcPr/>
          <w:p>
            <w:pPr>
              <w:pStyle w:val="Compact"/>
              <w:jc w:val="left"/>
            </w:pPr>
            <w:r>
              <w:t xml:space="preserve">1.55</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minimal (single mound, ~5500 cal BP)</w:t>
            </w:r>
          </w:p>
        </w:tc>
      </w:tr>
      <w:tr>
        <w:tc>
          <w:tcPr/>
          <w:p>
            <w:pPr>
              <w:pStyle w:val="Compact"/>
              <w:jc w:val="left"/>
            </w:pPr>
            <w:r>
              <w:t xml:space="preserve">Watson Brake (16OU175)</w:t>
            </w:r>
          </w:p>
        </w:tc>
        <w:tc>
          <w:tcPr/>
          <w:p>
            <w:pPr>
              <w:pStyle w:val="Compact"/>
              <w:jc w:val="left"/>
            </w:pPr>
            <w:r>
              <w:t xml:space="preserve">(0.8, 0.7, 0.7, 0.8, 0.0)</w:t>
            </w:r>
          </w:p>
        </w:tc>
        <w:tc>
          <w:tcPr/>
          <w:p>
            <w:pPr>
              <w:pStyle w:val="Compact"/>
              <w:jc w:val="left"/>
            </w:pPr>
            <w:r>
              <w:t xml:space="preserve">1.38</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0.37</w:t>
            </w:r>
          </w:p>
        </w:tc>
        <w:tc>
          <w:tcPr/>
          <w:p>
            <w:pPr>
              <w:pStyle w:val="Compact"/>
              <w:jc w:val="left"/>
            </w:pPr>
            <w:r>
              <w:t xml:space="preserve">mid (27,065 m³ per-mound, 11 mounds)</w:t>
            </w:r>
          </w:p>
        </w:tc>
      </w:tr>
      <w:tr>
        <w:tc>
          <w:tcPr/>
          <w:p>
            <w:pPr>
              <w:pStyle w:val="Compact"/>
              <w:jc w:val="left"/>
            </w:pPr>
            <w:r>
              <w:t xml:space="preserve">Caney (16CT5)</w:t>
            </w:r>
          </w:p>
        </w:tc>
        <w:tc>
          <w:tcPr/>
          <w:p>
            <w:pPr>
              <w:pStyle w:val="Compact"/>
              <w:jc w:val="left"/>
            </w:pPr>
            <w:r>
              <w:t xml:space="preserve">(0.9, 0.6, 0.8, 0.8, 0.0)</w:t>
            </w:r>
          </w:p>
        </w:tc>
        <w:tc>
          <w:tcPr/>
          <w:p>
            <w:pPr>
              <w:pStyle w:val="Compact"/>
              <w:jc w:val="left"/>
            </w:pPr>
            <w:r>
              <w:t xml:space="preserve">1.38</w:t>
            </w:r>
          </w:p>
        </w:tc>
        <w:tc>
          <w:tcPr/>
          <w:p>
            <w:pPr>
              <w:pStyle w:val="Compact"/>
              <w:jc w:val="left"/>
            </w:pPr>
            <w:r>
              <w:t xml:space="preserve">0.85</w:t>
            </w:r>
          </w:p>
        </w:tc>
        <w:tc>
          <w:tcPr/>
          <w:p>
            <w:pPr>
              <w:pStyle w:val="Compact"/>
              <w:jc w:val="left"/>
            </w:pPr>
            <w:r>
              <w:t xml:space="preserve">0.43</w:t>
            </w:r>
          </w:p>
        </w:tc>
        <w:tc>
          <w:tcPr/>
          <w:p>
            <w:pPr>
              <w:pStyle w:val="Compact"/>
              <w:jc w:val="left"/>
            </w:pPr>
            <w:r>
              <w:t xml:space="preserve">0.38</w:t>
            </w:r>
          </w:p>
        </w:tc>
        <w:tc>
          <w:tcPr/>
          <w:p>
            <w:pPr>
              <w:pStyle w:val="Compact"/>
              <w:jc w:val="left"/>
            </w:pPr>
            <w:r>
              <w:t xml:space="preserve">mid (Middle Archaic; ~1.2× WB)</w:t>
            </w:r>
          </w:p>
        </w:tc>
      </w:tr>
      <w:tr>
        <w:tc>
          <w:tcPr/>
          <w:p>
            <w:pPr>
              <w:pStyle w:val="Compact"/>
              <w:jc w:val="left"/>
            </w:pPr>
            <w:r>
              <w:t xml:space="preserve">Frenchman’s Bend (16OU259)</w:t>
            </w:r>
          </w:p>
        </w:tc>
        <w:tc>
          <w:tcPr/>
          <w:p>
            <w:pPr>
              <w:pStyle w:val="Compact"/>
              <w:jc w:val="left"/>
            </w:pPr>
            <w:r>
              <w:t xml:space="preserve">(0.7, 0.5, 0.7, 0.7, 0.0)</w:t>
            </w:r>
          </w:p>
        </w:tc>
        <w:tc>
          <w:tcPr/>
          <w:p>
            <w:pPr>
              <w:pStyle w:val="Compact"/>
              <w:jc w:val="left"/>
            </w:pPr>
            <w:r>
              <w:t xml:space="preserve">1.38</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0.38</w:t>
            </w:r>
          </w:p>
        </w:tc>
        <w:tc>
          <w:tcPr/>
          <w:p>
            <w:pPr>
              <w:pStyle w:val="Compact"/>
              <w:jc w:val="left"/>
            </w:pPr>
            <w:r>
              <w:t xml:space="preserve">Mid (5 mounds)</w:t>
            </w:r>
          </w:p>
        </w:tc>
      </w:tr>
      <w:tr>
        <w:tc>
          <w:tcPr/>
          <w:p>
            <w:pPr>
              <w:pStyle w:val="Compact"/>
              <w:jc w:val="left"/>
            </w:pPr>
            <w:r>
              <w:t xml:space="preserve">Insley (16FR3)</w:t>
            </w:r>
          </w:p>
        </w:tc>
        <w:tc>
          <w:tcPr/>
          <w:p>
            <w:pPr>
              <w:pStyle w:val="Compact"/>
              <w:jc w:val="left"/>
            </w:pPr>
            <w:r>
              <w:t xml:space="preserve">(0.9, 0.6, 0.8, 0.9, 0.0)</w:t>
            </w:r>
          </w:p>
        </w:tc>
        <w:tc>
          <w:tcPr/>
          <w:p>
            <w:pPr>
              <w:pStyle w:val="Compact"/>
              <w:jc w:val="left"/>
            </w:pPr>
            <w:r>
              <w:t xml:space="preserve">1.37</w:t>
            </w:r>
          </w:p>
        </w:tc>
        <w:tc>
          <w:tcPr/>
          <w:p>
            <w:pPr>
              <w:pStyle w:val="Compact"/>
              <w:jc w:val="left"/>
            </w:pPr>
            <w:r>
              <w:t xml:space="preserve">0.85</w:t>
            </w:r>
          </w:p>
        </w:tc>
        <w:tc>
          <w:tcPr/>
          <w:p>
            <w:pPr>
              <w:pStyle w:val="Compact"/>
              <w:jc w:val="left"/>
            </w:pPr>
            <w:r>
              <w:t xml:space="preserve">0.43</w:t>
            </w:r>
          </w:p>
        </w:tc>
        <w:tc>
          <w:tcPr/>
          <w:p>
            <w:pPr>
              <w:pStyle w:val="Compact"/>
              <w:jc w:val="left"/>
            </w:pPr>
            <w:r>
              <w:t xml:space="preserve">0.38</w:t>
            </w:r>
          </w:p>
        </w:tc>
        <w:tc>
          <w:tcPr/>
          <w:p>
            <w:pPr>
              <w:pStyle w:val="Compact"/>
              <w:jc w:val="left"/>
            </w:pPr>
            <w:r>
              <w:t xml:space="preserve">mid</w:t>
            </w:r>
          </w:p>
        </w:tc>
      </w:tr>
      <w:tr>
        <w:tc>
          <w:tcPr/>
          <w:p>
            <w:pPr>
              <w:pStyle w:val="Compact"/>
              <w:jc w:val="left"/>
            </w:pPr>
            <w:r>
              <w:t xml:space="preserve">J.W. Copes (16MA147)</w:t>
            </w:r>
          </w:p>
        </w:tc>
        <w:tc>
          <w:tcPr/>
          <w:p>
            <w:pPr>
              <w:pStyle w:val="Compact"/>
              <w:jc w:val="left"/>
            </w:pPr>
            <w:r>
              <w:t xml:space="preserve">(0.5, 0.6, 0.4, 0.7, 0.0)</w:t>
            </w:r>
          </w:p>
        </w:tc>
        <w:tc>
          <w:tcPr/>
          <w:p>
            <w:pPr>
              <w:pStyle w:val="Compact"/>
              <w:jc w:val="left"/>
            </w:pPr>
            <w:r>
              <w:t xml:space="preserve">1.37</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0.38</w:t>
            </w:r>
          </w:p>
        </w:tc>
        <w:tc>
          <w:tcPr/>
          <w:p>
            <w:pPr>
              <w:pStyle w:val="Compact"/>
              <w:jc w:val="left"/>
            </w:pPr>
            <w:r>
              <w:t xml:space="preserve">none (PP-period satellite)</w:t>
            </w:r>
          </w:p>
        </w:tc>
      </w:tr>
      <w:tr>
        <w:tc>
          <w:tcPr/>
          <w:p>
            <w:pPr>
              <w:pStyle w:val="Compact"/>
              <w:jc w:val="left"/>
            </w:pPr>
            <w:r>
              <w:t xml:space="preserve">Cowpen Slough (16CT147)</w:t>
            </w:r>
          </w:p>
        </w:tc>
        <w:tc>
          <w:tcPr/>
          <w:p>
            <w:pPr>
              <w:pStyle w:val="Compact"/>
              <w:jc w:val="left"/>
            </w:pPr>
            <w:r>
              <w:t xml:space="preserve">(0.9, 0.5, 0.8, 0.7, 0.0)</w:t>
            </w:r>
          </w:p>
        </w:tc>
        <w:tc>
          <w:tcPr/>
          <w:p>
            <w:pPr>
              <w:pStyle w:val="Compact"/>
              <w:jc w:val="left"/>
            </w:pPr>
            <w:r>
              <w:t xml:space="preserve">1.36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0.38</w:t>
            </w:r>
          </w:p>
        </w:tc>
        <w:tc>
          <w:tcPr/>
          <w:p>
            <w:pPr>
              <w:pStyle w:val="Compact"/>
              <w:jc w:val="left"/>
            </w:pPr>
            <w:r>
              <w:t xml:space="preserve">none</w:t>
            </w:r>
          </w:p>
        </w:tc>
      </w:tr>
      <w:tr>
        <w:tc>
          <w:tcPr/>
          <w:p>
            <w:pPr>
              <w:pStyle w:val="Compact"/>
              <w:jc w:val="left"/>
            </w:pPr>
            <w:r>
              <w:t xml:space="preserve">Jaketown (22HU505)</w:t>
            </w:r>
          </w:p>
        </w:tc>
        <w:tc>
          <w:tcPr/>
          <w:p>
            <w:pPr>
              <w:pStyle w:val="Compact"/>
              <w:jc w:val="left"/>
            </w:pPr>
            <w:r>
              <w:t xml:space="preserve">(1.0, 0.3, 0.8, 0.5, 0.0)</w:t>
            </w:r>
          </w:p>
        </w:tc>
        <w:tc>
          <w:tcPr/>
          <w:p>
            <w:pPr>
              <w:pStyle w:val="Compact"/>
              <w:jc w:val="left"/>
            </w:pPr>
            <w:r>
              <w:t xml:space="preserve">1.30</w:t>
            </w:r>
          </w:p>
        </w:tc>
        <w:tc>
          <w:tcPr/>
          <w:p>
            <w:pPr>
              <w:pStyle w:val="Compact"/>
              <w:jc w:val="left"/>
            </w:pPr>
            <w:r>
              <w:t xml:space="preserve">0.81</w:t>
            </w:r>
          </w:p>
        </w:tc>
        <w:tc>
          <w:tcPr/>
          <w:p>
            <w:pPr>
              <w:pStyle w:val="Compact"/>
              <w:jc w:val="left"/>
            </w:pPr>
            <w:r>
              <w:t xml:space="preserve">0.40</w:t>
            </w:r>
          </w:p>
        </w:tc>
        <w:tc>
          <w:tcPr/>
          <w:p>
            <w:pPr>
              <w:pStyle w:val="Compact"/>
              <w:jc w:val="left"/>
            </w:pPr>
            <w:r>
              <w:t xml:space="preserve">0.38</w:t>
            </w:r>
          </w:p>
        </w:tc>
        <w:tc>
          <w:tcPr/>
          <w:p>
            <w:pPr>
              <w:pStyle w:val="Compact"/>
              <w:jc w:val="left"/>
            </w:pPr>
            <w:r>
              <w:t xml:space="preserve">small (3 PP-period mounds)</w:t>
            </w:r>
          </w:p>
        </w:tc>
      </w:tr>
      <w:tr>
        <w:tc>
          <w:tcPr/>
          <w:p>
            <w:pPr>
              <w:pStyle w:val="Compact"/>
              <w:jc w:val="left"/>
            </w:pPr>
            <w:r>
              <w:t xml:space="preserve">Claiborne (22HA501)</w:t>
            </w:r>
          </w:p>
        </w:tc>
        <w:tc>
          <w:tcPr/>
          <w:p>
            <w:pPr>
              <w:pStyle w:val="Compact"/>
              <w:jc w:val="left"/>
            </w:pPr>
            <w:r>
              <w:t xml:space="preserve">(1.0, 0.5, 0.5, 0.3, 0.0)</w:t>
            </w:r>
          </w:p>
        </w:tc>
        <w:tc>
          <w:tcPr/>
          <w:p>
            <w:pPr>
              <w:pStyle w:val="Compact"/>
              <w:jc w:val="left"/>
            </w:pPr>
            <w:r>
              <w:t xml:space="preserve">1.29</w:t>
            </w:r>
          </w:p>
        </w:tc>
        <w:tc>
          <w:tcPr/>
          <w:p>
            <w:pPr>
              <w:pStyle w:val="Compact"/>
              <w:jc w:val="left"/>
            </w:pPr>
            <w:r>
              <w:t xml:space="preserve">0.80</w:t>
            </w:r>
          </w:p>
        </w:tc>
        <w:tc>
          <w:tcPr/>
          <w:p>
            <w:pPr>
              <w:pStyle w:val="Compact"/>
              <w:jc w:val="left"/>
            </w:pPr>
            <w:r>
              <w:t xml:space="preserve">0.40</w:t>
            </w:r>
          </w:p>
        </w:tc>
        <w:tc>
          <w:tcPr/>
          <w:p>
            <w:pPr>
              <w:pStyle w:val="Compact"/>
              <w:jc w:val="left"/>
            </w:pPr>
            <w:r>
              <w:t xml:space="preserve">0.38</w:t>
            </w:r>
          </w:p>
        </w:tc>
        <w:tc>
          <w:tcPr/>
          <w:p>
            <w:pPr>
              <w:pStyle w:val="Compact"/>
              <w:jc w:val="left"/>
            </w:pPr>
            <w:r>
              <w:t xml:space="preserve">minimal (shell ring; single-component construction, possible sand mound)</w:t>
            </w:r>
          </w:p>
        </w:tc>
      </w:tr>
      <w:tr>
        <w:tc>
          <w:tcPr/>
          <w:p>
            <w:pPr>
              <w:pStyle w:val="Compact"/>
              <w:jc w:val="left"/>
            </w:pPr>
            <w:r>
              <w:t xml:space="preserve">Cedarland (22HA506)</w:t>
            </w:r>
          </w:p>
        </w:tc>
        <w:tc>
          <w:tcPr/>
          <w:p>
            <w:pPr>
              <w:pStyle w:val="Compact"/>
              <w:jc w:val="left"/>
            </w:pPr>
            <w:r>
              <w:t xml:space="preserve">(1.0, 0.5, 0.5, 0.3, 0.0)</w:t>
            </w:r>
          </w:p>
        </w:tc>
        <w:tc>
          <w:tcPr/>
          <w:p>
            <w:pPr>
              <w:pStyle w:val="Compact"/>
              <w:jc w:val="left"/>
            </w:pPr>
            <w:r>
              <w:t xml:space="preserve">1.29</w:t>
            </w:r>
          </w:p>
        </w:tc>
        <w:tc>
          <w:tcPr/>
          <w:p>
            <w:pPr>
              <w:pStyle w:val="Compact"/>
              <w:jc w:val="left"/>
            </w:pPr>
            <w:r>
              <w:t xml:space="preserve">0.80</w:t>
            </w:r>
          </w:p>
        </w:tc>
        <w:tc>
          <w:tcPr/>
          <w:p>
            <w:pPr>
              <w:pStyle w:val="Compact"/>
              <w:jc w:val="left"/>
            </w:pPr>
            <w:r>
              <w:t xml:space="preserve">0.40</w:t>
            </w:r>
          </w:p>
        </w:tc>
        <w:tc>
          <w:tcPr/>
          <w:p>
            <w:pPr>
              <w:pStyle w:val="Compact"/>
              <w:jc w:val="left"/>
            </w:pPr>
            <w:r>
              <w:t xml:space="preserve">0.38</w:t>
            </w:r>
          </w:p>
        </w:tc>
        <w:tc>
          <w:tcPr/>
          <w:p>
            <w:pPr>
              <w:pStyle w:val="Compact"/>
              <w:jc w:val="left"/>
            </w:pPr>
            <w:r>
              <w:t xml:space="preserve">minimal (shell/earth midden; non-mound construction)</w:t>
            </w:r>
          </w:p>
        </w:tc>
      </w:tr>
    </w:tbl>
    <w:p>
      <w:pPr>
        <w:pStyle w:val="BodyText"/>
      </w:pPr>
      <w:r>
        <w:t xml:space="preserve">A Monte Carlo perturbation of the zone weights (§S13) confirms that the PP-vs-coast screening result is robust against scoring uncertainty: Poverty Point ranks first in 87% of 1,000 perturbations and the coastal Pearl River pair last in 93%. The interior ordering of the high-</w:t>
      </w:r>
      <m:oMath>
        <m:r>
          <m:t>ε</m:t>
        </m:r>
      </m:oMath>
      <w:r>
        <w:t xml:space="preserve"> </w:t>
      </w:r>
      <w:r>
        <w:t xml:space="preserve">band is not stable under perturbation (full rank order preserved in only 4% of draws), but interior ordering is not what the static rubric is intended to test, and the screening discrimination of monument-building sites versus the coastal pair holds robustly.</w:t>
      </w:r>
    </w:p>
    <w:p>
      <w:pPr>
        <w:pStyle w:val="BodyText"/>
      </w:pPr>
      <w:r>
        <w:t xml:space="preserve">Two limitations are worth naming explicitly. First, our sample is drawn from the known LMV monument-building inventory (seven interior mound sites) plus two interior non-mound comparators (Cowpen Slough, J.W. Copes) and the coastal Pearl River pair as the natural negative case, rather than from a random spatial sample of the region’s habitable locations. The result that nine of nine interior sites pass the high-</w:t>
      </w:r>
      <m:oMath>
        <m:r>
          <m:t>ε</m:t>
        </m:r>
      </m:oMath>
      <w:r>
        <w:t xml:space="preserve"> </w:t>
      </w:r>
      <w:r>
        <w:t xml:space="preserve">filter is therefore not evidence that mound-building was confined to high-</w:t>
      </w:r>
      <m:oMath>
        <m:r>
          <m:t>ε</m:t>
        </m:r>
      </m:oMath>
      <w:r>
        <w:t xml:space="preserve"> </w:t>
      </w:r>
      <w:r>
        <w:t xml:space="preserve">locations across the LMV; it is a description of the catchment geomorphology of the LMV interior, where Macon Ridge, together with adjacent floodplain and backswamp settings, gives every habitable interior location a high-zone-count buffer. The two interior non-mound comparators have</w:t>
      </w:r>
      <w:r>
        <w:t xml:space="preserve"> </w:t>
      </w:r>
      <m:oMath>
        <m:r>
          <m:t>ε</m:t>
        </m:r>
      </m:oMath>
      <w:r>
        <w:t xml:space="preserve"> </w:t>
      </w:r>
      <w:r>
        <w:t xml:space="preserve">values similar to those of the mound-building sites without themselves becoming monumental, consistent with high-</w:t>
      </w:r>
      <m:oMath>
        <m:r>
          <m:t>ε</m:t>
        </m:r>
      </m:oMath>
      <w:r>
        <w:t xml:space="preserve"> </w:t>
      </w:r>
      <w:r>
        <w:t xml:space="preserve">access being a necessary but not sufficient condition for the kind of sustained aggregation that produces monumentality (§6.6 develops the sufficiency question). Second, the static rubric under corrected zone weights no longer cleanly separates coastal from interior on the threshold dimension: Claiborne and Cedarland intersect coastal marsh and the Coastal Plain Upland (Gulf Flatwoods) and so receive upland weight 0.5 in Table 2, giving</w:t>
      </w:r>
      <w:r>
        <w:t xml:space="preserve"> </w:t>
      </w:r>
      <m:oMath>
        <m:r>
          <m:t>ε</m:t>
        </m:r>
        <m:r>
          <m:rPr>
            <m:sty m:val="p"/>
          </m:rPr>
          <m:t>=</m:t>
        </m:r>
        <m:r>
          <m:t>0.40</m:t>
        </m:r>
      </m:oMath>
      <w:r>
        <w:t xml:space="preserve"> </w:t>
      </w:r>
      <w:r>
        <w:t xml:space="preserve">and predicted</w:t>
      </w:r>
      <w:r>
        <w:t xml:space="preserve"> </w:t>
      </w:r>
      <m:oMath>
        <m:sSup>
          <m:e>
            <m:r>
              <m:t>σ</m:t>
            </m:r>
          </m:e>
          <m:sup>
            <m:r>
              <m:rPr>
                <m:sty m:val="p"/>
              </m:rPr>
              <m:t>*</m:t>
            </m:r>
          </m:sup>
        </m:sSup>
        <m:r>
          <m:rPr>
            <m:sty m:val="p"/>
          </m:rPr>
          <m:t>≈</m:t>
        </m:r>
        <m:r>
          <m:t>0.38</m:t>
        </m:r>
      </m:oMath>
      <w:r>
        <w:t xml:space="preserve">, effectively the same threshold as Jaketown. What Table 2 still distinguishes is the coastal pair’s lower static-diversity ranking (H = 1.29 vs the interior 1.36-1.58 band), and the §6.5 multi-drainage analysis distinguishes them more sharply (two regimes vs three-to-four for the interior monument-builders). Beyond this descriptive distinction, Table 2 does not test the framework’s magnitude prediction; static zone count is not the operative quantity, and §6.6 develops that point.</w:t>
      </w:r>
    </w:p>
    <w:p>
      <w:pPr>
        <w:pStyle w:val="BodyText"/>
      </w:pPr>
      <w:r>
        <w:drawing>
          <wp:inline>
            <wp:extent cx="5943600" cy="6965430"/>
            <wp:effectExtent b="0" l="0" r="0" t="0"/>
            <wp:docPr descr="" title="" id="68" name="Picture"/>
            <a:graphic>
              <a:graphicData uri="http://schemas.openxmlformats.org/drawingml/2006/picture">
                <pic:pic>
                  <pic:nvPicPr>
                    <pic:cNvPr descr="../../figures/manuscript/figure_13_gis_ecoregions.png" id="69" name="Picture"/>
                    <pic:cNvPicPr>
                      <a:picLocks noChangeArrowheads="1" noChangeAspect="1"/>
                    </pic:cNvPicPr>
                  </pic:nvPicPr>
                  <pic:blipFill>
                    <a:blip r:embed="rId67"/>
                    <a:stretch>
                      <a:fillRect/>
                    </a:stretch>
                  </pic:blipFill>
                  <pic:spPr bwMode="auto">
                    <a:xfrm>
                      <a:off x="0" y="0"/>
                      <a:ext cx="5943600" cy="6965430"/>
                    </a:xfrm>
                    <a:prstGeom prst="rect">
                      <a:avLst/>
                    </a:prstGeom>
                    <a:noFill/>
                    <a:ln w="9525">
                      <a:noFill/>
                      <a:headEnd/>
                      <a:tailEnd/>
                    </a:ln>
                  </pic:spPr>
                </pic:pic>
              </a:graphicData>
            </a:graphic>
          </wp:inline>
        </w:drawing>
      </w:r>
    </w:p>
    <w:p>
      <w:pPr>
        <w:pStyle w:val="BodyText"/>
      </w:pPr>
      <w:r>
        <w:rPr>
          <w:b/>
          <w:bCs/>
          <w:i/>
          <w:iCs/>
        </w:rPr>
        <w:t xml:space="preserve">Figure 13. Lower Mississippi Valley sites overlaid on EPA Level IV ecoregions: the static-diversity baseline.</w:t>
      </w:r>
      <w:r>
        <w:t xml:space="preserve"> </w:t>
      </w:r>
      <w:r>
        <w:rPr>
          <w:i/>
          <w:iCs/>
        </w:rPr>
        <w:t xml:space="preserve">Eleven Middle Archaic and Late Archaic sites (Table 2) shown with their 25 km foraging buffers on the EPA Level IV ecoregion polygon background (Omernik and Griffith 2014). Poverty Point (red star, solid red buffer) sits at the confluence of multiple Level IV polygons, including Macon Ridge (73j), Northern Holocene Meander Belts (73a), Northern Backswamps (73d), and the Mississippi alluvial valley.</w:t>
      </w:r>
      <w:r>
        <w:t xml:space="preserve"> </w:t>
      </w:r>
      <w:r>
        <w:rPr>
          <w:i/>
          <w:iCs/>
        </w:rPr>
        <w:t xml:space="preserve">Watson Brake’s buffer</w:t>
      </w:r>
      <w:r>
        <w:t xml:space="preserve"> </w:t>
      </w:r>
      <w:r>
        <w:rPr>
          <w:i/>
          <w:iCs/>
        </w:rPr>
        <w:t xml:space="preserve">crosses the highest count of distinct Level IV polygons (7) of any LMV site, with Caney (6) and Frenchman’s Bend (6) close behind. Polygon coloring is categorical and arbitrary; 38 distinct Level IV classes appear within the bounding box. The figure documents the static-diversity proxy used to compute the §6.4 screening result. We include it in the main text rather than supplemental because the visualization is the most direct way to see what the framework is and is not measuring at this resolution: the figure shows raw within-buffer ecoregion heterogeneity, which is the quantity the static rubric captures, but it does not capture the covariance-based multi-drainage shortfall buffering that the framework’s</w:t>
      </w:r>
      <w:r>
        <w:t xml:space="preserve"> </w:t>
      </w:r>
      <m:oMath>
        <m:r>
          <m:t>ε</m:t>
        </m:r>
      </m:oMath>
      <w:r>
        <w:t xml:space="preserve"> </w:t>
      </w:r>
      <w:r>
        <w:rPr>
          <w:i/>
          <w:iCs/>
        </w:rPr>
        <w:t xml:space="preserve">parameter encodes. The departure from static-diversity reasoning to covariance-based reasoning is the framework’s substantive methodological move; Figure 14B shows the operative quantity that follows from that move (independent shortfall regimes per site from §6.5’s USGS-gauge analysis).</w:t>
      </w:r>
    </w:p>
    <w:bookmarkEnd w:id="70"/>
    <w:bookmarkStart w:id="74" w:name="X62ee36a3d5e86fc568a32152b26941f80b6dbf7"/>
    <w:p>
      <w:pPr>
        <w:pStyle w:val="Heading3"/>
      </w:pPr>
      <w:r>
        <w:t xml:space="preserve">6.5 Multi-drainage shortfall buffering: USGS gauge analysis</w:t>
      </w:r>
    </w:p>
    <w:p>
      <w:pPr>
        <w:pStyle w:val="FirstParagraph"/>
      </w:pPr>
      <w:r>
        <w:t xml:space="preserve">The framework’s</w:t>
      </w:r>
      <w:r>
        <w:t xml:space="preserve"> </w:t>
      </w:r>
      <m:oMath>
        <m:r>
          <m:t>ε</m:t>
        </m:r>
      </m:oMath>
      <w:r>
        <w:t xml:space="preserve"> </w:t>
      </w:r>
      <w:r>
        <w:t xml:space="preserve">measures whether a site’s accessible resource zones produce well during years when resources in surrounding areas are in short supply. The mechanism is statistical: zones drawing on different shortfall drivers tend to be productive in different years, so a site that integrates multiple independent drivers is buffered against any single regional shock. The framework predicts aggregation should concentrate at sites where this kind of buffering is strongest. Poverty Point’s confluence position satisfies this in a way no other LMV site does: four canoe-accessible drainages (Bayou Maçon, Mississippi, Tensas, Yazoo) converge at PP. The Mississippi drains a continental basin and integrates snowmelt and storm-track variability across the central United States, while Bayou Maçon and the Tensas-Boeuf system are local-precipitation-driven sub-basins of Macon Ridge geomorphology, and the Yazoo Basin is structured by separate Loess Hills runoff and backwater flooding from the main Mississippi (Saucier 1994).</w:t>
      </w:r>
    </w:p>
    <w:p>
      <w:pPr>
        <w:pStyle w:val="BodyText"/>
      </w:pPr>
      <w:r>
        <w:t xml:space="preserve">Modern USGS gauge records establish that PP’s catchment integrates</w:t>
      </w:r>
      <w:r>
        <w:t xml:space="preserve"> </w:t>
      </w:r>
      <w:r>
        <w:rPr>
          <w:b/>
          <w:bCs/>
        </w:rPr>
        <w:t xml:space="preserve">three substantively independent drainage signals</w:t>
      </w:r>
      <w:r>
        <w:t xml:space="preserve"> </w:t>
      </w:r>
      <w:r>
        <w:t xml:space="preserve">rather than four: Bayou Maçon and the Tensas River are highly correlated (</w:t>
      </w:r>
      <m:oMath>
        <m:r>
          <m:t>r</m:t>
        </m:r>
        <m:r>
          <m:rPr>
            <m:sty m:val="p"/>
          </m:rPr>
          <m:t>=</m:t>
        </m:r>
        <m:r>
          <m:t>0.90</m:t>
        </m:r>
      </m:oMath>
      <w:r>
        <w:t xml:space="preserve"> </w:t>
      </w:r>
      <w:r>
        <w:t xml:space="preserve">on log-monthly anomalies, n = 93), reflecting their shared Macon-Ridge geomorphology, and function as a single</w:t>
      </w:r>
      <w:r>
        <w:t xml:space="preserve"> </w:t>
      </w:r>
      <w:r>
        <w:t xml:space="preserve">“Macon Ridge drainage system”</w:t>
      </w:r>
      <w:r>
        <w:t xml:space="preserve"> </w:t>
      </w:r>
      <w:r>
        <w:t xml:space="preserve">from the framework’s covariance-based</w:t>
      </w:r>
      <w:r>
        <w:t xml:space="preserve"> </w:t>
      </w:r>
      <m:oMath>
        <m:r>
          <m:t>ε</m:t>
        </m:r>
      </m:oMath>
      <w:r>
        <w:t xml:space="preserve"> </w:t>
      </w:r>
      <w:r>
        <w:t xml:space="preserve">standpoint. The genuinely independent regimes are the Macon Ridge system, the Yazoo Basin (uncorrelated with the Mississippi at</w:t>
      </w:r>
      <w:r>
        <w:t xml:space="preserve"> </w:t>
      </w:r>
      <m:oMath>
        <m:r>
          <m:t>r</m:t>
        </m:r>
        <m:r>
          <m:rPr>
            <m:sty m:val="p"/>
          </m:rPr>
          <m:t>=</m:t>
        </m:r>
        <m:r>
          <m:t>0.11</m:t>
        </m:r>
      </m:oMath>
      <w:r>
        <w:t xml:space="preserve">), and the Mississippi mainstem (partly shared with the Tensas at</w:t>
      </w:r>
      <w:r>
        <w:t xml:space="preserve"> </w:t>
      </w:r>
      <m:oMath>
        <m:r>
          <m:t>r</m:t>
        </m:r>
        <m:r>
          <m:rPr>
            <m:sty m:val="p"/>
          </m:rPr>
          <m:t>=</m:t>
        </m:r>
        <m:r>
          <m:t>0.34</m:t>
        </m:r>
      </m:oMath>
      <w:r>
        <w:t xml:space="preserve">). Simultaneous bottom-quartile flow across the three independent regimes occurs in only ~10% of months. PP still integrates more independent shortfall regimes than any other site in Table 2 (each interior LMV site accesses one regime), but the per-site advantage is</w:t>
      </w:r>
      <w:r>
        <w:t xml:space="preserve"> </w:t>
      </w:r>
      <w:r>
        <w:t xml:space="preserve">“three vs one”</w:t>
      </w:r>
      <w:r>
        <w:t xml:space="preserve"> </w:t>
      </w:r>
      <w:r>
        <w:t xml:space="preserve">rather than</w:t>
      </w:r>
      <w:r>
        <w:t xml:space="preserve"> </w:t>
      </w:r>
      <w:r>
        <w:t xml:space="preserve">“four vs one.”</w:t>
      </w:r>
      <w:r>
        <w:t xml:space="preserve"> </w:t>
      </w:r>
      <w:r>
        <w:t xml:space="preserve">Full pairwise correlation analysis in §S15.</w:t>
      </w:r>
    </w:p>
    <w:p>
      <w:pPr>
        <w:pStyle w:val="BodyText"/>
      </w:pPr>
      <w:r>
        <w:t xml:space="preserve">One assumption deserves explicit treatment. We use modern hydrograph data as a first-order proxy for Late Archaic drainage independence. Pre-channelization Mississippi-Yazoo correlations could plausibly have been higher than modern values (e.g., frequent overbank events synchronizing both systems through backwater flooding before levee construction) or lower (e.g., more independent floodplain hydrographs before 19th-20th-century channelization). To bound the sensitivity of the three-regime claim, we consider a case in which the Mississippi-Yazoo correlation is shifted upward by</w:t>
      </w:r>
      <w:r>
        <w:t xml:space="preserve"> </w:t>
      </w:r>
      <m:oMath>
        <m:r>
          <m:rPr>
            <m:sty m:val="p"/>
          </m:rPr>
          <m:t>Δ</m:t>
        </m:r>
        <m:r>
          <m:t>r</m:t>
        </m:r>
        <m:r>
          <m:rPr>
            <m:sty m:val="p"/>
          </m:rPr>
          <m:t>=</m:t>
        </m:r>
        <m:r>
          <m:rPr>
            <m:sty m:val="p"/>
          </m:rPr>
          <m:t>+</m:t>
        </m:r>
        <m:r>
          <m:t>0.30</m:t>
        </m:r>
      </m:oMath>
      <w:r>
        <w:t xml:space="preserve"> </w:t>
      </w:r>
      <w:r>
        <w:t xml:space="preserve">(from</w:t>
      </w:r>
      <w:r>
        <w:t xml:space="preserve"> </w:t>
      </w:r>
      <m:oMath>
        <m:r>
          <m:t>r</m:t>
        </m:r>
        <m:r>
          <m:rPr>
            <m:sty m:val="p"/>
          </m:rPr>
          <m:t>=</m:t>
        </m:r>
        <m:r>
          <m:t>0.11</m:t>
        </m:r>
      </m:oMath>
      <w:r>
        <w:t xml:space="preserve"> </w:t>
      </w:r>
      <w:r>
        <w:t xml:space="preserve">to</w:t>
      </w:r>
      <w:r>
        <w:t xml:space="preserve"> </w:t>
      </w:r>
      <m:oMath>
        <m:r>
          <m:t>r</m:t>
        </m:r>
        <m:r>
          <m:rPr>
            <m:sty m:val="p"/>
          </m:rPr>
          <m:t>=</m:t>
        </m:r>
        <m:r>
          <m:t>0.41</m:t>
        </m:r>
      </m:oMath>
      <w:r>
        <w:t xml:space="preserve">), the Yazoo and Mississippi remain substantively independent under any standard threshold (</w:t>
      </w:r>
      <m:oMath>
        <m:r>
          <m:t>r</m:t>
        </m:r>
        <m:r>
          <m:rPr>
            <m:sty m:val="p"/>
          </m:rPr>
          <m:t>&lt;</m:t>
        </m:r>
        <m:r>
          <m:t>0.50</m:t>
        </m:r>
      </m:oMath>
      <w:r>
        <w:t xml:space="preserve"> </w:t>
      </w:r>
      <w:r>
        <w:t xml:space="preserve">for</w:t>
      </w:r>
      <w:r>
        <w:t xml:space="preserve"> </w:t>
      </w:r>
      <w:r>
        <w:t xml:space="preserve">“uncorrelated”</w:t>
      </w:r>
      <w:r>
        <w:t xml:space="preserve">), and Poverty Point’s three-regime claim survives. At</w:t>
      </w:r>
      <w:r>
        <w:t xml:space="preserve"> </w:t>
      </w:r>
      <m:oMath>
        <m:r>
          <m:rPr>
            <m:sty m:val="p"/>
          </m:rPr>
          <m:t>Δ</m:t>
        </m:r>
        <m:r>
          <m:t>r</m:t>
        </m:r>
        <m:r>
          <m:rPr>
            <m:sty m:val="p"/>
          </m:rPr>
          <m:t>=</m:t>
        </m:r>
        <m:r>
          <m:rPr>
            <m:sty m:val="p"/>
          </m:rPr>
          <m:t>+</m:t>
        </m:r>
        <m:r>
          <m:t>0.50</m:t>
        </m:r>
      </m:oMath>
      <w:r>
        <w:t xml:space="preserve"> </w:t>
      </w:r>
      <w:r>
        <w:t xml:space="preserve">(</w:t>
      </w:r>
      <m:oMath>
        <m:r>
          <m:t>r</m:t>
        </m:r>
        <m:r>
          <m:rPr>
            <m:sty m:val="p"/>
          </m:rPr>
          <m:t>=</m:t>
        </m:r>
        <m:r>
          <m:t>0.61</m:t>
        </m:r>
      </m:oMath>
      <w:r>
        <w:t xml:space="preserve">), the Yazoo would collapse into the Mississippi regime as a single integrated system, reducing Poverty Point from three to two independent regimes. The</w:t>
      </w:r>
      <w:r>
        <w:t xml:space="preserve"> </w:t>
      </w:r>
      <w:r>
        <w:t xml:space="preserve">“unique multi-regime outlier”</w:t>
      </w:r>
      <w:r>
        <w:t xml:space="preserve"> </w:t>
      </w:r>
      <w:r>
        <w:t xml:space="preserve">framing among LMV mound sites (where every other interior site accesses one regime) survives as long as PP retains at least two independent regimes; that claim therefore holds under plausible upward shifts in paleo correlations up to</w:t>
      </w:r>
      <w:r>
        <w:t xml:space="preserve"> </w:t>
      </w:r>
      <m:oMath>
        <m:r>
          <m:rPr>
            <m:sty m:val="p"/>
          </m:rPr>
          <m:t>Δ</m:t>
        </m:r>
        <m:r>
          <m:t>r</m:t>
        </m:r>
        <m:r>
          <m:rPr>
            <m:sty m:val="p"/>
          </m:rPr>
          <m:t>≈</m:t>
        </m:r>
        <m:r>
          <m:rPr>
            <m:sty m:val="p"/>
          </m:rPr>
          <m:t>+</m:t>
        </m:r>
        <m:r>
          <m:t>0.50</m:t>
        </m:r>
      </m:oMath>
      <w:r>
        <w:t xml:space="preserve">. The three-regime-specific quantitative result requires that the modern correlation structure hold approximately; the qualitative multi-regime vs. single-regime contrast is robust to proxy uncertainty.</w:t>
      </w:r>
    </w:p>
    <w:p>
      <w:pPr>
        <w:pStyle w:val="BodyText"/>
      </w:pPr>
      <w:r>
        <w:t xml:space="preserve">When one regime is in short supply, the others typically are not. PP’s bands could therefore draw on more zones for more of the year, during the very critical periods when surrounding LMV locations were less productive. The shortfall regimes are ecologically as well as hydrologically distinct: the floodplain river bottoms (Bayou Maçon, Tensas, Mississippi mainstem, Yazoo Basin) experience flood-timing and seasonal-inundation shortfalls that drive aquatic productivity, while the Macon Ridge and other upland terrace surface experiences mast-failure and drought shortfalls in oak-hickory forest productivity. The modern USGS gauge correlation between the upland regime and the river-bottom drainages is moderate (</w:t>
      </w:r>
      <m:oMath>
        <m:r>
          <m:t>r</m:t>
        </m:r>
        <m:r>
          <m:rPr>
            <m:sty m:val="p"/>
          </m:rPr>
          <m:t>=</m:t>
        </m:r>
        <m:r>
          <m:t>0.45</m:t>
        </m:r>
      </m:oMath>
      <w:r>
        <w:t xml:space="preserve"> </w:t>
      </w:r>
      <w:r>
        <w:t xml:space="preserve">between Bayou Maçon and Upland;</w:t>
      </w:r>
      <w:r>
        <w:t xml:space="preserve"> </w:t>
      </w:r>
      <m:oMath>
        <m:r>
          <m:t>r</m:t>
        </m:r>
        <m:r>
          <m:rPr>
            <m:sty m:val="p"/>
          </m:rPr>
          <m:t>=</m:t>
        </m:r>
        <m:r>
          <m:t>0.30</m:t>
        </m:r>
      </m:oMath>
      <w:r>
        <w:t xml:space="preserve"> </w:t>
      </w:r>
      <w:r>
        <w:t xml:space="preserve">between Mississippi and Upland), well below the</w:t>
      </w:r>
      <w:r>
        <w:t xml:space="preserve"> </w:t>
      </w:r>
      <m:oMath>
        <m:r>
          <m:t>ρ</m:t>
        </m:r>
        <m:r>
          <m:rPr>
            <m:sty m:val="p"/>
          </m:rPr>
          <m:t>≥</m:t>
        </m:r>
        <m:r>
          <m:t>0.6</m:t>
        </m:r>
      </m:oMath>
      <w:r>
        <w:t xml:space="preserve"> </w:t>
      </w:r>
      <w:r>
        <w:t xml:space="preserve">threshold for treating two regimes as the same shortfall channel. We therefore count the Macon Ridge (or other) upland as an independent regime wherever a site has direct canoe-day access at weight</w:t>
      </w:r>
      <w:r>
        <w:t xml:space="preserve"> </w:t>
      </w:r>
      <m:oMath>
        <m:r>
          <m:rPr>
            <m:sty m:val="p"/>
          </m:rPr>
          <m:t>≥</m:t>
        </m:r>
        <m:r>
          <m:t>0.5</m:t>
        </m:r>
      </m:oMath>
      <w:r>
        <w:t xml:space="preserve">. Under this count, Poverty Point and Lower Jackson each integrate four independent regimes (Bayou Maçon clustered with Tensas at</w:t>
      </w:r>
      <w:r>
        <w:t xml:space="preserve"> </w:t>
      </w:r>
      <m:oMath>
        <m:r>
          <m:t>r</m:t>
        </m:r>
        <m:r>
          <m:rPr>
            <m:sty m:val="p"/>
          </m:rPr>
          <m:t>=</m:t>
        </m:r>
        <m:r>
          <m:t>0.90</m:t>
        </m:r>
      </m:oMath>
      <w:r>
        <w:t xml:space="preserve"> </w:t>
      </w:r>
      <w:r>
        <w:t xml:space="preserve">as one Macon-Ridge-bottom regime; Mississippi mainstem; Yazoo Basin; Macon Ridge upland); Insley and J.W. Copes (both on Macon Ridge in Franklin and Madison Parishes respectively) integrate two (one local Macon-Ridge-drainage regime plus upland); Jaketown integrates three (Yazoo Basin, Mississippi mainstem partial, Loess Bluffs upland to the east); Watson Brake and Frenchman’s Bend integrate two (Ouachita River-system regime plus the local Pleistocene-terrace upland); Caney integrates two (Catahoula tributary plus its local Pleistocene-terrace upland); Cowpen Slough integrates one (Red/Black confluence floodplain; no separate upland regime); the coastal Pearl River pair (Claiborne, Cedarland) integrates two (Pearl-River-estuarine/marsh system plus the Coastal Plain Upland Gulf Flatwoods, both structurally distinct from the LMV interior). Lower Jackson’s PP-comparable regime access, despite a single-band, single-event construction, is the case. §6.6 returns to: high</w:t>
      </w:r>
      <w:r>
        <w:t xml:space="preserve"> </w:t>
      </w:r>
      <m:oMath>
        <m:r>
          <m:t>ε</m:t>
        </m:r>
      </m:oMath>
      <w:r>
        <w:t xml:space="preserve"> </w:t>
      </w:r>
      <w:r>
        <w:t xml:space="preserve">is necessary but not sufficient for large-scale monument accumulation. Among LMV mound sites with substantial attained</w:t>
      </w:r>
      <w:r>
        <w:t xml:space="preserve"> </w:t>
      </w:r>
      <m:oMath>
        <m:sSub>
          <m:e>
            <m:r>
              <m:t>n</m:t>
            </m:r>
          </m:e>
          <m:sub>
            <m:r>
              <m:t>a</m:t>
            </m:r>
            <m:r>
              <m:t>g</m:t>
            </m:r>
            <m:r>
              <m:t>g</m:t>
            </m:r>
          </m:sub>
        </m:sSub>
      </m:oMath>
      <w:r>
        <w:t xml:space="preserve">, Poverty Point is the unique outlier on the joint</w:t>
      </w:r>
      <w:r>
        <w:t xml:space="preserve"> </w:t>
      </w:r>
      <m:oMath>
        <m:r>
          <m:t>ε</m:t>
        </m:r>
        <m:r>
          <m:rPr>
            <m:sty m:val="p"/>
          </m:rPr>
          <m:t>×</m:t>
        </m:r>
        <m:sSub>
          <m:e>
            <m:r>
              <m:t>n</m:t>
            </m:r>
          </m:e>
          <m:sub>
            <m:r>
              <m:t>a</m:t>
            </m:r>
            <m:r>
              <m:t>g</m:t>
            </m:r>
            <m:r>
              <m:t>g</m:t>
            </m:r>
          </m:sub>
        </m:sSub>
      </m:oMath>
      <w:r>
        <w:t xml:space="preserve"> </w:t>
      </w:r>
      <w:r>
        <w:t xml:space="preserve">surface, not on</w:t>
      </w:r>
      <w:r>
        <w:t xml:space="preserve"> </w:t>
      </w:r>
      <m:oMath>
        <m:r>
          <m:t>ε</m:t>
        </m:r>
      </m:oMath>
      <w:r>
        <w:t xml:space="preserve"> </w:t>
      </w:r>
      <w:r>
        <w:t xml:space="preserve">alone.</w:t>
      </w:r>
    </w:p>
    <w:p>
      <w:pPr>
        <w:pStyle w:val="BodyText"/>
      </w:pPr>
      <w:r>
        <w:drawing>
          <wp:inline>
            <wp:extent cx="5943600" cy="2876702"/>
            <wp:effectExtent b="0" l="0" r="0" t="0"/>
            <wp:docPr descr="" title="" id="72" name="Picture"/>
            <a:graphic>
              <a:graphicData uri="http://schemas.openxmlformats.org/drawingml/2006/picture">
                <pic:pic>
                  <pic:nvPicPr>
                    <pic:cNvPr descr="../../figures/manuscript/figure_14_multi_drainage.png" id="73" name="Picture"/>
                    <pic:cNvPicPr>
                      <a:picLocks noChangeArrowheads="1" noChangeAspect="1"/>
                    </pic:cNvPicPr>
                  </pic:nvPicPr>
                  <pic:blipFill>
                    <a:blip r:embed="rId71"/>
                    <a:stretch>
                      <a:fillRect/>
                    </a:stretch>
                  </pic:blipFill>
                  <pic:spPr bwMode="auto">
                    <a:xfrm>
                      <a:off x="0" y="0"/>
                      <a:ext cx="5943600" cy="2876702"/>
                    </a:xfrm>
                    <a:prstGeom prst="rect">
                      <a:avLst/>
                    </a:prstGeom>
                    <a:noFill/>
                    <a:ln w="9525">
                      <a:noFill/>
                      <a:headEnd/>
                      <a:tailEnd/>
                    </a:ln>
                  </pic:spPr>
                </pic:pic>
              </a:graphicData>
            </a:graphic>
          </wp:inline>
        </w:drawing>
      </w:r>
    </w:p>
    <w:p>
      <w:pPr>
        <w:pStyle w:val="BodyText"/>
      </w:pPr>
      <w:r>
        <w:rPr>
          <w:b/>
          <w:bCs/>
          <w:i/>
          <w:iCs/>
        </w:rPr>
        <w:t xml:space="preserve">Figure 14. Multi-drainage shortfall buffering across LMV mound-building sites.</w:t>
      </w:r>
      <w:r>
        <w:t xml:space="preserve"> </w:t>
      </w:r>
      <w:r>
        <w:rPr>
          <w:i/>
          <w:iCs/>
        </w:rPr>
        <w:t xml:space="preserve">(A) Shannon diversity index</w:t>
      </w:r>
      <w:r>
        <w:t xml:space="preserve"> </w:t>
      </w:r>
      <m:oMath>
        <m:r>
          <m:t>H</m:t>
        </m:r>
      </m:oMath>
      <w:r>
        <w:t xml:space="preserve"> </w:t>
      </w:r>
      <w:r>
        <w:rPr>
          <w:i/>
          <w:iCs/>
        </w:rPr>
        <w:t xml:space="preserve">(bars) and ordinal observed monument scale (dark diamonds, right axis: minimal/small/mid/very large) for the eleven sites in Table 2. The dotted green line marks the maximum possible Shannon entropy with five equally weighted zones (</w:t>
      </w:r>
      <m:oMath>
        <m:sSub>
          <m:e>
            <m:r>
              <m:t>H</m:t>
            </m:r>
          </m:e>
          <m:sub>
            <m:r>
              <m:rPr>
                <m:sty m:val="p"/>
              </m:rPr>
              <m:t>max</m:t>
            </m:r>
          </m:sub>
        </m:sSub>
        <m:r>
          <m:rPr>
            <m:sty m:val="p"/>
          </m:rPr>
          <m:t>=</m:t>
        </m:r>
        <m:r>
          <m:t>l</m:t>
        </m:r>
        <m:r>
          <m:t>n</m:t>
        </m:r>
        <m:r>
          <m:t>5</m:t>
        </m:r>
        <m:r>
          <m:rPr>
            <m:sty m:val="p"/>
          </m:rPr>
          <m:t>≈</m:t>
        </m:r>
        <m:r>
          <m:t>1.61</m:t>
        </m:r>
      </m:oMath>
      <w:r>
        <w:rPr>
          <w:i/>
          <w:iCs/>
        </w:rPr>
        <w:t xml:space="preserve">). All nine interior monument-building sites cluster in the</w:t>
      </w:r>
      <w:r>
        <w:t xml:space="preserve"> </w:t>
      </w:r>
      <m:oMath>
        <m:r>
          <m:t>H</m:t>
        </m:r>
        <m:r>
          <m:rPr>
            <m:sty m:val="p"/>
          </m:rPr>
          <m:t>≈</m:t>
        </m:r>
        <m:r>
          <m:t>1.30</m:t>
        </m:r>
        <m:r>
          <m:rPr>
            <m:nor/>
            <m:sty m:val="p"/>
          </m:rPr>
          <m:t>-</m:t>
        </m:r>
        <m:r>
          <m:t>1.58</m:t>
        </m:r>
      </m:oMath>
      <w:r>
        <w:t xml:space="preserve"> </w:t>
      </w:r>
      <w:r>
        <w:rPr>
          <w:i/>
          <w:iCs/>
        </w:rPr>
        <w:t xml:space="preserve">band; only the coastal Pearl River pair falls substantially lower. (B) Number of substantively independent shortfall regimes per site, derived from the modern USGS gauge correlation matrix (§S15) via</w:t>
      </w:r>
      <w:r>
        <w:t xml:space="preserve"> </w:t>
      </w:r>
      <m:oMath>
        <m:r>
          <m:t>ρ</m:t>
        </m:r>
        <m:r>
          <m:rPr>
            <m:sty m:val="p"/>
          </m:rPr>
          <m:t>≥</m:t>
        </m:r>
        <m:r>
          <m:t>0.6</m:t>
        </m:r>
      </m:oMath>
      <w:r>
        <w:t xml:space="preserve"> </w:t>
      </w:r>
      <w:r>
        <w:rPr>
          <w:i/>
          <w:iCs/>
        </w:rPr>
        <w:t xml:space="preserve">clustering at access</w:t>
      </w:r>
      <w:r>
        <w:t xml:space="preserve"> </w:t>
      </w:r>
      <m:oMath>
        <m:r>
          <m:rPr>
            <m:sty m:val="p"/>
          </m:rPr>
          <m:t>≥</m:t>
        </m:r>
        <m:r>
          <m:t>0.5</m:t>
        </m:r>
      </m:oMath>
      <w:r>
        <w:rPr>
          <w:i/>
          <w:iCs/>
        </w:rPr>
        <w:t xml:space="preserve">. Poverty Point and Lower Jackson each integrate four independent regimes (Bayou Maçon + Tensas at</w:t>
      </w:r>
      <w:r>
        <w:t xml:space="preserve"> </w:t>
      </w:r>
      <m:oMath>
        <m:r>
          <m:t>r</m:t>
        </m:r>
        <m:r>
          <m:rPr>
            <m:sty m:val="p"/>
          </m:rPr>
          <m:t>=</m:t>
        </m:r>
        <m:r>
          <m:t>0.90</m:t>
        </m:r>
      </m:oMath>
      <w:r>
        <w:t xml:space="preserve"> </w:t>
      </w:r>
      <w:r>
        <w:rPr>
          <w:i/>
          <w:iCs/>
        </w:rPr>
        <w:t xml:space="preserve">clustered as one Macon-Ridge-bottom regime; Mississippi mainstem; Yazoo Basin; Macon Ridge upland, where the upland mast-forest shortfall regime is ecologically distinct from the river-bottom flooding regimes). Jaketown integrates three; Watson Brake, Frenchman’s Bend, and the other interior sites integrate two each; the coastal Pearl River pair integrates one. Lower Jackson’s PP-comparable regime access combined with single-band, single-event construction is the case §6.6 develops; PP is the unique outlier on the joint</w:t>
      </w:r>
      <w:r>
        <w:t xml:space="preserve"> </w:t>
      </w:r>
      <m:oMath>
        <m:r>
          <m:t>ε</m:t>
        </m:r>
        <m:r>
          <m:rPr>
            <m:sty m:val="p"/>
          </m:rPr>
          <m:t>×</m:t>
        </m:r>
        <m:sSub>
          <m:e>
            <m:r>
              <m:t>n</m:t>
            </m:r>
          </m:e>
          <m:sub>
            <m:r>
              <m:t>a</m:t>
            </m:r>
            <m:r>
              <m:t>g</m:t>
            </m:r>
            <m:r>
              <m:t>g</m:t>
            </m:r>
          </m:sub>
        </m:sSub>
      </m:oMath>
      <w:r>
        <w:t xml:space="preserve"> </w:t>
      </w:r>
      <w:r>
        <w:rPr>
          <w:i/>
          <w:iCs/>
        </w:rPr>
        <w:t xml:space="preserve">surface rather than on</w:t>
      </w:r>
      <w:r>
        <w:t xml:space="preserve"> </w:t>
      </w:r>
      <m:oMath>
        <m:r>
          <m:t>ε</m:t>
        </m:r>
      </m:oMath>
      <w:r>
        <w:t xml:space="preserve"> </w:t>
      </w:r>
      <w:r>
        <w:rPr>
          <w:i/>
          <w:iCs/>
        </w:rPr>
        <w:t xml:space="preserve">alone. The contrast between Panel A (static-diversity proxy showing similar values across sites) and Panel B (multi-drainage shortfall buffering showing the framework’s actual operative quantity) makes the central methodological point: the static proxy does not differentiate the sites well because it does not measure the covariance-based shortfall buffering that the framework’s</w:t>
      </w:r>
      <w:r>
        <w:t xml:space="preserve"> </w:t>
      </w:r>
      <m:oMath>
        <m:r>
          <m:t>ε</m:t>
        </m:r>
      </m:oMath>
      <w:r>
        <w:t xml:space="preserve"> </w:t>
      </w:r>
      <w:r>
        <w:rPr>
          <w:i/>
          <w:iCs/>
        </w:rPr>
        <w:t xml:space="preserve">encodes.</w:t>
      </w:r>
    </w:p>
    <w:p>
      <w:pPr>
        <w:pStyle w:val="BodyText"/>
      </w:pPr>
      <w:r>
        <w:t xml:space="preserve">A defensible test of the magnitude prediction requires a covariance-based, water-route-aware operationalization (drainage-resolved hydrographs, species-level seasonal productivity, canoe-day isochrones) that the present article does not perform. We identify this step as the water-route-catchment component (§S17.4), with paleo-discharge-resolved follow-up flagged for future work in §7.4.</w:t>
      </w:r>
    </w:p>
    <w:bookmarkEnd w:id="74"/>
    <w:bookmarkStart w:id="75" w:name="Xf5ebd3565d45ee54b934b36bbe9030c10ae3eac"/>
    <w:p>
      <w:pPr>
        <w:pStyle w:val="Heading3"/>
      </w:pPr>
      <w:r>
        <w:t xml:space="preserve">6.6 Convergence dynamics and the magnitude limit</w:t>
      </w:r>
    </w:p>
    <w:p>
      <w:pPr>
        <w:pStyle w:val="FirstParagraph"/>
      </w:pPr>
      <w:r>
        <w:t xml:space="preserve">Magnitude variation among the high-</w:t>
      </w:r>
      <m:oMath>
        <m:r>
          <m:t>ε</m:t>
        </m:r>
      </m:oMath>
      <w:r>
        <w:t xml:space="preserve"> </w:t>
      </w:r>
      <w:r>
        <w:t xml:space="preserve">sites is set by two factors the static rubric does not measure: differential covariance-based</w:t>
      </w:r>
      <w:r>
        <w:t xml:space="preserve"> </w:t>
      </w:r>
      <m:oMath>
        <m:r>
          <m:t>ε</m:t>
        </m:r>
      </m:oMath>
      <w:r>
        <w:t xml:space="preserve"> </w:t>
      </w:r>
      <w:r>
        <w:t xml:space="preserve">(multi-drainage shortfall buffering, addressed in §6.5), and attained aggregation size</w:t>
      </w:r>
      <w:r>
        <w:t xml:space="preserve"> </w:t>
      </w:r>
      <m:oMath>
        <m:sSub>
          <m:e>
            <m:r>
              <m:t>n</m:t>
            </m:r>
          </m:e>
          <m:sub>
            <m:r>
              <m:t>a</m:t>
            </m:r>
            <m:r>
              <m:t>g</m:t>
            </m:r>
            <m:r>
              <m:t>g</m:t>
            </m:r>
          </m:sub>
        </m:sSub>
      </m:oMath>
      <w:r>
        <w:t xml:space="preserve"> </w:t>
      </w:r>
      <w:r>
        <w:t xml:space="preserve">via convergence dynamics. The convergence dimension is itself substantive. Lower Jackson, with the second-highest static</w:t>
      </w:r>
      <w:r>
        <w:t xml:space="preserve"> </w:t>
      </w:r>
      <m:oMath>
        <m:r>
          <m:t>H</m:t>
        </m:r>
      </m:oMath>
      <w:r>
        <w:t xml:space="preserve"> </w:t>
      </w:r>
      <w:r>
        <w:t xml:space="preserve">in the LMV, is a single isolated mound built ~5,500 cal BP and represents a single-band or single-event construction with no associated evidence of residential activity or exchange (Saunders et al. 2001). Watson Brake, J.W. Copes, and Jaketown all sit in the high-</w:t>
      </w:r>
      <m:oMath>
        <m:r>
          <m:t>ε</m:t>
        </m:r>
      </m:oMath>
      <w:r>
        <w:t xml:space="preserve"> </w:t>
      </w:r>
      <w:r>
        <w:t xml:space="preserve">band but never achieved comparable scale. Poverty Point’s primacy follows from the combination of confluence-based shortfall buffering with a uniquely large attained</w:t>
      </w:r>
      <w:r>
        <w:t xml:space="preserve"> </w:t>
      </w:r>
      <m:oMath>
        <m:sSub>
          <m:e>
            <m:r>
              <m:t>n</m:t>
            </m:r>
          </m:e>
          <m:sub>
            <m:r>
              <m:t>a</m:t>
            </m:r>
            <m:r>
              <m:t>g</m:t>
            </m:r>
            <m:r>
              <m:t>g</m:t>
            </m:r>
          </m:sub>
        </m:sSub>
      </m:oMath>
      <w:r>
        <w:t xml:space="preserve">, driven by the convergence of multiple cultural traditions documented by Grooms et al. (2023) and Kidder and Grooms (2024). Of the high-</w:t>
      </w:r>
      <m:oMath>
        <m:r>
          <m:t>ε</m:t>
        </m:r>
      </m:oMath>
      <w:r>
        <w:t xml:space="preserve"> </w:t>
      </w:r>
      <w:r>
        <w:t xml:space="preserve">LMV sites, Poverty Point is the one that drew bands from across the midcontinent. The others operated at much smaller</w:t>
      </w:r>
      <w:r>
        <w:t xml:space="preserve"> </w:t>
      </w:r>
      <m:oMath>
        <m:sSub>
          <m:e>
            <m:r>
              <m:t>n</m:t>
            </m:r>
          </m:e>
          <m:sub>
            <m:r>
              <m:t>a</m:t>
            </m:r>
            <m:r>
              <m:t>g</m:t>
            </m:r>
            <m:r>
              <m:t>g</m:t>
            </m:r>
          </m:sub>
        </m:sSub>
      </m:oMath>
      <w:r>
        <w:t xml:space="preserve">, which the framework predicts produces correspondingly smaller fitness differentials and equilibrium monument stocks.</w:t>
      </w:r>
    </w:p>
    <w:p>
      <w:pPr>
        <w:pStyle w:val="BodyText"/>
      </w:pPr>
      <w:r>
        <w:t xml:space="preserve">The framework’s joint</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t xml:space="preserve"> </w:t>
      </w:r>
      <w:r>
        <w:t xml:space="preserve">formula (§2.4) lets us compute the predicted equilibrium monument stock at each Table 2 site using each site’s</w:t>
      </w:r>
      <w:r>
        <w:t xml:space="preserve"> </w:t>
      </w:r>
      <m:oMath>
        <m:r>
          <m:t>ε</m:t>
        </m:r>
      </m:oMath>
      <w:r>
        <w:t xml:space="preserve"> </w:t>
      </w:r>
      <w:r>
        <w:t xml:space="preserve">value from the static rubric and an</w:t>
      </w:r>
      <w:r>
        <w:t xml:space="preserve"> </w:t>
      </w:r>
      <m:oMath>
        <m:sSub>
          <m:e>
            <m:r>
              <m:t>n</m:t>
            </m:r>
          </m:e>
          <m:sub>
            <m:r>
              <m:t>a</m:t>
            </m:r>
            <m:r>
              <m:t>g</m:t>
            </m:r>
            <m:r>
              <m:t>g</m:t>
            </m:r>
          </m:sub>
        </m:sSub>
      </m:oMath>
      <w:r>
        <w:t xml:space="preserve"> </w:t>
      </w:r>
      <w:r>
        <w:t xml:space="preserve">value from the convergence-model literature (PP</w:t>
      </w:r>
      <w:r>
        <w:t xml:space="preserve"> </w:t>
      </w:r>
      <m:oMath>
        <m:r>
          <m:rPr>
            <m:sty m:val="p"/>
          </m:rPr>
          <m:t>≈</m:t>
        </m:r>
        <m:r>
          <m:t>25</m:t>
        </m:r>
      </m:oMath>
      <w:r>
        <w:t xml:space="preserve">; Jaketown</w:t>
      </w:r>
      <w:r>
        <w:t xml:space="preserve"> </w:t>
      </w:r>
      <m:oMath>
        <m:r>
          <m:rPr>
            <m:sty m:val="p"/>
          </m:rPr>
          <m:t>≈</m:t>
        </m:r>
        <m:r>
          <m:t>5</m:t>
        </m:r>
      </m:oMath>
      <w:r>
        <w:t xml:space="preserve"> </w:t>
      </w:r>
      <w:r>
        <w:t xml:space="preserve">to</w:t>
      </w:r>
      <w:r>
        <w:t xml:space="preserve"> </w:t>
      </w:r>
      <m:oMath>
        <m:r>
          <m:t>10</m:t>
        </m:r>
      </m:oMath>
      <w:r>
        <w:t xml:space="preserve">; Watson Brake</w:t>
      </w:r>
      <w:r>
        <w:t xml:space="preserve"> </w:t>
      </w:r>
      <m:oMath>
        <m:r>
          <m:rPr>
            <m:sty m:val="p"/>
          </m:rPr>
          <m:t>≈</m:t>
        </m:r>
        <m:r>
          <m:t>8</m:t>
        </m:r>
      </m:oMath>
      <w:r>
        <w:t xml:space="preserve">; Lower Jackson, Caney, Insley, Frenchman’s Bend, J.W. Copes, Cowpen Slough</w:t>
      </w:r>
      <w:r>
        <w:t xml:space="preserve"> </w:t>
      </w:r>
      <m:oMath>
        <m:r>
          <m:rPr>
            <m:sty m:val="p"/>
          </m:rPr>
          <m:t>≈</m:t>
        </m:r>
        <m:r>
          <m:t>2</m:t>
        </m:r>
      </m:oMath>
      <w:r>
        <w:t xml:space="preserve"> </w:t>
      </w:r>
      <w:r>
        <w:t xml:space="preserve">to</w:t>
      </w:r>
      <w:r>
        <w:t xml:space="preserve"> </w:t>
      </w:r>
      <m:oMath>
        <m:r>
          <m:t>5</m:t>
        </m:r>
      </m:oMath>
      <w:r>
        <w:t xml:space="preserve">; Pearl River pair</w:t>
      </w:r>
      <w:r>
        <w:t xml:space="preserve"> </w:t>
      </w:r>
      <m:oMath>
        <m:r>
          <m:rPr>
            <m:sty m:val="p"/>
          </m:rPr>
          <m:t>≈</m:t>
        </m:r>
        <m:r>
          <m:t>5</m:t>
        </m:r>
      </m:oMath>
      <w:r>
        <w:t xml:space="preserve"> </w:t>
      </w:r>
      <w:r>
        <w:t xml:space="preserve">to</w:t>
      </w:r>
      <w:r>
        <w:t xml:space="preserve"> </w:t>
      </w:r>
      <m:oMath>
        <m:r>
          <m:t>8</m:t>
        </m:r>
      </m:oMath>
      <w:r>
        <w:t xml:space="preserve"> </w:t>
      </w:r>
      <w:r>
        <w:t xml:space="preserve">pre-shell-ring). The rank correlation between predicted and observed scale across the eleven sites is high, with</w:t>
      </w:r>
      <w:r>
        <w:t xml:space="preserve"> </w:t>
      </w:r>
      <m:oMath>
        <m:r>
          <m:t>ρ</m:t>
        </m:r>
      </m:oMath>
      <w:r>
        <w:t xml:space="preserve"> </w:t>
      </w:r>
      <w:r>
        <w:t xml:space="preserve">ranging from</w:t>
      </w:r>
      <w:r>
        <w:t xml:space="preserve"> </w:t>
      </w:r>
      <m:oMath>
        <m:r>
          <m:rPr>
            <m:sty m:val="p"/>
          </m:rPr>
          <m:t>+</m:t>
        </m:r>
        <m:r>
          <m:t>0.85</m:t>
        </m:r>
      </m:oMath>
      <w:r>
        <w:t xml:space="preserve"> </w:t>
      </w:r>
      <w:r>
        <w:t xml:space="preserve">to</w:t>
      </w:r>
      <w:r>
        <w:t xml:space="preserve"> </w:t>
      </w:r>
      <m:oMath>
        <m:r>
          <m:rPr>
            <m:sty m:val="p"/>
          </m:rPr>
          <m:t>+</m:t>
        </m:r>
        <m:r>
          <m:t>0.91</m:t>
        </m:r>
      </m:oMath>
      <w:r>
        <w:t xml:space="preserve"> </w:t>
      </w:r>
      <w:r>
        <w:t xml:space="preserve">(depending on whether the observed scale is treated as an ordinal class or an absolute volume).</w:t>
      </w:r>
    </w:p>
    <w:p>
      <w:pPr>
        <w:pStyle w:val="BodyText"/>
      </w:pPr>
      <w:r>
        <w:t xml:space="preserve">While this result appears to be a strong magnitude prediction, it is not. The two predictors that go into</w:t>
      </w:r>
      <w:r>
        <w:t xml:space="preserve"> </w:t>
      </w:r>
      <m:oMath>
        <m:sSub>
          <m:e>
            <m:r>
              <m:t>M</m:t>
            </m:r>
          </m:e>
          <m:sub>
            <m:r>
              <m:t>g</m:t>
            </m:r>
          </m:sub>
        </m:sSub>
      </m:oMath>
      <w:r>
        <w:t xml:space="preserve">, the framework’s</w:t>
      </w:r>
      <w:r>
        <w:t xml:space="preserve"> </w:t>
      </w:r>
      <m:oMath>
        <m:r>
          <m:t>ε</m:t>
        </m:r>
      </m:oMath>
      <w:r>
        <w:t xml:space="preserve"> </w:t>
      </w:r>
      <w:r>
        <w:t xml:space="preserve">and the imported</w:t>
      </w:r>
      <w:r>
        <w:t xml:space="preserve"> </w:t>
      </w:r>
      <m:oMath>
        <m:sSub>
          <m:e>
            <m:r>
              <m:t>n</m:t>
            </m:r>
          </m:e>
          <m:sub>
            <m:r>
              <m:t>a</m:t>
            </m:r>
            <m:r>
              <m:t>g</m:t>
            </m:r>
            <m:r>
              <m:t>g</m:t>
            </m:r>
          </m:sub>
        </m:sSub>
      </m:oMath>
      <w:r>
        <w:t xml:space="preserve">, are not independent contributors to the joint correlation; we need to ask how much</w:t>
      </w:r>
      <w:r>
        <w:t xml:space="preserve"> </w:t>
      </w:r>
      <m:oMath>
        <m:r>
          <m:t>ε</m:t>
        </m:r>
      </m:oMath>
      <w:r>
        <w:t xml:space="preserve"> </w:t>
      </w:r>
      <w:r>
        <w:t xml:space="preserve">adds</w:t>
      </w:r>
      <w:r>
        <w:t xml:space="preserve"> </w:t>
      </w:r>
      <w:r>
        <w:rPr>
          <w:i/>
          <w:iCs/>
        </w:rPr>
        <w:t xml:space="preserve">given that we already know</w:t>
      </w:r>
      <w:r>
        <w:t xml:space="preserve"> </w:t>
      </w:r>
      <m:oMath>
        <m:sSub>
          <m:e>
            <m:r>
              <m:t>n</m:t>
            </m:r>
          </m:e>
          <m:sub>
            <m:r>
              <m:t>a</m:t>
            </m:r>
            <m:r>
              <m:t>g</m:t>
            </m:r>
            <m:r>
              <m:t>g</m:t>
            </m:r>
          </m:sub>
        </m:sSub>
      </m:oMath>
      <w:r>
        <w:t xml:space="preserve">. The standard statistical tool for this is partial correlation, which measures the association between two variables after accounting for the effect of a third variable. If</w:t>
      </w:r>
      <w:r>
        <w:t xml:space="preserve"> </w:t>
      </w:r>
      <m:oMath>
        <m:sSub>
          <m:e>
            <m:r>
              <m:t>n</m:t>
            </m:r>
          </m:e>
          <m:sub>
            <m:r>
              <m:t>a</m:t>
            </m:r>
            <m:r>
              <m:t>g</m:t>
            </m:r>
            <m:r>
              <m:t>g</m:t>
            </m:r>
          </m:sub>
        </m:sSub>
      </m:oMath>
      <w:r>
        <w:t xml:space="preserve"> </w:t>
      </w:r>
      <w:r>
        <w:t xml:space="preserve">alone is doing all the predictive work, then knowing</w:t>
      </w:r>
      <w:r>
        <w:t xml:space="preserve"> </w:t>
      </w:r>
      <m:oMath>
        <m:r>
          <m:t>ε</m:t>
        </m:r>
      </m:oMath>
      <w:r>
        <w:t xml:space="preserve"> </w:t>
      </w:r>
      <w:r>
        <w:t xml:space="preserve">on top of</w:t>
      </w:r>
      <w:r>
        <w:t xml:space="preserve"> </w:t>
      </w:r>
      <m:oMath>
        <m:sSub>
          <m:e>
            <m:r>
              <m:t>n</m:t>
            </m:r>
          </m:e>
          <m:sub>
            <m:r>
              <m:t>a</m:t>
            </m:r>
            <m:r>
              <m:t>g</m:t>
            </m:r>
            <m:r>
              <m:t>g</m:t>
            </m:r>
          </m:sub>
        </m:sSub>
      </m:oMath>
      <w:r>
        <w:t xml:space="preserve"> </w:t>
      </w:r>
      <w:r>
        <w:t xml:space="preserve">should add nothing, and the partial correlation between</w:t>
      </w:r>
      <w:r>
        <w:t xml:space="preserve"> </w:t>
      </w:r>
      <m:oMath>
        <m:r>
          <m:t>ε</m:t>
        </m:r>
      </m:oMath>
      <w:r>
        <w:t xml:space="preserve"> </w:t>
      </w:r>
      <w:r>
        <w:t xml:space="preserve">and observed scale (holding</w:t>
      </w:r>
      <w:r>
        <w:t xml:space="preserve"> </w:t>
      </w:r>
      <m:oMath>
        <m:sSub>
          <m:e>
            <m:r>
              <m:t>n</m:t>
            </m:r>
          </m:e>
          <m:sub>
            <m:r>
              <m:t>a</m:t>
            </m:r>
            <m:r>
              <m:t>g</m:t>
            </m:r>
            <m:r>
              <m:t>g</m:t>
            </m:r>
          </m:sub>
        </m:sSub>
      </m:oMath>
      <w:r>
        <w:t xml:space="preserve"> </w:t>
      </w:r>
      <w:r>
        <w:t xml:space="preserve">constant) should be near zero.</w:t>
      </w:r>
    </w:p>
    <w:p>
      <w:pPr>
        <w:pStyle w:val="BodyText"/>
      </w:pPr>
      <w:r>
        <w:t xml:space="preserve">This result is what the analysis returns. The framework’s</w:t>
      </w:r>
      <w:r>
        <w:t xml:space="preserve"> </w:t>
      </w:r>
      <m:oMath>
        <m:r>
          <m:t>ε</m:t>
        </m:r>
      </m:oMath>
      <w:r>
        <w:t xml:space="preserve"> </w:t>
      </w:r>
      <w:r>
        <w:t xml:space="preserve">contributes essentially no marginal predictive power once</w:t>
      </w:r>
      <w:r>
        <w:t xml:space="preserve"> </w:t>
      </w:r>
      <m:oMath>
        <m:sSub>
          <m:e>
            <m:r>
              <m:t>n</m:t>
            </m:r>
          </m:e>
          <m:sub>
            <m:r>
              <m:t>a</m:t>
            </m:r>
            <m:r>
              <m:t>g</m:t>
            </m:r>
            <m:r>
              <m:t>g</m:t>
            </m:r>
          </m:sub>
        </m:sSub>
      </m:oMath>
      <w:r>
        <w:t xml:space="preserve"> </w:t>
      </w:r>
      <w:r>
        <w:t xml:space="preserve">it is in hand. The joint correlation is driven by</w:t>
      </w:r>
      <w:r>
        <w:t xml:space="preserve"> </w:t>
      </w:r>
      <m:oMath>
        <m:sSub>
          <m:e>
            <m:r>
              <m:t>n</m:t>
            </m:r>
          </m:e>
          <m:sub>
            <m:r>
              <m:t>a</m:t>
            </m:r>
            <m:r>
              <m:t>g</m:t>
            </m:r>
            <m:r>
              <m:t>g</m:t>
            </m:r>
          </m:sub>
        </m:sSub>
      </m:oMath>
      <w:r>
        <w:t xml:space="preserve">, is imported from the convergence-model literature rather than deriving from first principles. Full analysis is in the project repository.</w:t>
      </w:r>
    </w:p>
    <w:p>
      <w:pPr>
        <w:pStyle w:val="BodyText"/>
      </w:pPr>
      <w:r>
        <w:rPr>
          <w:b/>
          <w:bCs/>
        </w:rPr>
        <w:t xml:space="preserve">Table 3.</w:t>
      </w:r>
      <w:r>
        <w:t xml:space="preserve"> </w:t>
      </w:r>
      <w:r>
        <w:rPr>
          <w:i/>
          <w:iCs/>
        </w:rPr>
        <w:t xml:space="preserve">Partial-correlation decomposition of the §6.6 joint magnitude result.</w:t>
      </w:r>
      <w:r>
        <w:t xml:space="preserve"> </w:t>
      </w:r>
      <w:r>
        <w:rPr>
          <w:i/>
          <w:iCs/>
        </w:rPr>
        <w:t xml:space="preserve">Zero-order correlations are computed against observed monument scale (ordinal: minimal/small/mid/very-large) and observed monument volume (m³, log scale). Partial correlations control for the indicated covariate. The marginal contribution of</w:t>
      </w:r>
      <w:r>
        <w:t xml:space="preserve"> </w:t>
      </w:r>
      <m:oMath>
        <m:r>
          <m:t>ε</m:t>
        </m:r>
      </m:oMath>
      <w:r>
        <w:t xml:space="preserve"> </w:t>
      </w:r>
      <w:r>
        <w:rPr>
          <w:i/>
          <w:iCs/>
        </w:rPr>
        <w:t xml:space="preserve">given</w:t>
      </w:r>
      <w:r>
        <w:t xml:space="preserve"> </w:t>
      </w:r>
      <m:oMath>
        <m:sSub>
          <m:e>
            <m:r>
              <m:t>n</m:t>
            </m:r>
          </m:e>
          <m:sub>
            <m:r>
              <m:t>a</m:t>
            </m:r>
            <m:r>
              <m:t>g</m:t>
            </m:r>
            <m:r>
              <m:t>g</m:t>
            </m:r>
          </m:sub>
        </m:sSub>
      </m:oMath>
      <w:r>
        <w:t xml:space="preserve"> </w:t>
      </w:r>
      <w:r>
        <w:rPr>
          <w:i/>
          <w:iCs/>
        </w:rPr>
        <w:t xml:space="preserve">is at most</w:t>
      </w:r>
      <w:r>
        <w:t xml:space="preserve"> </w:t>
      </w:r>
      <m:oMath>
        <m:r>
          <m:rPr>
            <m:sty m:val="p"/>
          </m:rPr>
          <m:t>+</m:t>
        </m:r>
        <m:r>
          <m:t>0.03</m:t>
        </m:r>
      </m:oMath>
      <w:r>
        <w:t xml:space="preserve"> </w:t>
      </w:r>
      <w:r>
        <w:rPr>
          <w:i/>
          <w:iCs/>
        </w:rPr>
        <w:t xml:space="preserve">across all three</w:t>
      </w:r>
      <w:r>
        <w:t xml:space="preserve"> </w:t>
      </w:r>
      <m:oMath>
        <m:r>
          <m:t>ε</m:t>
        </m:r>
      </m:oMath>
      <w:r>
        <w:t xml:space="preserve"> </w:t>
      </w:r>
      <w:r>
        <w:rPr>
          <w:i/>
          <w:iCs/>
        </w:rPr>
        <w:t xml:space="preserve">operationalizations.</w:t>
      </w:r>
    </w:p>
    <w:tbl>
      <w:tblPr>
        <w:tblStyle w:val="Table"/>
        <w:tblW w:type="pct" w:w="4968"/>
        <w:tblLayout w:type="fixed"/>
        <w:tblLook w:firstRow="1" w:lastRow="0" w:firstColumn="0" w:lastColumn="0" w:noHBand="0" w:noVBand="0" w:val="0020"/>
      </w:tblPr>
      <w:tblGrid>
        <w:gridCol w:w="1440"/>
        <w:gridCol w:w="1182"/>
        <w:gridCol w:w="1208"/>
        <w:gridCol w:w="2005"/>
        <w:gridCol w:w="2031"/>
      </w:tblGrid>
      <w:tr>
        <w:trPr>
          <w:tblHeader w:val="on"/>
        </w:trPr>
        <w:tc>
          <w:tcPr/>
          <w:p>
            <w:pPr>
              <w:pStyle w:val="Compact"/>
              <w:jc w:val="left"/>
            </w:pPr>
            <w:r>
              <w:rPr>
                <w:b/>
                <w:bCs/>
              </w:rPr>
              <w:t xml:space="preserve">Predictor</w:t>
            </w:r>
          </w:p>
        </w:tc>
        <w:tc>
          <w:tcPr/>
          <w:p>
            <w:pPr>
              <w:pStyle w:val="Compact"/>
              <w:jc w:val="center"/>
            </w:pPr>
            <w:r>
              <w:rPr>
                <w:b/>
                <w:bCs/>
              </w:rPr>
              <w:t xml:space="preserve">Zero-order</w:t>
            </w:r>
            <w:r>
              <w:t xml:space="preserve"> </w:t>
            </w:r>
            <m:oMath>
              <m:r>
                <m:rPr>
                  <m:sty m:val="bi"/>
                </m:rPr>
                <m:t>ρ</m:t>
              </m:r>
            </m:oMath>
            <w:r>
              <w:t xml:space="preserve"> </w:t>
            </w:r>
            <w:r>
              <w:rPr>
                <w:b/>
                <w:bCs/>
              </w:rPr>
              <w:t xml:space="preserve">vs scale</w:t>
            </w:r>
          </w:p>
        </w:tc>
        <w:tc>
          <w:tcPr/>
          <w:p>
            <w:pPr>
              <w:pStyle w:val="Compact"/>
              <w:jc w:val="center"/>
            </w:pPr>
            <w:r>
              <w:rPr>
                <w:b/>
                <w:bCs/>
              </w:rPr>
              <w:t xml:space="preserve">Zero-order</w:t>
            </w:r>
            <w:r>
              <w:t xml:space="preserve"> </w:t>
            </w:r>
            <m:oMath>
              <m:r>
                <m:rPr>
                  <m:sty m:val="bi"/>
                </m:rPr>
                <m:t>ρ</m:t>
              </m:r>
            </m:oMath>
            <w:r>
              <w:t xml:space="preserve"> </w:t>
            </w:r>
            <w:r>
              <w:rPr>
                <w:b/>
                <w:bCs/>
              </w:rPr>
              <w:t xml:space="preserve">vs volume</w:t>
            </w:r>
          </w:p>
        </w:tc>
        <w:tc>
          <w:tcPr/>
          <w:p>
            <w:pPr>
              <w:pStyle w:val="Compact"/>
              <w:jc w:val="center"/>
            </w:pPr>
            <w:r>
              <w:rPr>
                <w:b/>
                <w:bCs/>
              </w:rPr>
              <w:t xml:space="preserve">Partial</w:t>
            </w:r>
            <w:r>
              <w:t xml:space="preserve"> </w:t>
            </w:r>
            <m:oMath>
              <m:r>
                <m:rPr>
                  <m:sty m:val="bi"/>
                </m:rPr>
                <m:t>ρ</m:t>
              </m:r>
            </m:oMath>
            <w:r>
              <w:t xml:space="preserve"> </w:t>
            </w:r>
            <w:r>
              <w:rPr>
                <w:b/>
                <w:bCs/>
              </w:rPr>
              <w:t xml:space="preserve">vs scale, given</w:t>
            </w:r>
            <w:r>
              <w:t xml:space="preserve"> </w:t>
            </w:r>
            <m:oMath>
              <m:sSub>
                <m:e>
                  <m:r>
                    <m:rPr>
                      <m:sty m:val="bi"/>
                    </m:rPr>
                    <m:t>n</m:t>
                  </m:r>
                </m:e>
                <m:sub>
                  <m:r>
                    <m:rPr>
                      <m:sty m:val="bi"/>
                    </m:rPr>
                    <m:t>a</m:t>
                  </m:r>
                  <m:r>
                    <m:rPr>
                      <m:sty m:val="bi"/>
                    </m:rPr>
                    <m:t>g</m:t>
                  </m:r>
                  <m:r>
                    <m:rPr>
                      <m:sty m:val="bi"/>
                    </m:rPr>
                    <m:t>g</m:t>
                  </m:r>
                </m:sub>
              </m:sSub>
            </m:oMath>
          </w:p>
        </w:tc>
        <w:tc>
          <w:tcPr/>
          <w:p>
            <w:pPr>
              <w:pStyle w:val="Compact"/>
              <w:jc w:val="center"/>
            </w:pPr>
            <w:r>
              <w:rPr>
                <w:b/>
                <w:bCs/>
              </w:rPr>
              <w:t xml:space="preserve">Partial</w:t>
            </w:r>
            <w:r>
              <w:t xml:space="preserve"> </w:t>
            </w:r>
            <m:oMath>
              <m:r>
                <m:rPr>
                  <m:sty m:val="bi"/>
                </m:rPr>
                <m:t>ρ</m:t>
              </m:r>
            </m:oMath>
            <w:r>
              <w:t xml:space="preserve"> </w:t>
            </w:r>
            <w:r>
              <w:rPr>
                <w:b/>
                <w:bCs/>
              </w:rPr>
              <w:t xml:space="preserve">vs volume, given</w:t>
            </w:r>
            <w:r>
              <w:t xml:space="preserve"> </w:t>
            </w:r>
            <m:oMath>
              <m:sSub>
                <m:e>
                  <m:r>
                    <m:rPr>
                      <m:sty m:val="bi"/>
                    </m:rPr>
                    <m:t>n</m:t>
                  </m:r>
                </m:e>
                <m:sub>
                  <m:r>
                    <m:rPr>
                      <m:sty m:val="bi"/>
                    </m:rPr>
                    <m:t>a</m:t>
                  </m:r>
                  <m:r>
                    <m:rPr>
                      <m:sty m:val="bi"/>
                    </m:rPr>
                    <m:t>g</m:t>
                  </m:r>
                  <m:r>
                    <m:rPr>
                      <m:sty m:val="bi"/>
                    </m:rPr>
                    <m:t>g</m:t>
                  </m:r>
                </m:sub>
              </m:sSub>
            </m:oMath>
          </w:p>
        </w:tc>
      </w:tr>
      <w:tr>
        <w:tc>
          <w:tcPr/>
          <w:p>
            <w:pPr>
              <w:pStyle w:val="Compact"/>
              <w:jc w:val="left"/>
            </w:pPr>
            <m:oMath>
              <m:sSub>
                <m:e>
                  <m:r>
                    <m:t>n</m:t>
                  </m:r>
                </m:e>
                <m:sub>
                  <m:r>
                    <m:t>a</m:t>
                  </m:r>
                  <m:r>
                    <m:t>g</m:t>
                  </m:r>
                  <m:r>
                    <m:t>g</m:t>
                  </m:r>
                </m:sub>
              </m:sSub>
            </m:oMath>
            <w:r>
              <w:t xml:space="preserve"> </w:t>
            </w:r>
            <w:r>
              <w:t xml:space="preserve">alone (convergence model)</w:t>
            </w:r>
          </w:p>
        </w:tc>
        <w:tc>
          <w:tcPr/>
          <w:p>
            <w:pPr>
              <w:pStyle w:val="Compact"/>
              <w:jc w:val="center"/>
            </w:pPr>
            <m:oMathPara>
              <m:oMathParaPr>
                <m:jc m:val="center"/>
              </m:oMathParaPr>
              <m:oMath>
                <m:r>
                  <m:rPr>
                    <m:sty m:val="p"/>
                  </m:rPr>
                  <m:t>+</m:t>
                </m:r>
                <m:r>
                  <m:t>0.87</m:t>
                </m:r>
              </m:oMath>
            </m:oMathPara>
          </w:p>
        </w:tc>
        <w:tc>
          <w:tcPr/>
          <w:p>
            <w:pPr>
              <w:pStyle w:val="Compact"/>
              <w:jc w:val="center"/>
            </w:pPr>
            <m:oMathPara>
              <m:oMathParaPr>
                <m:jc m:val="center"/>
              </m:oMathParaPr>
              <m:oMath>
                <m:r>
                  <m:rPr>
                    <m:sty m:val="p"/>
                  </m:rPr>
                  <m:t>+</m:t>
                </m:r>
                <m:r>
                  <m:t>0.89</m:t>
                </m:r>
              </m:oMath>
            </m:oMathPara>
          </w:p>
        </w:tc>
        <w:tc>
          <w:tcPr/>
          <w:p>
            <w:pPr>
              <w:pStyle w:val="Compact"/>
              <w:jc w:val="center"/>
            </w:pPr>
            <w:r>
              <w:t xml:space="preserve">—</w:t>
            </w:r>
          </w:p>
        </w:tc>
        <w:tc>
          <w:tcPr/>
          <w:p>
            <w:pPr>
              <w:pStyle w:val="Compact"/>
              <w:jc w:val="center"/>
            </w:pPr>
            <w:r>
              <w:t xml:space="preserve">—</w:t>
            </w:r>
          </w:p>
        </w:tc>
      </w:tr>
      <w:tr>
        <w:tc>
          <w:tcPr/>
          <w:p>
            <w:pPr>
              <w:pStyle w:val="Compact"/>
              <w:jc w:val="left"/>
            </w:pPr>
            <m:oMath>
              <m:r>
                <m:t>ε</m:t>
              </m:r>
            </m:oMath>
            <w:r>
              <w:t xml:space="preserve"> </w:t>
            </w:r>
            <w:r>
              <w:t xml:space="preserve">(Shannon-rubric, §S6)</w:t>
            </w:r>
          </w:p>
        </w:tc>
        <w:tc>
          <w:tcPr/>
          <w:p>
            <w:pPr>
              <w:pStyle w:val="Compact"/>
              <w:jc w:val="center"/>
            </w:pPr>
            <m:oMathPara>
              <m:oMathParaPr>
                <m:jc m:val="center"/>
              </m:oMathParaPr>
              <m:oMath>
                <m:r>
                  <m:rPr>
                    <m:sty m:val="p"/>
                  </m:rPr>
                  <m:t>+</m:t>
                </m:r>
                <m:r>
                  <m:t>0.39</m:t>
                </m:r>
              </m:oMath>
            </m:oMathPara>
          </w:p>
        </w:tc>
        <w:tc>
          <w:tcPr/>
          <w:p>
            <w:pPr>
              <w:pStyle w:val="Compact"/>
              <w:jc w:val="center"/>
            </w:pPr>
            <m:oMathPara>
              <m:oMathParaPr>
                <m:jc m:val="center"/>
              </m:oMathParaPr>
              <m:oMath>
                <m:r>
                  <m:rPr>
                    <m:sty m:val="p"/>
                  </m:rPr>
                  <m:t>+</m:t>
                </m:r>
                <m:r>
                  <m:t>0.44</m:t>
                </m:r>
              </m:oMath>
            </m:oMathPara>
          </w:p>
        </w:tc>
        <w:tc>
          <w:tcPr/>
          <w:p>
            <w:pPr>
              <w:pStyle w:val="Compact"/>
              <w:jc w:val="center"/>
            </w:pPr>
            <m:oMathPara>
              <m:oMathParaPr>
                <m:jc m:val="center"/>
              </m:oMathParaPr>
              <m:oMath>
                <m:r>
                  <m:rPr>
                    <m:sty m:val="p"/>
                  </m:rPr>
                  <m:t>−</m:t>
                </m:r>
                <m:r>
                  <m:t>0.009</m:t>
                </m:r>
              </m:oMath>
            </m:oMathPara>
          </w:p>
        </w:tc>
        <w:tc>
          <w:tcPr/>
          <w:p>
            <w:pPr>
              <w:pStyle w:val="Compact"/>
              <w:jc w:val="center"/>
            </w:pPr>
            <m:oMathPara>
              <m:oMathParaPr>
                <m:jc m:val="center"/>
              </m:oMathParaPr>
              <m:oMath>
                <m:r>
                  <m:rPr>
                    <m:sty m:val="p"/>
                  </m:rPr>
                  <m:t>−</m:t>
                </m:r>
                <m:r>
                  <m:t>0.005</m:t>
                </m:r>
              </m:oMath>
            </m:oMathPara>
          </w:p>
        </w:tc>
      </w:tr>
      <w:tr>
        <w:tc>
          <w:tcPr/>
          <w:p>
            <w:pPr>
              <w:pStyle w:val="Compact"/>
              <w:jc w:val="left"/>
            </w:pPr>
            <m:oMath>
              <m:r>
                <m:t>ε</m:t>
              </m:r>
            </m:oMath>
            <w:r>
              <w:t xml:space="preserve"> </w:t>
            </w:r>
            <w:r>
              <w:t xml:space="preserve">(EPA Level IV, §S12)</w:t>
            </w:r>
          </w:p>
        </w:tc>
        <w:tc>
          <w:tcPr/>
          <w:p>
            <w:pPr>
              <w:pStyle w:val="Compact"/>
              <w:jc w:val="center"/>
            </w:pPr>
            <m:oMathPara>
              <m:oMathParaPr>
                <m:jc m:val="center"/>
              </m:oMathParaPr>
              <m:oMath>
                <m:r>
                  <m:rPr>
                    <m:sty m:val="p"/>
                  </m:rPr>
                  <m:t>−</m:t>
                </m:r>
                <m:r>
                  <m:t>0.01</m:t>
                </m:r>
              </m:oMath>
            </m:oMathPara>
          </w:p>
        </w:tc>
        <w:tc>
          <w:tcPr/>
          <w:p>
            <w:pPr>
              <w:pStyle w:val="Compact"/>
              <w:jc w:val="center"/>
            </w:pPr>
            <m:oMathPara>
              <m:oMathParaPr>
                <m:jc m:val="center"/>
              </m:oMathParaPr>
              <m:oMath>
                <m:r>
                  <m:rPr>
                    <m:sty m:val="p"/>
                  </m:rPr>
                  <m:t>−</m:t>
                </m:r>
                <m:r>
                  <m:t>0.19</m:t>
                </m:r>
              </m:oMath>
            </m:oMathPara>
          </w:p>
        </w:tc>
        <w:tc>
          <w:tcPr/>
          <w:p>
            <w:pPr>
              <w:pStyle w:val="Compact"/>
              <w:jc w:val="center"/>
            </w:pPr>
            <m:oMathPara>
              <m:oMathParaPr>
                <m:jc m:val="center"/>
              </m:oMathParaPr>
              <m:oMath>
                <m:r>
                  <m:rPr>
                    <m:sty m:val="p"/>
                  </m:rPr>
                  <m:t>−</m:t>
                </m:r>
                <m:r>
                  <m:t>0.005</m:t>
                </m:r>
              </m:oMath>
            </m:oMathPara>
          </w:p>
        </w:tc>
        <w:tc>
          <w:tcPr/>
          <w:p>
            <w:pPr>
              <w:pStyle w:val="Compact"/>
              <w:jc w:val="center"/>
            </w:pPr>
            <m:oMathPara>
              <m:oMathParaPr>
                <m:jc m:val="center"/>
              </m:oMathParaPr>
              <m:oMath>
                <m:r>
                  <m:rPr>
                    <m:sty m:val="p"/>
                  </m:rPr>
                  <m:t>−</m:t>
                </m:r>
                <m:r>
                  <m:t>0.010</m:t>
                </m:r>
              </m:oMath>
            </m:oMathPara>
          </w:p>
        </w:tc>
      </w:tr>
      <w:tr>
        <w:tc>
          <w:tcPr/>
          <w:p>
            <w:pPr>
              <w:pStyle w:val="Compact"/>
              <w:jc w:val="left"/>
            </w:pPr>
            <m:oMath>
              <m:r>
                <m:t>ε</m:t>
              </m:r>
            </m:oMath>
            <w:r>
              <w:t xml:space="preserve"> </w:t>
            </w:r>
            <w:r>
              <w:t xml:space="preserve">(phenology, §S16)</w:t>
            </w:r>
          </w:p>
        </w:tc>
        <w:tc>
          <w:tcPr/>
          <w:p>
            <w:pPr>
              <w:pStyle w:val="Compact"/>
              <w:jc w:val="center"/>
            </w:pPr>
            <m:oMathPara>
              <m:oMathParaPr>
                <m:jc m:val="center"/>
              </m:oMathParaPr>
              <m:oMath>
                <m:r>
                  <m:rPr>
                    <m:sty m:val="p"/>
                  </m:rPr>
                  <m:t>−</m:t>
                </m:r>
                <m:r>
                  <m:t>0.21</m:t>
                </m:r>
              </m:oMath>
            </m:oMathPara>
          </w:p>
        </w:tc>
        <w:tc>
          <w:tcPr/>
          <w:p>
            <w:pPr>
              <w:pStyle w:val="Compact"/>
              <w:jc w:val="center"/>
            </w:pPr>
            <m:oMathPara>
              <m:oMathParaPr>
                <m:jc m:val="center"/>
              </m:oMathParaPr>
              <m:oMath>
                <m:r>
                  <m:rPr>
                    <m:sty m:val="p"/>
                  </m:rPr>
                  <m:t>−</m:t>
                </m:r>
                <m:r>
                  <m:t>0.05</m:t>
                </m:r>
              </m:oMath>
            </m:oMathPara>
          </w:p>
        </w:tc>
        <w:tc>
          <w:tcPr/>
          <w:p>
            <w:pPr>
              <w:pStyle w:val="Compact"/>
              <w:jc w:val="center"/>
            </w:pPr>
            <m:oMathPara>
              <m:oMathParaPr>
                <m:jc m:val="center"/>
              </m:oMathParaPr>
              <m:oMath>
                <m:r>
                  <m:rPr>
                    <m:sty m:val="p"/>
                  </m:rPr>
                  <m:t>+</m:t>
                </m:r>
                <m:r>
                  <m:t>0.005</m:t>
                </m:r>
              </m:oMath>
            </m:oMathPara>
          </w:p>
        </w:tc>
        <w:tc>
          <w:tcPr/>
          <w:p>
            <w:pPr>
              <w:pStyle w:val="Compact"/>
              <w:jc w:val="center"/>
            </w:pPr>
            <m:oMathPara>
              <m:oMathParaPr>
                <m:jc m:val="center"/>
              </m:oMathParaPr>
              <m:oMath>
                <m:r>
                  <m:rPr>
                    <m:sty m:val="p"/>
                  </m:rPr>
                  <m:t>+</m:t>
                </m:r>
                <m:r>
                  <m:t>0.005</m:t>
                </m:r>
              </m:oMath>
            </m:oMathPara>
          </w:p>
        </w:tc>
      </w:tr>
      <w:tr>
        <w:tc>
          <w:tcPr/>
          <w:p>
            <w:pPr>
              <w:pStyle w:val="Compact"/>
              <w:jc w:val="left"/>
            </w:pPr>
            <w:r>
              <w:t xml:space="preserve">Joint</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t xml:space="preserve">, model equilibrium</w:t>
            </w:r>
          </w:p>
        </w:tc>
        <w:tc>
          <w:tcPr/>
          <w:p>
            <w:pPr>
              <w:pStyle w:val="Compact"/>
              <w:jc w:val="center"/>
            </w:pPr>
            <m:oMathPara>
              <m:oMathParaPr>
                <m:jc m:val="center"/>
              </m:oMathParaPr>
              <m:oMath>
                <m:r>
                  <m:rPr>
                    <m:sty m:val="p"/>
                  </m:rPr>
                  <m:t>+</m:t>
                </m:r>
                <m:r>
                  <m:t>0.85</m:t>
                </m:r>
              </m:oMath>
            </m:oMathPara>
          </w:p>
        </w:tc>
        <w:tc>
          <w:tcPr/>
          <w:p>
            <w:pPr>
              <w:pStyle w:val="Compact"/>
              <w:jc w:val="center"/>
            </w:pPr>
            <m:oMathPara>
              <m:oMathParaPr>
                <m:jc m:val="center"/>
              </m:oMathParaPr>
              <m:oMath>
                <m:r>
                  <m:rPr>
                    <m:sty m:val="p"/>
                  </m:rPr>
                  <m:t>+</m:t>
                </m:r>
                <m:r>
                  <m:t>0.89</m:t>
                </m:r>
              </m:oMath>
            </m:oMathPara>
          </w:p>
        </w:tc>
        <w:tc>
          <w:tcPr/>
          <w:p>
            <w:pPr>
              <w:pStyle w:val="Compact"/>
              <w:jc w:val="center"/>
            </w:pPr>
            <w:r>
              <w:t xml:space="preserve">—</w:t>
            </w:r>
          </w:p>
        </w:tc>
        <w:tc>
          <w:tcPr/>
          <w:p>
            <w:pPr>
              <w:pStyle w:val="Compact"/>
              <w:jc w:val="center"/>
            </w:pPr>
            <w:r>
              <w:t xml:space="preserve">—</w:t>
            </w:r>
          </w:p>
        </w:tc>
      </w:tr>
    </w:tbl>
    <w:p>
      <w:pPr>
        <w:pStyle w:val="BodyText"/>
      </w:pPr>
      <w:r>
        <w:t xml:space="preserve">The framework’s</w:t>
      </w:r>
      <w:r>
        <w:t xml:space="preserve"> </w:t>
      </w:r>
      <m:oMath>
        <m:r>
          <m:t>ε</m:t>
        </m:r>
      </m:oMath>
      <w:r>
        <w:t xml:space="preserve"> </w:t>
      </w:r>
      <w:r>
        <w:t xml:space="preserve">is therefore not predicting cross-site magnitude in any substantive sense; the convergence-model literature is. The joint</w:t>
      </w:r>
      <w:r>
        <w:t xml:space="preserve"> </w:t>
      </w:r>
      <m:oMath>
        <m:r>
          <m:t>ρ</m:t>
        </m:r>
      </m:oMath>
      <w:r>
        <w:t xml:space="preserve"> </w:t>
      </w:r>
      <w:r>
        <w:t xml:space="preserve">result is a</w:t>
      </w:r>
      <w:r>
        <w:t xml:space="preserve"> </w:t>
      </w:r>
      <w:r>
        <w:rPr>
          <w:i/>
          <w:iCs/>
        </w:rPr>
        <w:t xml:space="preserve">within-model consistency demonstration</w:t>
      </w:r>
      <w:r>
        <w:t xml:space="preserve"> </w:t>
      </w:r>
      <w:r>
        <w:t xml:space="preserve">that the framework’s equilibrium</w:t>
      </w:r>
      <w:r>
        <w:t xml:space="preserve"> </w:t>
      </w:r>
      <m:oMath>
        <m:sSub>
          <m:e>
            <m:r>
              <m:t>M</m:t>
            </m:r>
          </m:e>
          <m:sub>
            <m:r>
              <m:t>g</m:t>
            </m:r>
          </m:sub>
        </m:sSub>
      </m:oMath>
      <w:r>
        <w:t xml:space="preserve"> </w:t>
      </w:r>
      <w:r>
        <w:t xml:space="preserve">tracks</w:t>
      </w:r>
      <w:r>
        <w:t xml:space="preserve"> </w:t>
      </w:r>
      <m:oMath>
        <m:sSub>
          <m:e>
            <m:r>
              <m:t>n</m:t>
            </m:r>
          </m:e>
          <m:sub>
            <m:r>
              <m:t>a</m:t>
            </m:r>
            <m:r>
              <m:t>g</m:t>
            </m:r>
            <m:r>
              <m:t>g</m:t>
            </m:r>
          </m:sub>
        </m:sSub>
      </m:oMath>
      <w:r>
        <w:t xml:space="preserve"> </w:t>
      </w:r>
      <w:r>
        <w:t xml:space="preserve">in the expected direction. It is not an independent prediction of cross-site magnitude by the framework.</w:t>
      </w:r>
    </w:p>
    <w:p>
      <w:pPr>
        <w:pStyle w:val="BodyText"/>
      </w:pPr>
      <w:r>
        <w:t xml:space="preserve">This finding makes a central concession: the framework predicts the necessity and tempo of threshold crossing, not cross-site magnitude. The</w:t>
      </w:r>
      <w:r>
        <w:t xml:space="preserve"> </w:t>
      </w:r>
      <m:oMath>
        <m:r>
          <m:t>ε</m:t>
        </m:r>
      </m:oMath>
      <w:r>
        <w:t xml:space="preserve"> </w:t>
      </w:r>
      <w:r>
        <w:t xml:space="preserve">parameter is a necessity-condition variable. It asks whether a site’s combination of accessible resource zones, with their independent shortfall regimes, is sufficient for aggregation to persist there at all, rather than how large the resulting investment will be. The screening test it supports (interior monument-building sites meet the necessity threshold, while the coastal Pearl River pair does not) carries the inferential weight. Tests against magnitude were never the right tests of the framework’s</w:t>
      </w:r>
      <w:r>
        <w:t xml:space="preserve"> </w:t>
      </w:r>
      <m:oMath>
        <m:r>
          <m:t>ε</m:t>
        </m:r>
      </m:oMath>
      <w:r>
        <w:t xml:space="preserve">. The structural-vs-contingent decomposition that organizes this finding parallels Sassaman’s (2005) structure-event-process framework: both readings agree that the necessary structural conditions are met across multiple LMV sites and that the historically realized concentration at Poverty Point is set by contingent convergence dynamics. The two readings disagree about the</w:t>
      </w:r>
      <w:r>
        <w:t xml:space="preserve"> </w:t>
      </w:r>
      <w:r>
        <w:rPr>
          <w:i/>
          <w:iCs/>
        </w:rPr>
        <w:t xml:space="preserve">weight</w:t>
      </w:r>
      <w:r>
        <w:t xml:space="preserve"> </w:t>
      </w:r>
      <w:r>
        <w:t xml:space="preserve">of the structural register. We do not know how much of the LMV pattern the structural conditions actually account for and whether the convergence dynamics themselves can be derived from the structural conditions or must be imported from outside. The disagreement is therefore not over the decomposition itself but over what fraction of the explanatory work each register does. We engage that contested weight in §7.2 and identify the prospectively discriminating evidence that might be observable in future work.</w:t>
      </w:r>
    </w:p>
    <w:bookmarkEnd w:id="75"/>
    <w:bookmarkStart w:id="79" w:name="X20bc1f8d56baa9dea36b05d8d71cc214adb46ca"/>
    <w:p>
      <w:pPr>
        <w:pStyle w:val="Heading3"/>
      </w:pPr>
      <w:r>
        <w:t xml:space="preserve">6.7 Within-year aggregation timing (plausibility check, not independent test)</w:t>
      </w:r>
    </w:p>
    <w:p>
      <w:pPr>
        <w:pStyle w:val="FirstParagraph"/>
      </w:pPr>
      <w:r>
        <w:t xml:space="preserve">The framework’s annual cycle in the ABM defaults to aggregating in summer, with bands dispersing back to home territories for fall harvest, winter, and spring. A within-year monthly time-step model (§S17.6) generates the framework’s predicted timing of aggregation for comparison with the published archaeological evidence. We flag this section as a plausibility check rather than an empirical test because the available evidence does not directly constrain seasonality at the Poverty Point monumental core. Faunal preservation at the type-site is poor because acidic soils dissolve bone, so direct seasonality determinations from faunal remains are not available, regardless of which excavator looked. Thomas and Campbell (1978) worked at peripheral Poverty Point-period sites where the same preservation problem precluded seasonality work on bone; their plant-remains analysis is consistent with fall-winter occupation, possibly extending into summer, with no plant evidence for spring, on the basis of which they inferred band dispersal during spring and possibly until late summer. Jackson did not analyze faunal material from the type-site itself; at the J.W. Copes site, his statements range from a possible mid-winter abandonment to year-round occupation (Jackson 1986). The published evidence base therefore establishes a peripheral-site fall-winter (possibly summer) signal with inferred spring dispersal, not a direct fall-winter aggregation pattern at the monumental core, and the path to direct constraint runs through non-faunal seasonality proxies rather than reanalysis of bone.</w:t>
      </w:r>
    </w:p>
    <w:p>
      <w:pPr>
        <w:pStyle w:val="BodyText"/>
      </w:pPr>
      <w:r>
        <w:t xml:space="preserve">The within-year analysis rests on a regional phenology calendar of five resource peaks driven by independent climate and ecological mechanisms (Figure 15A): hardwood mast (fall), spring fish spawn, summer aquatic productivity, falling-water aquatic concentration (late summer to early fall), and migratory waterfowl (separate fall and spring migration peaks). Each LMV site’s access to these peaks depends on which canoe-accessible drainages and habitats sit within reach during each month (Figure 15B). The site-level distinction the framework cares about is not how many resource zones a site contains within a 25 km terrestrial buffer (the static-diversity proxies of §6.4 measure that), but how many</w:t>
      </w:r>
      <w:r>
        <w:t xml:space="preserve"> </w:t>
      </w:r>
      <w:r>
        <w:rPr>
          <w:i/>
          <w:iCs/>
        </w:rPr>
        <w:t xml:space="preserve">independent</w:t>
      </w:r>
      <w:r>
        <w:t xml:space="preserve"> </w:t>
      </w:r>
      <w:r>
        <w:t xml:space="preserve">peak windows it integrates: peaks driven by different mechanisms tend not to fail in the same year, which is what produces the negative covariance the framework’s</w:t>
      </w:r>
      <w:r>
        <w:t xml:space="preserve"> </w:t>
      </w:r>
      <m:oMath>
        <m:r>
          <m:t>ε</m:t>
        </m:r>
      </m:oMath>
      <w:r>
        <w:t xml:space="preserve"> </w:t>
      </w:r>
      <w:r>
        <w:t xml:space="preserve">encodes.</w:t>
      </w:r>
    </w:p>
    <w:p>
      <w:pPr>
        <w:pStyle w:val="BodyText"/>
      </w:pPr>
      <w:r>
        <w:t xml:space="preserve">The temporal-peak access pattern across LMV sites is shown in Figure 15. Panel C reports a weighted peak-access sum (each of the five peak windows contributes 1.0 for full access, 0.5 for partial single-drainage access, 0.0 for no direct access; maximum 5.0). Poverty Point sits at the maximum (5.0); J.W. Copes and Jaketown follow at 4.0; Lower Jackson at 3.5; Watson Brake and Cowpen Slough at 3.0; Frenchman’s Bend and Insley at 2.5; Caney, Claiborne, and Cedarland at 2.0. The weighted sum graduates the partial-access codings that a binary count collapses, and produces a hierarchy that places PP alone at the top and grades the remaining sites by how much of the regional peak-access profile they integrate. The discrimination operative for the framework’s</w:t>
      </w:r>
      <w:r>
        <w:t xml:space="preserve"> </w:t>
      </w:r>
      <m:oMath>
        <m:r>
          <m:t>ε</m:t>
        </m:r>
      </m:oMath>
      <w:r>
        <w:t xml:space="preserve"> </w:t>
      </w:r>
      <w:r>
        <w:t xml:space="preserve">parameter combines this peak-breadth signal with the multi-drainage redundancy visible in Panel B: each peak window at PP is contributed by multiple independent canoe-accessible drainages, producing a higher per-month peak-access weight (warmer cells) than at sites where the same peak window is contributed by a single drainage. Lower Jackson’s intermediate weighted-sum value (3.5), combined with its single-band, single-event construction, reinforces the §6.6 finding that high</w:t>
      </w:r>
      <w:r>
        <w:t xml:space="preserve"> </w:t>
      </w:r>
      <m:oMath>
        <m:r>
          <m:t>ε</m:t>
        </m:r>
      </m:oMath>
      <w:r>
        <w:t xml:space="preserve"> </w:t>
      </w:r>
      <w:r>
        <w:t xml:space="preserve">access is necessary but not sufficient for sustained large-scale aggregation; PP is the unique outlier on the joint</w:t>
      </w:r>
      <w:r>
        <w:t xml:space="preserve"> </w:t>
      </w:r>
      <m:oMath>
        <m:r>
          <m:t>ε</m:t>
        </m:r>
        <m:r>
          <m:rPr>
            <m:sty m:val="p"/>
          </m:rPr>
          <m:t>×</m:t>
        </m:r>
        <m:sSub>
          <m:e>
            <m:r>
              <m:t>n</m:t>
            </m:r>
          </m:e>
          <m:sub>
            <m:r>
              <m:t>a</m:t>
            </m:r>
            <m:r>
              <m:t>g</m:t>
            </m:r>
            <m:r>
              <m:t>g</m:t>
            </m:r>
          </m:sub>
        </m:sSub>
      </m:oMath>
      <w:r>
        <w:t xml:space="preserve"> </w:t>
      </w:r>
      <w:r>
        <w:t xml:space="preserve">surface, not on</w:t>
      </w:r>
      <w:r>
        <w:t xml:space="preserve"> </w:t>
      </w:r>
      <m:oMath>
        <m:r>
          <m:t>ε</m:t>
        </m:r>
      </m:oMath>
      <w:r>
        <w:t xml:space="preserve"> </w:t>
      </w:r>
      <w:r>
        <w:t xml:space="preserve">alone. Full per-site coding and analysis are in §S16.</w:t>
      </w:r>
    </w:p>
    <w:p>
      <w:pPr>
        <w:pStyle w:val="BodyText"/>
      </w:pPr>
      <w:r>
        <w:t xml:space="preserve">We acknowledge a structural caveat. The minimal phenology calendar places the mast peak window from Webb (1982) and Jackson (1986) as Sep-Nov, then ranks months by integer count of overlapping peak windows under the framework’s threshold logic. The peripheral-site plant-remains interpretation of Thomas and Campbell (1978) draws on the same primary sources, so the</w:t>
      </w:r>
      <w:r>
        <w:t xml:space="preserve"> </w:t>
      </w:r>
      <w:r>
        <w:t xml:space="preserve">“match”</w:t>
      </w:r>
      <w:r>
        <w:t xml:space="preserve"> </w:t>
      </w:r>
      <w:r>
        <w:t xml:space="preserve">between the extension’s top-3 months (October, September, November) and the published fall-winter interpretation reflects the same calendar rather than an independent test. The minimal extension serves as a</w:t>
      </w:r>
      <w:r>
        <w:t xml:space="preserve"> </w:t>
      </w:r>
      <w:r>
        <w:rPr>
          <w:i/>
          <w:iCs/>
        </w:rPr>
        <w:t xml:space="preserve">plausibility check</w:t>
      </w:r>
      <w:r>
        <w:t xml:space="preserve"> </w:t>
      </w:r>
      <w:r>
        <w:t xml:space="preserve">on the framework’s logic rather than an independent prediction of the seasonal pattern.</w:t>
      </w:r>
    </w:p>
    <w:p>
      <w:pPr>
        <w:pStyle w:val="BodyText"/>
      </w:pPr>
      <w:r>
        <w:t xml:space="preserve">The seasonally resolved component (§S17.6) generates one falsifiable prediction. The framework’s broader-window output shows a substantial aggregation share in spring fish spawning (Mar-May) and summer aquatic months (Jun-Aug), in tension with the peripheral-site plant-remains-based inference of spring dispersal (Thomas and Campbell 1978). Because acidic soils have dissolved the bone, this tension cannot be adjudicated by faunal seasonality analysis at the monumental core. The falsifiable test is therefore new research using non-faunal seasonality proxies, including macrobotanical assemblages from new excavations, phytolith and pollen records from contexts that preserve those signatures, stable-isotope sequencing of preserved tooth or shell where present, and microbotanical residues. An exclusively fall-winter signal across multiple such proxies would tension with the framework’s predicted multi-peak aggregation, while a multi-peak signal across mast, fish-spawning, and summer aquatic months would be consistent with it. We identify this as a falsifiable test (§7.4) that requires new fieldwork and analysis using non-faunal methods rather than reanalysis of existing faunal collections.</w:t>
      </w:r>
    </w:p>
    <w:p>
      <w:pPr>
        <w:pStyle w:val="BodyText"/>
      </w:pPr>
      <w:r>
        <w:drawing>
          <wp:inline>
            <wp:extent cx="5943600" cy="4399354"/>
            <wp:effectExtent b="0" l="0" r="0" t="0"/>
            <wp:docPr descr="" title="" id="77" name="Picture"/>
            <a:graphic>
              <a:graphicData uri="http://schemas.openxmlformats.org/drawingml/2006/picture">
                <pic:pic>
                  <pic:nvPicPr>
                    <pic:cNvPr descr="../../figures/manuscript/figure_15_seasonal_phenology.png" id="78" name="Picture"/>
                    <pic:cNvPicPr>
                      <a:picLocks noChangeArrowheads="1" noChangeAspect="1"/>
                    </pic:cNvPicPr>
                  </pic:nvPicPr>
                  <pic:blipFill>
                    <a:blip r:embed="rId76"/>
                    <a:stretch>
                      <a:fillRect/>
                    </a:stretch>
                  </pic:blipFill>
                  <pic:spPr bwMode="auto">
                    <a:xfrm>
                      <a:off x="0" y="0"/>
                      <a:ext cx="5943600" cy="4399354"/>
                    </a:xfrm>
                    <a:prstGeom prst="rect">
                      <a:avLst/>
                    </a:prstGeom>
                    <a:noFill/>
                    <a:ln w="9525">
                      <a:noFill/>
                      <a:headEnd/>
                      <a:tailEnd/>
                    </a:ln>
                  </pic:spPr>
                </pic:pic>
              </a:graphicData>
            </a:graphic>
          </wp:inline>
        </w:drawing>
      </w:r>
    </w:p>
    <w:p>
      <w:pPr>
        <w:pStyle w:val="BodyText"/>
      </w:pPr>
      <w:r>
        <w:rPr>
          <w:b/>
          <w:bCs/>
          <w:i/>
          <w:iCs/>
        </w:rPr>
        <w:t xml:space="preserve">Figure 15. Seasonal phenology of LMV resource peaks and site-level access.</w:t>
      </w:r>
      <w:r>
        <w:t xml:space="preserve"> </w:t>
      </w:r>
      <w:r>
        <w:rPr>
          <w:i/>
          <w:iCs/>
        </w:rPr>
        <w:t xml:space="preserve">(A) Five resource-peak windows in the Lower Mississippi Valley driven by independent climate and ecological mechanisms (per Webb 1982, Jackson 1986, Ward et al. 2022): hardwood mast (HM, brown), spring fish spawn (SFS, blue), summer aquatic (SA, green), falling-water aquatic concentration (FWA, purple), and migratory waterfowl (WF, red; fall and spring migrations are shown separately). (B) Site-by-month resource access matrix for the eleven LMV sites in Table 2; cell darkness encodes the number of resource peaks accessible to each site that month, weighted by access fraction (full = 1.0, partial = 0.5; per-site coding in §S16). (C) Weighted peak-access sum per site (each of the five peak windows contributes 1.0 for full access, 0.5 for partial single-drainage access; maximum 5.0). Poverty Point alone at 5.0; J.W. Copes and Jaketown at 4.0; Lower Jackson at 3.5; Watson Brake and Cowpen Slough at 3.0; Frenchman’s Bend and Insley at 2.5; Caney, Claiborne, and Cedarland at 2.0. The weighted sum graduates partial-access codings that a binary count collapses, producing a hierarchy that combines peak breadth (how many peak types the site reaches) and access depth (full vs partial). Discrimination operative for the framework’s</w:t>
      </w:r>
      <w:r>
        <w:t xml:space="preserve"> </w:t>
      </w:r>
      <m:oMath>
        <m:r>
          <m:t>ε</m:t>
        </m:r>
      </m:oMath>
      <w:r>
        <w:t xml:space="preserve"> </w:t>
      </w:r>
      <w:r>
        <w:rPr>
          <w:i/>
          <w:iCs/>
        </w:rPr>
        <w:t xml:space="preserve">parameter combines this peak-breadth signal with the multi-drainage redundancy visible in Panel B (PP’s row is uniformly warmer because each peak window is contributed by multiple independent drainages) and with the regime-count hierarchy of §6.5 (Figure 14B).</w:t>
      </w:r>
    </w:p>
    <w:bookmarkEnd w:id="79"/>
    <w:bookmarkStart w:id="80" w:name="Xa756ed1fef5c80faf329c8dd44dba8f3e8775e5"/>
    <w:p>
      <w:pPr>
        <w:pStyle w:val="Heading3"/>
      </w:pPr>
      <w:r>
        <w:t xml:space="preserve">6.8 Construction tempo and pulsed accumulation</w:t>
      </w:r>
    </w:p>
    <w:p>
      <w:pPr>
        <w:pStyle w:val="FirstParagraph"/>
      </w:pPr>
      <w:r>
        <w:t xml:space="preserve">The framework predicts pulsed construction following from the seasonal aggregation cycle: each gathering produces a rapid construction episode (the signal for that year), and the accumulated product of many such episodes over the active interval creates the multi-component site. The signal-half-life argument (§2.2) sharpens the prediction. Monuments persist physically after the bands that built them are gone, so the signal value of any single construction event decays on the social timescale of band turnover, and ongoing investment is required to renew the signal on the timescale relevant to current partner choice.</w:t>
      </w:r>
    </w:p>
    <w:p>
      <w:pPr>
        <w:pStyle w:val="BodyText"/>
      </w:pPr>
      <w:r>
        <w:t xml:space="preserve">The Poverty Point construction record matches this pattern. Individual episodes are rapid (Mound A in &lt;90 days, and the investigated segment of Ridge 3 West in days to weeks; Kidder et al. 2021; Ortmann and Kidder 2013), yet the site as a whole accumulated through many such episodes, with magnetic gradient survey identifying 64 distinct ridge construction components (Hargrave et al. 2021) and Clay (2023) documenting repeated build-decommission-rebuild cycles in plaza post circles and Ortman (2010) identifying 16 sequential prepared activity surfaces beneath Mound C. The site is, as Clay (2023) argues,</w:t>
      </w:r>
      <w:r>
        <w:t xml:space="preserve"> </w:t>
      </w:r>
      <w:r>
        <w:t xml:space="preserve">“the physical remnant of a number of abandoned projects”</w:t>
      </w:r>
      <w:r>
        <w:t xml:space="preserve"> </w:t>
      </w:r>
      <w:r>
        <w:t xml:space="preserve">rather than a master plan. The framework resolves the apparent tension between rapid individual episodes and the multi-component site: each seasonal gathering produced a rapid construction episode, and the accumulated product of many such episodes over the ~75-year active window created the site visible archaeologically. The pulsed-construction pattern fits both the seasonal-aggregation cycle and the signal-half-life reading, and contemporary geoarchaeology converges on this pattern across different theoretical framings.</w:t>
      </w:r>
    </w:p>
    <w:p>
      <w:pPr>
        <w:pStyle w:val="BodyText"/>
      </w:pPr>
      <w:r>
        <w:t xml:space="preserve">The signal-half-life argument also generates a quantitative prediction that the existing PP and WB records can test. The reasoning runs as follows. If a finished earthwork loses its value as a signal of current cooperative capacity as the bands that built it disperse or are replaced, then a community at large accumulated stock has to spend a rising share of its labor just keeping that signal current. New construction adds to the stock; renewal and maintenance keep the existing stock signaling. A young system at low stock is mostly building new; a mature system at high stock is mostly maintaining what it has. The two regimes leave different archaeological signatures, with the mature-system regime producing many small renewal events (re-cappings, prepared surfaces, post-circle rebuilds) while the young-system regime produces fewer larger initial-construction events with long gaps between them.</w:t>
      </w:r>
    </w:p>
    <w:p>
      <w:pPr>
        <w:pStyle w:val="BodyText"/>
      </w:pPr>
      <w:r>
        <w:t xml:space="preserve">Formally, the framework treats the monument stock</w:t>
      </w:r>
      <w:r>
        <w:t xml:space="preserve"> </w:t>
      </w:r>
      <m:oMath>
        <m:sSub>
          <m:e>
            <m:r>
              <m:t>M</m:t>
            </m:r>
          </m:e>
          <m:sub>
            <m:r>
              <m:t>g</m:t>
            </m:r>
          </m:sub>
        </m:sSub>
      </m:oMath>
      <w:r>
        <w:t xml:space="preserve"> </w:t>
      </w:r>
      <w:r>
        <w:t xml:space="preserve">as follows: the recurrence</w:t>
      </w:r>
      <w:r>
        <w:t xml:space="preserve"> </w:t>
      </w:r>
      <m:oMath>
        <m:sSub>
          <m:e>
            <m:r>
              <m:t>M</m:t>
            </m:r>
          </m:e>
          <m:sub>
            <m:r>
              <m:t>g</m:t>
            </m:r>
          </m:sub>
        </m:sSub>
        <m:r>
          <m:rPr>
            <m:sty m:val="p"/>
          </m:rPr>
          <m:t>(</m:t>
        </m:r>
        <m:r>
          <m:t>t</m:t>
        </m:r>
        <m:r>
          <m:rPr>
            <m:sty m:val="p"/>
          </m:rPr>
          <m:t>+</m:t>
        </m:r>
        <m:r>
          <m:t>1</m:t>
        </m:r>
        <m:r>
          <m:rPr>
            <m:sty m:val="p"/>
          </m:rPr>
          <m:t>)</m:t>
        </m:r>
        <m:r>
          <m:rPr>
            <m:sty m:val="p"/>
          </m:rPr>
          <m:t>=</m:t>
        </m:r>
        <m:r>
          <m:rPr>
            <m:sty m:val="p"/>
          </m:rPr>
          <m:t>(</m:t>
        </m:r>
        <m:r>
          <m:t>1</m:t>
        </m:r>
        <m:r>
          <m:rPr>
            <m:sty m:val="p"/>
          </m:rPr>
          <m:t>−</m:t>
        </m:r>
        <m:r>
          <m:t>δ</m:t>
        </m:r>
        <m:r>
          <m:rPr>
            <m:sty m:val="p"/>
          </m:rPr>
          <m:t>)</m:t>
        </m:r>
        <m:sSub>
          <m:e>
            <m:r>
              <m:t>M</m:t>
            </m:r>
          </m:e>
          <m:sub>
            <m:r>
              <m:t>g</m:t>
            </m:r>
          </m:sub>
        </m:sSub>
        <m:r>
          <m:rPr>
            <m:sty m:val="p"/>
          </m:rPr>
          <m:t>(</m:t>
        </m:r>
        <m:r>
          <m:t>t</m:t>
        </m:r>
        <m:r>
          <m:rPr>
            <m:sty m:val="p"/>
          </m:rPr>
          <m:t>)</m:t>
        </m:r>
        <m:r>
          <m:rPr>
            <m:sty m:val="p"/>
          </m:rPr>
          <m:t>+</m:t>
        </m:r>
        <m:sSub>
          <m:e>
            <m:r>
              <m:t>I</m:t>
            </m:r>
          </m:e>
          <m:sub>
            <m:r>
              <m:t>g</m:t>
            </m:r>
          </m:sub>
        </m:sSub>
      </m:oMath>
      <w:r>
        <w:t xml:space="preserve">, where</w:t>
      </w:r>
      <w:r>
        <w:t xml:space="preserve"> </w:t>
      </w:r>
      <m:oMath>
        <m:r>
          <m:t>δ</m:t>
        </m:r>
      </m:oMath>
      <w:r>
        <w:t xml:space="preserve"> </w:t>
      </w:r>
      <w:r>
        <w:t xml:space="preserve">is the per-year decay rate of the signal value and</w:t>
      </w:r>
      <w:r>
        <w:t xml:space="preserve"> </w:t>
      </w:r>
      <m:oMath>
        <m:sSub>
          <m:e>
            <m:r>
              <m:t>I</m:t>
            </m:r>
          </m:e>
          <m:sub>
            <m:r>
              <m:t>g</m:t>
            </m:r>
          </m:sub>
        </m:sSub>
      </m:oMath>
      <w:r>
        <w:t xml:space="preserve"> </w:t>
      </w:r>
      <w:r>
        <w:t xml:space="preserve">is each year’s investment flow. Each year’s labor splits into a part that offsets decay,</w:t>
      </w:r>
      <w:r>
        <w:t xml:space="preserve"> </w:t>
      </w:r>
      <m:oMath>
        <m:r>
          <m:t>δ</m:t>
        </m:r>
        <m:sSub>
          <m:e>
            <m:r>
              <m:t>M</m:t>
            </m:r>
          </m:e>
          <m:sub>
            <m:r>
              <m:t>g</m:t>
            </m:r>
          </m:sub>
        </m:sSub>
      </m:oMath>
      <w:r>
        <w:t xml:space="preserve">, and a part that adds net new stock,</w:t>
      </w:r>
      <w:r>
        <w:t xml:space="preserve"> </w:t>
      </w:r>
      <m:oMath>
        <m:sSub>
          <m:e>
            <m:r>
              <m:t>I</m:t>
            </m:r>
          </m:e>
          <m:sub>
            <m:r>
              <m:t>g</m:t>
            </m:r>
          </m:sub>
        </m:sSub>
        <m:r>
          <m:rPr>
            <m:sty m:val="p"/>
          </m:rPr>
          <m:t>−</m:t>
        </m:r>
        <m:r>
          <m:t>δ</m:t>
        </m:r>
        <m:sSub>
          <m:e>
            <m:r>
              <m:t>M</m:t>
            </m:r>
          </m:e>
          <m:sub>
            <m:r>
              <m:t>g</m:t>
            </m:r>
          </m:sub>
        </m:sSub>
      </m:oMath>
      <w:r>
        <w:t xml:space="preserve">. Their ratio</w:t>
      </w:r>
      <w:r>
        <w:t xml:space="preserve"> </w:t>
      </w:r>
      <m:oMath>
        <m:r>
          <m:t>R</m:t>
        </m:r>
        <m:r>
          <m:rPr>
            <m:sty m:val="p"/>
          </m:rPr>
          <m:t>(</m:t>
        </m:r>
        <m:sSub>
          <m:e>
            <m:r>
              <m:t>M</m:t>
            </m:r>
          </m:e>
          <m:sub>
            <m:r>
              <m:t>g</m:t>
            </m:r>
          </m:sub>
        </m:sSub>
        <m:r>
          <m:rPr>
            <m:sty m:val="p"/>
          </m:rPr>
          <m:t>)</m:t>
        </m:r>
        <m:r>
          <m:rPr>
            <m:sty m:val="p"/>
          </m:rPr>
          <m:t>=</m:t>
        </m:r>
        <m:r>
          <m:t>δ</m:t>
        </m:r>
        <m:sSub>
          <m:e>
            <m:r>
              <m:t>M</m:t>
            </m:r>
          </m:e>
          <m:sub>
            <m:r>
              <m:t>g</m:t>
            </m:r>
          </m:sub>
        </m:sSub>
        <m:r>
          <m:rPr>
            <m:sty m:val="p"/>
          </m:rPr>
          <m:t>/</m:t>
        </m:r>
        <m:r>
          <m:rPr>
            <m:sty m:val="p"/>
          </m:rPr>
          <m:t>(</m:t>
        </m:r>
        <m:sSub>
          <m:e>
            <m:r>
              <m:t>I</m:t>
            </m:r>
          </m:e>
          <m:sub>
            <m:r>
              <m:t>g</m:t>
            </m:r>
          </m:sub>
        </m:sSub>
        <m:r>
          <m:rPr>
            <m:sty m:val="p"/>
          </m:rPr>
          <m:t>−</m:t>
        </m:r>
        <m:r>
          <m:t>δ</m:t>
        </m:r>
        <m:sSub>
          <m:e>
            <m:r>
              <m:t>M</m:t>
            </m:r>
          </m:e>
          <m:sub>
            <m:r>
              <m:t>g</m:t>
            </m:r>
          </m:sub>
        </m:sSub>
        <m:r>
          <m:rPr>
            <m:sty m:val="p"/>
          </m:rPr>
          <m:t>)</m:t>
        </m:r>
      </m:oMath>
      <w:r>
        <w:t xml:space="preserve"> </w:t>
      </w:r>
      <w:r>
        <w:t xml:space="preserve">starts at zero (when the system is young) and rises without bound as the stock approaches its steady state</w:t>
      </w:r>
      <w:r>
        <w:t xml:space="preserve"> </w:t>
      </w:r>
      <m:oMath>
        <m:sSubSup>
          <m:e>
            <m:r>
              <m:t>M</m:t>
            </m:r>
          </m:e>
          <m:sub>
            <m:r>
              <m:t>g</m:t>
            </m:r>
          </m:sub>
          <m:sup>
            <m:r>
              <m:rPr>
                <m:sty m:val="p"/>
              </m:rPr>
              <m:t>*</m:t>
            </m:r>
          </m:sup>
        </m:sSubSup>
        <m:r>
          <m:rPr>
            <m:sty m:val="p"/>
          </m:rPr>
          <m:t>=</m:t>
        </m:r>
        <m:sSub>
          <m:e>
            <m:r>
              <m:t>I</m:t>
            </m:r>
          </m:e>
          <m:sub>
            <m:r>
              <m:t>g</m:t>
            </m:r>
          </m:sub>
        </m:sSub>
        <m:r>
          <m:rPr>
            <m:sty m:val="p"/>
          </m:rPr>
          <m:t>/</m:t>
        </m:r>
        <m:r>
          <m:t>δ</m:t>
        </m:r>
      </m:oMath>
      <w:r>
        <w:t xml:space="preserve"> </w:t>
      </w:r>
      <w:r>
        <w:t xml:space="preserve">(when the system is fully mature and every unit of labor is going to maintenance). Run at PP parameters (</w:t>
      </w:r>
      <m:oMath>
        <m:r>
          <m:t>σ</m:t>
        </m:r>
        <m:r>
          <m:rPr>
            <m:sty m:val="p"/>
          </m:rPr>
          <m:t>=</m:t>
        </m:r>
        <m:r>
          <m:t>0.64</m:t>
        </m:r>
      </m:oMath>
      <w:r>
        <w:t xml:space="preserve">,</w:t>
      </w:r>
      <w:r>
        <w:t xml:space="preserve"> </w:t>
      </w:r>
      <m:oMath>
        <m:sSub>
          <m:e>
            <m:r>
              <m:t>n</m:t>
            </m:r>
          </m:e>
          <m:sub>
            <m:r>
              <m:t>a</m:t>
            </m:r>
            <m:r>
              <m:t>g</m:t>
            </m:r>
            <m:r>
              <m:t>g</m:t>
            </m:r>
          </m:sub>
        </m:sSub>
        <m:r>
          <m:rPr>
            <m:sty m:val="p"/>
          </m:rPr>
          <m:t>=</m:t>
        </m:r>
        <m:r>
          <m:t>25</m:t>
        </m:r>
      </m:oMath>
      <w:r>
        <w:t xml:space="preserve">,</w:t>
      </w:r>
      <w:r>
        <w:t xml:space="preserve"> </w:t>
      </w:r>
      <m:oMath>
        <m:r>
          <m:t>δ</m:t>
        </m:r>
        <m:r>
          <m:rPr>
            <m:sty m:val="p"/>
          </m:rPr>
          <m:t>=</m:t>
        </m:r>
        <m:r>
          <m:t>0.08</m:t>
        </m:r>
      </m:oMath>
      <w:r>
        <w:t xml:space="preserve">), the model predicts a steady-state stock of about 130 units, reached within about 50 years (the decay timescale is</w:t>
      </w:r>
      <w:r>
        <w:t xml:space="preserve"> </w:t>
      </w:r>
      <m:oMath>
        <m:r>
          <m:t>1</m:t>
        </m:r>
        <m:r>
          <m:rPr>
            <m:sty m:val="p"/>
          </m:rPr>
          <m:t>/</m:t>
        </m:r>
        <m:r>
          <m:t>δ</m:t>
        </m:r>
        <m:r>
          <m:rPr>
            <m:sty m:val="p"/>
          </m:rPr>
          <m:t>=</m:t>
        </m:r>
        <m:r>
          <m:t>12.5</m:t>
        </m:r>
      </m:oMath>
      <w:r>
        <w:t xml:space="preserve"> </w:t>
      </w:r>
      <w:r>
        <w:t xml:space="preserve">yr). Across PP’s 75-year active interval, cumulative maintenance labor is about five times cumulative new-construction labor, meaning roughly 83% of total labor went to renewal rather than to net stock growth. At WB parameters (</w:t>
      </w:r>
      <m:oMath>
        <m:r>
          <m:t>σ</m:t>
        </m:r>
        <m:r>
          <m:rPr>
            <m:sty m:val="p"/>
          </m:rPr>
          <m:t>≈</m:t>
        </m:r>
        <m:r>
          <m:t>0.56</m:t>
        </m:r>
      </m:oMath>
      <w:r>
        <w:t xml:space="preserve">,</w:t>
      </w:r>
      <w:r>
        <w:t xml:space="preserve"> </w:t>
      </w:r>
      <m:oMath>
        <m:sSub>
          <m:e>
            <m:r>
              <m:t>n</m:t>
            </m:r>
          </m:e>
          <m:sub>
            <m:r>
              <m:t>a</m:t>
            </m:r>
            <m:r>
              <m:t>g</m:t>
            </m:r>
            <m:r>
              <m:t>g</m:t>
            </m:r>
          </m:sub>
        </m:sSub>
        <m:r>
          <m:rPr>
            <m:sty m:val="p"/>
          </m:rPr>
          <m:t>≈</m:t>
        </m:r>
        <m:r>
          <m:t>8</m:t>
        </m:r>
      </m:oMath>
      <w:r>
        <w:t xml:space="preserve">) operating in the documented episodic pattern of four short construction bursts separated by 200+ year hiatuses (Saunders et al. 2005), each new burst begins from a stock that has decayed substantially during the gap, so each burst looks more like initial construction than like maintenance.</w:t>
      </w:r>
    </w:p>
    <w:p>
      <w:pPr>
        <w:pStyle w:val="BodyText"/>
      </w:pPr>
      <w:r>
        <w:t xml:space="preserve">The discriminating prediction the framework makes is therefore the event density averaged across each site’s full active interval. PP shows at least 100 documented construction events (the 64 ridge components from Hargrave et al. [2021], the build-decommission-rebuild cycles in the plaza post circles from Clay [2023], and the 16 sequential prepared surfaces beneath Mound C from Ortmann [2010]) across 75 years, which is about 1.3 events per year. WB shows 11-20 events over 700 years, averaging about 0.02-0.03 events per year. The PP-to-WB ratio of 47-8</w:t>
      </w:r>
      <m:oMath>
        <m:r>
          <m:rPr>
            <m:sty m:val="p"/>
          </m:rPr>
          <m:t>×</m:t>
        </m:r>
      </m:oMath>
      <w:r>
        <w:t xml:space="preserve"> </w:t>
      </w:r>
      <w:r>
        <w:t xml:space="preserve">is in the direction predicted by the framework and matches its order-of-magnitude expectation. The contrast comes from the same signal-half-life mechanism that drives the rest of the model: PP held its stock near saturation for the duration of its active interval so each year’s labor was renewal-weighted, while WB’s episodic gaps reset the stock toward zero between bursts so each burst resembled initial construction at a smaller scale. No additional free parameter is introduced. We list the contrast as a falsifiable prediction in §7.4(h); a reversal or sub-order-of-magnitude reduction would weaken the signal-half-life mechanism. The full derivation, code, and JSON output are at scripts/analysis/renovation_ratio.py and results/sensitivity/renovation_ratio.json.</w:t>
      </w:r>
    </w:p>
    <w:p>
      <w:pPr>
        <w:pStyle w:val="BodyText"/>
      </w:pPr>
      <w:r>
        <w:t xml:space="preserve">Several caveats are worth flagging. The model treats</w:t>
      </w:r>
      <w:r>
        <w:t xml:space="preserve"> </w:t>
      </w:r>
      <m:oMath>
        <m:sSub>
          <m:e>
            <m:r>
              <m:t>I</m:t>
            </m:r>
          </m:e>
          <m:sub>
            <m:r>
              <m:t>g</m:t>
            </m:r>
          </m:sub>
        </m:sSub>
      </m:oMath>
      <w:r>
        <w:t xml:space="preserve"> </w:t>
      </w:r>
      <w:r>
        <w:t xml:space="preserve">as constant year-to-year, which does not capture the within-interval labor pulses Mound A is known for; the cumulative maintenance-vs-new split is unaffected by this approximation, but the year-by-year ratio is approximate. The published event counts include both maintenance/renewal events and new-construction events, with no clean separator in the field record. And the decay rate</w:t>
      </w:r>
      <w:r>
        <w:t xml:space="preserve"> </w:t>
      </w:r>
      <m:oMath>
        <m:r>
          <m:t>δ</m:t>
        </m:r>
        <m:r>
          <m:rPr>
            <m:sty m:val="p"/>
          </m:rPr>
          <m:t>=</m:t>
        </m:r>
        <m:r>
          <m:t>0.08</m:t>
        </m:r>
      </m:oMath>
      <w:r>
        <w:t xml:space="preserve"> </w:t>
      </w:r>
      <w:r>
        <w:t xml:space="preserve">is taken from the weathering-rate range in Table S2 rather than from a site-specific decay study. The prediction is therefore structural (the direction and order of magnitude of the PP-vs-WB contrast) rather than precise (R values are not labor-unit-resolved).</w:t>
      </w:r>
    </w:p>
    <w:bookmarkEnd w:id="80"/>
    <w:bookmarkEnd w:id="81"/>
    <w:bookmarkStart w:id="87" w:name="discussion"/>
    <w:p>
      <w:pPr>
        <w:pStyle w:val="Heading2"/>
      </w:pPr>
      <w:r>
        <w:t xml:space="preserve">7. Discussion</w:t>
      </w:r>
    </w:p>
    <w:bookmarkStart w:id="82" w:name="X59f7eff7fd3aab5814fbe55a4e03a43e13667d9"/>
    <w:p>
      <w:pPr>
        <w:pStyle w:val="Heading3"/>
      </w:pPr>
      <w:r>
        <w:t xml:space="preserve">7.1 What the framework predicts and what it does not</w:t>
      </w:r>
    </w:p>
    <w:p>
      <w:pPr>
        <w:pStyle w:val="FirstParagraph"/>
      </w:pPr>
      <w:r>
        <w:t xml:space="preserve">The framework predicts threshold-crossing locations and aggregation tempo. It does not predict the magnitude of cross-site monument volume. This is not a limitation we have only just discovered; it is a structural property of the model. Magnitude depends on the attained aggregation size</w:t>
      </w:r>
      <w:r>
        <w:t xml:space="preserve"> </w:t>
      </w:r>
      <m:oMath>
        <m:sSub>
          <m:e>
            <m:r>
              <m:t>n</m:t>
            </m:r>
          </m:e>
          <m:sub>
            <m:r>
              <m:t>a</m:t>
            </m:r>
            <m:r>
              <m:t>g</m:t>
            </m:r>
            <m:r>
              <m:t>g</m:t>
            </m:r>
          </m:sub>
        </m:sSub>
      </m:oMath>
      <w:r>
        <w:t xml:space="preserve">, which is taken as exogenous (set by the contingent regional convergence dynamics documented by Grooms et al. 2023 and Kidder and Grooms 2024) rather than derived from first principles.</w:t>
      </w:r>
    </w:p>
    <w:p>
      <w:pPr>
        <w:pStyle w:val="BodyText"/>
      </w:pPr>
      <w:r>
        <w:t xml:space="preserve">The framework commits the model to five structural claims about the LMV record. The first is threshold-crossing necessity: sustained monumental construction by mobile foragers should occur only at sites where regional environmental uncertainty exceeds the model-derived threshold, with independent foraging dominating below it. The second is pulsed construction tempo. The signal value of any completed feature has a half-life on the social timescale of band turnover, so construction should proceed episodically rather than steadily, with each episode renewing the signal on the timescale relevant to current partner choice, and cumulative volume should record many individually honest signals stacked over the active interval. The third is a distance-decay shape in exotic acquisition. The model’s exotic-acquisition function generates a monotonic decay in relative frequency with source distance, whose shape depends on the characteristic length scale parameter. The fourth is a sharp phase transition. The shift from independent foraging to sustained aggregation is concentrated in a narrow range of conditions (</w:t>
      </w:r>
      <m:oMath>
        <m:r>
          <m:t>σ</m:t>
        </m:r>
      </m:oMath>
      <w:r>
        <w:t xml:space="preserve"> </w:t>
      </w:r>
      <w:r>
        <w:t xml:space="preserve">within</w:t>
      </w:r>
      <w:r>
        <w:t xml:space="preserve"> </w:t>
      </w:r>
      <m:oMath>
        <m:r>
          <m:rPr>
            <m:sty m:val="p"/>
          </m:rPr>
          <m:t>±</m:t>
        </m:r>
        <m:r>
          <m:t>0.10</m:t>
        </m:r>
      </m:oMath>
      <w:r>
        <w:t xml:space="preserve"> </w:t>
      </w:r>
      <w:r>
        <w:t xml:space="preserve">of</w:t>
      </w:r>
      <w:r>
        <w:t xml:space="preserve"> </w:t>
      </w:r>
      <m:oMath>
        <m:sSup>
          <m:e>
            <m:r>
              <m:t>σ</m:t>
            </m:r>
          </m:e>
          <m:sup>
            <m:r>
              <m:rPr>
                <m:sty m:val="p"/>
              </m:rPr>
              <m:t>*</m:t>
            </m:r>
          </m:sup>
        </m:sSup>
      </m:oMath>
      <w:r>
        <w:t xml:space="preserve"> </w:t>
      </w:r>
      <w:r>
        <w:t xml:space="preserve">in our parameterization), not a continuous correlation between environmental stress and the scale of monument investment. The fifth is an asymmetric flow signature. Exotic-goods accumulation in a signaling system with aggregation at a central site should flow toward the gathering rather than from it, and the asymmetry should be patterned: signal-bearing markers appear at sites whose bands attended the aggregation as visitor-source partners, where the signal does its social work, but are absent at peripheral sites whose bands did not attend, where the signal would have no audience.</w:t>
      </w:r>
    </w:p>
    <w:p>
      <w:pPr>
        <w:pStyle w:val="BodyText"/>
      </w:pPr>
      <w:r>
        <w:t xml:space="preserve">There are three claims the framework explicitly does not make. It does not predict the magnitude of cross-site monument volume. Three independent magnitude tests across LMV sites confirm this limit: the Table 2 Shannon-derived</w:t>
      </w:r>
      <w:r>
        <w:t xml:space="preserve"> </w:t>
      </w:r>
      <m:oMath>
        <m:r>
          <m:t>ε</m:t>
        </m:r>
      </m:oMath>
      <w:r>
        <w:t xml:space="preserve"> </w:t>
      </w:r>
      <w:r>
        <w:t xml:space="preserve">correlates only weakly with ordinal observed monument scale (Spearman</w:t>
      </w:r>
      <w:r>
        <w:t xml:space="preserve"> </w:t>
      </w:r>
      <m:oMath>
        <m:r>
          <m:t>ρ</m:t>
        </m:r>
        <m:r>
          <m:rPr>
            <m:sty m:val="p"/>
          </m:rPr>
          <m:t>=</m:t>
        </m:r>
        <m:r>
          <m:rPr>
            <m:sty m:val="p"/>
          </m:rPr>
          <m:t>+</m:t>
        </m:r>
        <m:r>
          <m:t>0.39</m:t>
        </m:r>
      </m:oMath>
      <w:r>
        <w:t xml:space="preserve">,</w:t>
      </w:r>
      <w:r>
        <w:t xml:space="preserve"> </w:t>
      </w:r>
      <m:oMath>
        <m:r>
          <m:t>p</m:t>
        </m:r>
        <m:r>
          <m:rPr>
            <m:sty m:val="p"/>
          </m:rPr>
          <m:t>=</m:t>
        </m:r>
        <m:r>
          <m:t>0.24</m:t>
        </m:r>
      </m:oMath>
      <w:r>
        <w:t xml:space="preserve">); the §S12 EPA Level IV ecoregion-derived</w:t>
      </w:r>
      <w:r>
        <w:t xml:space="preserve"> </w:t>
      </w:r>
      <m:oMath>
        <m:r>
          <m:t>ε</m:t>
        </m:r>
      </m:oMath>
      <w:r>
        <w:t xml:space="preserve"> </w:t>
      </w:r>
      <w:r>
        <w:t xml:space="preserve">correlates not at all (</w:t>
      </w:r>
      <m:oMath>
        <m:r>
          <m:t>ρ</m:t>
        </m:r>
        <m:r>
          <m:rPr>
            <m:sty m:val="p"/>
          </m:rPr>
          <m:t>=</m:t>
        </m:r>
        <m:r>
          <m:rPr>
            <m:sty m:val="p"/>
          </m:rPr>
          <m:t>−</m:t>
        </m:r>
        <m:r>
          <m:t>0.01</m:t>
        </m:r>
      </m:oMath>
      <w:r>
        <w:t xml:space="preserve">,</w:t>
      </w:r>
      <w:r>
        <w:t xml:space="preserve"> </w:t>
      </w:r>
      <m:oMath>
        <m:r>
          <m:t>p</m:t>
        </m:r>
        <m:r>
          <m:rPr>
            <m:sty m:val="p"/>
          </m:rPr>
          <m:t>=</m:t>
        </m:r>
        <m:r>
          <m:t>0.98</m:t>
        </m:r>
      </m:oMath>
      <w:r>
        <w:t xml:space="preserve">); and the §S16 phenology-derived</w:t>
      </w:r>
      <w:r>
        <w:t xml:space="preserve"> </w:t>
      </w:r>
      <m:oMath>
        <m:r>
          <m:t>ε</m:t>
        </m:r>
      </m:oMath>
      <w:r>
        <w:t xml:space="preserve"> </w:t>
      </w:r>
      <w:r>
        <w:t xml:space="preserve">returns</w:t>
      </w:r>
      <w:r>
        <w:t xml:space="preserve"> </w:t>
      </w:r>
      <m:oMath>
        <m:r>
          <m:t>ρ</m:t>
        </m:r>
        <m:r>
          <m:rPr>
            <m:sty m:val="p"/>
          </m:rPr>
          <m:t>=</m:t>
        </m:r>
        <m:r>
          <m:rPr>
            <m:sty m:val="p"/>
          </m:rPr>
          <m:t>−</m:t>
        </m:r>
        <m:r>
          <m:t>0.21</m:t>
        </m:r>
      </m:oMath>
      <w:r>
        <w:t xml:space="preserve"> </w:t>
      </w:r>
      <w:r>
        <w:t xml:space="preserve">(</w:t>
      </w:r>
      <m:oMath>
        <m:r>
          <m:t>p</m:t>
        </m:r>
        <m:r>
          <m:rPr>
            <m:sty m:val="p"/>
          </m:rPr>
          <m:t>=</m:t>
        </m:r>
        <m:r>
          <m:t>0.54</m:t>
        </m:r>
      </m:oMath>
      <w:r>
        <w:t xml:space="preserve">). All three are statistically null. The joint</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t xml:space="preserve"> </w:t>
      </w:r>
      <w:r>
        <w:t xml:space="preserve">result of §6.6 returns Spearman</w:t>
      </w:r>
      <w:r>
        <w:t xml:space="preserve"> </w:t>
      </w:r>
      <m:oMath>
        <m:r>
          <m:t>ρ</m:t>
        </m:r>
        <m:r>
          <m:rPr>
            <m:sty m:val="p"/>
          </m:rPr>
          <m:t>=</m:t>
        </m:r>
        <m:r>
          <m:rPr>
            <m:sty m:val="p"/>
          </m:rPr>
          <m:t>+</m:t>
        </m:r>
        <m:r>
          <m:t>0.85</m:t>
        </m:r>
      </m:oMath>
      <w:r>
        <w:t xml:space="preserve"> </w:t>
      </w:r>
      <w:r>
        <w:t xml:space="preserve">to</w:t>
      </w:r>
      <w:r>
        <w:t xml:space="preserve"> </w:t>
      </w:r>
      <m:oMath>
        <m:r>
          <m:rPr>
            <m:sty m:val="p"/>
          </m:rPr>
          <m:t>+</m:t>
        </m:r>
        <m:r>
          <m:t>0.91</m:t>
        </m:r>
      </m:oMath>
      <w:r>
        <w:t xml:space="preserve"> </w:t>
      </w:r>
      <w:r>
        <w:t xml:space="preserve">against observed scale and volume, but the partial-correlation decomposition shows that this is essentially the</w:t>
      </w:r>
      <w:r>
        <w:t xml:space="preserve"> </w:t>
      </w:r>
      <m:oMath>
        <m:sSub>
          <m:e>
            <m:r>
              <m:t>n</m:t>
            </m:r>
          </m:e>
          <m:sub>
            <m:r>
              <m:t>a</m:t>
            </m:r>
            <m:r>
              <m:t>g</m:t>
            </m:r>
            <m:r>
              <m:t>g</m:t>
            </m:r>
          </m:sub>
        </m:sSub>
      </m:oMath>
      <w:r>
        <w:t xml:space="preserve"> </w:t>
      </w:r>
      <w:r>
        <w:t xml:space="preserve">ranking:</w:t>
      </w:r>
      <w:r>
        <w:t xml:space="preserve"> </w:t>
      </w:r>
      <m:oMath>
        <m:r>
          <m:t>ε</m:t>
        </m:r>
      </m:oMath>
      <w:r>
        <w:t xml:space="preserve"> </w:t>
      </w:r>
      <w:r>
        <w:t xml:space="preserve">contributes at most</w:t>
      </w:r>
      <w:r>
        <w:t xml:space="preserve"> </w:t>
      </w:r>
      <m:oMath>
        <m:r>
          <m:rPr>
            <m:sty m:val="p"/>
          </m:rPr>
          <m:t>+</m:t>
        </m:r>
        <m:r>
          <m:t>0.02</m:t>
        </m:r>
      </m:oMath>
      <w:r>
        <w:t xml:space="preserve"> </w:t>
      </w:r>
      <w:r>
        <w:t xml:space="preserve">to the joint correlation. The framework’s</w:t>
      </w:r>
      <w:r>
        <w:t xml:space="preserve"> </w:t>
      </w:r>
      <m:oMath>
        <m:r>
          <m:t>ε</m:t>
        </m:r>
      </m:oMath>
      <w:r>
        <w:t xml:space="preserve"> </w:t>
      </w:r>
      <w:r>
        <w:t xml:space="preserve">is therefore a necessity-condition variable, not a magnitude predictor. It does not predict the cultural content of the signaling apparatus. Some cultural apparatus (institutional forms, symbolic content, motivational logics) must develop to coordinate cooperation under above-threshold conditions, but the specific form that apparatus takes is not derivable from ecology alone. The framework is silent on owl imagery, sodality markers, prophetic movements, and similar specifics, which belong to cultural-historical accounts that operate in a complementary register. It does not predict the historically realized concentration at any specific site. Above-threshold sites should appear in regions with high environmental uncertainty and multi-zone access, but the framework does not predict which above-threshold site will become the regional center, because the attained</w:t>
      </w:r>
      <w:r>
        <w:t xml:space="preserve"> </w:t>
      </w:r>
      <m:oMath>
        <m:sSub>
          <m:e>
            <m:r>
              <m:t>n</m:t>
            </m:r>
          </m:e>
          <m:sub>
            <m:r>
              <m:t>a</m:t>
            </m:r>
            <m:r>
              <m:t>g</m:t>
            </m:r>
            <m:r>
              <m:t>g</m:t>
            </m:r>
          </m:sub>
        </m:sSub>
      </m:oMath>
      <w:r>
        <w:t xml:space="preserve"> </w:t>
      </w:r>
      <w:r>
        <w:t xml:space="preserve">depends on convergence dynamics that the framework imports rather than derives.</w:t>
      </w:r>
    </w:p>
    <w:p>
      <w:pPr>
        <w:pStyle w:val="BodyText"/>
      </w:pPr>
      <w:r>
        <w:t xml:space="preserve">The Watson Brake comparison shows the same property in reverse: the equilibrium calculation overshoots the LiDAR-derived WB volume of 27,065 m³ (§5.1) by approximately 9× (§6.3), and that overshoot is closed cleanly by per-event labor scaling at</w:t>
      </w:r>
      <w:r>
        <w:t xml:space="preserve"> </w:t>
      </w:r>
      <m:oMath>
        <m:r>
          <m:t>α</m:t>
        </m:r>
        <m:r>
          <m:rPr>
            <m:sty m:val="p"/>
          </m:rPr>
          <m:t>=</m:t>
        </m:r>
        <m:r>
          <m:t>2</m:t>
        </m:r>
      </m:oMath>
      <w:r>
        <w:t xml:space="preserve"> </w:t>
      </w:r>
      <w:r>
        <w:t xml:space="preserve">(predicted ~25,000 m³ vs observed 27,065 m³, ratio 0.91×), not by adjusting</w:t>
      </w:r>
      <w:r>
        <w:t xml:space="preserve"> </w:t>
      </w:r>
      <m:oMath>
        <m:r>
          <m:t>ε</m:t>
        </m:r>
      </m:oMath>
      <w:r>
        <w:t xml:space="preserve">. The structural-vs-contingent decomposition is shared with Sassaman’s (2005) structure-event-process reading (necessary structural conditions, contingent realized sequence); the contested weight, on which the two readings differ, is whether the structural register does additional explanatory work beyond setting prerequisites. We develop that contested weight in §7.2.</w:t>
      </w:r>
    </w:p>
    <w:p>
      <w:pPr>
        <w:pStyle w:val="BodyText"/>
      </w:pPr>
      <w:r>
        <w:t xml:space="preserve">Five sources of magnitude variation the model does not track (enumerated in §S11) are spatial network topology and water-route accessibility, gathering-site carrying capacity, path dependence and first-mover advantage, temporal heterogeneity in regional</w:t>
      </w:r>
      <w:r>
        <w:t xml:space="preserve"> </w:t>
      </w:r>
      <m:oMath>
        <m:r>
          <m:t>σ</m:t>
        </m:r>
      </m:oMath>
      <w:r>
        <w:t xml:space="preserve">, and the reduction of multi-zone structure to a single Shannon number. Closing the magnitude prediction would require a regional spatially explicit ABM that endogenizes</w:t>
      </w:r>
      <w:r>
        <w:t xml:space="preserve"> </w:t>
      </w:r>
      <m:oMath>
        <m:sSub>
          <m:e>
            <m:r>
              <m:t>n</m:t>
            </m:r>
          </m:e>
          <m:sub>
            <m:r>
              <m:t>a</m:t>
            </m:r>
            <m:r>
              <m:t>g</m:t>
            </m:r>
            <m:r>
              <m:t>g</m:t>
            </m:r>
          </m:sub>
        </m:sSub>
      </m:oMath>
      <w:r>
        <w:t xml:space="preserve"> </w:t>
      </w:r>
      <w:r>
        <w:t xml:space="preserve">at each site through hydrographic routing and across-site selection.</w:t>
      </w:r>
    </w:p>
    <w:bookmarkEnd w:id="82"/>
    <w:bookmarkStart w:id="83" w:name="cultural-historical-alternatives"/>
    <w:p>
      <w:pPr>
        <w:pStyle w:val="Heading3"/>
      </w:pPr>
      <w:r>
        <w:t xml:space="preserve">7.2 Cultural-historical alternatives</w:t>
      </w:r>
    </w:p>
    <w:p>
      <w:pPr>
        <w:pStyle w:val="FirstParagraph"/>
      </w:pPr>
      <w:r>
        <w:t xml:space="preserve">The framework is not in competition with the recent culturally rich accounts of Poverty Point. It operates in a different register, and the most useful question is how the registers relate. Our account is</w:t>
      </w:r>
      <w:r>
        <w:t xml:space="preserve"> </w:t>
      </w:r>
      <w:r>
        <w:rPr>
          <w:i/>
          <w:iCs/>
        </w:rPr>
        <w:t xml:space="preserve">structural</w:t>
      </w:r>
      <w:r>
        <w:t xml:space="preserve">: it specifies the environmental and demographic conditions under which a particular kind of investment becomes adaptive, and it predicts the qualitative locations and tempo of that investment. It does not predict relative magnitude across LMV sites within the high-</w:t>
      </w:r>
      <m:oMath>
        <m:r>
          <m:t>ε</m:t>
        </m:r>
      </m:oMath>
      <w:r>
        <w:t xml:space="preserve"> </w:t>
      </w:r>
      <w:r>
        <w:t xml:space="preserve">band. The cultural-historical accounts are</w:t>
      </w:r>
      <w:r>
        <w:t xml:space="preserve"> </w:t>
      </w:r>
      <w:r>
        <w:rPr>
          <w:i/>
          <w:iCs/>
        </w:rPr>
        <w:t xml:space="preserve">organizational</w:t>
      </w:r>
      <w:r>
        <w:t xml:space="preserve">: they specify the institutional forms, symbolic content, and motivational logics through which the investment is actually carried out. Both registers are needed.</w:t>
      </w:r>
    </w:p>
    <w:p>
      <w:pPr>
        <w:pStyle w:val="BodyText"/>
      </w:pPr>
      <w:r>
        <w:rPr>
          <w:i/>
          <w:iCs/>
        </w:rPr>
        <w:t xml:space="preserve">Kidder and Grooms’s (2025) revitalization-movement framework</w:t>
      </w:r>
      <w:r>
        <w:t xml:space="preserve"> </w:t>
      </w:r>
      <w:r>
        <w:t xml:space="preserve">is a</w:t>
      </w:r>
      <w:r>
        <w:t xml:space="preserve"> </w:t>
      </w:r>
      <w:r>
        <w:rPr>
          <w:i/>
          <w:iCs/>
        </w:rPr>
        <w:t xml:space="preserve">reason-giving</w:t>
      </w:r>
      <w:r>
        <w:t xml:space="preserve"> </w:t>
      </w:r>
      <w:r>
        <w:t xml:space="preserve">account specifying the cultural and motivational logic participants would have invoked. The two frameworks agree that construction should intensify during or after environmental disruption, that chiefdom-level hierarchy was absent, and that labor was voluntary. The key divergence is mechanistic: revitalization invokes prophetic movements and bundle ceremonies drawn from ethnographic analogy across a multi-millennia gap, while the costly-signaling framework derives the same behaviors from fitness-maximizing decisions under specified environmental conditions. The framework predicts quantitative threshold relationships and a distance-decay shape that revitalization does not address; revitalization engages with specific symbolic content (owl imagery, sodality markers) that the framework treats as arbitrary cultural convention. The two operate simultaneously: signaling theory explains why collective investment is adaptive, revitalization dynamics describe the cultural forms it takes.</w:t>
      </w:r>
    </w:p>
    <w:p>
      <w:pPr>
        <w:pStyle w:val="BodyText"/>
      </w:pPr>
      <w:r>
        <w:rPr>
          <w:i/>
          <w:iCs/>
        </w:rPr>
        <w:t xml:space="preserve">Grooms’s (2022) relational-performative critique</w:t>
      </w:r>
      <w:r>
        <w:t xml:space="preserve"> </w:t>
      </w:r>
      <w:r>
        <w:t xml:space="preserve">deserves direct engagement, since it is the most philosophically articulated objection to the kind of structural-evolutionary account we develop here. Drawing on Native American philosophies and epistemologies (Cajete 2000; Cordova 2007; Deloria 2003; Norton-Smith 2010), Grooms argues that mound building at Jaketown was a</w:t>
      </w:r>
      <w:r>
        <w:t xml:space="preserve"> </w:t>
      </w:r>
      <w:r>
        <w:t xml:space="preserve">“communal performance meant to restore balance to relations [participants] perceived to be in flux”</w:t>
      </w:r>
      <w:r>
        <w:t xml:space="preserve"> </w:t>
      </w:r>
      <w:r>
        <w:t xml:space="preserve">(Grooms 2022:108), and that signaling-intergroup-cooperation accounts reduce mound building to</w:t>
      </w:r>
      <w:r>
        <w:t xml:space="preserve"> </w:t>
      </w:r>
      <w:r>
        <w:t xml:space="preserve">“transactional epiphenomena, arguably representing universal human motives”</w:t>
      </w:r>
      <w:r>
        <w:t xml:space="preserve"> </w:t>
      </w:r>
      <w:r>
        <w:t xml:space="preserve">(Grooms 2022:117). The charge is that the structural-adaptive reading mistakes the analyst’s etic question (what selection pressure favors this behavior?) for the participants’ emic horizon (what does building this mound do in the relational web that constitutes the world?). The objection has force against reductive forms of signaling theory that treat ritual and ceremony as mere costume atop an underlying material calculation. It has less force against the framework developed here for two reasons.</w:t>
      </w:r>
    </w:p>
    <w:p>
      <w:pPr>
        <w:pStyle w:val="BodyText"/>
      </w:pPr>
      <w:r>
        <w:t xml:space="preserve">First, the framework is explicit that its predictions are structural, not interpretive. The model is silent on the symbolic content, motivational logic, and ritual form of the cultural apparatus by design (§1, §7.1). When we say the framework predicts that</w:t>
      </w:r>
      <w:r>
        <w:t xml:space="preserve"> </w:t>
      </w:r>
      <w:r>
        <w:rPr>
          <w:i/>
          <w:iCs/>
        </w:rPr>
        <w:t xml:space="preserve">some</w:t>
      </w:r>
      <w:r>
        <w:t xml:space="preserve"> </w:t>
      </w:r>
      <w:r>
        <w:t xml:space="preserve">such cultural apparatus must develop to coordinate cooperation under the predicted conditions, we are committing to the necessity of an interpretive register without claiming that register reduces to a material calculation. Grooms’s relational-performative reading and the framework here address different questions on the same record: Grooms asks what mound building meant to its makers and what work it did in the world they took themselves to inhabit; the framework asks under what environmental and demographic conditions such a tradition can be initiated and sustained at the scale and tempo Poverty Point exhibits. Neither answer reduces to the other.</w:t>
      </w:r>
    </w:p>
    <w:p>
      <w:pPr>
        <w:pStyle w:val="BodyText"/>
      </w:pPr>
      <w:r>
        <w:t xml:space="preserve">Second, the framework’s discriminating empirical content does not depend on participants having a transactional motivation. The §6.1 asymmetric concentration ratio, the §6.2 paleoclimate threshold-proximity, and the §6.7 fluvial-collapse sequence are pattern claims about the record, not psychological claims about the makers. The asymmetric flow of exotics into the gathering is consistent with a relational reading in which exotic acquisition demonstrates one’s position in an extended web of cooperation partners, just as well as it is consistent with a transactional reading in which exotic acquisition signals fitness. The framework’s structural prediction constrains which interpretive registers can be sustained at the LMV scale; it is not a claim about which interpretive register the participants actually inhabited. We therefore take Grooms’s objection as a productive disciplinary correction against careless reductive uses of signaling theory rather than as a refutation of the structural argument: the relational worldview Grooms develops is the kind of cultural apparatus our framework predicts must develop to make sustained cooperation work at this scale, and his account specifies what that apparatus actually looked like at Jaketown in ways the framework cannot.</w:t>
      </w:r>
    </w:p>
    <w:p>
      <w:pPr>
        <w:pStyle w:val="BodyText"/>
      </w:pPr>
      <w:r>
        <w:rPr>
          <w:i/>
          <w:iCs/>
        </w:rPr>
        <w:t xml:space="preserve">Sanger’s (2023, 2024) institutional-flexibility framework</w:t>
      </w:r>
      <w:r>
        <w:t xml:space="preserve"> </w:t>
      </w:r>
      <w:r>
        <w:t xml:space="preserve">addresses how participating groups prevent cooperation infrastructure from generating permanent inequality. The seasonal aggregate-disperse rhythm Sanger describes, with Mandan-Hidatsa parallels, matches the cycle predicted by the present framework. The institutional forms Sanger documents are the organizational solutions through which a costly-signaling system at the LMV scale was realized; the framework predicts</w:t>
      </w:r>
      <w:r>
        <w:t xml:space="preserve"> </w:t>
      </w:r>
      <w:r>
        <w:rPr>
          <w:i/>
          <w:iCs/>
        </w:rPr>
        <w:t xml:space="preserve">some</w:t>
      </w:r>
      <w:r>
        <w:t xml:space="preserve"> </w:t>
      </w:r>
      <w:r>
        <w:t xml:space="preserve">such solution must develop, but does not specify which.</w:t>
      </w:r>
      <w:r>
        <w:t xml:space="preserve"> </w:t>
      </w:r>
      <w:r>
        <w:rPr>
          <w:i/>
          <w:iCs/>
        </w:rPr>
        <w:t xml:space="preserve">Carballo’s (2013) collective-action framework</w:t>
      </w:r>
      <w:r>
        <w:t xml:space="preserve"> </w:t>
      </w:r>
      <w:r>
        <w:t xml:space="preserve">provides institutional mechanisms (norms, monitoring, and sanctioning) that maintain cooperation once established. Signaling theory addresses how cooperation is</w:t>
      </w:r>
      <w:r>
        <w:t xml:space="preserve"> </w:t>
      </w:r>
      <w:r>
        <w:rPr>
          <w:i/>
          <w:iCs/>
        </w:rPr>
        <w:t xml:space="preserve">initially</w:t>
      </w:r>
      <w:r>
        <w:t xml:space="preserve"> </w:t>
      </w:r>
      <w:r>
        <w:t xml:space="preserve">established between unfamiliar groups, the acute problem at an aggregation drawing bands from across the midcontinent.</w:t>
      </w:r>
      <w:r>
        <w:t xml:space="preserve"> </w:t>
      </w:r>
      <w:r>
        <w:rPr>
          <w:i/>
          <w:iCs/>
        </w:rPr>
        <w:t xml:space="preserve">Cultural-transmission and credibility-enhancing-display accounts</w:t>
      </w:r>
      <w:r>
        <w:t xml:space="preserve"> </w:t>
      </w:r>
      <w:r>
        <w:t xml:space="preserve">(Henrich 2009; Lanman and Buhrmester 2017; Singh and Henrich 2020) address how learners acquire commitment to costly practices through observation, a complementary register to the index-signaling channel that the present framework operationalizes; Brusse, Handfield and Zollman (2022) work out the operational distinction. At the LMV scale, these registers plausibly operate simultaneously through the same construction events. The frameworks address different stages of the same trajectory.</w:t>
      </w:r>
    </w:p>
    <w:p>
      <w:pPr>
        <w:pStyle w:val="BodyText"/>
      </w:pPr>
      <w:r>
        <w:rPr>
          <w:i/>
          <w:iCs/>
        </w:rPr>
        <w:t xml:space="preserve">Peacock and Rafferty’s (2013) bet-hedging framework</w:t>
      </w:r>
      <w:r>
        <w:t xml:space="preserve"> </w:t>
      </w:r>
      <w:r>
        <w:t xml:space="preserve">emphasizes investment during stable intervals as buffering against future downturns; the framework here accommodates this but predicts a step function rather than continuous scaling, and Watson Brake’s punctuated construction fits the step function more naturally. The threshold framing also addresses standard critiques that bet-hedging and costly-signaling explanations of monumental investment risk being unfalsifiable post-hoc rationalizations (Codding and Jones 2007; Quinn 2019): the framework here generates specific signed predictions about location, tempo, distance-decay, and collapse sequence (§7.4) that are evaluated against the LMV record, and the model code is publicly available so the predictions can be tested at independent sites.</w:t>
      </w:r>
    </w:p>
    <w:p>
      <w:pPr>
        <w:pStyle w:val="BodyText"/>
      </w:pPr>
      <w:r>
        <w:t xml:space="preserve">The classical alternatives reviewed in §1 (aggrandizer, pilgrimage, trade-center, incipient sedentism) are best read as identifying real phenomena that the framework subsumes. Status competition, ritual draw, exchange flows, and seasonal residence concentration are all</w:t>
      </w:r>
      <w:r>
        <w:t xml:space="preserve"> </w:t>
      </w:r>
      <w:r>
        <w:rPr>
          <w:i/>
          <w:iCs/>
        </w:rPr>
        <w:t xml:space="preserve">predicted</w:t>
      </w:r>
      <w:r>
        <w:t xml:space="preserve"> </w:t>
      </w:r>
      <w:r>
        <w:t xml:space="preserve">by an aggregation system at the LMV scale; the classical accounts go wrong by promoting one phenomenon to the explanatory role and treating the others as ancillary.</w:t>
      </w:r>
    </w:p>
    <w:p>
      <w:pPr>
        <w:pStyle w:val="BodyText"/>
      </w:pPr>
      <w:r>
        <w:rPr>
          <w:i/>
          <w:iCs/>
        </w:rPr>
        <w:t xml:space="preserve">Sassaman’s (2005) structure-event-process framing</w:t>
      </w:r>
      <w:r>
        <w:t xml:space="preserve">. The framework and Sassaman agree on the</w:t>
      </w:r>
      <w:r>
        <w:t xml:space="preserve"> </w:t>
      </w:r>
      <w:r>
        <w:rPr>
          <w:i/>
          <w:iCs/>
        </w:rPr>
        <w:t xml:space="preserve">decomposition</w:t>
      </w:r>
      <w:r>
        <w:t xml:space="preserve"> </w:t>
      </w:r>
      <w:r>
        <w:t xml:space="preserve">(i.e., necessary structural conditions and the contingent realized sequence; §6.6, §7.1) but disagree on the</w:t>
      </w:r>
      <w:r>
        <w:t xml:space="preserve"> </w:t>
      </w:r>
      <w:r>
        <w:rPr>
          <w:i/>
          <w:iCs/>
        </w:rPr>
        <w:t xml:space="preserve">weight</w:t>
      </w:r>
      <w:r>
        <w:t xml:space="preserve">. Sassaman’s central claim is that the structural register is largely passive: PP’s specific tempo, scale, and material accumulation depend on the contingent event-and-process trajectory of inter-band engagements that the structural register does not derive. The framework agrees that the structural register is necessary-but-not-sufficient (§7.1) but argues that it does substantive explanatory work beyond serving as a passive backdrop: the framework’s necessity conditions account for chronology (above-threshold timing follows the §5.5 paleoclimate window), location (the interior-vs-coastal screening result, Table 2), tempo (the bistable transition zone, §6.3 and §6.8), and constraint on the magnitude register (sites without high-</w:t>
      </w:r>
      <m:oMath>
        <m:r>
          <m:t>ε</m:t>
        </m:r>
      </m:oMath>
      <w:r>
        <w:t xml:space="preserve"> </w:t>
      </w:r>
      <w:r>
        <w:t xml:space="preserve">access could not have sustained multi-band aggregation regardless of historical contingency). The contested question is whether these structural results explain a substantial fraction of the LMV pattern or merely set the conditions under which the explanation occurs. Sassaman reads the structural register as conditions; we read it as conditions plus active constraints on chronology, location, and tempo.</w:t>
      </w:r>
    </w:p>
    <w:p>
      <w:pPr>
        <w:pStyle w:val="BodyText"/>
      </w:pPr>
      <w:r>
        <w:t xml:space="preserve">Where the readings make different predictions: the Late Archaic-Early Woodland transition. The structural reading predicts that environmental relaxation below threshold (Kidder 2006’s ~3300 cal BP flood-frequency increase pushing the LMV out of the high-</w:t>
      </w:r>
      <m:oMath>
        <m:r>
          <m:t>σ</m:t>
        </m:r>
      </m:oMath>
      <w:r>
        <w:t xml:space="preserve"> </w:t>
      </w:r>
      <w:r>
        <w:t xml:space="preserve">regime) accounts for the abandonment of the system; the structure-event-process reading predicts the abandonment should track the dissolution of the specific institutional configurations (the cyclical dispersal-aggregation rhythm, the convergence-pulling network among interbanding partners) that made PP work. If they exist, high-resolution Bayesian dating of Early Woodland deposits at PP and at Jaketown could discriminate between the two readings.</w:t>
      </w:r>
    </w:p>
    <w:bookmarkEnd w:id="83"/>
    <w:bookmarkStart w:id="84" w:name="system-collapse"/>
    <w:p>
      <w:pPr>
        <w:pStyle w:val="Heading3"/>
      </w:pPr>
      <w:r>
        <w:t xml:space="preserve">7.3 System collapse</w:t>
      </w:r>
    </w:p>
    <w:p>
      <w:pPr>
        <w:pStyle w:val="FirstParagraph"/>
      </w:pPr>
      <w:r>
        <w:t xml:space="preserve">The framework identifies two pathways through which threshold-crossing collapse is predicted. First, geomorphic change can degrade the ecotone advantage: channel migration, sedimentation, and flooding alter the mosaic of zones, reducing</w:t>
      </w:r>
      <w:r>
        <w:t xml:space="preserve"> </w:t>
      </w:r>
      <m:oMath>
        <m:r>
          <m:t>ε</m:t>
        </m:r>
      </m:oMath>
      <w:r>
        <w:t xml:space="preserve"> </w:t>
      </w:r>
      <w:r>
        <w:t xml:space="preserve">and raising</w:t>
      </w:r>
      <w:r>
        <w:t xml:space="preserve"> </w:t>
      </w:r>
      <m:oMath>
        <m:sSup>
          <m:e>
            <m:r>
              <m:t>σ</m:t>
            </m:r>
          </m:e>
          <m:sup>
            <m:r>
              <m:rPr>
                <m:sty m:val="p"/>
              </m:rPr>
              <m:t>*</m:t>
            </m:r>
          </m:sup>
        </m:sSup>
      </m:oMath>
      <w:r>
        <w:t xml:space="preserve"> </w:t>
      </w:r>
      <w:r>
        <w:t xml:space="preserve">above the regional</w:t>
      </w:r>
      <w:r>
        <w:t xml:space="preserve"> </w:t>
      </w:r>
      <m:oMath>
        <m:r>
          <m:t>σ</m:t>
        </m:r>
      </m:oMath>
      <w:r>
        <w:t xml:space="preserve">. A drop from</w:t>
      </w:r>
      <w:r>
        <w:t xml:space="preserve"> </w:t>
      </w:r>
      <m:oMath>
        <m:r>
          <m:t>ε</m:t>
        </m:r>
        <m:r>
          <m:rPr>
            <m:sty m:val="p"/>
          </m:rPr>
          <m:t>=</m:t>
        </m:r>
        <m:r>
          <m:t>0.35</m:t>
        </m:r>
      </m:oMath>
      <w:r>
        <w:t xml:space="preserve"> </w:t>
      </w:r>
      <w:r>
        <w:t xml:space="preserve">to</w:t>
      </w:r>
      <w:r>
        <w:t xml:space="preserve"> </w:t>
      </w:r>
      <m:oMath>
        <m:r>
          <m:t>ε</m:t>
        </m:r>
        <m:r>
          <m:rPr>
            <m:sty m:val="p"/>
          </m:rPr>
          <m:t>=</m:t>
        </m:r>
        <m:r>
          <m:t>0.15</m:t>
        </m:r>
      </m:oMath>
      <w:r>
        <w:t xml:space="preserve"> </w:t>
      </w:r>
      <w:r>
        <w:t xml:space="preserve">would raise</w:t>
      </w:r>
      <w:r>
        <w:t xml:space="preserve"> </w:t>
      </w:r>
      <m:oMath>
        <m:sSup>
          <m:e>
            <m:r>
              <m:t>σ</m:t>
            </m:r>
          </m:e>
          <m:sup>
            <m:r>
              <m:rPr>
                <m:sty m:val="p"/>
              </m:rPr>
              <m:t>*</m:t>
            </m:r>
          </m:sup>
        </m:sSup>
      </m:oMath>
      <w:r>
        <w:t xml:space="preserve"> </w:t>
      </w:r>
      <w:r>
        <w:t xml:space="preserve">from ~0.40 to ~0.50, potentially pushing conditions below the viability boundary. Second, disruption of long-distance exchange routes severs the material supply lines that sustain individual-level signaling, reducing the cooperation networks that the signaling apparatus underwrites.</w:t>
      </w:r>
    </w:p>
    <w:p>
      <w:pPr>
        <w:pStyle w:val="BodyText"/>
      </w:pPr>
      <w:r>
        <w:t xml:space="preserve">Both pathways are documented in the Late Archaic LMV. Geoarchaeological evidence from Jaketown (Kidder et al. 2018) records a crevasse splay that buried the Poverty Point occupation at 3310 cal BP (10-15 cm of coarse sand overlain by 50-60 cm of fining-upward sediment), produced by the Mississippi’s lateral migration from its Stage 2 to Stage 1 course. The resulting regional abandonment at Jaketown lasted ~530 years. Across the LMV more broadly, post-flood Early Woodland reoccupation shows little monumental architecture (with the possible LMV-wide exception of St. Mary’s Mound in Madison Parish), minimal long-distance trade, less diverse assemblages, and no lapidary art (Kidder et al. 2018), a near-complete collapse of the signaling system rather than a gradual decline. This pattern is consistent with the framework’s prediction that, once conditions cross below</w:t>
      </w:r>
      <w:r>
        <w:t xml:space="preserve"> </w:t>
      </w:r>
      <m:oMath>
        <m:sSup>
          <m:e>
            <m:r>
              <m:t>σ</m:t>
            </m:r>
          </m:e>
          <m:sup>
            <m:r>
              <m:rPr>
                <m:sty m:val="p"/>
              </m:rPr>
              <m:t>*</m:t>
            </m:r>
          </m:sup>
        </m:sSup>
      </m:oMath>
      <w:r>
        <w:t xml:space="preserve">, the positive feedback that sustained aggregation reverses rapidly.</w:t>
      </w:r>
    </w:p>
    <w:p>
      <w:pPr>
        <w:pStyle w:val="BodyText"/>
      </w:pPr>
      <w:r>
        <w:t xml:space="preserve">Two qualifications. First, the framework was developed with the Kidder et al. (2018) collapse pattern already in mind, so the consistency between model and observations is not an out-of-sample prediction. We read it as a confirmation that the threshold logic accommodates the documented sequence rather than as a blind test that the account passed. Second, threshold-driven collapse and direct displacement-driven collapse yield temporally distinct predictions that the LMV record could, in principle, distinguish. A threshold-driven collapse predicts that the</w:t>
      </w:r>
      <w:r>
        <w:t xml:space="preserve"> </w:t>
      </w:r>
      <w:r>
        <w:rPr>
          <w:i/>
          <w:iCs/>
        </w:rPr>
        <w:t xml:space="preserve">signaling indicators</w:t>
      </w:r>
      <w:r>
        <w:t xml:space="preserve"> </w:t>
      </w:r>
      <w:r>
        <w:t xml:space="preserve">(long-distance exotic acquisition, lapidary production) should weaken before or simultaneously with monument abandonment, because the supporting cooperation network must thin before the signals it sustains become uneconomic. A direct displacement-driven collapse predicts that monument abandonment should</w:t>
      </w:r>
      <w:r>
        <w:t xml:space="preserve"> </w:t>
      </w:r>
      <w:r>
        <w:rPr>
          <w:i/>
          <w:iCs/>
        </w:rPr>
        <w:t xml:space="preserve">precede</w:t>
      </w:r>
      <w:r>
        <w:t xml:space="preserve"> </w:t>
      </w:r>
      <w:r>
        <w:t xml:space="preserve">exotic-network attrition, because the immediate driver is the loss of the gathering site rather than the loss of the network. The current LMV chronology lacks the temporal resolution to discriminate, but high-resolution Bayesian modeling of terminal-occupation deposits, in parallel with Kidder and Grooms (2024) for the active interval, would provide a sharper test of the threshold mechanism in particular.</w:t>
      </w:r>
    </w:p>
    <w:p>
      <w:pPr>
        <w:pStyle w:val="BodyText"/>
      </w:pPr>
      <w:r>
        <w:t xml:space="preserve">The collapse provides insight into the underlying mechanism. If the LMV system had been organized through inherited institutions or chiefly authority, we would expect partial reorganization rather than near-total cessation. The framework predicts that sub-threshold conditions simultaneously remove the adaptive basis for the entire signaling apparatus, which matches the observed pattern of synchronized collapse across architecture, exchange, and lapidary production. The signal-half-life argument (§2.2) sharpens the prediction: a system that depends on continuous resignaling is vulnerable not only to threshold-crossing environmental change but also to any disruption that interrupts the construction cycle, because the inferential reliability of past investment decays on the social timescale of band turnover. The pre-existing physical structures cannot substitute for ongoing fresh investment, so a single missed cycle attenuates the network’s signaling capacity in subsequent years. Recovery would require not just ecological restoration but the rebuilding of cooperation networks and convergence dynamics that take generations to mature.</w:t>
      </w:r>
    </w:p>
    <w:bookmarkEnd w:id="84"/>
    <w:bookmarkStart w:id="85" w:name="Xdfce7b45924c6aad7e821a20850b90ee969fbbf"/>
    <w:p>
      <w:pPr>
        <w:pStyle w:val="Heading3"/>
      </w:pPr>
      <w:r>
        <w:t xml:space="preserve">7.4 Falsifiable predictions and priority empirical work</w:t>
      </w:r>
    </w:p>
    <w:p>
      <w:pPr>
        <w:pStyle w:val="FirstParagraph"/>
      </w:pPr>
      <w:r>
        <w:t xml:space="preserve">We separate predictions into those that carry independent inferential weight against the framework and those that carry only consistency weight conditional on inputs we have not derived.</w:t>
      </w:r>
    </w:p>
    <w:p>
      <w:pPr>
        <w:pStyle w:val="BodyText"/>
      </w:pPr>
      <w:r>
        <w:rPr>
          <w:b/>
          <w:bCs/>
        </w:rPr>
        <w:t xml:space="preserve">Independent results that would falsify the framework if reversed:</w:t>
      </w:r>
    </w:p>
    <w:p>
      <w:pPr>
        <w:numPr>
          <w:ilvl w:val="0"/>
          <w:numId w:val="1002"/>
        </w:numPr>
      </w:pPr>
      <w:r>
        <w:rPr>
          <w:i/>
          <w:iCs/>
        </w:rPr>
        <w:t xml:space="preserve">Binary interior-vs-coastal screening.</w:t>
      </w:r>
      <w:r>
        <w:t xml:space="preserve"> </w:t>
      </w:r>
      <w:r>
        <w:t xml:space="preserve">If a coastal Pearl-River-type site produced a high-</w:t>
      </w:r>
      <m:oMath>
        <m:r>
          <m:t>ε</m:t>
        </m:r>
      </m:oMath>
      <w:r>
        <w:t xml:space="preserve"> </w:t>
      </w:r>
      <w:r>
        <w:t xml:space="preserve">score and a high observed monument scale, the screening-claim half of the framework would be falsified. The observed pattern (Table 2) is consistent.</w:t>
      </w:r>
    </w:p>
    <w:p>
      <w:pPr>
        <w:numPr>
          <w:ilvl w:val="0"/>
          <w:numId w:val="1002"/>
        </w:numPr>
      </w:pPr>
      <w:r>
        <w:rPr>
          <w:i/>
          <w:iCs/>
        </w:rPr>
        <w:t xml:space="preserve">Paleoclimate-threshold proximity.</w:t>
      </w:r>
      <w:r>
        <w:t xml:space="preserve"> </w:t>
      </w:r>
      <w:r>
        <w:t xml:space="preserve">If a more rigorous paleo-discharge-resolved</w:t>
      </w:r>
      <w:r>
        <w:t xml:space="preserve"> </w:t>
      </w:r>
      <m:oMath>
        <m:r>
          <m:t>ε</m:t>
        </m:r>
      </m:oMath>
      <w:r>
        <w:t xml:space="preserve"> </w:t>
      </w:r>
      <w:r>
        <w:t xml:space="preserve">produced a posterior probability of above-threshold operation below 0.20, the structural-conditions claim would be substantially weakened. The current posterior is</w:t>
      </w:r>
      <w:r>
        <w:t xml:space="preserve"> </w:t>
      </w:r>
      <m:oMath>
        <m:r>
          <m:t>P</m:t>
        </m:r>
        <m:r>
          <m:rPr>
            <m:sty m:val="p"/>
          </m:rPr>
          <m:t>=</m:t>
        </m:r>
        <m:r>
          <m:t>0.36</m:t>
        </m:r>
      </m:oMath>
      <w:r>
        <w:t xml:space="preserve">-</w:t>
      </w:r>
      <m:oMath>
        <m:r>
          <m:t>0.56</m:t>
        </m:r>
      </m:oMath>
      <w:r>
        <w:t xml:space="preserve"> </w:t>
      </w:r>
      <w:r>
        <w:t xml:space="preserve">across plausible priors; a tighter test is identified below.</w:t>
      </w:r>
    </w:p>
    <w:p>
      <w:pPr>
        <w:numPr>
          <w:ilvl w:val="0"/>
          <w:numId w:val="1002"/>
        </w:numPr>
      </w:pPr>
      <w:r>
        <w:rPr>
          <w:i/>
          <w:iCs/>
        </w:rPr>
        <w:t xml:space="preserve">Distance-decay rank correlation.</w:t>
      </w:r>
      <w:r>
        <w:t xml:space="preserve"> </w:t>
      </w:r>
      <w:r>
        <w:t xml:space="preserve">If a recovery-corrected reanalysis of the Webb (1982) inventories produced</w:t>
      </w:r>
      <w:r>
        <w:t xml:space="preserve"> </w:t>
      </w:r>
      <m:oMath>
        <m:r>
          <m:t>ρ</m:t>
        </m:r>
        <m:r>
          <m:rPr>
            <m:sty m:val="p"/>
          </m:rPr>
          <m:t>&lt;</m:t>
        </m:r>
        <m:r>
          <m:t>0.5</m:t>
        </m:r>
      </m:oMath>
      <w:r>
        <w:t xml:space="preserve"> </w:t>
      </w:r>
      <w:r>
        <w:t xml:space="preserve">across the four exotic materials, the long-distance-acquisition claim would be undermined. The current value is</w:t>
      </w:r>
      <w:r>
        <w:t xml:space="preserve"> </w:t>
      </w:r>
      <m:oMath>
        <m:r>
          <m:t>ρ</m:t>
        </m:r>
        <m:r>
          <m:rPr>
            <m:sty m:val="p"/>
          </m:rPr>
          <m:t>=</m:t>
        </m:r>
        <m:r>
          <m:t>0.95</m:t>
        </m:r>
      </m:oMath>
      <w:r>
        <w:t xml:space="preserve">.</w:t>
      </w:r>
    </w:p>
    <w:p>
      <w:pPr>
        <w:numPr>
          <w:ilvl w:val="0"/>
          <w:numId w:val="1002"/>
        </w:numPr>
      </w:pPr>
      <w:r>
        <w:rPr>
          <w:i/>
          <w:iCs/>
        </w:rPr>
        <w:t xml:space="preserve">Threshold-vs-displacement collapse.</w:t>
      </w:r>
      <w:r>
        <w:t xml:space="preserve"> </w:t>
      </w:r>
      <w:r>
        <w:t xml:space="preserve">If high-resolution Bayesian dating of terminal-occupation deposits showed exotic-network attrition</w:t>
      </w:r>
      <w:r>
        <w:t xml:space="preserve"> </w:t>
      </w:r>
      <w:r>
        <w:rPr>
          <w:i/>
          <w:iCs/>
        </w:rPr>
        <w:t xml:space="preserve">after</w:t>
      </w:r>
      <w:r>
        <w:t xml:space="preserve"> </w:t>
      </w:r>
      <w:r>
        <w:t xml:space="preserve">monument abandonment, the threshold mechanism would be falsified. The data needed to perform this test does not currently exist at the resolution required. This might be difficult to evaluate, however, simply because curated materials from PP could be a possible source.</w:t>
      </w:r>
    </w:p>
    <w:p>
      <w:pPr>
        <w:numPr>
          <w:ilvl w:val="0"/>
          <w:numId w:val="1002"/>
        </w:numPr>
      </w:pPr>
      <w:r>
        <w:rPr>
          <w:i/>
          <w:iCs/>
        </w:rPr>
        <w:t xml:space="preserve">Out-of-sample placement.</w:t>
      </w:r>
      <w:r>
        <w:t xml:space="preserve"> </w:t>
      </w:r>
      <w:r>
        <w:t xml:space="preserve">An out-of-sample test of additional earthwork locations, where</w:t>
      </w:r>
      <w:r>
        <w:t xml:space="preserve"> </w:t>
      </w:r>
      <m:oMath>
        <m:r>
          <m:t>ε</m:t>
        </m:r>
      </m:oMath>
      <w:r>
        <w:t xml:space="preserve"> </w:t>
      </w:r>
      <w:r>
        <w:t xml:space="preserve">and</w:t>
      </w:r>
      <w:r>
        <w:t xml:space="preserve"> </w:t>
      </w:r>
      <m:oMath>
        <m:sSub>
          <m:e>
            <m:r>
              <m:t>n</m:t>
            </m:r>
          </m:e>
          <m:sub>
            <m:r>
              <m:t>a</m:t>
            </m:r>
            <m:r>
              <m:t>g</m:t>
            </m:r>
            <m:r>
              <m:t>g</m:t>
            </m:r>
          </m:sub>
        </m:sSub>
      </m:oMath>
      <w:r>
        <w:t xml:space="preserve"> </w:t>
      </w:r>
      <w:r>
        <w:t xml:space="preserve">are derived independently, and the joint prediction fails to bracket the observed monument scale, would carry strong independent weight against the framework. This test is not currently performed.</w:t>
      </w:r>
    </w:p>
    <w:p>
      <w:pPr>
        <w:numPr>
          <w:ilvl w:val="0"/>
          <w:numId w:val="1002"/>
        </w:numPr>
      </w:pPr>
      <w:r>
        <w:rPr>
          <w:i/>
          <w:iCs/>
        </w:rPr>
        <w:t xml:space="preserve">Concentration-ratio asymmetry.</w:t>
      </w:r>
      <w:r>
        <w:t xml:space="preserve"> </w:t>
      </w:r>
      <w:r>
        <w:t xml:space="preserve">The model predicts a high concentration ratio at the gathering hub, with low-magnitude personal-effects leakage to visitor-band home territories, rather than the bidirectional flow predicted by social-storage variants of risk-pooling or the smooth distance-decay predicted by down-the-line exchange. The existing record matches: 95.7% of all steatite and 97% of all galena in the entire Poverty Point regional system are at the type-site (Smith 1991), with low-magnitude trace quantities at hinterland PP-affiliated sites (Gibson and Griffing 1994; Mitch 2023), and the active-period flow is characterized as effectively one-directional (Kidder and Grooms 2025:7). This is the discriminating empirical result, and it holds on the existing record. If hinterland assemblages at independently-confirmed visitor-band sites contained PP-style exotic material at quantities approaching the type-site fraction, or if a temporal signature of bidirectional flow at the hub (in during good years, out during shortfall years) were demonstrated, the signaling-specific reading of the exotic record would be falsified; the published cross-site inventory does not show either pattern. A controlled provenience analysis of visitor-band sources, in which the asymmetry is examined specifically at sites whose participation as visitor bands is independently established (e.g., through the convergence-model chronological framework of Grooms et al. 2023), would tighten the test from coarse concentration-ratio asymmetry to fine-grained per-site asymmetry patterning.</w:t>
      </w:r>
    </w:p>
    <w:p>
      <w:pPr>
        <w:numPr>
          <w:ilvl w:val="0"/>
          <w:numId w:val="1002"/>
        </w:numPr>
      </w:pPr>
      <w:r>
        <w:rPr>
          <w:i/>
          <w:iCs/>
        </w:rPr>
        <w:t xml:space="preserve">Phenology test.</w:t>
      </w:r>
      <w:r>
        <w:t xml:space="preserve"> </w:t>
      </w:r>
      <w:r>
        <w:t xml:space="preserve">The available seasonality evidence does not directly constrain the type-site core: faunal bone preservation at Poverty Point is poor due to soil acidity, and macrobotanical reports come from peripheral Poverty Point-period sites (Thomas and Campbell 1978) where plant remains are consistent with fall-winter occupation, possibly extending into summer, with no plant evidence for spring (interpreted as band dispersal during spring and possibly until late summer). The framework’s broader-window prediction (substantial aggregation share in spring fish-spawn and summer aquatic months in addition to fall-winter mast) cannot be tested against existing PP faunal material because the relevant bone has not survived. The falsifiable test requires non-faunal seasonality proxies recoverable from the monumental core: macrobotanical assemblages from new excavations, phytolith and pollen records from contexts that preserve those signatures, stable-isotope sequencing of preserved tooth or shell where present, ZooMS analyses of proteins for small unidentifiable faunal fragments, and microbotanical residues. An exclusively fall-winter signal across multiple such proxies would be at odds with the framework’s predicted multi-peak aggregation; a multi-peak signal across mast, fish-spawning, and summer aquatic months would be consistent with it.</w:t>
      </w:r>
    </w:p>
    <w:p>
      <w:pPr>
        <w:numPr>
          <w:ilvl w:val="0"/>
          <w:numId w:val="1002"/>
        </w:numPr>
      </w:pPr>
      <w:r>
        <w:rPr>
          <w:i/>
          <w:iCs/>
        </w:rPr>
        <w:t xml:space="preserve">Construction event density at PP versus WB.</w:t>
      </w:r>
      <w:r>
        <w:t xml:space="preserve"> </w:t>
      </w:r>
      <w:r>
        <w:t xml:space="preserve">If finished earthworks lose their value as signals of current cooperative capacity over time (the signal-half-life argument of §2.2), then a community at high accumulated stock should spend most of its labor renewing existing features rather than adding new ones, producing many small construction events per active year. A community operating in short bursts with long gaps in between should produce fewer events per year because each burst restarts close to zero after the previous one has decayed. The framework’s formal expression of this argument (§6.8) yields a quantitative prediction: PP, which held its stock near saturation for its continuous 75-year active interval, should show a much higher construction-event density per year than WB, which operated episodically with multi-century hiatuses between bursts. The existing record matches: PP shows at least 100 distinct construction events (the 64 ridge components of Hargrave et al. [2021], the 16 prepared surfaces beneath Mound C of Ortmann [2010], the build-decommission-rebuild cycles in plaza post circles of Clay [2023], and Mound A [Ortmann and Kidder 2013]) in 75 years, about 1.3 events per year. WB shows 11-20 events in 700 years (Saunders et al. 2005b), about 0.02-0.03 events per year. The ratio is 47-85</w:t>
      </w:r>
      <m:oMath>
        <m:r>
          <m:rPr>
            <m:sty m:val="p"/>
          </m:rPr>
          <m:t>×</m:t>
        </m:r>
      </m:oMath>
      <w:r>
        <w:t xml:space="preserve">, in the direction the framework predicts. A labor-resolved chronology of either site (for example, high-resolution Bayesian dating of stratigraphic events tied to per-event excavation volumes) that reversed this contrast or reduced it below an order of magnitude would substantially weaken the signal-half-life mechanism. A sharper version of the test would extend the event-density comparison to additional LMV sites and use a site-specific estimate of the decay rate</w:t>
      </w:r>
      <w:r>
        <w:t xml:space="preserve"> </w:t>
      </w:r>
      <m:oMath>
        <m:r>
          <m:t>δ</m:t>
        </m:r>
      </m:oMath>
      <w:r>
        <w:t xml:space="preserve"> </w:t>
      </w:r>
      <w:r>
        <w:t xml:space="preserve">from earthwork-weathering studies.</w:t>
      </w:r>
    </w:p>
    <w:p>
      <w:pPr>
        <w:pStyle w:val="FirstParagraph"/>
      </w:pPr>
      <w:r>
        <w:rPr>
          <w:b/>
          <w:bCs/>
        </w:rPr>
        <w:t xml:space="preserve">Results that carry only consistency weight conditional on inputs:</w:t>
      </w:r>
    </w:p>
    <w:p>
      <w:pPr>
        <w:numPr>
          <w:ilvl w:val="0"/>
          <w:numId w:val="1003"/>
        </w:numPr>
      </w:pPr>
      <w:r>
        <w:t xml:space="preserve">The cross-site magnitude correlation (</w:t>
      </w:r>
      <m:oMath>
        <m:r>
          <m:t>ρ</m:t>
        </m:r>
        <m:r>
          <m:rPr>
            <m:sty m:val="p"/>
          </m:rPr>
          <m:t>=</m:t>
        </m:r>
        <m:r>
          <m:rPr>
            <m:sty m:val="p"/>
          </m:rPr>
          <m:t>+</m:t>
        </m:r>
        <m:r>
          <m:t>0.85</m:t>
        </m:r>
      </m:oMath>
      <w:r>
        <w:t xml:space="preserve"> </w:t>
      </w:r>
      <w:r>
        <w:t xml:space="preserve">to</w:t>
      </w:r>
      <w:r>
        <w:t xml:space="preserve"> </w:t>
      </w:r>
      <m:oMath>
        <m:r>
          <m:rPr>
            <m:sty m:val="p"/>
          </m:rPr>
          <m:t>+</m:t>
        </m:r>
        <m:r>
          <m:t>0.91</m:t>
        </m:r>
      </m:oMath>
      <w:r>
        <w:t xml:space="preserve">) is dominated by exogenous</w:t>
      </w:r>
      <w:r>
        <w:t xml:space="preserve"> </w:t>
      </w:r>
      <m:oMath>
        <m:sSub>
          <m:e>
            <m:r>
              <m:t>n</m:t>
            </m:r>
          </m:e>
          <m:sub>
            <m:r>
              <m:t>a</m:t>
            </m:r>
            <m:r>
              <m:t>g</m:t>
            </m:r>
            <m:r>
              <m:t>g</m:t>
            </m:r>
          </m:sub>
        </m:sSub>
      </m:oMath>
      <w:r>
        <w:t xml:space="preserve"> </w:t>
      </w:r>
      <w:r>
        <w:t xml:space="preserve">factors from convergence-model literature; the framework’s</w:t>
      </w:r>
      <w:r>
        <w:t xml:space="preserve"> </w:t>
      </w:r>
      <m:oMath>
        <m:r>
          <m:t>ε</m:t>
        </m:r>
      </m:oMath>
      <w:r>
        <w:t xml:space="preserve"> </w:t>
      </w:r>
      <w:r>
        <w:t xml:space="preserve">contributes</w:t>
      </w:r>
      <w:r>
        <w:t xml:space="preserve"> </w:t>
      </w:r>
      <m:oMath>
        <m:r>
          <m:rPr>
            <m:sty m:val="p"/>
          </m:rPr>
          <m:t>≤</m:t>
        </m:r>
        <m:r>
          <m:rPr>
            <m:sty m:val="p"/>
          </m:rPr>
          <m:t>+</m:t>
        </m:r>
        <m:r>
          <m:t>0.03</m:t>
        </m:r>
      </m:oMath>
      <w:r>
        <w:t xml:space="preserve"> </w:t>
      </w:r>
      <w:r>
        <w:t xml:space="preserve">marginal correlation. A reviewer skeptical of the</w:t>
      </w:r>
      <w:r>
        <w:t xml:space="preserve"> </w:t>
      </w:r>
      <m:oMath>
        <m:sSub>
          <m:e>
            <m:r>
              <m:t>n</m:t>
            </m:r>
          </m:e>
          <m:sub>
            <m:r>
              <m:t>a</m:t>
            </m:r>
            <m:r>
              <m:t>g</m:t>
            </m:r>
            <m:r>
              <m:t>g</m:t>
            </m:r>
          </m:sub>
        </m:sSub>
      </m:oMath>
      <w:r>
        <w:t xml:space="preserve"> </w:t>
      </w:r>
      <w:r>
        <w:t xml:space="preserve">values would correctly object that the magnitude prediction is conditional on input data that the framework does not derive.</w:t>
      </w:r>
    </w:p>
    <w:p>
      <w:pPr>
        <w:numPr>
          <w:ilvl w:val="0"/>
          <w:numId w:val="1003"/>
        </w:numPr>
      </w:pPr>
      <w:r>
        <w:t xml:space="preserve">The Watson Brake closure (§6.3), under the refined LiDAR-derived per-mound volume of 27,065 m³ (§5.1), now rests primarily on the per-event labor-scaling extension at</w:t>
      </w:r>
      <w:r>
        <w:t xml:space="preserve"> </w:t>
      </w:r>
      <m:oMath>
        <m:r>
          <m:t>α</m:t>
        </m:r>
        <m:r>
          <m:rPr>
            <m:sty m:val="p"/>
          </m:rPr>
          <m:t>=</m:t>
        </m:r>
        <m:r>
          <m:t>2</m:t>
        </m:r>
      </m:oMath>
      <w:r>
        <w:t xml:space="preserve">, which gives a predicted WB volume of ~25,000 m³ that matches the LiDAR observation within ~9% (ratio 0.91×) without further parameter tuning. The regime-switching</w:t>
      </w:r>
      <w:r>
        <w:t xml:space="preserve"> </w:t>
      </w:r>
      <m:oMath>
        <m:r>
          <m:t>K</m:t>
        </m:r>
      </m:oMath>
      <w:r>
        <w:t xml:space="preserve"> </w:t>
      </w:r>
      <w:r>
        <w:t xml:space="preserve">parameter is no longer required to close the gap; regime switching now plays the substantive role of accounting for episodic construction tempo rather than total volume. The remaining post-hoc element is</w:t>
      </w:r>
      <w:r>
        <w:t xml:space="preserve"> </w:t>
      </w:r>
      <m:oMath>
        <m:r>
          <m:t>α</m:t>
        </m:r>
        <m:r>
          <m:rPr>
            <m:sty m:val="p"/>
          </m:rPr>
          <m:t>=</m:t>
        </m:r>
        <m:r>
          <m:t>2.0</m:t>
        </m:r>
      </m:oMath>
      <w:r>
        <w:t xml:space="preserve"> </w:t>
      </w:r>
      <w:r>
        <w:t xml:space="preserve">itself, which exceeds the additive-labor baseline (</w:t>
      </w:r>
      <m:oMath>
        <m:r>
          <m:t>α</m:t>
        </m:r>
        <m:r>
          <m:rPr>
            <m:sty m:val="p"/>
          </m:rPr>
          <m:t>=</m:t>
        </m:r>
        <m:r>
          <m:t>1</m:t>
        </m:r>
      </m:oMath>
      <w:r>
        <w:t xml:space="preserve">) of Erasmus (1965) and is calibrated to minimize log-overprediction across the eleven-site sample rather than derived from independent ethnographic data. Restricting to</w:t>
      </w:r>
      <w:r>
        <w:t xml:space="preserve"> </w:t>
      </w:r>
      <m:oMath>
        <m:r>
          <m:t>α</m:t>
        </m:r>
        <m:r>
          <m:rPr>
            <m:sty m:val="p"/>
          </m:rPr>
          <m:t>=</m:t>
        </m:r>
        <m:r>
          <m:t>1</m:t>
        </m:r>
      </m:oMath>
      <w:r>
        <w:t xml:space="preserve"> </w:t>
      </w:r>
      <w:r>
        <w:t xml:space="preserve">produces a WB prediction of ~3,500 m³, well below the LiDAR-derived 27,065 m³; the closure is therefore conditional on superadditive labor scaling at the WB-vs-PP crew-size contrast.</w:t>
      </w:r>
    </w:p>
    <w:p>
      <w:pPr>
        <w:pStyle w:val="FirstParagraph"/>
      </w:pPr>
      <w:r>
        <w:t xml:space="preserve">We can partially derive</w:t>
      </w:r>
      <w:r>
        <w:t xml:space="preserve"> </w:t>
      </w:r>
      <m:oMath>
        <m:r>
          <m:t>α</m:t>
        </m:r>
      </m:oMath>
      <w:r>
        <w:t xml:space="preserve"> </w:t>
      </w:r>
      <w:r>
        <w:t xml:space="preserve">from independent ethnographic data. Erasmus (1965) measured that one laborer with a wooden digging stick excavates approximately 2.6 m³ of earthen fill per five-hour person-day in the Mexican highlands; the rate is widely cited in Late Archaic labor estimates (Ortmann and Kidder 2013 use it to derive the ~91,700 person-day estimate for Mound A). Under additive accounting (per-person rate constant across crew sizes), Erasmus’s measurement supports</w:t>
      </w:r>
      <w:r>
        <w:t xml:space="preserve"> </w:t>
      </w:r>
      <m:oMath>
        <m:r>
          <m:t>α</m:t>
        </m:r>
        <m:r>
          <m:rPr>
            <m:sty m:val="p"/>
          </m:rPr>
          <m:t>≈</m:t>
        </m:r>
        <m:r>
          <m:t>1</m:t>
        </m:r>
      </m:oMath>
      <w:r>
        <w:t xml:space="preserve"> </w:t>
      </w:r>
      <w:r>
        <w:t xml:space="preserve">(linear scaling in crew size). The</w:t>
      </w:r>
      <w:r>
        <w:t xml:space="preserve"> </w:t>
      </w:r>
      <m:oMath>
        <m:r>
          <m:t>α</m:t>
        </m:r>
        <m:r>
          <m:rPr>
            <m:sty m:val="p"/>
          </m:rPr>
          <m:t>=</m:t>
        </m:r>
        <m:r>
          <m:t>2</m:t>
        </m:r>
      </m:oMath>
      <w:r>
        <w:t xml:space="preserve"> </w:t>
      </w:r>
      <w:r>
        <w:t xml:space="preserve">used in §6.3 instead requires superadditive scaling, meaning larger crews achieve more m³ per person than smaller crews through specialization or coordination economies. The Late Archaic literature does not establish whether such economies operated at the crew sizes relevant for Watson Brake versus Poverty Point, so the §6.3 closure should be read as consistent only under a fitted</w:t>
      </w:r>
      <w:r>
        <w:t xml:space="preserve"> </w:t>
      </w:r>
      <m:oMath>
        <m:r>
          <m:t>α</m:t>
        </m:r>
        <m:r>
          <m:rPr>
            <m:sty m:val="p"/>
          </m:rPr>
          <m:t>=</m:t>
        </m:r>
        <m:r>
          <m:t>2</m:t>
        </m:r>
      </m:oMath>
      <w:r>
        <w:t xml:space="preserve"> </w:t>
      </w:r>
      <w:r>
        <w:t xml:space="preserve">that exceeds Erasmus-derived linear scaling. A full forward prediction would require either independent justification for superadditive scaling at these crew sizes (Carballo 2013 reviews the institutional reasons large crews can achieve specialization-driven productivity gains, but the literature is mixed) or restricting the Watson Brake analysis to</w:t>
      </w:r>
      <w:r>
        <w:t xml:space="preserve"> </w:t>
      </w:r>
      <m:oMath>
        <m:r>
          <m:t>α</m:t>
        </m:r>
        <m:r>
          <m:rPr>
            <m:sty m:val="p"/>
          </m:rPr>
          <m:t>=</m:t>
        </m:r>
        <m:r>
          <m:t>1</m:t>
        </m:r>
      </m:oMath>
      <w:r>
        <w:t xml:space="preserve">, which would leave the framework underpredicting the 27,065 m³ by approximately 7.7-fold rather than the post-hoc-fitted 0.93-fold (near-exact match) achieved at</w:t>
      </w:r>
      <w:r>
        <w:t xml:space="preserve"> </w:t>
      </w:r>
      <m:oMath>
        <m:r>
          <m:t>α</m:t>
        </m:r>
        <m:r>
          <m:rPr>
            <m:sty m:val="p"/>
          </m:rPr>
          <m:t>=</m:t>
        </m:r>
        <m:r>
          <m:t>2</m:t>
        </m:r>
      </m:oMath>
      <w:r>
        <w:t xml:space="preserve">.</w:t>
      </w:r>
    </w:p>
    <w:p>
      <w:pPr>
        <w:pStyle w:val="Compact"/>
        <w:numPr>
          <w:ilvl w:val="0"/>
          <w:numId w:val="1004"/>
        </w:numPr>
      </w:pPr>
      <w:r>
        <w:t xml:space="preserve">The seasonal aggregation pattern prediction (§6.7) is partly tautological because the script reads in the mast peak window from Webb (1982) and Jackson (1986); the genuinely falsifiable spring-summer prediction is listed in (g) above.</w:t>
      </w:r>
    </w:p>
    <w:p>
      <w:pPr>
        <w:pStyle w:val="FirstParagraph"/>
      </w:pPr>
      <w:r>
        <w:t xml:space="preserve">We highlight these limits to provide readers with a clear accounting of the framework’s empirical commitments. The framework predicts the necessity of threshold crossing (the tests a, b, c, and d above test this). It does not independently predict cross-site monument-volume magnitude independent of</w:t>
      </w:r>
      <w:r>
        <w:t xml:space="preserve"> </w:t>
      </w:r>
      <m:oMath>
        <m:sSub>
          <m:e>
            <m:r>
              <m:t>n</m:t>
            </m:r>
          </m:e>
          <m:sub>
            <m:r>
              <m:t>a</m:t>
            </m:r>
            <m:r>
              <m:t>g</m:t>
            </m:r>
            <m:r>
              <m:t>g</m:t>
            </m:r>
          </m:sub>
        </m:sSub>
      </m:oMath>
      <w:r>
        <w:t xml:space="preserve">.</w:t>
      </w:r>
    </w:p>
    <w:p>
      <w:pPr>
        <w:pStyle w:val="BodyText"/>
      </w:pPr>
      <w:r>
        <w:t xml:space="preserve">A challenge shared by all current attempts to understand Poverty Point is that most archaeological data on the LMV mound-building tradition was generated under culture-historical paradigms, organized around questions of when, where, by whom, and in what sequence. The resulting assemblages and chronologies are extensive and well-documented, but they were not collected to test or falsify mechanistic hypotheses about why mobile hunter-gatherers built monuments. As Perreault (2019) argues, at the level of the archaeological record more generally, the resolution at which a record discriminates among hypotheses is set by the resolution at which it was assembled. The LMV record’s design supports discrimination among cultural-historical periods, traditions, and population trajectories. It does not, in its current form, support discrimination among mechanistic accounts of cooperation, aggregation, and monument investment, because the relevant discriminating evidence (per-event labor force, partner-choice events, signal-conditional tie formation, drainage-resolved per-site shortfall productivity) is either not preserved or has not been recovered through the dominant research programs.</w:t>
      </w:r>
    </w:p>
    <w:p>
      <w:pPr>
        <w:pStyle w:val="BodyText"/>
      </w:pPr>
      <w:r>
        <w:t xml:space="preserve">The framework offered here is the kind of mechanistic account that requires the higher-resolution evidence the existing record largely lacks. Its testable predictions identify both what existing data can be marshaled for and what new data are needed. The accounting below makes this resolution-question match explicit.</w:t>
      </w:r>
    </w:p>
    <w:p>
      <w:pPr>
        <w:pStyle w:val="BodyText"/>
      </w:pPr>
      <w:r>
        <w:t xml:space="preserve">Existing data support the demonstrations of calibration, distance decay, paleoclimate, chronology, and Watson Brake consistency reported in §6. They are not sufficient for: (1) the framework’s covariance-based magnitude prediction across LMV sites, which requires drainage-resolved paleo-discharge time series at each Table 2 site; (2) the fine-grained visitor-band concentration-ratio test, which requires controlled provenience analysis on PP-style exotic material at sites whose visitor-band status is independently established (this is the test that would discriminate the signaling reading from generic transport-cost or risk-pooling-as-social-storage alternatives, see §7.2 above; the existing PP exchange data was not collected with the asymmetric-flow signature in view); (3) a clean discrimination of convergence from delayed down-the-line diffusion, which requires uniformly Bayesian-modeled chronologies for the full LMV PP-trait inventory at sites beyond Jaketown and Poverty Point; (4) the threshold-vs-displacement collapse contrast, which requires high-resolution Bayesian dating of terminal-occupation deposits comparable to Kidder and Grooms (2024) for the active interval; (5) the seasonal-aggregation pattern test, which requires reanalysis of existing PP faunal collections at finer seasonal resolution; (6) a true signal-conditional ablation, which requires either the spatially-explicit ABM extension that endogenizes partner choice or the visitor-band concentration-ratio analysis that operationalizes signal-conditional tie formation in the archaeological record; and (7) a cross-LMV PPO production-volume test, which would assess whether aggregate PPO concentrations at the type site exceed any defensible cooking-needs baseline by a margin sufficient to read the excess as a group-level signaling deposit parallel to excess monument volume. This last test requires per-site PPO counts with deposit context (partly available in Webb 1982 and Hays 2019), plus an independently derived cooking-needs baseline that the LMV literature has not yet developed. Items (2) and (6) are the critical items for separating the framework’s signaling reading from a generic risk-pooling account; items (1), (3), (4), and (5) tighten or extend specific framework claims that the existing record can already partly support; item (7) would extend the framework with a third signaling channel currently unformalized (see §2.2).</w:t>
      </w:r>
    </w:p>
    <w:p>
      <w:pPr>
        <w:pStyle w:val="BodyText"/>
      </w:pPr>
      <w:r>
        <w:t xml:space="preserve">Additional model extensions would tighten or extend specific claims. A regional, spatially explicit ABM with hydrographic routing on a digital elevation model, carrying-capacity dynamics, path dependence over multi-century timescales, and stochastic exploration-exploitation balance would endogenize</w:t>
      </w:r>
      <w:r>
        <w:t xml:space="preserve"> </w:t>
      </w:r>
      <m:oMath>
        <m:sSub>
          <m:e>
            <m:r>
              <m:t>n</m:t>
            </m:r>
          </m:e>
          <m:sub>
            <m:r>
              <m:t>a</m:t>
            </m:r>
            <m:r>
              <m:t>g</m:t>
            </m:r>
            <m:r>
              <m:t>g</m:t>
            </m:r>
          </m:sub>
        </m:sSub>
      </m:oMath>
      <w:r>
        <w:t xml:space="preserve"> </w:t>
      </w:r>
      <w:r>
        <w:t xml:space="preserve">rather than treat it as exogenous. We have implemented a minimal version (band-allocation among 11 candidate LMV sites with canoe-day travel costs) for verification purposes; the full version remains future work. A within-month time-step model with species-resolved subsistence dynamics and a non-LMV-derived phenology calendar would test the framework’s seasonality prediction non-circularly. A paleo-discharge-resolved operationalization of</w:t>
      </w:r>
      <w:r>
        <w:t xml:space="preserve"> </w:t>
      </w:r>
      <m:oMath>
        <m:r>
          <m:t>ε</m:t>
        </m:r>
      </m:oMath>
      <w:r>
        <w:t xml:space="preserve"> </w:t>
      </w:r>
      <w:r>
        <w:t xml:space="preserve">using sediment-yield reconstructions or paleo-flood-frequency proxies per drainage at the focal-site scale would replace the modern hydrograph-as-proxy treatment used in our preliminary regional analysis.</w:t>
      </w:r>
    </w:p>
    <w:p>
      <w:pPr>
        <w:pStyle w:val="BodyText"/>
      </w:pPr>
      <w:r>
        <w:t xml:space="preserve">Generating this data, with falsification of specific framework predictions in view rather than further descriptive documentation as the primary goal, is the empirical agenda the framework calls for.</w:t>
      </w:r>
    </w:p>
    <w:bookmarkEnd w:id="85"/>
    <w:bookmarkStart w:id="86" w:name="Xd92bb6fe7df6f7a9fea4cb5865eb7dc05c9ebd6"/>
    <w:p>
      <w:pPr>
        <w:pStyle w:val="Heading3"/>
      </w:pPr>
      <w:r>
        <w:t xml:space="preserve">7.5 Implications for hunter-gatherer archaeology more broadly</w:t>
      </w:r>
    </w:p>
    <w:p>
      <w:pPr>
        <w:pStyle w:val="FirstParagraph"/>
      </w:pPr>
      <w:r>
        <w:t xml:space="preserve">The standard typological account of forager societies treats monumentality as a marker of the transition to complexity, with hunter-gatherer monumentality treated as evidence of transitional or anomalous status. Sassaman (2010) challenges this assumption specifically for the Eastern Archaic, and Graeber and Wengrow (2021) make a parallel argument for the broader human deep-time record. The framework offers a structural reading consistent with both arguments: if mobile-forager monumentality occurs when environmental uncertainty exceeds the threshold combined with locally available ecotone diversity and a viable attained aggregation scale, then the appearance of monumentality in mobile-forager societies need not indicate transitional status, and its absence in other forager societies need not indicate the absence of capacity for cooperation or symbolic life.</w:t>
      </w:r>
    </w:p>
    <w:p>
      <w:pPr>
        <w:pStyle w:val="BodyText"/>
      </w:pPr>
      <w:r>
        <w:t xml:space="preserve">The framework’s predictions for adjacent eastern Archaic monumental traditions are worth naming concretely to identify where it should and should not place sites above the threshold. None of these is a tested prediction. Instead, all are conditional placements that we report so the framework’s operational specificity is visible to the reader, with the explicit caveat that we have not applied the static rubric or the convergence-model</w:t>
      </w:r>
      <w:r>
        <w:t xml:space="preserve"> </w:t>
      </w:r>
      <m:oMath>
        <m:sSub>
          <m:e>
            <m:r>
              <m:t>n</m:t>
            </m:r>
          </m:e>
          <m:sub>
            <m:r>
              <m:t>a</m:t>
            </m:r>
            <m:r>
              <m:t>g</m:t>
            </m:r>
            <m:r>
              <m:t>g</m:t>
            </m:r>
          </m:sub>
        </m:sSub>
      </m:oMath>
      <w:r>
        <w:t xml:space="preserve"> </w:t>
      </w:r>
      <w:r>
        <w:t xml:space="preserve">to any of them, and that the comparisons remain to be done.</w:t>
      </w:r>
      <w:r>
        <w:t xml:space="preserve"> </w:t>
      </w:r>
      <w:r>
        <w:rPr>
          <w:i/>
          <w:iCs/>
        </w:rPr>
        <w:t xml:space="preserve">Stallings Island and the Savannah River shell-ring tradition</w:t>
      </w:r>
      <w:r>
        <w:t xml:space="preserve"> </w:t>
      </w:r>
      <w:r>
        <w:t xml:space="preserve">(4500-3500 cal BP; Sassaman 2006): the framework would place these in a moderately high</w:t>
      </w:r>
      <w:r>
        <w:t xml:space="preserve"> </w:t>
      </w:r>
      <m:oMath>
        <m:r>
          <m:t>ε</m:t>
        </m:r>
      </m:oMath>
      <w:r>
        <w:t xml:space="preserve"> </w:t>
      </w:r>
      <w:r>
        <w:t xml:space="preserve">band (estuarine multi-zone access but no inland drainage confluence comparable to PP), and would predict above-threshold operation at a smaller magnitude than PP.</w:t>
      </w:r>
      <w:r>
        <w:t xml:space="preserve"> </w:t>
      </w:r>
      <w:r>
        <w:rPr>
          <w:i/>
          <w:iCs/>
        </w:rPr>
        <w:t xml:space="preserve">Green River shell mound complex</w:t>
      </w:r>
      <w:r>
        <w:t xml:space="preserve"> </w:t>
      </w:r>
      <w:r>
        <w:t xml:space="preserve">in Kentucky (5800-4000 cal BP; Marquardt and Watson 2005): integration of river, terrace, oak-hickory upland, and bottomland zones places it in a high-</w:t>
      </w:r>
      <m:oMath>
        <m:r>
          <m:t>ε</m:t>
        </m:r>
      </m:oMath>
      <w:r>
        <w:t xml:space="preserve"> </w:t>
      </w:r>
      <w:r>
        <w:t xml:space="preserve">band similar to interior LMV sites, with above-threshold operation predicted.</w:t>
      </w:r>
      <w:r>
        <w:t xml:space="preserve"> </w:t>
      </w:r>
      <w:r>
        <w:rPr>
          <w:i/>
          <w:iCs/>
        </w:rPr>
        <w:t xml:space="preserve">Mulberry Creek and adjacent Tennessee Valley shell mounds</w:t>
      </w:r>
      <w:r>
        <w:t xml:space="preserve"> </w:t>
      </w:r>
      <w:r>
        <w:t xml:space="preserve">(4500-3500 cal BP; Webb 1939; Sassaman 2010): Tennessee River aquatic, upland, and mast zone integration predicts above-threshold operation at intermediate scale.</w:t>
      </w:r>
      <w:r>
        <w:t xml:space="preserve"> </w:t>
      </w:r>
      <w:r>
        <w:rPr>
          <w:i/>
          <w:iCs/>
        </w:rPr>
        <w:t xml:space="preserve">Poverty Point-period sites in southwest Alabama and east Mississippi</w:t>
      </w:r>
      <w:r>
        <w:t xml:space="preserve"> </w:t>
      </w:r>
      <w:r>
        <w:t xml:space="preserve">(Yazoo Basin and Tombigbee corridor): near-LMV cases that the framework would predict to fall in the same high-</w:t>
      </w:r>
      <m:oMath>
        <m:r>
          <m:t>ε</m:t>
        </m:r>
      </m:oMath>
      <w:r>
        <w:t xml:space="preserve"> </w:t>
      </w:r>
      <w:r>
        <w:t xml:space="preserve">band as the Table 2 interior sites, with magnitude differences set by attained</w:t>
      </w:r>
      <w:r>
        <w:t xml:space="preserve"> </w:t>
      </w:r>
      <m:oMath>
        <m:sSub>
          <m:e>
            <m:r>
              <m:t>n</m:t>
            </m:r>
          </m:e>
          <m:sub>
            <m:r>
              <m:t>a</m:t>
            </m:r>
            <m:r>
              <m:t>g</m:t>
            </m:r>
            <m:r>
              <m:t>g</m:t>
            </m:r>
          </m:sub>
        </m:sSub>
      </m:oMath>
      <w:r>
        <w:t xml:space="preserve">. The framework would</w:t>
      </w:r>
      <w:r>
        <w:t xml:space="preserve"> </w:t>
      </w:r>
      <w:r>
        <w:rPr>
          <w:i/>
          <w:iCs/>
        </w:rPr>
        <w:t xml:space="preserve">not</w:t>
      </w:r>
      <w:r>
        <w:t xml:space="preserve"> </w:t>
      </w:r>
      <w:r>
        <w:t xml:space="preserve">place most Western Eastern Woodlands hunter-gatherer settings of comparable date above the threshold, where prairie dominance reduces zone count and ecotone integration. Whether each of these placements matches the documented record (shell-ring scale at Stallings, mound-and-midden investment at Green River, shell-mound investment at Mulberry Creek, absence of monumental architecture in the western prairie) requires applying the rubric and the convergence-model</w:t>
      </w:r>
      <w:r>
        <w:t xml:space="preserve"> </w:t>
      </w:r>
      <m:oMath>
        <m:sSub>
          <m:e>
            <m:r>
              <m:t>n</m:t>
            </m:r>
          </m:e>
          <m:sub>
            <m:r>
              <m:t>a</m:t>
            </m:r>
            <m:r>
              <m:t>g</m:t>
            </m:r>
            <m:r>
              <m:t>g</m:t>
            </m:r>
          </m:sub>
        </m:sSub>
      </m:oMath>
      <w:r>
        <w:t xml:space="preserve"> </w:t>
      </w:r>
      <w:r>
        <w:t xml:space="preserve">at each site, which we have not done here. We call these falsifiable predictions rather than confirmations.</w:t>
      </w:r>
    </w:p>
    <w:p>
      <w:pPr>
        <w:pStyle w:val="BodyText"/>
      </w:pPr>
      <w:r>
        <w:t xml:space="preserve">None of these is a tested prediction; all are conditional placements. The point is that the framework is operationally specific enough to make case-by-case structural predictions in the eastern Archaic literature, even though those predictions have not been formally tested against the broader record. Whether the LMV pattern is best understood as a regionally bounded experiment in mobile-forager monumentality (consistent with Sassaman 2010) or as part of a continent-wide structural phenomenon awaiting empirical testing is the empirical question the framework reformulates.</w:t>
      </w:r>
    </w:p>
    <w:bookmarkEnd w:id="86"/>
    <w:bookmarkEnd w:id="87"/>
    <w:bookmarkStart w:id="88" w:name="conclusions"/>
    <w:p>
      <w:pPr>
        <w:pStyle w:val="Heading2"/>
      </w:pPr>
      <w:r>
        <w:t xml:space="preserve">8. Conclusions</w:t>
      </w:r>
    </w:p>
    <w:p>
      <w:pPr>
        <w:pStyle w:val="FirstParagraph"/>
      </w:pPr>
      <w:r>
        <w:t xml:space="preserve">The Poverty Point paradox, in which mobile foragers built the largest Archaic earthwork complex north of Mexico without hierarchy, food production, or year-round settlement at the type site (though year-round resource use is indicated for satellite sites such as Copes, Watson Brake, and Cowpen Slough), is consistent with a costly signaling system operating through seasonal aggregation. When environmental uncertainty exceeds a critical threshold and ecotone access is sufficient, aggregation with monument construction and exotic-goods acquisition provides higher fitness than independent foraging in the multilevel-selection framework we have developed. The investment patterns are not wasteful displays but functional solutions to the partner-identification, free-rider, and commitment problems that arise whenever mobile bands gather at a site that pulls partners from across the midcontinent.</w:t>
      </w:r>
    </w:p>
    <w:p>
      <w:pPr>
        <w:pStyle w:val="BodyText"/>
      </w:pPr>
      <w:r>
        <w:t xml:space="preserve">We evaluate the framework against the LMV record through eight separate tests, with the full accounting in §7.4. The summary:</w:t>
      </w:r>
    </w:p>
    <w:p>
      <w:pPr>
        <w:pStyle w:val="BodyText"/>
      </w:pPr>
      <w:r>
        <w:t xml:space="preserve">Three evaluations carry independent weight, each with a specific bound. The interior-vs-coastal screening (§6.4) distinguishes the high-</w:t>
      </w:r>
      <m:oMath>
        <m:r>
          <m:t>ε</m:t>
        </m:r>
      </m:oMath>
      <w:r>
        <w:t xml:space="preserve"> </w:t>
      </w:r>
      <w:r>
        <w:t xml:space="preserve">interior monument-building sites from the low-</w:t>
      </w:r>
      <m:oMath>
        <m:r>
          <m:t>ε</m:t>
        </m:r>
      </m:oMath>
      <w:r>
        <w:t xml:space="preserve"> </w:t>
      </w:r>
      <w:r>
        <w:t xml:space="preserve">Pearl River coastal pair (Claiborne and Cedarland). The sample is drawn from the known LMV monument-builder inventory (plus the coastal shell/earth-midden pair as the natural negative case), so the test is a necessity-condition check on ecotone access at sites that did become monumental, not a sufficiency-condition check across the LMV as a whole. The screening discrimination of interior monument-builders versus the coastal pair holds robustly under Monte Carlo perturbation of the rubric weights (§S13). The paleoclimate threshold-proximity test (§6.2), conditioned on the calibrated parameter set that defines</w:t>
      </w:r>
      <w:r>
        <w:t xml:space="preserve"> </w:t>
      </w:r>
      <m:oMath>
        <m:sSup>
          <m:e>
            <m:r>
              <m:t>σ</m:t>
            </m:r>
          </m:e>
          <m:sup>
            <m:r>
              <m:rPr>
                <m:sty m:val="p"/>
              </m:rPr>
              <m:t>*</m:t>
            </m:r>
          </m:sup>
        </m:sSup>
      </m:oMath>
      <w:r>
        <w:t xml:space="preserve">, lands at posterior probability</w:t>
      </w:r>
      <w:r>
        <w:t xml:space="preserve"> </w:t>
      </w:r>
      <m:oMath>
        <m:r>
          <m:t>P</m:t>
        </m:r>
        <m:r>
          <m:rPr>
            <m:sty m:val="p"/>
          </m:rPr>
          <m:t>=</m:t>
        </m:r>
        <m:r>
          <m:t>0.36</m:t>
        </m:r>
      </m:oMath>
      <w:r>
        <w:t xml:space="preserve">-</w:t>
      </w:r>
      <m:oMath>
        <m:r>
          <m:t>0.56</m:t>
        </m:r>
      </m:oMath>
      <w:r>
        <w:t xml:space="preserve"> </w:t>
      </w:r>
      <w:r>
        <w:t xml:space="preserve">across plausible</w:t>
      </w:r>
      <w:r>
        <w:t xml:space="preserve"> </w:t>
      </w:r>
      <m:oMath>
        <m:r>
          <m:t>ε</m:t>
        </m:r>
      </m:oMath>
      <w:r>
        <w:t xml:space="preserve"> </w:t>
      </w:r>
      <w:r>
        <w:t xml:space="preserve">priors. The width of this range reflects uncertainty in both the paleoclimate inputs and the model parameters rather than a failed prediction; Poverty Point sits near the threshold under defensible parameter choices, but the test does not by itself confirm or refute above-threshold operation. The distance-decay rank correlation (§6.1) yields</w:t>
      </w:r>
      <w:r>
        <w:t xml:space="preserve"> </w:t>
      </w:r>
      <m:oMath>
        <m:r>
          <m:t>ρ</m:t>
        </m:r>
        <m:r>
          <m:rPr>
            <m:sty m:val="p"/>
          </m:rPr>
          <m:t>=</m:t>
        </m:r>
        <m:r>
          <m:t>0.95</m:t>
        </m:r>
      </m:oMath>
      <w:r>
        <w:t xml:space="preserve"> </w:t>
      </w:r>
      <w:r>
        <w:t xml:space="preserve">across four materials, but it is acknowledged that it does not distinguish the signaling-mediated acquisition mechanism from a generic transport-cost or down-the-line exchange model that would produce the same ordering.</w:t>
      </w:r>
    </w:p>
    <w:p>
      <w:pPr>
        <w:pStyle w:val="BodyText"/>
      </w:pPr>
      <w:r>
        <w:t xml:space="preserve">The remaining five evaluations are consistency demonstrations. The volume calibration (§6.1) is, by definition, fit to the PP target. The exotic-goods totals (§6.1) require unit conversions and recovery-loss corrections to match the archaeological record. The Watson Brake closure (§6.3) requires per-event labor-scaling and regime-switching parameters chosen to bracket the WB observation; we describe the result as consistent with observed scale rather than as a passed test. The cross-site magnitude correlation (§6.6) returns Spearman</w:t>
      </w:r>
      <w:r>
        <w:t xml:space="preserve"> </w:t>
      </w:r>
      <m:oMath>
        <m:r>
          <m:t>ρ</m:t>
        </m:r>
        <m:r>
          <m:rPr>
            <m:sty m:val="p"/>
          </m:rPr>
          <m:t>=</m:t>
        </m:r>
        <m:r>
          <m:rPr>
            <m:sty m:val="p"/>
          </m:rPr>
          <m:t>+</m:t>
        </m:r>
        <m:r>
          <m:t>0.85</m:t>
        </m:r>
      </m:oMath>
      <w:r>
        <w:t xml:space="preserve"> </w:t>
      </w:r>
      <w:r>
        <w:t xml:space="preserve">to</w:t>
      </w:r>
      <w:r>
        <w:t xml:space="preserve"> </w:t>
      </w:r>
      <m:oMath>
        <m:r>
          <m:rPr>
            <m:sty m:val="p"/>
          </m:rPr>
          <m:t>+</m:t>
        </m:r>
        <m:r>
          <m:t>0.91</m:t>
        </m:r>
      </m:oMath>
      <w:r>
        <w:t xml:space="preserve">, but the partial-correlation decomposition shows this is dominated by exogenous</w:t>
      </w:r>
      <w:r>
        <w:t xml:space="preserve"> </w:t>
      </w:r>
      <m:oMath>
        <m:sSub>
          <m:e>
            <m:r>
              <m:t>n</m:t>
            </m:r>
          </m:e>
          <m:sub>
            <m:r>
              <m:t>a</m:t>
            </m:r>
            <m:r>
              <m:t>g</m:t>
            </m:r>
            <m:r>
              <m:t>g</m:t>
            </m:r>
          </m:sub>
        </m:sSub>
      </m:oMath>
      <w:r>
        <w:t xml:space="preserve"> </w:t>
      </w:r>
      <w:r>
        <w:t xml:space="preserve">from the convergence-model literature, with</w:t>
      </w:r>
      <w:r>
        <w:t xml:space="preserve"> </w:t>
      </w:r>
      <m:oMath>
        <m:r>
          <m:t>ε</m:t>
        </m:r>
      </m:oMath>
      <w:r>
        <w:t xml:space="preserve"> </w:t>
      </w:r>
      <w:r>
        <w:t xml:space="preserve">contributing</w:t>
      </w:r>
      <w:r>
        <w:t xml:space="preserve"> </w:t>
      </w:r>
      <m:oMath>
        <m:r>
          <m:rPr>
            <m:sty m:val="p"/>
          </m:rPr>
          <m:t>≤</m:t>
        </m:r>
        <m:r>
          <m:rPr>
            <m:sty m:val="p"/>
          </m:rPr>
          <m:t>+</m:t>
        </m:r>
        <m:r>
          <m:t>0.03</m:t>
        </m:r>
      </m:oMath>
      <w:r>
        <w:t xml:space="preserve"> </w:t>
      </w:r>
      <w:r>
        <w:t xml:space="preserve">marginal correlation. The within-year aggregation-timing test (§6.7) is partly tautological because the phenology calendar comes from the same Webb (1982) and Jackson (1986) sources that inform the published seasonal interpretation. The construction-tempo evaluation (§6.8) is consistent with the framework but with the explicit caveat that contemporary geoarchaeology converges on the same pattern under different theoretical framings.</w:t>
      </w:r>
    </w:p>
    <w:p>
      <w:pPr>
        <w:pStyle w:val="BodyText"/>
      </w:pPr>
      <w:r>
        <w:t xml:space="preserve">The framework’s discriminating empirical claim is the asymmetric concentration-ratio signature of §6.1: the signaling reading predicts disproportionate material accumulation at the gathering hub, with only low-magnitude personal-effects leakage to visitor-band home territories. The existing LMV record supports this. Smith (1991) reports 95.7% of all steatite and 97% of all galena in the regional system at the type-site, with hinterland sites carrying small but nonzero quantities (Gibson and Griffing 1994; Mitch 2023), and Kidder and Grooms (2025:7) characterize the active-period flow as effectively one-directional. Generic down-the-line exchange predicts smooth distance decay from each geological source, with no single node dominating, which the Smith 1991 figures rule out. Risk-pooling, as social storage in the Halstead and O’Shea (1989) tradition, predicts bidirectional flow at the hub, with exotics moving out (or converted to subsistence media) during shortfall years; the observed pattern is monotonic inflow during the active period rather than bidirectional storage and redistribution. Subsistence-level risk-pooling among hunter-gatherers operates primarily in archaeologically invisible media (food, dried provisions, labor, hospitality), so the exotic-flow signature is a secondary indicator of regional flow asymmetry rather than a direct test of risk-pooling itself. The signaling reading is therefore distinguished from these alternatives on the spatial-flow dimension. On the threshold-location dimension, the signal-conditional vs random-partner ablation (§4.3) returned no detectable shift (</w:t>
      </w:r>
      <m:oMath>
        <m:r>
          <m:rPr>
            <m:sty m:val="p"/>
          </m:rPr>
          <m:t>−</m:t>
        </m:r>
        <m:r>
          <m:t>2.4</m:t>
        </m:r>
        <m:r>
          <m:rPr>
            <m:sty m:val="p"/>
          </m:rPr>
          <m:t>%</m:t>
        </m:r>
      </m:oMath>
      <w:r>
        <w:t xml:space="preserve"> </w:t>
      </w:r>
      <w:r>
        <w:t xml:space="preserve">in realized</w:t>
      </w:r>
      <w:r>
        <w:t xml:space="preserve"> </w:t>
      </w:r>
      <m:oMath>
        <m:sSub>
          <m:e>
            <m:r>
              <m:t>σ</m:t>
            </m:r>
          </m:e>
          <m:sub>
            <m:r>
              <m:t>e</m:t>
            </m:r>
            <m:r>
              <m:t>f</m:t>
            </m:r>
            <m:r>
              <m:t>f</m:t>
            </m:r>
          </m:sub>
        </m:sSub>
      </m:oMath>
      <w:r>
        <w:t xml:space="preserve">, within replicate noise), so threshold location does not adjudicate between accounts that share the network-mediated buffering mechanism. The framework’s distinctive empirical content therefore lies in the spatial-flow signature rather than in the threshold location. The §7.4(f) sharpening study, controlled provenience analysis at sites whose visitor-band participation is independently established, would tighten the test from coarse asymmetry to fine-grained asymmetry patterning, but the discriminating result is already in the existing record.</w:t>
      </w:r>
    </w:p>
    <w:p>
      <w:pPr>
        <w:pStyle w:val="BodyText"/>
      </w:pPr>
      <w:r>
        <w:t xml:space="preserve">Late Archaic hunter-gatherers in the LMV were not anomalous, incipient, or in transition toward something else; they were doing what a fitness-maximizing analysis of mobile-forager populations under environmental uncertainty predicts. Read alongside the recent culturally rich accounts of Poverty Point (Clay 2023; Grooms 2022; Kidder and Grooms 2025; Sanger 2023, 2024), the framework is a structural complement to organizational accounts rather than a competing explanation. The signaling framework specifies where the conditions for sustained aggregation arise and when they should collapse; cultural-historical accounts specify through what institutional forms, with what symbolic content, and on what motivational logic those conditions are realized. Both registers are needed.</w:t>
      </w:r>
    </w:p>
    <w:p>
      <w:pPr>
        <w:pStyle w:val="BodyText"/>
      </w:pPr>
      <w:r>
        <w:t xml:space="preserve">The framework’s eight independently weighted, falsifiable predictions (§7.4) and the heavier model extensions and data-collection priorities that those predictions identify define the empirical agenda the framework calls for. Whether the LMV pattern is best understood as a regionally bounded experiment in mobile-forager monumentality or as part of a continent-wide structural phenomenon waiting to be tested at Stallings Island, Green River, Mulberry Creek, and beyond is the question the framework reformulates and that future work, organized around falsification of specific predictions rather than further descriptive documentation, would address.</w:t>
      </w:r>
    </w:p>
    <w:bookmarkEnd w:id="88"/>
    <w:bookmarkStart w:id="89" w:name="acknowledgments"/>
    <w:p>
      <w:pPr>
        <w:pStyle w:val="Heading2"/>
      </w:pPr>
      <w:r>
        <w:t xml:space="preserve">Acknowledgments</w:t>
      </w:r>
    </w:p>
    <w:p>
      <w:pPr>
        <w:pStyle w:val="FirstParagraph"/>
      </w:pPr>
      <w:r>
        <w:t xml:space="preserve">We thank the Poverty Point World Heritage Site staff, the Louisiana Office of State Parks, and the Louisiana Office of Cultural Development for ongoing access and collaboration. The Saucier (1994) Lower Mississippi Valley geomorphology shapefile is provided as public-domain data via USGS ScienceBase. The EPA Office of Research and Development Level IV ecoregion shapefiles are in the public domain under the Omernik and Griffith framework.</w:t>
      </w:r>
    </w:p>
    <w:bookmarkEnd w:id="89"/>
    <w:bookmarkStart w:id="90" w:name="data-availability"/>
    <w:p>
      <w:pPr>
        <w:pStyle w:val="Heading2"/>
      </w:pPr>
      <w:r>
        <w:t xml:space="preserve">Data Availability</w:t>
      </w:r>
    </w:p>
    <w:p>
      <w:pPr>
        <w:pStyle w:val="FirstParagraph"/>
      </w:pPr>
      <w:r>
        <w:t xml:space="preserve">Reproducibility of every analytical step in this article has been a central design goal: the public repository contains the canonical site-coordinate dataset, the analytical equilibrium and ABM source code, calibration replicates with deterministic seed lists, the per-figure generation scripts, and the seventeen-step Makefile plus REPRODUCE.md that walks a reader from a clean clone to every numerical result and figure in this article and its supplemental. Simulation code, parameter-sweep scripts, figure-generation code, an ODD protocol following Grimm et al. (2010), full sensitivity analyses, and the detailed cross-cultural comparison are provided as Supplemental Material and available at https://github.com/clipo/poverty-point. The repository includes a requirements.txt that pins Python and library versions; reproducibility is supported by deterministic seeding throughout. The manuscript version code release will be archived at Zenodo with a DOI prior to publication.</w:t>
      </w:r>
    </w:p>
    <w:bookmarkEnd w:id="90"/>
    <w:bookmarkStart w:id="91" w:name="references-cited"/>
    <w:p>
      <w:pPr>
        <w:pStyle w:val="Heading2"/>
      </w:pPr>
      <w:r>
        <w:t xml:space="preserve">References Cited</w:t>
      </w:r>
    </w:p>
    <w:p>
      <w:pPr>
        <w:pStyle w:val="FirstParagraph"/>
      </w:pPr>
      <w:r>
        <w:t xml:space="preserve">Baumgartel, Olivia C. 2024.</w:t>
      </w:r>
      <w:r>
        <w:t xml:space="preserve"> </w:t>
      </w:r>
      <w:r>
        <w:rPr>
          <w:i/>
          <w:iCs/>
        </w:rPr>
        <w:t xml:space="preserve">Creating a Chronology of Claiborne (22HA501): Revisiting and Revising Radiocarbon Assays of a Poverty Point Site</w:t>
      </w:r>
      <w:r>
        <w:t xml:space="preserve">. M.A. thesis, Department of Anthropology and Middle Eastern Cultures, Mississippi State University, Mississippi State, Mississippi.</w:t>
      </w:r>
    </w:p>
    <w:p>
      <w:pPr>
        <w:pStyle w:val="BodyText"/>
      </w:pPr>
      <w:r>
        <w:t xml:space="preserve">Bliege Bird, Rebecca, and Eric A. Smith. 2005. Signaling Theory, Strategic Interaction, and Symbolic Capital.</w:t>
      </w:r>
      <w:r>
        <w:t xml:space="preserve"> </w:t>
      </w:r>
      <w:r>
        <w:rPr>
          <w:i/>
          <w:iCs/>
        </w:rPr>
        <w:t xml:space="preserve">Current Anthropology</w:t>
      </w:r>
      <w:r>
        <w:t xml:space="preserve"> </w:t>
      </w:r>
      <w:r>
        <w:t xml:space="preserve">46:221-248.</w:t>
      </w:r>
    </w:p>
    <w:p>
      <w:pPr>
        <w:pStyle w:val="BodyText"/>
      </w:pPr>
      <w:r>
        <w:t xml:space="preserve">Blurton Jones, Nicholas G., Kristen Hawkes, and James F. O’Connell. 1997. Why Do Hadza Children Forage? In</w:t>
      </w:r>
      <w:r>
        <w:t xml:space="preserve"> </w:t>
      </w:r>
      <w:r>
        <w:rPr>
          <w:i/>
          <w:iCs/>
        </w:rPr>
        <w:t xml:space="preserve">Uniting Psychology and Biology: Integrative Perspectives on Human Development</w:t>
      </w:r>
      <w:r>
        <w:t xml:space="preserve">, edited by Nancy L. Segal, Glenn E. Weisfeld, and Carol C. Weisfeld, pp. 279-313. American Psychological Association, Washington, D.C.</w:t>
      </w:r>
    </w:p>
    <w:p>
      <w:pPr>
        <w:pStyle w:val="BodyText"/>
      </w:pPr>
      <w:r>
        <w:t xml:space="preserve">Brent, Richard P. 1973.</w:t>
      </w:r>
      <w:r>
        <w:t xml:space="preserve"> </w:t>
      </w:r>
      <w:r>
        <w:rPr>
          <w:i/>
          <w:iCs/>
        </w:rPr>
        <w:t xml:space="preserve">Algorithms for Minimization without Derivatives</w:t>
      </w:r>
      <w:r>
        <w:t xml:space="preserve">. Prentice-Hall, Englewood Cliffs, New Jersey.</w:t>
      </w:r>
    </w:p>
    <w:p>
      <w:pPr>
        <w:pStyle w:val="BodyText"/>
      </w:pPr>
      <w:r>
        <w:t xml:space="preserve">Brusse, Carl, Toby Handfield, and Kevin J. S. Zollman. 2022. Explaining Costly Religious Practices: Credibility Enhancing Displays and Signaling Theories.</w:t>
      </w:r>
      <w:r>
        <w:t xml:space="preserve"> </w:t>
      </w:r>
      <w:r>
        <w:rPr>
          <w:i/>
          <w:iCs/>
        </w:rPr>
        <w:t xml:space="preserve">Synthese</w:t>
      </w:r>
      <w:r>
        <w:t xml:space="preserve"> </w:t>
      </w:r>
      <w:r>
        <w:t xml:space="preserve">200(3):249. https://doi.org/10.1007/s11229-022-03742-7</w:t>
      </w:r>
    </w:p>
    <w:p>
      <w:pPr>
        <w:pStyle w:val="BodyText"/>
      </w:pPr>
      <w:r>
        <w:t xml:space="preserve">Cajete, Gregory. 2000.</w:t>
      </w:r>
      <w:r>
        <w:t xml:space="preserve"> </w:t>
      </w:r>
      <w:r>
        <w:rPr>
          <w:i/>
          <w:iCs/>
        </w:rPr>
        <w:t xml:space="preserve">Native Science: Natural Laws of Interdependence</w:t>
      </w:r>
      <w:r>
        <w:t xml:space="preserve">. Clear Light Publishers, Santa Fe.</w:t>
      </w:r>
    </w:p>
    <w:p>
      <w:pPr>
        <w:pStyle w:val="BodyText"/>
      </w:pPr>
      <w:r>
        <w:t xml:space="preserve">Carballo, David M. (editor). 2013.</w:t>
      </w:r>
      <w:r>
        <w:t xml:space="preserve"> </w:t>
      </w:r>
      <w:r>
        <w:rPr>
          <w:i/>
          <w:iCs/>
        </w:rPr>
        <w:t xml:space="preserve">Cooperation and Collective Action: Archaeological Perspectives</w:t>
      </w:r>
      <w:r>
        <w:t xml:space="preserve">. University Press of Colorado, Boulder.</w:t>
      </w:r>
    </w:p>
    <w:p>
      <w:pPr>
        <w:pStyle w:val="BodyText"/>
      </w:pPr>
      <w:r>
        <w:t xml:space="preserve">Clay, R. Berle. 2023. Two Types of Ritual Space at the Poverty Point Site 16WC5.</w:t>
      </w:r>
      <w:r>
        <w:t xml:space="preserve"> </w:t>
      </w:r>
      <w:r>
        <w:rPr>
          <w:i/>
          <w:iCs/>
        </w:rPr>
        <w:t xml:space="preserve">American Antiquity</w:t>
      </w:r>
      <w:r>
        <w:t xml:space="preserve"> </w:t>
      </w:r>
      <w:r>
        <w:t xml:space="preserve">88:187-206.</w:t>
      </w:r>
    </w:p>
    <w:p>
      <w:pPr>
        <w:pStyle w:val="BodyText"/>
      </w:pPr>
      <w:r>
        <w:t xml:space="preserve">Codding, Brian F., and Terry L. Jones. 2007. Man the Showoff? Or the Ascendance of a Just-So Story: A Comment on Recent Applications of Costly Signaling Theory in American Archaeology.</w:t>
      </w:r>
      <w:r>
        <w:t xml:space="preserve"> </w:t>
      </w:r>
      <w:r>
        <w:rPr>
          <w:i/>
          <w:iCs/>
        </w:rPr>
        <w:t xml:space="preserve">American Antiquity</w:t>
      </w:r>
      <w:r>
        <w:t xml:space="preserve"> </w:t>
      </w:r>
      <w:r>
        <w:t xml:space="preserve">72:349-357.</w:t>
      </w:r>
    </w:p>
    <w:p>
      <w:pPr>
        <w:pStyle w:val="BodyText"/>
      </w:pPr>
      <w:r>
        <w:t xml:space="preserve">Cordova, V. F. 2007.</w:t>
      </w:r>
      <w:r>
        <w:t xml:space="preserve"> </w:t>
      </w:r>
      <w:r>
        <w:rPr>
          <w:i/>
          <w:iCs/>
        </w:rPr>
        <w:t xml:space="preserve">How It Is: The Native American Philosophy of V. F. Cordova</w:t>
      </w:r>
      <w:r>
        <w:t xml:space="preserve">, edited by Kathleen Dean Moore, Kurt Peters, Ted Jojola, and Amber Lacy. University of Arizona Press, Tucson.</w:t>
      </w:r>
    </w:p>
    <w:p>
      <w:pPr>
        <w:pStyle w:val="BodyText"/>
      </w:pPr>
      <w:r>
        <w:t xml:space="preserve">Deloria, Vine, Jr. 2003.</w:t>
      </w:r>
      <w:r>
        <w:t xml:space="preserve"> </w:t>
      </w:r>
      <w:r>
        <w:rPr>
          <w:i/>
          <w:iCs/>
        </w:rPr>
        <w:t xml:space="preserve">God Is Red: A Native View of Religion</w:t>
      </w:r>
      <w:r>
        <w:t xml:space="preserve">, 30th anniversary edition. Fulcrum Publishing, Golden, Colorado.</w:t>
      </w:r>
    </w:p>
    <w:p>
      <w:pPr>
        <w:pStyle w:val="BodyText"/>
      </w:pPr>
      <w:r>
        <w:t xml:space="preserve">DiNapoli, Robert J., Carl P. Lipo, Tanya Brosnan, Terry L. Hunt, Sean Hixon, Alex E. Morrison, and Matthew Becker. 2019. Rapa Nui (Easter Island) Monument (Ahu) Locations Explained by Freshwater Sources.</w:t>
      </w:r>
      <w:r>
        <w:t xml:space="preserve"> </w:t>
      </w:r>
      <w:r>
        <w:rPr>
          <w:i/>
          <w:iCs/>
        </w:rPr>
        <w:t xml:space="preserve">PLoS ONE</w:t>
      </w:r>
      <w:r>
        <w:t xml:space="preserve"> </w:t>
      </w:r>
      <w:r>
        <w:t xml:space="preserve">14:e0210409.</w:t>
      </w:r>
    </w:p>
    <w:p>
      <w:pPr>
        <w:pStyle w:val="BodyText"/>
      </w:pPr>
      <w:r>
        <w:t xml:space="preserve">Enquist, M., and O. Leimar. 1983. Evolution of Fighting Behavior: Decision Rules and Assessment of Relative Strength.</w:t>
      </w:r>
      <w:r>
        <w:t xml:space="preserve"> </w:t>
      </w:r>
      <w:r>
        <w:rPr>
          <w:i/>
          <w:iCs/>
        </w:rPr>
        <w:t xml:space="preserve">Journal of Theoretical Biology</w:t>
      </w:r>
      <w:r>
        <w:t xml:space="preserve"> </w:t>
      </w:r>
      <w:r>
        <w:t xml:space="preserve">102:387-410.</w:t>
      </w:r>
    </w:p>
    <w:p>
      <w:pPr>
        <w:pStyle w:val="BodyText"/>
      </w:pPr>
      <w:r>
        <w:t xml:space="preserve">Erasmus, Charles J. 1965. Monument Building: Some Field Experiments.</w:t>
      </w:r>
      <w:r>
        <w:t xml:space="preserve"> </w:t>
      </w:r>
      <w:r>
        <w:rPr>
          <w:i/>
          <w:iCs/>
        </w:rPr>
        <w:t xml:space="preserve">Southwestern Journal of Anthropology</w:t>
      </w:r>
      <w:r>
        <w:t xml:space="preserve"> </w:t>
      </w:r>
      <w:r>
        <w:t xml:space="preserve">21:277-301.</w:t>
      </w:r>
    </w:p>
    <w:p>
      <w:pPr>
        <w:pStyle w:val="BodyText"/>
      </w:pPr>
      <w:r>
        <w:t xml:space="preserve">Ford, James A. 1955. The Puzzle of Poverty Point.</w:t>
      </w:r>
      <w:r>
        <w:t xml:space="preserve"> </w:t>
      </w:r>
      <w:r>
        <w:rPr>
          <w:i/>
          <w:iCs/>
        </w:rPr>
        <w:t xml:space="preserve">Natural History</w:t>
      </w:r>
      <w:r>
        <w:t xml:space="preserve"> </w:t>
      </w:r>
      <w:r>
        <w:t xml:space="preserve">64:466-472.</w:t>
      </w:r>
    </w:p>
    <w:p>
      <w:pPr>
        <w:pStyle w:val="BodyText"/>
      </w:pPr>
      <w:r>
        <w:t xml:space="preserve">Ford, James A., and Clarence H. Webb. 1956.</w:t>
      </w:r>
      <w:r>
        <w:t xml:space="preserve"> </w:t>
      </w:r>
      <w:r>
        <w:rPr>
          <w:i/>
          <w:iCs/>
        </w:rPr>
        <w:t xml:space="preserve">Poverty Point: A Late Archaic Site in Louisiana</w:t>
      </w:r>
      <w:r>
        <w:t xml:space="preserve">. Anthropological Papers Vol. 46(1). American Museum of Natural History, New York.</w:t>
      </w:r>
    </w:p>
    <w:p>
      <w:pPr>
        <w:pStyle w:val="BodyText"/>
      </w:pPr>
      <w:r>
        <w:t xml:space="preserve">Gagliano, Sherwood M., and Clarence H. Webb. 1975. Archaic-Poverty Point Transition at the Pearl River Mouth. In</w:t>
      </w:r>
      <w:r>
        <w:t xml:space="preserve"> </w:t>
      </w:r>
      <w:r>
        <w:rPr>
          <w:i/>
          <w:iCs/>
        </w:rPr>
        <w:t xml:space="preserve">The Poverty Point Culture</w:t>
      </w:r>
      <w:r>
        <w:t xml:space="preserve">, edited by Bettye J. Broyles and Clarence H. Webb, pp. 47-72. Bulletin No. 12, Southeastern Archaeological Conference, Morgantown, West Virginia.</w:t>
      </w:r>
    </w:p>
    <w:p>
      <w:pPr>
        <w:pStyle w:val="BodyText"/>
      </w:pPr>
      <w:r>
        <w:t xml:space="preserve">Gibson, Jon L. 1973.</w:t>
      </w:r>
      <w:r>
        <w:t xml:space="preserve"> </w:t>
      </w:r>
      <w:r>
        <w:rPr>
          <w:i/>
          <w:iCs/>
        </w:rPr>
        <w:t xml:space="preserve">Social Systems at Poverty Point: An Analysis of Intersite and Intrasite Variability</w:t>
      </w:r>
      <w:r>
        <w:t xml:space="preserve">. Ph.D. dissertation, Southern Methodist University, Dallas.</w:t>
      </w:r>
    </w:p>
    <w:p>
      <w:pPr>
        <w:pStyle w:val="BodyText"/>
      </w:pPr>
      <w:r>
        <w:t xml:space="preserve">Gibson, Jon L. 1984. Empirical Characterization of Exchange Systems in Lower Mississippi Valley Prehistory. In</w:t>
      </w:r>
      <w:r>
        <w:t xml:space="preserve"> </w:t>
      </w:r>
      <w:r>
        <w:rPr>
          <w:i/>
          <w:iCs/>
        </w:rPr>
        <w:t xml:space="preserve">Prehistoric Exchange Systems in North America</w:t>
      </w:r>
      <w:r>
        <w:t xml:space="preserve">, edited by Timothy G. Baugh and Jonathon E. Ericson, pp. 127-175. Plenum, New York.</w:t>
      </w:r>
    </w:p>
    <w:p>
      <w:pPr>
        <w:pStyle w:val="BodyText"/>
      </w:pPr>
      <w:r>
        <w:t xml:space="preserve">Gibson, Jon L. 1994. Before Their Time? Early Mounds in the Lower Mississippi Valley.</w:t>
      </w:r>
      <w:r>
        <w:t xml:space="preserve"> </w:t>
      </w:r>
      <w:r>
        <w:rPr>
          <w:i/>
          <w:iCs/>
        </w:rPr>
        <w:t xml:space="preserve">Southeastern Archaeology</w:t>
      </w:r>
      <w:r>
        <w:t xml:space="preserve"> </w:t>
      </w:r>
      <w:r>
        <w:t xml:space="preserve">13(2):162-186.</w:t>
      </w:r>
    </w:p>
    <w:p>
      <w:pPr>
        <w:pStyle w:val="BodyText"/>
      </w:pPr>
      <w:r>
        <w:t xml:space="preserve">Gibson, Jon L. 1998. Elements and Organization of Poverty Point Political Economy: High-Water Fish, Exotic Rocks, and Sacred Earth.</w:t>
      </w:r>
      <w:r>
        <w:t xml:space="preserve"> </w:t>
      </w:r>
      <w:r>
        <w:rPr>
          <w:i/>
          <w:iCs/>
        </w:rPr>
        <w:t xml:space="preserve">Research in Economic Anthropology</w:t>
      </w:r>
      <w:r>
        <w:t xml:space="preserve"> </w:t>
      </w:r>
      <w:r>
        <w:t xml:space="preserve">19:291-340.</w:t>
      </w:r>
    </w:p>
    <w:p>
      <w:pPr>
        <w:pStyle w:val="BodyText"/>
      </w:pPr>
      <w:r>
        <w:t xml:space="preserve">Gibson, Jon L. 1999. Swamp Exchange and the Walled Mart: Poverty Point’s Rock Business. In</w:t>
      </w:r>
      <w:r>
        <w:t xml:space="preserve"> </w:t>
      </w:r>
      <w:r>
        <w:rPr>
          <w:i/>
          <w:iCs/>
        </w:rPr>
        <w:t xml:space="preserve">Raw Materials and Exchange in the Mid-South</w:t>
      </w:r>
      <w:r>
        <w:t xml:space="preserve">, edited by Evan Peacock and Samuel O. Brookes, pp. 57-64. Archaeological Report 29. Mississippi Department of Archives and History, Jackson.</w:t>
      </w:r>
    </w:p>
    <w:p>
      <w:pPr>
        <w:pStyle w:val="BodyText"/>
      </w:pPr>
      <w:r>
        <w:t xml:space="preserve">Gibson, Jon L. 2000.</w:t>
      </w:r>
      <w:r>
        <w:t xml:space="preserve"> </w:t>
      </w:r>
      <w:r>
        <w:rPr>
          <w:i/>
          <w:iCs/>
        </w:rPr>
        <w:t xml:space="preserve">The Ancient Mounds of Poverty Point: Place of Rings</w:t>
      </w:r>
      <w:r>
        <w:t xml:space="preserve">. University Press of Florida, Gainesville.</w:t>
      </w:r>
    </w:p>
    <w:p>
      <w:pPr>
        <w:pStyle w:val="BodyText"/>
      </w:pPr>
      <w:r>
        <w:t xml:space="preserve">Gibson, Jon L., and David L. Griffing. 1994. Only a Stone’s Throw Away: Exchange in the Poverty Point Hinterland.</w:t>
      </w:r>
      <w:r>
        <w:t xml:space="preserve"> </w:t>
      </w:r>
      <w:r>
        <w:rPr>
          <w:i/>
          <w:iCs/>
        </w:rPr>
        <w:t xml:space="preserve">Louisiana Archaeology</w:t>
      </w:r>
      <w:r>
        <w:t xml:space="preserve"> </w:t>
      </w:r>
      <w:r>
        <w:t xml:space="preserve">17(1990):207-250.</w:t>
      </w:r>
    </w:p>
    <w:p>
      <w:pPr>
        <w:pStyle w:val="BodyText"/>
      </w:pPr>
      <w:r>
        <w:t xml:space="preserve">Graeber, David, and David Wengrow. 2021.</w:t>
      </w:r>
      <w:r>
        <w:t xml:space="preserve"> </w:t>
      </w:r>
      <w:r>
        <w:rPr>
          <w:i/>
          <w:iCs/>
        </w:rPr>
        <w:t xml:space="preserve">The Dawn of Everything: A New History of Humanity</w:t>
      </w:r>
      <w:r>
        <w:t xml:space="preserve">. Farrar, Straus and Giroux, New York.</w:t>
      </w:r>
    </w:p>
    <w:p>
      <w:pPr>
        <w:pStyle w:val="BodyText"/>
      </w:pPr>
      <w:r>
        <w:t xml:space="preserve">Griffing, David L. 1990. Surface Surveys of the Insley Site, Franklin Parish, Louisiana.</w:t>
      </w:r>
      <w:r>
        <w:t xml:space="preserve"> </w:t>
      </w:r>
      <w:r>
        <w:rPr>
          <w:i/>
          <w:iCs/>
        </w:rPr>
        <w:t xml:space="preserve">Louisiana Archaeology</w:t>
      </w:r>
      <w:r>
        <w:t xml:space="preserve"> </w:t>
      </w:r>
      <w:r>
        <w:t xml:space="preserve">12(1985):219-240</w:t>
      </w:r>
    </w:p>
    <w:p>
      <w:pPr>
        <w:pStyle w:val="BodyText"/>
      </w:pPr>
      <w:r>
        <w:t xml:space="preserve">Grimm, Volker, Uta Berger, Donald L. DeAngelis, J. Gary Polhill, Jarl Giske, and Steven F. Railsback. 2010. The ODD Protocol: A Review and First Update.</w:t>
      </w:r>
      <w:r>
        <w:t xml:space="preserve"> </w:t>
      </w:r>
      <w:r>
        <w:rPr>
          <w:i/>
          <w:iCs/>
        </w:rPr>
        <w:t xml:space="preserve">Ecological Modelling</w:t>
      </w:r>
      <w:r>
        <w:t xml:space="preserve"> </w:t>
      </w:r>
      <w:r>
        <w:t xml:space="preserve">221:2760-2768.</w:t>
      </w:r>
    </w:p>
    <w:p>
      <w:pPr>
        <w:pStyle w:val="BodyText"/>
      </w:pPr>
      <w:r>
        <w:t xml:space="preserve">Grooms, Seth B. 2022.</w:t>
      </w:r>
      <w:r>
        <w:t xml:space="preserve"> </w:t>
      </w:r>
      <w:r>
        <w:rPr>
          <w:i/>
          <w:iCs/>
        </w:rPr>
        <w:t xml:space="preserve">Reassessing the History of the Poverty Point Phenomenon: A Case Study from the Jaketown Site, Mississippi, USA</w:t>
      </w:r>
      <w:r>
        <w:t xml:space="preserve">. PhD dissertation, Department of Anthropology, Washington University in St. Louis, St. Louis.</w:t>
      </w:r>
    </w:p>
    <w:p>
      <w:pPr>
        <w:pStyle w:val="BodyText"/>
      </w:pPr>
      <w:r>
        <w:t xml:space="preserve">Grooms, Seth B., Grace M. V. Ward, and Tristram R. Kidder. 2023. Convergence at Poverty Point: A Revised Chronology of the Late Archaic Lower Mississippi Valley.</w:t>
      </w:r>
      <w:r>
        <w:t xml:space="preserve"> </w:t>
      </w:r>
      <w:r>
        <w:rPr>
          <w:i/>
          <w:iCs/>
        </w:rPr>
        <w:t xml:space="preserve">Antiquity</w:t>
      </w:r>
      <w:r>
        <w:t xml:space="preserve"> </w:t>
      </w:r>
      <w:r>
        <w:t xml:space="preserve">97:1453-1469.</w:t>
      </w:r>
    </w:p>
    <w:p>
      <w:pPr>
        <w:pStyle w:val="BodyText"/>
      </w:pPr>
      <w:r>
        <w:t xml:space="preserve">Halstead, Paul, and John O’Shea (editors). 1989.</w:t>
      </w:r>
      <w:r>
        <w:t xml:space="preserve"> </w:t>
      </w:r>
      <w:r>
        <w:rPr>
          <w:i/>
          <w:iCs/>
        </w:rPr>
        <w:t xml:space="preserve">Bad Year Economics: Cultural Responses to Risk and Uncertainty</w:t>
      </w:r>
      <w:r>
        <w:t xml:space="preserve">. Cambridge University Press, Cambridge.</w:t>
      </w:r>
    </w:p>
    <w:p>
      <w:pPr>
        <w:pStyle w:val="BodyText"/>
      </w:pPr>
      <w:r>
        <w:t xml:space="preserve">Hargrave, Michael L., R. Berle Clay, Rinita A. Dalan, and Diana M. Greenlee. 2021. The Complex Construction History of Poverty Point’s Timber Circles and Concentric Ridges.</w:t>
      </w:r>
      <w:r>
        <w:t xml:space="preserve"> </w:t>
      </w:r>
      <w:r>
        <w:rPr>
          <w:i/>
          <w:iCs/>
        </w:rPr>
        <w:t xml:space="preserve">Southeastern Archaeology</w:t>
      </w:r>
      <w:r>
        <w:t xml:space="preserve"> </w:t>
      </w:r>
      <w:r>
        <w:t xml:space="preserve">40:192-211.</w:t>
      </w:r>
    </w:p>
    <w:p>
      <w:pPr>
        <w:pStyle w:val="BodyText"/>
      </w:pPr>
      <w:r>
        <w:t xml:space="preserve">Hawkes, Kristen. 2000. Hunting and the Evolution of Egalitarian Societies: Lessons from the Hadza. In</w:t>
      </w:r>
      <w:r>
        <w:t xml:space="preserve"> </w:t>
      </w:r>
      <w:r>
        <w:rPr>
          <w:i/>
          <w:iCs/>
        </w:rPr>
        <w:t xml:space="preserve">Hierarchies in Action: Cui Bono?</w:t>
      </w:r>
      <w:r>
        <w:t xml:space="preserve">, edited by Michael W. Diehl, pp. 59-83. Center for Archaeological Investigations Occasional Paper No. 27. Southern Illinois University, Carbondale.</w:t>
      </w:r>
    </w:p>
    <w:p>
      <w:pPr>
        <w:pStyle w:val="BodyText"/>
      </w:pPr>
      <w:r>
        <w:t xml:space="preserve">Hawkes, Kristen, and Rebecca Bliege Bird. 2002. Showing Off, Handicap Signaling, and the Evolution of Men’s Work.</w:t>
      </w:r>
      <w:r>
        <w:t xml:space="preserve"> </w:t>
      </w:r>
      <w:r>
        <w:rPr>
          <w:i/>
          <w:iCs/>
        </w:rPr>
        <w:t xml:space="preserve">Evolutionary Anthropology</w:t>
      </w:r>
      <w:r>
        <w:t xml:space="preserve"> </w:t>
      </w:r>
      <w:r>
        <w:t xml:space="preserve">11:58-67.</w:t>
      </w:r>
    </w:p>
    <w:p>
      <w:pPr>
        <w:pStyle w:val="BodyText"/>
      </w:pPr>
      <w:r>
        <w:t xml:space="preserve">Hays, Christopher T. 2019. Feasting at Poverty Point with Poverty Point Objects.</w:t>
      </w:r>
      <w:r>
        <w:t xml:space="preserve"> </w:t>
      </w:r>
      <w:r>
        <w:rPr>
          <w:i/>
          <w:iCs/>
        </w:rPr>
        <w:t xml:space="preserve">Southeastern Archaeology</w:t>
      </w:r>
      <w:r>
        <w:t xml:space="preserve"> </w:t>
      </w:r>
      <w:r>
        <w:t xml:space="preserve">38:193-207.</w:t>
      </w:r>
    </w:p>
    <w:p>
      <w:pPr>
        <w:pStyle w:val="BodyText"/>
      </w:pPr>
      <w:r>
        <w:t xml:space="preserve">Henrich, Joseph. 2009. The Evolution of Costly Displays, Cooperation and Religion: Credibility Enhancing Displays and Their Implications for Cultural Evolution.</w:t>
      </w:r>
      <w:r>
        <w:t xml:space="preserve"> </w:t>
      </w:r>
      <w:r>
        <w:rPr>
          <w:i/>
          <w:iCs/>
        </w:rPr>
        <w:t xml:space="preserve">Evolution and Human Behavior</w:t>
      </w:r>
      <w:r>
        <w:t xml:space="preserve"> </w:t>
      </w:r>
      <w:r>
        <w:t xml:space="preserve">30(4):244-260. https://doi.org/10.1016/j.evolhumbehav.2009.03.005</w:t>
      </w:r>
    </w:p>
    <w:p>
      <w:pPr>
        <w:pStyle w:val="BodyText"/>
      </w:pPr>
      <w:r>
        <w:t xml:space="preserve">Hill, Mark A., Diana M. Greenlee, and Hector Neff. 2016. Assessing the Provenance of Poverty Point Copper through LA-ICP-MS Compositional Analysis.</w:t>
      </w:r>
      <w:r>
        <w:t xml:space="preserve"> </w:t>
      </w:r>
      <w:r>
        <w:rPr>
          <w:i/>
          <w:iCs/>
        </w:rPr>
        <w:t xml:space="preserve">Journal of Archaeological Science: Reports</w:t>
      </w:r>
      <w:r>
        <w:t xml:space="preserve"> </w:t>
      </w:r>
      <w:r>
        <w:t xml:space="preserve">6:351-360.</w:t>
      </w:r>
    </w:p>
    <w:p>
      <w:pPr>
        <w:pStyle w:val="BodyText"/>
      </w:pPr>
      <w:r>
        <w:t xml:space="preserve">Jackson, H. Edwin. 1981. Recent Research on Poverty Point Period Subsistence and Settlement Systems: Test Excavations at the J.W. Copes Site in Northeast Louisiana.</w:t>
      </w:r>
      <w:r>
        <w:t xml:space="preserve"> </w:t>
      </w:r>
      <w:r>
        <w:rPr>
          <w:i/>
          <w:iCs/>
        </w:rPr>
        <w:t xml:space="preserve">Louisiana Archaeology</w:t>
      </w:r>
      <w:r>
        <w:t xml:space="preserve"> </w:t>
      </w:r>
      <w:r>
        <w:t xml:space="preserve">8:73-86.</w:t>
      </w:r>
    </w:p>
    <w:p>
      <w:pPr>
        <w:pStyle w:val="BodyText"/>
      </w:pPr>
      <w:r>
        <w:t xml:space="preserve">Jackson, H. Edwin. 1986.</w:t>
      </w:r>
      <w:r>
        <w:t xml:space="preserve"> </w:t>
      </w:r>
      <w:r>
        <w:rPr>
          <w:i/>
          <w:iCs/>
        </w:rPr>
        <w:t xml:space="preserve">Sedentism and Hunter-Gatherer Adaptations in the Lower Mississippi Valley: Subsistence Strategies During the Poverty Point Period</w:t>
      </w:r>
      <w:r>
        <w:t xml:space="preserve">. PhD dissertation, University of Michigan. University Microfilms, Ann Arbor.</w:t>
      </w:r>
    </w:p>
    <w:p>
      <w:pPr>
        <w:pStyle w:val="BodyText"/>
      </w:pPr>
      <w:r>
        <w:t xml:space="preserve">Jackson, H. Edwin. 1989. Poverty Point Adaptive Systems in the Lower Mississippi Valley: Subsistence Remains from the J.W. Copes Site.</w:t>
      </w:r>
      <w:r>
        <w:t xml:space="preserve"> </w:t>
      </w:r>
      <w:r>
        <w:rPr>
          <w:i/>
          <w:iCs/>
        </w:rPr>
        <w:t xml:space="preserve">North American Archaeologist</w:t>
      </w:r>
      <w:r>
        <w:t xml:space="preserve"> </w:t>
      </w:r>
      <w:r>
        <w:t xml:space="preserve">10:173-204.</w:t>
      </w:r>
    </w:p>
    <w:p>
      <w:pPr>
        <w:pStyle w:val="BodyText"/>
      </w:pPr>
      <w:r>
        <w:t xml:space="preserve">Jackson, H. Edwin. 1991. The Trade Fair in Hunter-Gatherer Interaction: The Role of Intersocietal Trade in the Evolution of Poverty Point Culture. In</w:t>
      </w:r>
      <w:r>
        <w:t xml:space="preserve"> </w:t>
      </w:r>
      <w:r>
        <w:rPr>
          <w:i/>
          <w:iCs/>
        </w:rPr>
        <w:t xml:space="preserve">Between Bands and States</w:t>
      </w:r>
      <w:r>
        <w:t xml:space="preserve">, edited by Susan A. Gregg, pp. 265-286. Center for Archaeological Investigations Occasional Paper No. 9. Southern Illinois University, Carbondale.</w:t>
      </w:r>
    </w:p>
    <w:p>
      <w:pPr>
        <w:pStyle w:val="BodyText"/>
      </w:pPr>
      <w:r>
        <w:t xml:space="preserve">Johnson, Gregory A. 1982. Organizational Structure and Scalar Stress. In</w:t>
      </w:r>
      <w:r>
        <w:t xml:space="preserve"> </w:t>
      </w:r>
      <w:r>
        <w:rPr>
          <w:i/>
          <w:iCs/>
        </w:rPr>
        <w:t xml:space="preserve">Theory and Explanation in Archaeology</w:t>
      </w:r>
      <w:r>
        <w:t xml:space="preserve">, edited by Colin Renfrew, Michael J. Rowlands, and Barbara A. Segraves, pp. 389-421. Academic Press, New York.</w:t>
      </w:r>
    </w:p>
    <w:p>
      <w:pPr>
        <w:pStyle w:val="BodyText"/>
      </w:pPr>
      <w:r>
        <w:t xml:space="preserve">Jones, Dennis, and Samuel O. Brookes. 2019. Gone But Surely Not Forgotten: Implications of the Monte Sano Site (16EBR17).</w:t>
      </w:r>
      <w:r>
        <w:t xml:space="preserve"> </w:t>
      </w:r>
      <w:r>
        <w:rPr>
          <w:i/>
          <w:iCs/>
        </w:rPr>
        <w:t xml:space="preserve">Louisiana Archaeology</w:t>
      </w:r>
      <w:r>
        <w:t xml:space="preserve"> </w:t>
      </w:r>
      <w:r>
        <w:t xml:space="preserve">44(2017):105-120.</w:t>
      </w:r>
    </w:p>
    <w:p>
      <w:pPr>
        <w:pStyle w:val="BodyText"/>
      </w:pPr>
      <w:r>
        <w:t xml:space="preserve">Kaufman, Darrell, Nicholas McKay, Cody Routson, Michael Erb, Christoph Datwyler, Philipp S. Sommer, Oliver Heiri, and Basil Davis. 2020. A Global Database of Holocene Paleotemperature Records.</w:t>
      </w:r>
      <w:r>
        <w:t xml:space="preserve"> </w:t>
      </w:r>
      <w:r>
        <w:rPr>
          <w:i/>
          <w:iCs/>
        </w:rPr>
        <w:t xml:space="preserve">Scientific Data</w:t>
      </w:r>
      <w:r>
        <w:t xml:space="preserve"> </w:t>
      </w:r>
      <w:r>
        <w:t xml:space="preserve">7:115.</w:t>
      </w:r>
    </w:p>
    <w:p>
      <w:pPr>
        <w:pStyle w:val="BodyText"/>
      </w:pPr>
      <w:r>
        <w:t xml:space="preserve">Kelly, Robert L. 2013.</w:t>
      </w:r>
      <w:r>
        <w:t xml:space="preserve"> </w:t>
      </w:r>
      <w:r>
        <w:rPr>
          <w:i/>
          <w:iCs/>
        </w:rPr>
        <w:t xml:space="preserve">The Lifeways of Hunter-Gatherers: The Foraging Spectrum</w:t>
      </w:r>
      <w:r>
        <w:t xml:space="preserve">. Cambridge University Press, Cambridge.</w:t>
      </w:r>
    </w:p>
    <w:p>
      <w:pPr>
        <w:pStyle w:val="BodyText"/>
      </w:pPr>
      <w:r>
        <w:t xml:space="preserve">Kidder, Tristram R. 2002. Mapping Poverty Point.</w:t>
      </w:r>
      <w:r>
        <w:t xml:space="preserve"> </w:t>
      </w:r>
      <w:r>
        <w:rPr>
          <w:i/>
          <w:iCs/>
        </w:rPr>
        <w:t xml:space="preserve">American Antiquity</w:t>
      </w:r>
      <w:r>
        <w:t xml:space="preserve"> </w:t>
      </w:r>
      <w:r>
        <w:t xml:space="preserve">67:89-101.</w:t>
      </w:r>
    </w:p>
    <w:p>
      <w:pPr>
        <w:pStyle w:val="BodyText"/>
      </w:pPr>
      <w:r>
        <w:t xml:space="preserve">Kidder, Tristram R. 2006. Climate Change and the Archaic to Woodland Transition (3000-2500 cal B.P.) in the Mississippi River Basin.</w:t>
      </w:r>
      <w:r>
        <w:t xml:space="preserve"> </w:t>
      </w:r>
      <w:r>
        <w:rPr>
          <w:i/>
          <w:iCs/>
        </w:rPr>
        <w:t xml:space="preserve">American Antiquity</w:t>
      </w:r>
      <w:r>
        <w:t xml:space="preserve"> </w:t>
      </w:r>
      <w:r>
        <w:t xml:space="preserve">71:195-231.</w:t>
      </w:r>
    </w:p>
    <w:p>
      <w:pPr>
        <w:pStyle w:val="BodyText"/>
      </w:pPr>
      <w:r>
        <w:t xml:space="preserve">Kidder, Tristram R., Olivia C. Baumgartel, and James E. Bruseth. 2025. High-resolution Dating of Legacy Collections from the Cedarland and Claiborne Sites, Southwest Mississippi.</w:t>
      </w:r>
      <w:r>
        <w:t xml:space="preserve"> </w:t>
      </w:r>
      <w:r>
        <w:rPr>
          <w:i/>
          <w:iCs/>
        </w:rPr>
        <w:t xml:space="preserve">Southeastern Archaeology</w:t>
      </w:r>
      <w:r>
        <w:t xml:space="preserve"> </w:t>
      </w:r>
      <w:r>
        <w:t xml:space="preserve">44:1-20.</w:t>
      </w:r>
    </w:p>
    <w:p>
      <w:pPr>
        <w:pStyle w:val="BodyText"/>
      </w:pPr>
      <w:r>
        <w:t xml:space="preserve">Kidder, Tristram R., and Kelly M. Ervin. 2018. Hunter-Gatherer Surplus Accumulation and Monumental Construction at Poverty Point, Mississippi Valley. In</w:t>
      </w:r>
      <w:r>
        <w:t xml:space="preserve"> </w:t>
      </w:r>
      <w:r>
        <w:rPr>
          <w:i/>
          <w:iCs/>
        </w:rPr>
        <w:t xml:space="preserve">Surplus without the State: Political Forms in Prehistory</w:t>
      </w:r>
      <w:r>
        <w:t xml:space="preserve">, edited by Harald Meller, Detlef Gronenborn, and Roberto Risch, pp. 517-531. Landesamt für Denkmalpflege und Archäologie Sachsen-Anhalt, Halle (Saale).</w:t>
      </w:r>
    </w:p>
    <w:p>
      <w:pPr>
        <w:pStyle w:val="BodyText"/>
      </w:pPr>
      <w:r>
        <w:t xml:space="preserve">Kidder, Tristram R., and Seth B. Grooms. 2024. Chronological Hygiene and Bayesian Modeling of Poverty Point Sites in the Lower Mississippi Valley, Circa 4200 to 3200 cal BP.</w:t>
      </w:r>
      <w:r>
        <w:t xml:space="preserve"> </w:t>
      </w:r>
      <w:r>
        <w:rPr>
          <w:i/>
          <w:iCs/>
        </w:rPr>
        <w:t xml:space="preserve">American Antiquity</w:t>
      </w:r>
      <w:r>
        <w:t xml:space="preserve"> </w:t>
      </w:r>
      <w:r>
        <w:t xml:space="preserve">89:98-118.</w:t>
      </w:r>
    </w:p>
    <w:p>
      <w:pPr>
        <w:pStyle w:val="BodyText"/>
      </w:pPr>
      <w:r>
        <w:t xml:space="preserve">Kidder, Tristram R., and Seth B. Grooms. 2025. Performance, Ritual, and Revitalization at Poverty Point.</w:t>
      </w:r>
      <w:r>
        <w:t xml:space="preserve"> </w:t>
      </w:r>
      <w:r>
        <w:rPr>
          <w:i/>
          <w:iCs/>
        </w:rPr>
        <w:t xml:space="preserve">Southeastern Archaeology</w:t>
      </w:r>
      <w:r>
        <w:t xml:space="preserve">, 44:171-186.</w:t>
      </w:r>
    </w:p>
    <w:p>
      <w:pPr>
        <w:pStyle w:val="BodyText"/>
      </w:pPr>
      <w:r>
        <w:t xml:space="preserve">Kidder, Tristram R., Edward R. Henry, and Lee J. Arco. 2018. Rapid Climate Change-Induced Collapse of Hunter-Gatherer Societies in the Lower Mississippi River Valley between ca. 3300 and 2780 cal yr BP.</w:t>
      </w:r>
      <w:r>
        <w:t xml:space="preserve"> </w:t>
      </w:r>
      <w:r>
        <w:rPr>
          <w:i/>
          <w:iCs/>
        </w:rPr>
        <w:t xml:space="preserve">Science China Earth Sciences</w:t>
      </w:r>
      <w:r>
        <w:t xml:space="preserve"> </w:t>
      </w:r>
      <w:r>
        <w:t xml:space="preserve">61:178-189.</w:t>
      </w:r>
    </w:p>
    <w:p>
      <w:pPr>
        <w:pStyle w:val="BodyText"/>
      </w:pPr>
      <w:r>
        <w:t xml:space="preserve">Kidder, Tristram R., Kun Su, Edward R. Henry, Seth B. Grooms, and Kelly M. Ervin. 2021. Multi-Method Geoarchaeological Analyses Demonstrate Exceptionally Rapid Construction of Ridge West 3 at Poverty Point.</w:t>
      </w:r>
      <w:r>
        <w:t xml:space="preserve"> </w:t>
      </w:r>
      <w:r>
        <w:rPr>
          <w:i/>
          <w:iCs/>
        </w:rPr>
        <w:t xml:space="preserve">Southeastern Archaeology</w:t>
      </w:r>
      <w:r>
        <w:t xml:space="preserve"> </w:t>
      </w:r>
      <w:r>
        <w:t xml:space="preserve">40:212-227.</w:t>
      </w:r>
    </w:p>
    <w:p>
      <w:pPr>
        <w:pStyle w:val="BodyText"/>
      </w:pPr>
      <w:r>
        <w:t xml:space="preserve">Kidder, Tristram R., Lee J. Arco, Anthony L. Ortmann, Timothy Schilling, Caroline Boeke, Rachel Beilitz, and Katherine A. Adelsberger. 2009.</w:t>
      </w:r>
      <w:r>
        <w:t xml:space="preserve"> </w:t>
      </w:r>
      <w:r>
        <w:rPr>
          <w:i/>
          <w:iCs/>
        </w:rPr>
        <w:t xml:space="preserve">Poverty Point Mound A: Final Report of the 2005 and 2006 Field Seasons</w:t>
      </w:r>
      <w:r>
        <w:t xml:space="preserve">. Report submitted to the Louisiana Archaeological Survey and Antiquities Commission, Baton Rouge.</w:t>
      </w:r>
    </w:p>
    <w:p>
      <w:pPr>
        <w:pStyle w:val="BodyText"/>
      </w:pPr>
      <w:r>
        <w:t xml:space="preserve">Lambert, Shawn P., D. Shane Miller, Matthew C. Sanger, Olivia Baumgartel, Madeleine Hale, Tiffany Raymond, Hector Neff, and Laure Dussubieux. 2024. Copper on the Mississippi Coast: Assessing Provenance of a Copper Bead at the Claiborne Site (22HA501) through LA-ICP-MS Compositional Analysis.</w:t>
      </w:r>
      <w:r>
        <w:t xml:space="preserve"> </w:t>
      </w:r>
      <w:r>
        <w:rPr>
          <w:i/>
          <w:iCs/>
        </w:rPr>
        <w:t xml:space="preserve">Journal of Archaeological Science: Reports</w:t>
      </w:r>
      <w:r>
        <w:t xml:space="preserve"> </w:t>
      </w:r>
      <w:r>
        <w:t xml:space="preserve">https://doi.org/10.1016/j.jasrep.2023.104366</w:t>
      </w:r>
    </w:p>
    <w:p>
      <w:pPr>
        <w:pStyle w:val="BodyText"/>
      </w:pPr>
      <w:r>
        <w:t xml:space="preserve">Lanman, Jonathan A., and Michael D. Buhrmester. 2017. Religious Actions Speak Louder than Words: Exposure to Credibility-Enhancing Displays Predicts Theism.</w:t>
      </w:r>
      <w:r>
        <w:t xml:space="preserve"> </w:t>
      </w:r>
      <w:r>
        <w:rPr>
          <w:i/>
          <w:iCs/>
        </w:rPr>
        <w:t xml:space="preserve">Religion, Brain &amp; Behavior</w:t>
      </w:r>
      <w:r>
        <w:t xml:space="preserve"> </w:t>
      </w:r>
      <w:r>
        <w:t xml:space="preserve">7(1):3-16. https://doi.org/10.1080/2153599X.2015.1117011</w:t>
      </w:r>
    </w:p>
    <w:p>
      <w:pPr>
        <w:pStyle w:val="BodyText"/>
      </w:pPr>
      <w:r>
        <w:t xml:space="preserve">Lehmann, Geoffrey R. 1982.</w:t>
      </w:r>
      <w:r>
        <w:t xml:space="preserve"> </w:t>
      </w:r>
      <w:r>
        <w:rPr>
          <w:i/>
          <w:iCs/>
        </w:rPr>
        <w:t xml:space="preserve">The Jaketown Site: Surface Collections from a Poverty Point Regional Center in the Yazoo Basin</w:t>
      </w:r>
      <w:r>
        <w:t xml:space="preserve">. Archaeological Report No. 9, Mississippi Department of Archives and History, Jackson.</w:t>
      </w:r>
    </w:p>
    <w:p>
      <w:pPr>
        <w:pStyle w:val="BodyText"/>
      </w:pPr>
      <w:r>
        <w:t xml:space="preserve">Lewontin, Richard C. 1974.</w:t>
      </w:r>
      <w:r>
        <w:t xml:space="preserve"> </w:t>
      </w:r>
      <w:r>
        <w:rPr>
          <w:i/>
          <w:iCs/>
        </w:rPr>
        <w:t xml:space="preserve">The Genetic Basis of Evolutionary Change</w:t>
      </w:r>
      <w:r>
        <w:t xml:space="preserve">. Columbia University Press, New York.</w:t>
      </w:r>
    </w:p>
    <w:p>
      <w:pPr>
        <w:pStyle w:val="BodyText"/>
      </w:pPr>
      <w:r>
        <w:t xml:space="preserve">Liu, Kam-biu, and Miriam L. Fearn. 1993. Lake-Sediment Record of Late Holocene Hurricane Activities from Coastal Alabama.</w:t>
      </w:r>
      <w:r>
        <w:t xml:space="preserve"> </w:t>
      </w:r>
      <w:r>
        <w:rPr>
          <w:i/>
          <w:iCs/>
        </w:rPr>
        <w:t xml:space="preserve">Geology</w:t>
      </w:r>
      <w:r>
        <w:t xml:space="preserve"> </w:t>
      </w:r>
      <w:r>
        <w:t xml:space="preserve">21:793-796.</w:t>
      </w:r>
    </w:p>
    <w:p>
      <w:pPr>
        <w:pStyle w:val="BodyText"/>
      </w:pPr>
      <w:r>
        <w:t xml:space="preserve">Liu, Kam-biu, and Miriam L. Fearn. 2000. Reconstruction of Prehistoric Landfall Frequencies of Catastrophic Hurricanes in Northwestern Florida from Lake Sediment Records.</w:t>
      </w:r>
      <w:r>
        <w:t xml:space="preserve"> </w:t>
      </w:r>
      <w:r>
        <w:rPr>
          <w:i/>
          <w:iCs/>
        </w:rPr>
        <w:t xml:space="preserve">Quaternary Research</w:t>
      </w:r>
      <w:r>
        <w:t xml:space="preserve"> </w:t>
      </w:r>
      <w:r>
        <w:t xml:space="preserve">54:238-245.</w:t>
      </w:r>
    </w:p>
    <w:p>
      <w:pPr>
        <w:pStyle w:val="BodyText"/>
      </w:pPr>
      <w:r>
        <w:t xml:space="preserve">Mariano, Melissa M. 2011.</w:t>
      </w:r>
      <w:r>
        <w:t xml:space="preserve"> </w:t>
      </w:r>
      <w:r>
        <w:rPr>
          <w:i/>
          <w:iCs/>
        </w:rPr>
        <w:t xml:space="preserve">Final Report on the Copper Objects Preservation Project</w:t>
      </w:r>
      <w:r>
        <w:t xml:space="preserve">. Report submitted to the Poverty Point Station Archaeology Program, Pioneer, LA.</w:t>
      </w:r>
    </w:p>
    <w:p>
      <w:pPr>
        <w:pStyle w:val="BodyText"/>
      </w:pPr>
      <w:r>
        <w:t xml:space="preserve">Marquardt, William H., and Patty Jo Watson (editors). 2005.</w:t>
      </w:r>
      <w:r>
        <w:t xml:space="preserve"> </w:t>
      </w:r>
      <w:r>
        <w:rPr>
          <w:i/>
          <w:iCs/>
        </w:rPr>
        <w:t xml:space="preserve">Archaeology of the Middle Green River Region, Kentucky</w:t>
      </w:r>
      <w:r>
        <w:t xml:space="preserve">. Monograph 5, Institute of Archaeology and Paleoenvironmental Studies, University of Florida, Gainesville.</w:t>
      </w:r>
    </w:p>
    <w:p>
      <w:pPr>
        <w:pStyle w:val="BodyText"/>
      </w:pPr>
      <w:r>
        <w:t xml:space="preserve">Mitch, William A. 2023. An Evaluation of the Distribution of Imported Lithics within the Yazoo-Mississippi Delta during the Poverty Point Period.</w:t>
      </w:r>
      <w:r>
        <w:t xml:space="preserve"> </w:t>
      </w:r>
      <w:r>
        <w:rPr>
          <w:i/>
          <w:iCs/>
        </w:rPr>
        <w:t xml:space="preserve">Southeastern Archaeology</w:t>
      </w:r>
      <w:r>
        <w:t xml:space="preserve"> </w:t>
      </w:r>
      <w:r>
        <w:t xml:space="preserve">42:136-154.</w:t>
      </w:r>
    </w:p>
    <w:p>
      <w:pPr>
        <w:pStyle w:val="BodyText"/>
      </w:pPr>
      <w:r>
        <w:t xml:space="preserve">Norton-Smith, Thomas M. 2010.</w:t>
      </w:r>
      <w:r>
        <w:t xml:space="preserve"> </w:t>
      </w:r>
      <w:r>
        <w:rPr>
          <w:i/>
          <w:iCs/>
        </w:rPr>
        <w:t xml:space="preserve">The Dance of Person and Place: One Interpretation of American Indian Philosophy</w:t>
      </w:r>
      <w:r>
        <w:t xml:space="preserve">. State University of New York Press, Albany.</w:t>
      </w:r>
    </w:p>
    <w:p>
      <w:pPr>
        <w:pStyle w:val="BodyText"/>
      </w:pPr>
      <w:r>
        <w:t xml:space="preserve">Omernik, James M., and Glenn E. Griffith. 2014. Ecoregions of the Conterminous United States: Evolution of a Hierarchical Spatial Framework.</w:t>
      </w:r>
      <w:r>
        <w:t xml:space="preserve"> </w:t>
      </w:r>
      <w:r>
        <w:rPr>
          <w:i/>
          <w:iCs/>
        </w:rPr>
        <w:t xml:space="preserve">Environmental Management</w:t>
      </w:r>
      <w:r>
        <w:t xml:space="preserve"> </w:t>
      </w:r>
      <w:r>
        <w:t xml:space="preserve">54:1249-1266.</w:t>
      </w:r>
    </w:p>
    <w:p>
      <w:pPr>
        <w:pStyle w:val="BodyText"/>
      </w:pPr>
      <w:r>
        <w:t xml:space="preserve">Ortmann, Anthony L. 2010. Placing the Poverty Point Mounds in Their Temporal Context.</w:t>
      </w:r>
      <w:r>
        <w:t xml:space="preserve"> </w:t>
      </w:r>
      <w:r>
        <w:rPr>
          <w:i/>
          <w:iCs/>
        </w:rPr>
        <w:t xml:space="preserve">American Antiquity</w:t>
      </w:r>
      <w:r>
        <w:t xml:space="preserve"> </w:t>
      </w:r>
      <w:r>
        <w:t xml:space="preserve">75:657-678.</w:t>
      </w:r>
    </w:p>
    <w:p>
      <w:pPr>
        <w:pStyle w:val="BodyText"/>
      </w:pPr>
      <w:r>
        <w:t xml:space="preserve">Ortmann, Anthony L., and Tristram R. Kidder. 2013. Building Mound A at Poverty Point, Louisiana: Monumental Public Architecture, Ritual Practice, and Implications for Hunter-Gatherer Complexity.</w:t>
      </w:r>
      <w:r>
        <w:t xml:space="preserve"> </w:t>
      </w:r>
      <w:r>
        <w:rPr>
          <w:i/>
          <w:iCs/>
        </w:rPr>
        <w:t xml:space="preserve">Geoarchaeology</w:t>
      </w:r>
      <w:r>
        <w:t xml:space="preserve"> </w:t>
      </w:r>
      <w:r>
        <w:t xml:space="preserve">28:66-86.</w:t>
      </w:r>
    </w:p>
    <w:p>
      <w:pPr>
        <w:pStyle w:val="BodyText"/>
      </w:pPr>
      <w:r>
        <w:t xml:space="preserve">Peacock, Evan, and Janet Rafferty. 2013. The Bet-Hedging Model as an Explanatory Framework for the Evolution of Mound Building in the Southeastern United States. In</w:t>
      </w:r>
      <w:r>
        <w:t xml:space="preserve"> </w:t>
      </w:r>
      <w:r>
        <w:rPr>
          <w:i/>
          <w:iCs/>
        </w:rPr>
        <w:t xml:space="preserve">Beyond Barrows</w:t>
      </w:r>
      <w:r>
        <w:t xml:space="preserve">, edited by David Fontijn, Arjan J. Louwen, Sasja van der Vaart, and Karsten Wentink, pp. 253-279. Sidestone Press, Leiden.</w:t>
      </w:r>
    </w:p>
    <w:p>
      <w:pPr>
        <w:pStyle w:val="BodyText"/>
      </w:pPr>
      <w:r>
        <w:t xml:space="preserve">Penn, Dustin J., and Szabolcs Szamadó. 2020. The Handicap Principle: How an Erroneous Hypothesis Became a Scientific Principle.</w:t>
      </w:r>
      <w:r>
        <w:t xml:space="preserve"> </w:t>
      </w:r>
      <w:r>
        <w:rPr>
          <w:i/>
          <w:iCs/>
        </w:rPr>
        <w:t xml:space="preserve">Biological Reviews</w:t>
      </w:r>
      <w:r>
        <w:t xml:space="preserve"> </w:t>
      </w:r>
      <w:r>
        <w:t xml:space="preserve">95:267-290.</w:t>
      </w:r>
    </w:p>
    <w:p>
      <w:pPr>
        <w:pStyle w:val="BodyText"/>
      </w:pPr>
      <w:r>
        <w:t xml:space="preserve">Perreault, Charles. 2019.</w:t>
      </w:r>
      <w:r>
        <w:t xml:space="preserve"> </w:t>
      </w:r>
      <w:r>
        <w:rPr>
          <w:i/>
          <w:iCs/>
        </w:rPr>
        <w:t xml:space="preserve">The Quality of the Archaeological Record</w:t>
      </w:r>
      <w:r>
        <w:t xml:space="preserve">. University of Chicago Press, Chicago.</w:t>
      </w:r>
    </w:p>
    <w:p>
      <w:pPr>
        <w:pStyle w:val="BodyText"/>
      </w:pPr>
      <w:r>
        <w:t xml:space="preserve">Pierce, Christopher. 1998. Theory, Measurement, and Explanation: Variable Shapes in Poverty Point Objects. In</w:t>
      </w:r>
      <w:r>
        <w:t xml:space="preserve"> </w:t>
      </w:r>
      <w:r>
        <w:rPr>
          <w:i/>
          <w:iCs/>
        </w:rPr>
        <w:t xml:space="preserve">Unit Issues in Archaeology: Measuring Time, Space, and Material</w:t>
      </w:r>
      <w:r>
        <w:t xml:space="preserve">, edited by Ann F. Ramenofsky and Anastasia Steffen, pp. 163-189. University of Utah Press, Salt Lake City.</w:t>
      </w:r>
    </w:p>
    <w:p>
      <w:pPr>
        <w:pStyle w:val="BodyText"/>
      </w:pPr>
      <w:r>
        <w:t xml:space="preserve">Price, George R. 1970. Selection and Covariance.</w:t>
      </w:r>
      <w:r>
        <w:t xml:space="preserve"> </w:t>
      </w:r>
      <w:r>
        <w:rPr>
          <w:i/>
          <w:iCs/>
        </w:rPr>
        <w:t xml:space="preserve">Nature</w:t>
      </w:r>
      <w:r>
        <w:t xml:space="preserve"> </w:t>
      </w:r>
      <w:r>
        <w:t xml:space="preserve">227:520-521.</w:t>
      </w:r>
    </w:p>
    <w:p>
      <w:pPr>
        <w:pStyle w:val="BodyText"/>
      </w:pPr>
      <w:r>
        <w:t xml:space="preserve">Quinn, Colin P. 2019. Costly Signaling Theory in Archaeology. In</w:t>
      </w:r>
      <w:r>
        <w:t xml:space="preserve"> </w:t>
      </w:r>
      <w:r>
        <w:rPr>
          <w:i/>
          <w:iCs/>
        </w:rPr>
        <w:t xml:space="preserve">Handbook of Evolutionary Research in Archaeology</w:t>
      </w:r>
      <w:r>
        <w:t xml:space="preserve">, edited by Anna Marie Prentiss, pp. 275-294. Springer, Cham.</w:t>
      </w:r>
    </w:p>
    <w:p>
      <w:pPr>
        <w:pStyle w:val="BodyText"/>
      </w:pPr>
      <w:r>
        <w:t xml:space="preserve">Ramenofsky, Ann F. 1986. The Persistence of Late Archaic Subsistence-Settlement in Louisiana. In</w:t>
      </w:r>
      <w:r>
        <w:t xml:space="preserve"> </w:t>
      </w:r>
      <w:r>
        <w:rPr>
          <w:i/>
          <w:iCs/>
        </w:rPr>
        <w:t xml:space="preserve">Foraging, Collecting, and Harvesting: Archaic Period Subsistence and Settlement in the Eastern Woodlands</w:t>
      </w:r>
      <w:r>
        <w:t xml:space="preserve">, edited by Sarah W. Neusius, pp. 289-312. Occasional Paper No. 6, Center for Archaeological Investigations, Southern Illinois University at Carbondale, Carbondale.</w:t>
      </w:r>
    </w:p>
    <w:p>
      <w:pPr>
        <w:pStyle w:val="BodyText"/>
      </w:pPr>
      <w:r>
        <w:t xml:space="preserve">Ramenofsky, A. F. 1991. Investigating Settlement Strategies at Cowpen Slough, a Late Archaic-Poverty Point Site in Louisiana. In</w:t>
      </w:r>
      <w:r>
        <w:t xml:space="preserve"> </w:t>
      </w:r>
      <w:r>
        <w:rPr>
          <w:i/>
          <w:iCs/>
        </w:rPr>
        <w:t xml:space="preserve">The Poverty Point Culture: Local Manifestations, Subsistence Practices, and Trade Networks</w:t>
      </w:r>
      <w:r>
        <w:t xml:space="preserve">, edited by Kathleen M. Byrd, pp. 159-172. Geoscience and Man 29. Louisiana State University, Baton Rouge.</w:t>
      </w:r>
    </w:p>
    <w:p>
      <w:pPr>
        <w:pStyle w:val="BodyText"/>
      </w:pPr>
      <w:r>
        <w:t xml:space="preserve">Salonen, J. Sakari, Frederik Schenk, John W. Williams, Bryan Shuman, Anna L. Lindroth Dauner, Sebastian Wagner, Johann Jungclaus, Qiong Zhang, and Miska Luoto. 2025. Patterns and Drivers of Holocene Moisture Variability in Mid-Latitude Eastern North America.</w:t>
      </w:r>
      <w:r>
        <w:t xml:space="preserve"> </w:t>
      </w:r>
      <w:r>
        <w:rPr>
          <w:i/>
          <w:iCs/>
        </w:rPr>
        <w:t xml:space="preserve">Nature Communications</w:t>
      </w:r>
      <w:r>
        <w:t xml:space="preserve"> </w:t>
      </w:r>
      <w:r>
        <w:t xml:space="preserve">16:3582.</w:t>
      </w:r>
    </w:p>
    <w:p>
      <w:pPr>
        <w:pStyle w:val="BodyText"/>
      </w:pPr>
      <w:r>
        <w:t xml:space="preserve">Sanger, Matthew C. 2023. Anarchy, Institutional Flexibility, and Containment of Authority at Poverty Point (USA).</w:t>
      </w:r>
      <w:r>
        <w:t xml:space="preserve"> </w:t>
      </w:r>
      <w:r>
        <w:rPr>
          <w:i/>
          <w:iCs/>
        </w:rPr>
        <w:t xml:space="preserve">World Archaeology</w:t>
      </w:r>
      <w:r>
        <w:t xml:space="preserve"> </w:t>
      </w:r>
      <w:r>
        <w:t xml:space="preserve">54:555-571.</w:t>
      </w:r>
    </w:p>
    <w:p>
      <w:pPr>
        <w:pStyle w:val="BodyText"/>
      </w:pPr>
      <w:r>
        <w:t xml:space="preserve">Sanger, Matthew C. 2024. The Archaeology of Awe: Monumental Architecture, Communal Ritual, and Community Formation at Poverty Point, USA.</w:t>
      </w:r>
      <w:r>
        <w:t xml:space="preserve"> </w:t>
      </w:r>
      <w:r>
        <w:rPr>
          <w:i/>
          <w:iCs/>
        </w:rPr>
        <w:t xml:space="preserve">Journal of Archaeological Method and Theory</w:t>
      </w:r>
      <w:r>
        <w:t xml:space="preserve"> </w:t>
      </w:r>
      <w:r>
        <w:t xml:space="preserve">31:1462-1484.</w:t>
      </w:r>
    </w:p>
    <w:p>
      <w:pPr>
        <w:pStyle w:val="BodyText"/>
      </w:pPr>
      <w:r>
        <w:t xml:space="preserve">Sassaman, Kenneth E. 2005. Poverty Point as Structure, Event, Process.</w:t>
      </w:r>
      <w:r>
        <w:t xml:space="preserve"> </w:t>
      </w:r>
      <w:r>
        <w:rPr>
          <w:i/>
          <w:iCs/>
        </w:rPr>
        <w:t xml:space="preserve">Journal of Archaeological Method and Theory</w:t>
      </w:r>
      <w:r>
        <w:t xml:space="preserve"> </w:t>
      </w:r>
      <w:r>
        <w:t xml:space="preserve">12:335-364.</w:t>
      </w:r>
    </w:p>
    <w:p>
      <w:pPr>
        <w:pStyle w:val="BodyText"/>
      </w:pPr>
      <w:r>
        <w:t xml:space="preserve">Sassaman, Kenneth E. 2006.</w:t>
      </w:r>
      <w:r>
        <w:t xml:space="preserve"> </w:t>
      </w:r>
      <w:r>
        <w:rPr>
          <w:i/>
          <w:iCs/>
        </w:rPr>
        <w:t xml:space="preserve">People of the Shoals: Stallings Culture of the Savannah River Valley</w:t>
      </w:r>
      <w:r>
        <w:t xml:space="preserve">. University Press of Florida, Gainesville.</w:t>
      </w:r>
    </w:p>
    <w:p>
      <w:pPr>
        <w:pStyle w:val="BodyText"/>
      </w:pPr>
      <w:r>
        <w:t xml:space="preserve">Sassaman, Kenneth E. 2010.</w:t>
      </w:r>
      <w:r>
        <w:t xml:space="preserve"> </w:t>
      </w:r>
      <w:r>
        <w:rPr>
          <w:i/>
          <w:iCs/>
        </w:rPr>
        <w:t xml:space="preserve">The Eastern Archaic, Historicized</w:t>
      </w:r>
      <w:r>
        <w:t xml:space="preserve">. AltaMira Press, Lanham.</w:t>
      </w:r>
    </w:p>
    <w:p>
      <w:pPr>
        <w:pStyle w:val="BodyText"/>
      </w:pPr>
      <w:r>
        <w:t xml:space="preserve">Sassaman, Kenneth E., and Samuel O. Brookes. 2017. Situating the Claiborne Soapstone Vessel Cache in the History of Poverty Point.</w:t>
      </w:r>
      <w:r>
        <w:t xml:space="preserve"> </w:t>
      </w:r>
      <w:r>
        <w:rPr>
          <w:i/>
          <w:iCs/>
        </w:rPr>
        <w:t xml:space="preserve">American Antiquity</w:t>
      </w:r>
      <w:r>
        <w:t xml:space="preserve"> </w:t>
      </w:r>
      <w:r>
        <w:t xml:space="preserve">82(4):781-797.</w:t>
      </w:r>
    </w:p>
    <w:p>
      <w:pPr>
        <w:pStyle w:val="BodyText"/>
      </w:pPr>
      <w:r>
        <w:t xml:space="preserve">Saucier, Roger T. 1981. Current Thinking on Riverine Processes and Geologic History as Related to Human Settlement in the Southeast.</w:t>
      </w:r>
      <w:r>
        <w:t xml:space="preserve"> </w:t>
      </w:r>
      <w:r>
        <w:rPr>
          <w:i/>
          <w:iCs/>
        </w:rPr>
        <w:t xml:space="preserve">Geoscience and Man</w:t>
      </w:r>
      <w:r>
        <w:t xml:space="preserve"> </w:t>
      </w:r>
      <w:r>
        <w:t xml:space="preserve">22:7-18.</w:t>
      </w:r>
    </w:p>
    <w:p>
      <w:pPr>
        <w:pStyle w:val="BodyText"/>
      </w:pPr>
      <w:r>
        <w:t xml:space="preserve">Saucier, Roger T. 1994.</w:t>
      </w:r>
      <w:r>
        <w:t xml:space="preserve"> </w:t>
      </w:r>
      <w:r>
        <w:rPr>
          <w:i/>
          <w:iCs/>
        </w:rPr>
        <w:t xml:space="preserve">Geomorphology and Quaternary Geologic History of the Lower Mississippi Valley</w:t>
      </w:r>
      <w:r>
        <w:t xml:space="preserve">, 2 vols. U.S. Army Engineer Waterways Experiment Station, Vicksburg, Mississippi.</w:t>
      </w:r>
    </w:p>
    <w:p>
      <w:pPr>
        <w:pStyle w:val="BodyText"/>
      </w:pPr>
      <w:r>
        <w:t xml:space="preserve">Saunders, Joe W., Thurman Allen, and Roger T. Saucier. 1994. Four Archaic? Mound Complexes in Northeast Louisiana.</w:t>
      </w:r>
      <w:r>
        <w:t xml:space="preserve"> </w:t>
      </w:r>
      <w:r>
        <w:rPr>
          <w:i/>
          <w:iCs/>
        </w:rPr>
        <w:t xml:space="preserve">Southeastern Archaeology</w:t>
      </w:r>
      <w:r>
        <w:t xml:space="preserve"> </w:t>
      </w:r>
      <w:r>
        <w:t xml:space="preserve">13:134-153.</w:t>
      </w:r>
    </w:p>
    <w:p>
      <w:pPr>
        <w:pStyle w:val="BodyText"/>
      </w:pPr>
      <w:r>
        <w:t xml:space="preserve">Saunders, Joe W., Reca Bamburg Jones, and Thurman Allen. 2005a.</w:t>
      </w:r>
      <w:r>
        <w:t xml:space="preserve"> </w:t>
      </w:r>
      <w:r>
        <w:rPr>
          <w:i/>
          <w:iCs/>
        </w:rPr>
        <w:t xml:space="preserve">2005 Annual Report for Management Unit 2</w:t>
      </w:r>
      <w:r>
        <w:t xml:space="preserve">. Regional Archaeology Program, Department of Geosciences, University of Louisiana at Monroe. Submitted to the Louisiana Division of Archaeology, Baton Rouge.</w:t>
      </w:r>
    </w:p>
    <w:p>
      <w:pPr>
        <w:pStyle w:val="BodyText"/>
      </w:pPr>
      <w:r>
        <w:t xml:space="preserve">Saunders, Joe, Reca Bamburg Jones, and Thurman Allen. 2009.</w:t>
      </w:r>
      <w:r>
        <w:t xml:space="preserve"> </w:t>
      </w:r>
      <w:r>
        <w:rPr>
          <w:i/>
          <w:iCs/>
        </w:rPr>
        <w:t xml:space="preserve">2009 Annual Report for Management Unit 2</w:t>
      </w:r>
      <w:r>
        <w:t xml:space="preserve">. Regional Archaeology Program, Department of Geosciences, University of Louisiana at Monroe. Submitted to the Louisiana Division of Archaeology, Baton Rouge.</w:t>
      </w:r>
    </w:p>
    <w:p>
      <w:pPr>
        <w:pStyle w:val="BodyText"/>
      </w:pPr>
      <w:r>
        <w:t xml:space="preserve">Saunders, Joe W., Rolfe D. Mandel, C. Garth Sampson, Charles M. Allen, E. Thurman Allen, Daniel A. Bush, James K. Feathers, Kristen J. Gremillion, C. T. Hallmark, H. Edwin Jackson, Jay K. Johnson, Reca Jones, Roger T. Saucier, Gary L. Stringer, and Malcolm F. Vidrine. 2005. Watson Brake, a Middle Archaic Mound Complex in Northeast Louisiana.</w:t>
      </w:r>
      <w:r>
        <w:t xml:space="preserve"> </w:t>
      </w:r>
      <w:r>
        <w:rPr>
          <w:i/>
          <w:iCs/>
        </w:rPr>
        <w:t xml:space="preserve">American Antiquity</w:t>
      </w:r>
      <w:r>
        <w:t xml:space="preserve"> </w:t>
      </w:r>
      <w:r>
        <w:t xml:space="preserve">70:631-668.</w:t>
      </w:r>
    </w:p>
    <w:p>
      <w:pPr>
        <w:pStyle w:val="BodyText"/>
      </w:pPr>
      <w:r>
        <w:t xml:space="preserve">Saunders, Joe W., Thurman Allen, Dennis Labatt, Reca Jones, and David Griffing. 2001. An Assessment of the Antiquity of the Lower Jackson Mound.</w:t>
      </w:r>
      <w:r>
        <w:t xml:space="preserve"> </w:t>
      </w:r>
      <w:r>
        <w:rPr>
          <w:i/>
          <w:iCs/>
        </w:rPr>
        <w:t xml:space="preserve">Southeastern Archaeology</w:t>
      </w:r>
      <w:r>
        <w:t xml:space="preserve"> </w:t>
      </w:r>
      <w:r>
        <w:t xml:space="preserve">20:67-77.</w:t>
      </w:r>
    </w:p>
    <w:p>
      <w:pPr>
        <w:pStyle w:val="BodyText"/>
      </w:pPr>
      <w:r>
        <w:t xml:space="preserve">Sherwood, Sarah C., and Tristram R. Kidder. 2011. The DaVincis of Dirt: Geoarchaeological Perspectives on Native American Mound Building in the Mississippi River Basin.</w:t>
      </w:r>
      <w:r>
        <w:t xml:space="preserve"> </w:t>
      </w:r>
      <w:r>
        <w:rPr>
          <w:i/>
          <w:iCs/>
        </w:rPr>
        <w:t xml:space="preserve">Journal of Anthropological Archaeology</w:t>
      </w:r>
      <w:r>
        <w:t xml:space="preserve"> </w:t>
      </w:r>
      <w:r>
        <w:t xml:space="preserve">30:69-87.</w:t>
      </w:r>
    </w:p>
    <w:p>
      <w:pPr>
        <w:pStyle w:val="BodyText"/>
      </w:pPr>
      <w:r>
        <w:t xml:space="preserve">Singh, Manvir, and Joseph Henrich. 2020. Why Do Religious Leaders Observe Costly Prohibitions? Examining Taboos on Mentawai Shamans.</w:t>
      </w:r>
      <w:r>
        <w:t xml:space="preserve"> </w:t>
      </w:r>
      <w:r>
        <w:rPr>
          <w:i/>
          <w:iCs/>
        </w:rPr>
        <w:t xml:space="preserve">Evolutionary Human Sciences</w:t>
      </w:r>
      <w:r>
        <w:t xml:space="preserve"> </w:t>
      </w:r>
      <w:r>
        <w:t xml:space="preserve">2:e32. https://doi.org/10.1017/ehs.2020.32</w:t>
      </w:r>
    </w:p>
    <w:p>
      <w:pPr>
        <w:pStyle w:val="BodyText"/>
      </w:pPr>
      <w:r>
        <w:t xml:space="preserve">Shuman, Bryan N., and Jeremiah Marsicek. 2016. The Structure of Holocene Climate Change in Mid-Latitude North America.</w:t>
      </w:r>
      <w:r>
        <w:t xml:space="preserve"> </w:t>
      </w:r>
      <w:r>
        <w:rPr>
          <w:i/>
          <w:iCs/>
        </w:rPr>
        <w:t xml:space="preserve">Quaternary Science Reviews</w:t>
      </w:r>
      <w:r>
        <w:t xml:space="preserve"> </w:t>
      </w:r>
      <w:r>
        <w:t xml:space="preserve">141:38-51.</w:t>
      </w:r>
    </w:p>
    <w:p>
      <w:pPr>
        <w:pStyle w:val="BodyText"/>
      </w:pPr>
      <w:r>
        <w:t xml:space="preserve">Smith, Bruce W. 1991. The Late Archaic-Poverty Point Trade Network. In</w:t>
      </w:r>
      <w:r>
        <w:t xml:space="preserve"> </w:t>
      </w:r>
      <w:r>
        <w:rPr>
          <w:i/>
          <w:iCs/>
        </w:rPr>
        <w:t xml:space="preserve">The Poverty Point Culture: Local Manifestations, Subsistence Practices, and Trade Networks</w:t>
      </w:r>
      <w:r>
        <w:t xml:space="preserve">, edited by Kathleen M. Byrd, pp. 173-180. Geoscience and Man 29. Louisiana State University, Baton Rouge.</w:t>
      </w:r>
    </w:p>
    <w:p>
      <w:pPr>
        <w:pStyle w:val="BodyText"/>
      </w:pPr>
      <w:r>
        <w:t xml:space="preserve">Spivey, S. Margaret, Tristram R. Kidder, Anthony L. Ortmann, and Lee J. Arco. 2015. Pilgrimage to Poverty Point? In</w:t>
      </w:r>
      <w:r>
        <w:t xml:space="preserve"> </w:t>
      </w:r>
      <w:r>
        <w:rPr>
          <w:i/>
          <w:iCs/>
        </w:rPr>
        <w:t xml:space="preserve">The Enigma of the Event: Moments of Consequence in the Ancient Southeast</w:t>
      </w:r>
      <w:r>
        <w:t xml:space="preserve">, edited by Zackary Gilmore and Jason O’Donoughue, pp. 230-267. University of Alabama Press, Tuscaloosa.</w:t>
      </w:r>
    </w:p>
    <w:p>
      <w:pPr>
        <w:pStyle w:val="BodyText"/>
      </w:pPr>
      <w:r>
        <w:t xml:space="preserve">Thomas, Prentice M., and L. Janice Campbell. 1978.</w:t>
      </w:r>
      <w:r>
        <w:t xml:space="preserve"> </w:t>
      </w:r>
      <w:r>
        <w:rPr>
          <w:i/>
          <w:iCs/>
        </w:rPr>
        <w:t xml:space="preserve">Faunal Analysis of the Poverty Point Sample</w:t>
      </w:r>
      <w:r>
        <w:t xml:space="preserve">. Report submitted to the Louisiana Office of Cultural Development, Division of Archaeology, Baton Rouge.</w:t>
      </w:r>
    </w:p>
    <w:p>
      <w:pPr>
        <w:pStyle w:val="BodyText"/>
      </w:pPr>
      <w:r>
        <w:t xml:space="preserve">Walthall, John A., Clarence H. Webb, Stephen H. Stow, and Sharon I. Goad. 1982. Galena Analysis and Poverty Point Trade.</w:t>
      </w:r>
      <w:r>
        <w:t xml:space="preserve"> </w:t>
      </w:r>
      <w:r>
        <w:rPr>
          <w:i/>
          <w:iCs/>
        </w:rPr>
        <w:t xml:space="preserve">Mid-Continental Journal of Archaeology</w:t>
      </w:r>
      <w:r>
        <w:t xml:space="preserve"> </w:t>
      </w:r>
      <w:r>
        <w:t xml:space="preserve">7:133-148.</w:t>
      </w:r>
    </w:p>
    <w:p>
      <w:pPr>
        <w:pStyle w:val="BodyText"/>
      </w:pPr>
      <w:r>
        <w:t xml:space="preserve">Ward, Grace M. V., Seth B. Grooms, Andrew G. Schroll, and Tristram R. Kidder. 2022. The View from Jaketown: Considering Variation in the Poverty Point Culture of the Lower Mississippi Valley.</w:t>
      </w:r>
      <w:r>
        <w:t xml:space="preserve"> </w:t>
      </w:r>
      <w:r>
        <w:rPr>
          <w:i/>
          <w:iCs/>
        </w:rPr>
        <w:t xml:space="preserve">American Antiquity</w:t>
      </w:r>
      <w:r>
        <w:t xml:space="preserve"> </w:t>
      </w:r>
      <w:r>
        <w:t xml:space="preserve">87:758-775.</w:t>
      </w:r>
    </w:p>
    <w:p>
      <w:pPr>
        <w:pStyle w:val="BodyText"/>
      </w:pPr>
      <w:r>
        <w:t xml:space="preserve">Ward, Heather D. 1998. The Paleoethnobotanical Record of the Poverty Point Culture: Implications of Past and Current Research.</w:t>
      </w:r>
      <w:r>
        <w:t xml:space="preserve"> </w:t>
      </w:r>
      <w:r>
        <w:rPr>
          <w:i/>
          <w:iCs/>
        </w:rPr>
        <w:t xml:space="preserve">Southeastern Archaeology</w:t>
      </w:r>
      <w:r>
        <w:t xml:space="preserve"> </w:t>
      </w:r>
      <w:r>
        <w:t xml:space="preserve">17:166-174.</w:t>
      </w:r>
    </w:p>
    <w:p>
      <w:pPr>
        <w:pStyle w:val="BodyText"/>
      </w:pPr>
      <w:r>
        <w:t xml:space="preserve">Webb, Clarence H. 1968. The Extent and Content of Poverty Point Culture.</w:t>
      </w:r>
      <w:r>
        <w:t xml:space="preserve"> </w:t>
      </w:r>
      <w:r>
        <w:rPr>
          <w:i/>
          <w:iCs/>
        </w:rPr>
        <w:t xml:space="preserve">American Antiquity</w:t>
      </w:r>
      <w:r>
        <w:t xml:space="preserve"> </w:t>
      </w:r>
      <w:r>
        <w:t xml:space="preserve">33:297-321.</w:t>
      </w:r>
    </w:p>
    <w:p>
      <w:pPr>
        <w:pStyle w:val="BodyText"/>
      </w:pPr>
      <w:r>
        <w:t xml:space="preserve">Webb, Clarence H. 1982.</w:t>
      </w:r>
      <w:r>
        <w:t xml:space="preserve"> </w:t>
      </w:r>
      <w:r>
        <w:rPr>
          <w:i/>
          <w:iCs/>
        </w:rPr>
        <w:t xml:space="preserve">The Poverty Point Culture</w:t>
      </w:r>
      <w:r>
        <w:t xml:space="preserve">. 2nd ed., revised. Geoscience and Man 17. Louisiana State University, Baton Rouge.</w:t>
      </w:r>
    </w:p>
    <w:p>
      <w:pPr>
        <w:pStyle w:val="BodyText"/>
      </w:pPr>
      <w:r>
        <w:t xml:space="preserve">Webb, William S. 1939.</w:t>
      </w:r>
      <w:r>
        <w:t xml:space="preserve"> </w:t>
      </w:r>
      <w:r>
        <w:rPr>
          <w:i/>
          <w:iCs/>
        </w:rPr>
        <w:t xml:space="preserve">An Archaeological Survey of Wheeler Basin on the Tennessee River in Northern Alabama</w:t>
      </w:r>
      <w:r>
        <w:t xml:space="preserve">. Bureau of American Ethnology Bulletin 122. Smithsonian Institution, Washington, D.C.</w:t>
      </w:r>
    </w:p>
    <w:p>
      <w:pPr>
        <w:pStyle w:val="BodyText"/>
      </w:pPr>
      <w:r>
        <w:t xml:space="preserve">Wiessner, Polly. 2002. Hunting, Healing, and Hxaro Exchange: A Long-Term Perspective on !Kung (Ju/’hoansi) Large-Game Hunting.</w:t>
      </w:r>
      <w:r>
        <w:t xml:space="preserve"> </w:t>
      </w:r>
      <w:r>
        <w:rPr>
          <w:i/>
          <w:iCs/>
        </w:rPr>
        <w:t xml:space="preserve">Evolution and Human Behavior</w:t>
      </w:r>
      <w:r>
        <w:t xml:space="preserve"> </w:t>
      </w:r>
      <w:r>
        <w:t xml:space="preserve">23:407-436.</w:t>
      </w:r>
    </w:p>
    <w:p>
      <w:pPr>
        <w:pStyle w:val="BodyText"/>
      </w:pPr>
      <w:r>
        <w:t xml:space="preserve">Winterhalder, Bruce. 1986. Diet Choice, Risk, and Food Sharing in a Stochastic Environment.</w:t>
      </w:r>
      <w:r>
        <w:t xml:space="preserve"> </w:t>
      </w:r>
      <w:r>
        <w:rPr>
          <w:i/>
          <w:iCs/>
        </w:rPr>
        <w:t xml:space="preserve">Journal of Anthropological Archaeology</w:t>
      </w:r>
      <w:r>
        <w:t xml:space="preserve"> </w:t>
      </w:r>
      <w:r>
        <w:t xml:space="preserve">5:369-392.</w:t>
      </w:r>
    </w:p>
    <w:p>
      <w:pPr>
        <w:pStyle w:val="BodyText"/>
      </w:pPr>
      <w:r>
        <w:t xml:space="preserve">Yates, William B. 2009. A Sourcing Study of Soapstone Vessel Fragments from the Poverty Point Archaeological Site (16WC5), West Carroll Parish, Louisiana.</w:t>
      </w:r>
      <w:r>
        <w:t xml:space="preserve"> </w:t>
      </w:r>
      <w:r>
        <w:rPr>
          <w:i/>
          <w:iCs/>
        </w:rPr>
        <w:t xml:space="preserve">Louisiana Archaeology</w:t>
      </w:r>
      <w:r>
        <w:t xml:space="preserve"> </w:t>
      </w:r>
      <w:r>
        <w:t xml:space="preserve">28:25-35.</w:t>
      </w:r>
    </w:p>
    <w:p>
      <w:pPr>
        <w:pStyle w:val="BodyText"/>
      </w:pPr>
      <w:r>
        <w:t xml:space="preserve">Zahavi, Amotz. 1975. Mate Selection: A Selection for a Handicap.</w:t>
      </w:r>
      <w:r>
        <w:t xml:space="preserve"> </w:t>
      </w:r>
      <w:r>
        <w:rPr>
          <w:i/>
          <w:iCs/>
        </w:rPr>
        <w:t xml:space="preserve">Journal of Theoretical Biology</w:t>
      </w:r>
      <w:r>
        <w:t xml:space="preserve"> </w:t>
      </w:r>
      <w:r>
        <w:t xml:space="preserve">53:205-214.</w:t>
      </w:r>
    </w:p>
    <w:bookmarkEnd w:id="91"/>
    <w:bookmarkStart w:id="92" w:name="supplemental-material"/>
    <w:p>
      <w:pPr>
        <w:pStyle w:val="Heading2"/>
      </w:pPr>
      <w:r>
        <w:t xml:space="preserve">Supplemental Material</w:t>
      </w:r>
    </w:p>
    <w:p>
      <w:pPr>
        <w:pStyle w:val="FirstParagraph"/>
      </w:pPr>
      <w:r>
        <w:t xml:space="preserve">The supplemental information accompanies this manuscript at Supplemental.md and contains: complete ODD-protocol specification, design concepts, and submodel equations (S1); parameter estimation and justification with full source citations (S2); one-at-a-time and joint-Monte-Carlo sensitivity analyses (S3); supplemental theoretical figures (S4); two structural-architecture extensions, a near-threshold parameter sweep and a restructured network-saturation function (S5); zone-access scoring rubric for Table 2 (S6); detailed scenario simulation results (S7); the full set of testable predictions (S8); supplemental empirical figures (S9); the Watson Brake bistable analysis with the 30× overprediction derivation referenced in §6.3 (S10); enumeration of the five magnitude-prediction gaps the framework does not address (S11); GIS-based ecotone diversity comparison using EPA Level IV ecoregions (S12); Monte Carlo perturbation analysis for the §6.4 zone-weight rubric (S13); per-material exotic decomposition (S14); modern hydrograph data and the empirical test of multi-drainage independence used in §6.5 (S15); seasonal resource phenology and temporal staggering analysis (S16); and six model components used in §6 (regime switching, per-event labor scaling, regional band allocation, water-route catchment, per-site</w:t>
      </w:r>
      <w:r>
        <w:t xml:space="preserve"> </w:t>
      </w:r>
      <m:oMath>
        <m:sSub>
          <m:e>
            <m:r>
              <m:t>n</m:t>
            </m:r>
          </m:e>
          <m:sub>
            <m:r>
              <m:t>a</m:t>
            </m:r>
            <m:r>
              <m:t>g</m:t>
            </m:r>
            <m:r>
              <m:t>g</m:t>
            </m:r>
          </m:sub>
        </m:sSub>
      </m:oMath>
      <w:r>
        <w:t xml:space="preserve"> </w:t>
      </w:r>
      <w:r>
        <w:t xml:space="preserve">scale ratios, seasonally resolved aggregation timing) with implementation status, reproducibility notes, and a consolidated list of priority follow-up work (S17).</w:t>
      </w:r>
    </w:p>
    <w:bookmarkEnd w:id="92"/>
    <w:bookmarkEnd w:id="93"/>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Times New Roman" w:asciiTheme="majorHAnsi" w:cstheme="majorBidi" w:eastAsiaTheme="majorEastAsia" w:hAnsi="Times New Roman" w:hAnsiTheme="majorHAnsi"/>
      <w:b/>
      <w:bCs/>
      <w:i w:val="0"/>
      <w:color w:val="000000"/>
      <w:sz w:val="28"/>
      <w:szCs w:val="28"/>
      <w:u w:val="none"/>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Times New Roman" w:asciiTheme="majorHAnsi" w:cstheme="majorBidi" w:eastAsiaTheme="majorEastAsia" w:hAnsi="Times New Roman" w:hAnsiTheme="majorHAnsi"/>
      <w:b w:val="0"/>
      <w:bCs/>
      <w:i/>
      <w:color w:val="000000"/>
      <w:sz w:val="24"/>
      <w:szCs w:val="26"/>
      <w:u w:val="none"/>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asciiTheme="majorHAnsi" w:cstheme="majorBidi" w:eastAsiaTheme="majorEastAsia" w:hAnsi="Times New Roman" w:hAnsiTheme="majorHAnsi"/>
      <w:b w:val="0"/>
      <w:bCs/>
      <w:i w:val="0"/>
      <w:color w:val="000000"/>
      <w:sz w:val="22"/>
      <w:u w:val="single"/>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val="0"/>
      <w:bCs/>
      <w:i/>
      <w:iCs/>
      <w:color w:val="000000"/>
      <w:sz w:val="22"/>
      <w:u w:val="none"/>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76" w:lineRule="auto"/>
    </w:pPr>
    <w:rPr>
      <w:rFonts w:ascii="Times New Roman" w:hAnsi="Times New Roman"/>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spacing w:after="120" w:line="276" w:lineRule="auto"/>
    </w:pPr>
    <w:rPr>
      <w:rFonts w:ascii="Times New Roman" w:hAnsi="Times New Roman"/>
      <w:color w:val="000000"/>
      <w:sz w:val="22"/>
    </w:rPr>
  </w:style>
  <w:style w:customStyle="1" w:styleId="ImageCaption" w:type="paragraph">
    <w:name w:val="Image Caption"/>
    <w:rPr>
      <w:rFonts w:ascii="Times New Roman" w:hAnsi="Times New Roman"/>
      <w:i/>
      <w:color w:val="000000"/>
      <w:sz w:val="20"/>
    </w:rPr>
  </w:style>
  <w:style w:customStyle="1" w:styleId="Abstract" w:type="paragraph">
    <w:name w:val="Abstract"/>
    <w:rPr>
      <w:rFonts w:ascii="Times New Roman" w:hAnsi="Times New Roman"/>
      <w:i/>
      <w:color w:val="000000"/>
      <w:sz w:val="20"/>
    </w:rPr>
  </w:style>
  <w:style w:customStyle="1" w:styleId="Author" w:type="paragraph">
    <w:name w:val="Author"/>
    <w:rPr>
      <w:rFonts w:ascii="Times New Roman" w:hAnsi="Times New Roman"/>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6" Target="media/rId7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2026-05-27T15:51:48Z</dcterms:created>
  <dcterms:modified xsi:type="dcterms:W3CDTF">2026-05-27T15:51:48Z</dcterms:modified>
</cp:coreProperties>
</file>

<file path=docProps/custom.xml><?xml version="1.0" encoding="utf-8"?>
<Properties xmlns="http://schemas.openxmlformats.org/officeDocument/2006/custom-properties" xmlns:vt="http://schemas.openxmlformats.org/officeDocument/2006/docPropsVTypes"/>
</file>