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rPr>
          <w:rFonts w:ascii="Times New Roman" w:hAnsi="Times New Roman"/>
          <w:b/>
          <w:i w:val="0"/>
          <w:color w:val="000000"/>
          <w:sz w:val="28"/>
          <w:u w:val="none"/>
        </w:rPr>
        <w:t xml:space="preserve">Signaling under environmental uncertainty: A multilevel-selection threshold model for Poverty Point</w:t>
      </w:r>
    </w:p>
    <w:p>
      <w:pPr>
        <w:pStyle w:val="FirstParagraph"/>
      </w:pPr>
      <w:r>
        <w:rPr>
          <w:rFonts w:ascii="Times New Roman" w:hAnsi="Times New Roman"/>
          <w:b/>
          <w:bCs/>
          <w:color w:val="000000"/>
          <w:sz w:val="22"/>
        </w:rPr>
        <w:t xml:space="preserve">Target journal:</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p>
    <w:p>
      <w:pPr>
        <w:pStyle w:val="BodyText"/>
      </w:pPr>
      <w:r>
        <w:rPr>
          <w:rFonts w:ascii="Times New Roman" w:hAnsi="Times New Roman"/>
          <w:b/>
          <w:bCs/>
          <w:color w:val="000000"/>
          <w:sz w:val="22"/>
        </w:rPr>
        <w:t xml:space="preserve">Authors:</w:t>
      </w:r>
      <w:r>
        <w:rPr>
          <w:rFonts w:ascii="Times New Roman" w:hAnsi="Times New Roman"/>
          <w:color w:val="000000"/>
          <w:sz w:val="22"/>
        </w:rPr>
        <w:t xml:space="preserve"> </w:t>
      </w:r>
      <w:r>
        <w:rPr>
          <w:rFonts w:ascii="Times New Roman" w:hAnsi="Times New Roman"/>
          <w:color w:val="000000"/>
          <w:sz w:val="22"/>
        </w:rPr>
        <w:t xml:space="preserve">Carl P. Lipo¹* (ORCID: 0000-0003-4391-3590), Beau DiNapoli¹ (ORCID: 0000-0003-2180-2195), Diana M. Greenlee²</w:t>
      </w:r>
    </w:p>
    <w:p>
      <w:pPr>
        <w:pStyle w:val="BodyText"/>
      </w:pPr>
      <w:r>
        <w:rPr>
          <w:rFonts w:ascii="Times New Roman" w:hAnsi="Times New Roman"/>
          <w:color w:val="000000"/>
          <w:sz w:val="22"/>
        </w:rPr>
        <w:t xml:space="preserve">¹ Department of Anthropology, Binghamton University, Binghamton, NY 13902, USA</w:t>
      </w:r>
    </w:p>
    <w:p>
      <w:pPr>
        <w:pStyle w:val="BodyText"/>
      </w:pPr>
      <w:r>
        <w:rPr>
          <w:rFonts w:ascii="Times New Roman" w:hAnsi="Times New Roman"/>
          <w:color w:val="000000"/>
          <w:sz w:val="22"/>
        </w:rPr>
        <w:t xml:space="preserve">² Poverty Point Station Archaeology Program, University of Louisiana at Monroe, Monroe, LA 71209, USA</w:t>
      </w:r>
    </w:p>
    <w:p>
      <w:pPr>
        <w:pStyle w:val="BodyText"/>
      </w:pP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b/>
          <w:bCs/>
          <w:color w:val="000000"/>
          <w:sz w:val="22"/>
        </w:rPr>
        <w:t xml:space="preserve">Corresponding author:</w:t>
      </w:r>
      <w:r>
        <w:rPr>
          <w:rFonts w:ascii="Times New Roman" w:hAnsi="Times New Roman"/>
          <w:color w:val="000000"/>
          <w:sz w:val="22"/>
        </w:rPr>
        <w:t xml:space="preserve"> </w:t>
      </w:r>
      <w:r>
        <w:rPr>
          <w:rFonts w:ascii="Times New Roman" w:hAnsi="Times New Roman"/>
          <w:color w:val="000000"/>
          <w:sz w:val="22"/>
        </w:rPr>
        <w:t xml:space="preserve">Carl P. Lipo, clipo@binghamton.edu</w:t>
      </w:r>
    </w:p>
    <w:p>
      <w:pPr>
        <w:pStyle w:val="BodyText"/>
      </w:pPr>
      <w:r>
        <w:rPr>
          <w:rFonts w:ascii="Times New Roman" w:hAnsi="Times New Roman"/>
          <w:b/>
          <w:bCs/>
          <w:color w:val="000000"/>
          <w:sz w:val="22"/>
        </w:rPr>
        <w:t xml:space="preserve">Keywords:</w:t>
      </w:r>
      <w:r>
        <w:rPr>
          <w:rFonts w:ascii="Times New Roman" w:hAnsi="Times New Roman"/>
          <w:color w:val="000000"/>
          <w:sz w:val="22"/>
        </w:rPr>
        <w:t xml:space="preserve"> </w:t>
      </w:r>
      <w:r>
        <w:rPr>
          <w:rFonts w:ascii="Times New Roman" w:hAnsi="Times New Roman"/>
          <w:color w:val="000000"/>
          <w:sz w:val="22"/>
        </w:rP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rPr>
          <w:rFonts w:ascii="Times New Roman" w:hAnsi="Times New Roman"/>
          <w:b w:val="0"/>
          <w:i/>
          <w:color w:val="000000"/>
          <w:sz w:val="24"/>
          <w:u w:val="none"/>
        </w:rPr>
        <w:t xml:space="preserve">Abstract</w:t>
      </w:r>
    </w:p>
    <w:p>
      <w:pPr>
        <w:pStyle w:val="FirstParagraph"/>
      </w:pPr>
      <w:r>
        <w:rPr>
          <w:rFonts w:ascii="Times New Roman" w:hAnsi="Times New Roman"/>
          <w:color w:val="000000"/>
          <w:sz w:val="22"/>
        </w:rPr>
        <w:t xml:space="preserve">Poverty Point (ca. 1700-1100 BCE), a large earthwork complex in northeastern Louisiana, was built by mobile hunter-gatherers without hierarchy, food production, or year-round settlement. The site combines monumental earthwork construction on the order of 750,000 m³ with the accumulation of geochemically traceable exotic materials from sources up to 1,600 km away. Three connected questions follow: why mobile foragers made such large group-level investments at all, when the pattern began and ended, and why it concentrated at Poverty Point rather than elsewhere in the Lower Mississippi Valley. Existing accounts offer plausible narratives but do not specify the structural conditions under which these investments become adaptive. We develop an aggregation-based costly-signaling framework in which collective earthwork construction serves as a group-level index signal of cooperative labor, and traceable exotic goods serve as a band-level index signal of long-distance network connectivity, with selection on band-level investment becoming adaptive once regional environmental uncertainty crosses a critical threshold. The framework’s discriminating prediction is a spatial-flow signature: durable exotics should accumulate disproportionately at the gathering hub, with only low-magnitude leakage to visitor-band territories, a pattern the regional record matches and that pure risk-pooling, social-storage, and down-the-line exchange do not predict. We embed this apparatus in an agent-based model calibrated to Poverty Point’s earthwork volume and evaluate it against the regional record. The framework answers why, when, and where through a single mechanism, and is intended as a structural complement to culturally rich accounts of Poverty Point rather than a replacement.</w:t>
      </w:r>
    </w:p>
    <w:bookmarkEnd w:id="9"/>
    <w:bookmarkStart w:id="16" w:name="introduction"/>
    <w:p>
      <w:pPr>
        <w:pStyle w:val="Heading2"/>
      </w:pPr>
      <w:r>
        <w:rPr>
          <w:rFonts w:ascii="Times New Roman" w:hAnsi="Times New Roman"/>
          <w:b w:val="0"/>
          <w:i/>
          <w:color w:val="000000"/>
          <w:sz w:val="24"/>
          <w:u w:val="none"/>
        </w:rPr>
        <w:t xml:space="preserve">1. Introduction</w:t>
      </w:r>
    </w:p>
    <w:p>
      <w:pPr>
        <w:pStyle w:val="FirstParagraph"/>
      </w:pPr>
      <w:r>
        <w:rPr>
          <w:rFonts w:ascii="Times New Roman" w:hAnsi="Times New Roman"/>
          <w:color w:val="000000"/>
          <w:sz w:val="22"/>
        </w:rP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rPr>
          <w:rFonts w:ascii="Times New Roman" w:hAnsi="Times New Roman"/>
          <w:color w:val="000000"/>
          <w:sz w:val="22"/>
        </w:rP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this analysis.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A magnetic gradient survey covering 25.47 hectares has also identified 36 timber post circles, ranging from 6 to 62 m in diameter, as well as 64 distinct ridge construction components (Clay 2023; Hargrave et al. 2021).</w:t>
      </w:r>
    </w:p>
    <w:p>
      <w:pPr>
        <w:pStyle w:val="BodyText"/>
      </w:pPr>
      <w:r>
        <w:rPr>
          <w:rFonts w:ascii="Times New Roman" w:hAnsi="Times New Roman"/>
          <w:color w:val="000000"/>
          <w:sz w:val="22"/>
        </w:rPr>
        <w:drawing>
          <wp:inline>
            <wp:extent cx="5486400" cy="7638906"/>
            <wp:effectExtent b="0" l="0" r="0" t="0"/>
            <wp:docPr descr="" title="" id="11" name="Picture"/>
            <a:graphic>
              <a:graphicData uri="http://schemas.openxmlformats.org/drawingml/2006/picture">
                <pic:pic>
                  <pic:nvPicPr>
                    <pic:cNvPr descr="/Users/clipo/PycharmProjects/poverty-point-signaling/figures/manuscript/figure_01_poverty_point_map.png" id="12" name="Picture"/>
                    <pic:cNvPicPr>
                      <a:picLocks noChangeArrowheads="1" noChangeAspect="1"/>
                    </pic:cNvPicPr>
                  </pic:nvPicPr>
                  <pic:blipFill>
                    <a:blip r:embed="rId10"/>
                    <a:stretch>
                      <a:fillRect/>
                    </a:stretch>
                  </pic:blipFill>
                  <pic:spPr bwMode="auto">
                    <a:xfrm>
                      <a:off x="0" y="0"/>
                      <a:ext cx="5486400" cy="76389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 Location of Poverty Point and other sites in the Lower Mississippi Valley.</w:t>
      </w:r>
      <w:r>
        <w:rPr>
          <w:rFonts w:ascii="Times New Roman" w:hAnsi="Times New Roman"/>
          <w:color w:val="000000"/>
          <w:sz w:val="20"/>
        </w:rPr>
        <w:t xml:space="preserve"> </w:t>
      </w:r>
      <w:r>
        <w:rPr>
          <w:rFonts w:ascii="Times New Roman" w:hAnsi="Times New Roman"/>
          <w:i/>
          <w:iCs/>
          <w:color w:val="000000"/>
          <w:sz w:val="20"/>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rPr>
          <w:rFonts w:ascii="Times New Roman" w:hAnsi="Times New Roman"/>
          <w:color w:val="000000"/>
          <w:sz w:val="20"/>
        </w:rPr>
        <w:t xml:space="preserve"> </w:t>
      </w:r>
      <w:r>
        <w:rPr>
          <w:rFonts w:ascii="Times New Roman" w:hAnsi="Times New Roman"/>
          <w:i/>
          <w:iCs/>
          <w:color w:val="000000"/>
          <w:sz w:val="20"/>
        </w:rPr>
        <w:t xml:space="preserve">Other Late Archaic and Middle Archaic sites are shown as orange circles with site numbers.</w:t>
      </w:r>
      <w:r>
        <w:rPr>
          <w:rFonts w:ascii="Times New Roman" w:hAnsi="Times New Roman"/>
          <w:color w:val="000000"/>
          <w:sz w:val="20"/>
        </w:rPr>
        <w:t xml:space="preserve"> </w:t>
      </w:r>
      <w:r>
        <w:rPr>
          <w:rFonts w:ascii="Times New Roman" w:hAnsi="Times New Roman"/>
          <w:i/>
          <w:iCs/>
          <w:color w:val="000000"/>
          <w:sz w:val="20"/>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rPr>
          <w:rFonts w:ascii="Times New Roman" w:hAnsi="Times New Roman"/>
          <w:color w:val="000000"/>
          <w:sz w:val="22"/>
        </w:rPr>
        <w:drawing>
          <wp:inline>
            <wp:extent cx="5486400" cy="3670313"/>
            <wp:effectExtent b="0" l="0" r="0" t="0"/>
            <wp:docPr descr="" title="" id="14" name="Picture"/>
            <a:graphic>
              <a:graphicData uri="http://schemas.openxmlformats.org/drawingml/2006/picture">
                <pic:pic>
                  <pic:nvPicPr>
                    <pic:cNvPr descr="/Users/clipo/PycharmProjects/poverty-point-signaling/figures/manuscript/figure_02_site_architecture.png" id="15" name="Picture"/>
                    <pic:cNvPicPr>
                      <a:picLocks noChangeArrowheads="1" noChangeAspect="1"/>
                    </pic:cNvPicPr>
                  </pic:nvPicPr>
                  <pic:blipFill>
                    <a:blip r:embed="rId13"/>
                    <a:stretch>
                      <a:fillRect/>
                    </a:stretch>
                  </pic:blipFill>
                  <pic:spPr bwMode="auto">
                    <a:xfrm>
                      <a:off x="0" y="0"/>
                      <a:ext cx="5486400" cy="367031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2. Poverty Point monumental architecture.</w:t>
      </w:r>
      <w:r>
        <w:rPr>
          <w:rFonts w:ascii="Times New Roman" w:hAnsi="Times New Roman"/>
          <w:color w:val="000000"/>
          <w:sz w:val="20"/>
        </w:rPr>
        <w:t xml:space="preserve"> </w:t>
      </w:r>
      <w:r>
        <w:rPr>
          <w:rFonts w:ascii="Times New Roman" w:hAnsi="Times New Roman"/>
          <w:i/>
          <w:iCs/>
          <w:color w:val="000000"/>
          <w:sz w:val="20"/>
        </w:rPr>
        <w:t xml:space="preserve">LiDAR digital elevation model (elevation in meters, color scale at right) of the Poverty Point core, showing the six concentric C-shaped earthen ridge sets (N, NW, W, SW, and S ridges, numbered 1 to 6 from inner to outer) divided by radial aisles, Mound A (Bird Mound, 22 m), Mounds B, C, D, E, and F, the Mound E ridge and causeway, the central plaza, and the W Plaza Rise. White circles mark the timber post circles identified within and around the plaza by magnetic gradient survey (Clay 2023; Hargrave et al. 2021). Bayou Maçon flanks the core to the east. The constructed monumental core encompasses approximately 140 hectares.</w:t>
      </w:r>
    </w:p>
    <w:p>
      <w:pPr>
        <w:pStyle w:val="BodyText"/>
      </w:pPr>
      <w:r>
        <w:rPr>
          <w:rFonts w:ascii="Times New Roman" w:hAnsi="Times New Roman"/>
          <w:color w:val="000000"/>
          <w:sz w:val="22"/>
        </w:rPr>
        <w:t xml:space="preserve">In addition to its monumental architecture, 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though recent LA-ICP-MS analyses of six specimens (Hill et al. 2016) suggest that several match Nova Scotia or southern Appalachian sources as well.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Kidder and Grooms (2025:7) describe the regional flow as strongly asymmetric, with material concentrating at the gathering hub and only personal-effects leakage to visitor-band territories.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throughout this paper is therefore a strong asymmetric concentration at the gathering hub, with low-magnitude hinterland traces, rather than the literal absence of outflow.</w:t>
      </w:r>
    </w:p>
    <w:p>
      <w:pPr>
        <w:pStyle w:val="BodyText"/>
      </w:pPr>
      <w:r>
        <w:rPr>
          <w:rFonts w:ascii="Times New Roman" w:hAnsi="Times New Roman"/>
          <w:color w:val="000000"/>
          <w:sz w:val="22"/>
        </w:rPr>
        <w:t xml:space="preserve">This pattern is paradoxical when viewed through the lens of standard models of hunter-gatherer behavior. Mobile foragers typically minimize investment in fixed infrastructure and avoid accumulating surplus (Jackson 1986; Kelly 2013). In addition, there is no evidence at Poverty Point for elite burials, differential residential architecture, economic specialization, or coercive hierarchy of the chiefly type (Kidder and Ervin 2018; Kidder and Grooms 2025), traits typically associated with</w:t>
      </w:r>
      <w:r>
        <w:rPr>
          <w:rFonts w:ascii="Times New Roman" w:hAnsi="Times New Roman"/>
          <w:color w:val="000000"/>
          <w:sz w:val="22"/>
        </w:rPr>
        <w:t xml:space="preserve"> </w:t>
      </w:r>
      <w:r>
        <w:rPr>
          <w:rFonts w:ascii="Times New Roman" w:hAnsi="Times New Roman"/>
          <w:color w:val="000000"/>
          <w:sz w:val="22"/>
        </w:rPr>
        <w:t xml:space="preserve">“complexity”</w:t>
      </w:r>
      <w:r>
        <w:rPr>
          <w:rFonts w:ascii="Times New Roman" w:hAnsi="Times New Roman"/>
          <w:color w:val="000000"/>
          <w:sz w:val="22"/>
        </w:rPr>
        <w:t xml:space="preserve"> </w:t>
      </w:r>
      <w:r>
        <w:rPr>
          <w:rFonts w:ascii="Times New Roman" w:hAnsi="Times New Roman"/>
          <w:color w:val="000000"/>
          <w:sz w:val="22"/>
        </w:rPr>
        <w:t xml:space="preserve">(Earle 1997). Why, then, would mobile bands invest so heavily in monuments they would periodically abandon, acquire exotic materials with no apparent utilitarian function, and create such an extreme site hierarchy without centralized authority?</w:t>
      </w:r>
    </w:p>
    <w:p>
      <w:pPr>
        <w:pStyle w:val="BodyText"/>
      </w:pPr>
      <w:r>
        <w:rPr>
          <w:rFonts w:ascii="Times New Roman" w:hAnsi="Times New Roman"/>
          <w:color w:val="000000"/>
          <w:sz w:val="22"/>
        </w:rPr>
        <w:t xml:space="preserve">Although Poverty Point is extraordinary in scale,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aggregate at locations they then transform systematically. Poverty Point is the case where this pattern reaches its furthest extreme. We calibrate the framework developed here to Poverty Point, though its underlying logic applies more broadly across the class.</w:t>
      </w:r>
    </w:p>
    <w:p>
      <w:pPr>
        <w:pStyle w:val="BodyText"/>
      </w:pPr>
      <w:r>
        <w:rPr>
          <w:rFonts w:ascii="Times New Roman" w:hAnsi="Times New Roman"/>
          <w:color w:val="000000"/>
          <w:sz w:val="22"/>
        </w:rPr>
        <w:t xml:space="preserve">Existing explanations sit along a continuum from the materialist to the symbolic, each capturing part of the phenomenon (Sassaman 2005). Aggrandizer-tradition models posit institutional forms (hereditary inequality, residential differentiation, coercive authority of the chiefly type) whose direct material correlates are absent at PP (Jackson 1991). Political-economy readings closer to the record (Gibson 1998) develop the case for organized economic activity at the site without committing to the chiefly institutions the aggrandizer logic requires. Evidence for an asymmetric-power infrastructure is not documented. Pilgrimage models cannot explain why this landscape, scale, and tempo (Spivey et al. 2015). Trade-center models account for the exotics but not the monuments (Gibson 1999; Jackson 1991). Incipient sedentism in the agricultural sense is not supported by the subsistence record. The type-site macrobotanical assemblage is dominated by wild nuts and fruits, with only small quantities of native starchy cultigens (maygrass, little barley, chenopod) that fall well short of agricultural dependence (Leone 2014, 2020), and the peripheral-site record is consistent with seasonal rather than year-round residence (Jackson 1986; Thomas and Campbell 1978). More recent culturally embedded accounts have moved past these classical alternatives. Sanger (2023, 2024) reads the site as an intentional institution of containment, in which cyclical aggregation and dispersal prevent the consolidation of authority. Kidder and Grooms (2025) argue that Poverty Point’s tempo, scale, and asymmetric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w:t>
      </w:r>
      <w:r>
        <w:rPr>
          <w:rFonts w:ascii="Times New Roman" w:hAnsi="Times New Roman"/>
          <w:color w:val="000000"/>
          <w:sz w:val="22"/>
        </w:rPr>
        <w:t xml:space="preserve"> </w:t>
      </w:r>
      <w:r>
        <w:rPr>
          <w:rFonts w:ascii="Times New Roman" w:hAnsi="Times New Roman"/>
          <w:color w:val="000000"/>
          <w:sz w:val="22"/>
        </w:rP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rPr>
          <w:rFonts w:ascii="Times New Roman" w:hAnsi="Times New Roman"/>
          <w:color w:val="000000"/>
          <w:sz w:val="22"/>
        </w:rPr>
        <w:t xml:space="preserve"> </w:t>
      </w:r>
      <w:r>
        <w:rPr>
          <w:rFonts w:ascii="Times New Roman" w:hAnsi="Times New Roman"/>
          <w:i/>
          <w:iCs/>
          <w:color w:val="000000"/>
          <w:sz w:val="22"/>
        </w:rPr>
        <w:t xml:space="preserve">why</w:t>
      </w:r>
      <w:r>
        <w:rPr>
          <w:rFonts w:ascii="Times New Roman" w:hAnsi="Times New Roman"/>
          <w:color w:val="000000"/>
          <w:sz w:val="22"/>
        </w:rPr>
        <w:t xml:space="preserve"> </w:t>
      </w:r>
      <w:r>
        <w:rPr>
          <w:rFonts w:ascii="Times New Roman" w:hAnsi="Times New Roman"/>
          <w:color w:val="000000"/>
          <w:sz w:val="22"/>
        </w:rPr>
        <w:t xml:space="preserve">mobile foragers should make such large group-level investments at all,</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w:t>
      </w:r>
      <w:r>
        <w:rPr>
          <w:rFonts w:ascii="Times New Roman" w:hAnsi="Times New Roman"/>
          <w:color w:val="000000"/>
          <w:sz w:val="22"/>
        </w:rPr>
        <w:t xml:space="preserve">the pattern should begin and end, and</w:t>
      </w:r>
      <w:r>
        <w:rPr>
          <w:rFonts w:ascii="Times New Roman" w:hAnsi="Times New Roman"/>
          <w:color w:val="000000"/>
          <w:sz w:val="22"/>
        </w:rPr>
        <w:t xml:space="preserve"> </w:t>
      </w:r>
      <w:r>
        <w:rPr>
          <w:rFonts w:ascii="Times New Roman" w:hAnsi="Times New Roman"/>
          <w:i/>
          <w:iCs/>
          <w:color w:val="000000"/>
          <w:sz w:val="22"/>
        </w:rPr>
        <w:t xml:space="preserve">where</w:t>
      </w:r>
      <w:r>
        <w:rPr>
          <w:rFonts w:ascii="Times New Roman" w:hAnsi="Times New Roman"/>
          <w:color w:val="000000"/>
          <w:sz w:val="22"/>
        </w:rPr>
        <w:t xml:space="preserve"> </w:t>
      </w:r>
      <w:r>
        <w:rPr>
          <w:rFonts w:ascii="Times New Roman" w:hAnsi="Times New Roman"/>
          <w:color w:val="000000"/>
          <w:sz w:val="22"/>
        </w:rP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rPr>
          <w:rFonts w:ascii="Times New Roman" w:hAnsi="Times New Roman"/>
          <w:color w:val="000000"/>
          <w:sz w:val="22"/>
        </w:rPr>
        <w:t xml:space="preserve">A second family of explanations is explicitly evolutionary, treating monument construction and exotic acquisition not as markers of social complexity but as costly behaviors whose persistence requires a fitness account. Dunnell (1989) proposed that energy diverted into nonreproductive cultural elaboration, which he termed</w:t>
      </w:r>
      <w:r>
        <w:rPr>
          <w:rFonts w:ascii="Times New Roman" w:hAnsi="Times New Roman"/>
          <w:color w:val="000000"/>
          <w:sz w:val="22"/>
        </w:rPr>
        <w:t xml:space="preserve"> </w:t>
      </w:r>
      <w:r>
        <w:rPr>
          <w:rFonts w:ascii="Times New Roman" w:hAnsi="Times New Roman"/>
          <w:i/>
          <w:iCs/>
          <w:color w:val="000000"/>
          <w:sz w:val="22"/>
        </w:rPr>
        <w:t xml:space="preserve">waste</w:t>
      </w:r>
      <w:r>
        <w:rPr>
          <w:rFonts w:ascii="Times New Roman" w:hAnsi="Times New Roman"/>
          <w:color w:val="000000"/>
          <w:sz w:val="22"/>
        </w:rPr>
        <w:t xml:space="preserve">, can be adaptive under environmental unpredictability and is selected against as conditions become more predictable, with the form the elaboration takes treated as historically contingent and the underlying mechanism as general. Dunnell and Greenlee (1999) applied this logic to the Hopewell decline. A closely related strand recasts the same insight as bet-hedging: Hamilton (1999) linked the appearance of Middle Archaic mounds to the mid-Holocene onset of ENSO-driven interannual variability, and Madsen, Lipo, and Cannon (1999) formalized the argument, showing that populations investing in elaboration achieve higher geometric-mean fitness under variable conditions than populations that do not. Peacock and Rafferty (2013) brought this framework directly to the Lower Mississippi Valley, arguing that Archaic mounds concentrate where environmental variability is greatest and proposing that Poverty Point marks a shift from household-level to community-level bet-hedging. Neiman (1997) developed a third strand, treating conspicuous consumption as wasteful advertising in which monumental expenditure is an honest signal of competitive ability precisely because it cannot be faked, the same honest-signal logic that costly signaling theory in behavioral ecology derives from a separate intellectual genealogy (Bliege Bird and Smith 2005). These strands are usually presented as competitors, with bet-hedging assigned to variable environments and costly signaling to stable ones (Peacock and Rafferty 2013), and the waste hypothesis has been challenged based on an agent-based model in which individual-level selection drives the propensity to waste toward zero irrespective of variability (Carleton et al. 2019). Overall, the disagreements among these accounts are real, but they concern the level at which selection operates, not whether costly investment can be adaptive.</w:t>
      </w:r>
    </w:p>
    <w:p>
      <w:pPr>
        <w:pStyle w:val="BodyText"/>
      </w:pPr>
      <w:r>
        <w:rPr>
          <w:rFonts w:ascii="Times New Roman" w:hAnsi="Times New Roman"/>
          <w:color w:val="000000"/>
          <w:sz w:val="22"/>
        </w:rPr>
        <w:t xml:space="preserve">We propose a framework, grounded in evolutionary theory, that brings these strands together into a single multilevel-selection account. The argument is that Poverty Point represents an adaptive, costly signaling system operating through seasonal aggregation, in which monuments and exotic goods serve as honest signals of cooperative commitment under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the ~3300 cal BP fluvial reorganization degrades local ecotone access at the gathering hub and pushes conditions back across the viability boundary (with the regional-uncertainty pathway treated as a parallel hypothesis the existing record does not discriminate; §7.3),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(read as ecotone degradation rather than as regional-uncertainty reduction; see §7.3). The framework specifies necessary conditions for sustained aggregation but does not predict the magnitude of monument investment at any given site, because magnitude depends on the number of bands attained during aggregation, which the framework treats as an external input determined by regional convergence dynamics. The model is silent on the cultural content (the symbols, the ceremonies, the prophetic language) by design. Some such cultural apparatus must develop to coordinate cooperation under above-threshold conditions, but its specific form is not derivable from ecology alone.</w:t>
      </w:r>
    </w:p>
    <w:p>
      <w:pPr>
        <w:pStyle w:val="BodyText"/>
      </w:pPr>
      <w:r>
        <w:rPr>
          <w:rFonts w:ascii="Times New Roman" w:hAnsi="Times New Roman"/>
          <w:color w:val="000000"/>
          <w:sz w:val="22"/>
        </w:rP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rPr>
          <w:rFonts w:ascii="Times New Roman" w:hAnsi="Times New Roman"/>
          <w:color w:val="000000"/>
          <w:sz w:val="22"/>
        </w:rPr>
        <w:t xml:space="preserve"> </w:t>
      </w:r>
      <w:r>
        <w:rPr>
          <w:rFonts w:ascii="Times New Roman" w:hAnsi="Times New Roman"/>
          <w:i/>
          <w:iCs/>
          <w:color w:val="000000"/>
          <w:sz w:val="22"/>
        </w:rPr>
        <w:t xml:space="preserve">ex ante</w:t>
      </w:r>
      <w:r>
        <w:rPr>
          <w:rFonts w:ascii="Times New Roman" w:hAnsi="Times New Roman"/>
          <w:color w:val="000000"/>
          <w:sz w:val="22"/>
        </w:rPr>
        <w:t xml:space="preserve"> </w:t>
      </w:r>
      <w:r>
        <w:rPr>
          <w:rFonts w:ascii="Times New Roman" w:hAnsi="Times New Roman"/>
          <w:color w:val="000000"/>
          <w:sz w:val="22"/>
        </w:rPr>
        <w:t xml:space="preserve">what observations would falsify the framework.</w:t>
      </w:r>
    </w:p>
    <w:p>
      <w:pPr>
        <w:pStyle w:val="BodyText"/>
      </w:pPr>
      <w:r>
        <w:rPr>
          <w:rFonts w:ascii="Times New Roman" w:hAnsi="Times New Roman"/>
          <w:color w:val="000000"/>
          <w:sz w:val="22"/>
        </w:rPr>
        <w:t xml:space="preserve">This point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rPr>
          <w:rFonts w:ascii="Times New Roman" w:hAnsi="Times New Roman"/>
          <w:color w:val="000000"/>
          <w:sz w:val="22"/>
        </w:rPr>
        <w:t xml:space="preserve"> </w:t>
      </w:r>
      <w:r>
        <w:rPr>
          <w:rFonts w:ascii="Times New Roman" w:hAnsi="Times New Roman"/>
          <w:i/>
          <w:iCs/>
          <w:color w:val="000000"/>
          <w:sz w:val="22"/>
        </w:rPr>
        <w:t xml:space="preserve">what</w:t>
      </w:r>
      <w:r>
        <w:rPr>
          <w:rFonts w:ascii="Times New Roman" w:hAnsi="Times New Roman"/>
          <w:color w:val="000000"/>
          <w:sz w:val="22"/>
        </w:rPr>
        <w:t xml:space="preserve"> </w:t>
      </w:r>
      <w:r>
        <w:rPr>
          <w:rFonts w:ascii="Times New Roman" w:hAnsi="Times New Roman"/>
          <w:color w:val="000000"/>
          <w:sz w:val="22"/>
        </w:rPr>
        <w:t xml:space="preserve">was where and</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rPr>
          <w:rFonts w:ascii="Times New Roman" w:hAnsi="Times New Roman"/>
          <w:color w:val="000000"/>
          <w:sz w:val="22"/>
        </w:rPr>
        <w:t xml:space="preserve"> </w:t>
      </w:r>
      <w:r>
        <w:rPr>
          <w:rFonts w:ascii="Times New Roman" w:hAnsi="Times New Roman"/>
          <w:color w:val="000000"/>
          <w:sz w:val="22"/>
        </w:rPr>
        <w:t xml:space="preserve">“patterns”</w:t>
      </w:r>
      <w:r>
        <w:rPr>
          <w:rFonts w:ascii="Times New Roman" w:hAnsi="Times New Roman"/>
          <w:color w:val="000000"/>
          <w:sz w:val="22"/>
        </w:rPr>
        <w:t xml:space="preserve"> </w:t>
      </w:r>
      <w:r>
        <w:rPr>
          <w:rFonts w:ascii="Times New Roman" w:hAnsi="Times New Roman"/>
          <w:color w:val="000000"/>
          <w:sz w:val="22"/>
        </w:rP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rPr>
          <w:rFonts w:ascii="Times New Roman" w:hAnsi="Times New Roman"/>
          <w:color w:val="000000"/>
          <w:sz w:val="22"/>
        </w:rP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by offering directions on how this model may be evaluated with additional data and research. The full ODD model specification, parameter justifications, equation derivations, and sensitivity analyses are provided in the Supplemental Material.</w:t>
      </w:r>
    </w:p>
    <w:bookmarkEnd w:id="16"/>
    <w:bookmarkStart w:id="30" w:name="theoretical-framework"/>
    <w:p>
      <w:pPr>
        <w:pStyle w:val="Heading2"/>
      </w:pPr>
      <w:r>
        <w:rPr>
          <w:rFonts w:ascii="Times New Roman" w:hAnsi="Times New Roman"/>
          <w:b w:val="0"/>
          <w:i/>
          <w:color w:val="000000"/>
          <w:sz w:val="24"/>
          <w:u w:val="none"/>
        </w:rPr>
        <w:t xml:space="preserve">2. Theoretical framework</w:t>
      </w:r>
    </w:p>
    <w:p>
      <w:pPr>
        <w:pStyle w:val="FirstParagraph"/>
      </w:pPr>
      <w:r>
        <w:rPr>
          <w:rFonts w:ascii="Times New Roman" w:hAnsi="Times New Roman"/>
          <w:b/>
          <w:bCs/>
          <w:color w:val="000000"/>
          <w:sz w:val="22"/>
        </w:rPr>
        <w:t xml:space="preserve">Notation.</w:t>
      </w:r>
      <w:r>
        <w:rPr>
          <w:rFonts w:ascii="Times New Roman" w:hAnsi="Times New Roman"/>
          <w:color w:val="000000"/>
          <w:sz w:val="22"/>
        </w:rPr>
        <w:t xml:space="preserve"> </w:t>
      </w:r>
      <w:r>
        <w:rPr>
          <w:rFonts w:ascii="Times New Roman" w:hAnsi="Times New Roman"/>
          <w:i/>
          <w:iCs/>
          <w:color w:val="000000"/>
          <w:sz w:val="22"/>
        </w:rPr>
        <w:t xml:space="preserve">Symbols used throughout the paper, grouped by role. Tunable-parameter values, ranges, and sources are given in Supplemental §S2. This table is a reader’s glossary of meaning. Derived quantities (e.g.,</w:t>
      </w:r>
      <w:r>
        <w:rPr>
          <w:rFonts w:ascii="Times New Roman" w:hAnsi="Times New Roman"/>
          <w:color w:val="000000"/>
          <w:sz w:val="22"/>
        </w:rPr>
        <w:t xml:space="preserve"> </w:t>
      </w:r>
      <m:oMath>
        <m:sSup>
          <m:e>
            <m:r>
              <m:t>σ</m:t>
            </m:r>
          </m:e>
          <m:sup>
            <m:r>
              <m:rPr>
                <m:sty m:val="p"/>
              </m:rPr>
              <m:t>*</m:t>
            </m:r>
          </m:sup>
        </m:sSup>
      </m:oMath>
      <w:r>
        <w:rPr>
          <w:rFonts w:ascii="Times New Roman" w:hAnsi="Times New Roman"/>
          <w:i/>
          <w:iCs/>
          <w:color w:val="000000"/>
          <w:sz w:val="22"/>
        </w:rPr>
        <w:t xml:space="preser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i/>
          <w:iCs/>
          <w:color w:val="000000"/>
          <w:sz w:val="22"/>
        </w:rPr>
        <w:t xml:space="preserve">) are computed from the others rather than set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b/>
                <w:bCs/>
              </w:rPr>
              <w:t xml:space="preserve">Environmental uncertainty</w:t>
            </w:r>
          </w:p>
        </w:tc>
        <w:tc>
          <w:tcPr/>
          <w:p>
            <w:pPr>
              <w:pStyle w:val="Compact"/>
            </w:pPr>
          </w:p>
        </w:tc>
      </w:tr>
      <w:tr>
        <w:tc>
          <w:tcPr/>
          <w:p>
            <w:pPr>
              <w:pStyle w:val="Compact"/>
            </w:pPr>
            <m:oMath>
              <m:r>
                <m:t>σ</m:t>
              </m:r>
            </m:oMath>
          </w:p>
        </w:tc>
        <w:tc>
          <w:tcPr/>
          <w:p>
            <w:pPr>
              <w:pStyle w:val="Compact"/>
            </w:pPr>
            <w:r>
              <w:t xml:space="preserve">Composite environmental-uncertainty index,</w:t>
            </w:r>
            <w:r>
              <w:t xml:space="preserve"> </w:t>
            </w:r>
            <m:oMath>
              <m:r>
                <m:t>σ</m:t>
              </m:r>
              <m:r>
                <m:rPr>
                  <m:sty m:val="p"/>
                </m:rPr>
                <m:t>=</m:t>
              </m:r>
              <m:r>
                <m:t>m</m:t>
              </m:r>
              <m:rad>
                <m:radPr>
                  <m:degHide m:val="on"/>
                </m:radPr>
                <m:deg/>
                <m:e>
                  <m:r>
                    <m:t>20</m:t>
                  </m:r>
                  <m:r>
                    <m:rPr>
                      <m:sty m:val="p"/>
                    </m:rPr>
                    <m:t>/</m:t>
                  </m:r>
                  <m:r>
                    <m:t>T</m:t>
                  </m:r>
                </m:e>
              </m:rad>
            </m:oMath>
            <w:r>
              <w:t xml:space="preserve">. Read as</w:t>
            </w:r>
            <w:r>
              <w:t xml:space="preserve"> </w:t>
            </w:r>
            <w:r>
              <w:rPr>
                <w:i/>
                <w:iCs/>
              </w:rPr>
              <w:t xml:space="preserve">effective shortfall severity over a 20-year reference window</w:t>
            </w:r>
            <w:r>
              <w:t xml:space="preserve">, not a year-to-year standard deviation (§3).</w:t>
            </w:r>
          </w:p>
        </w:tc>
      </w:tr>
      <w:tr>
        <w:tc>
          <w:tcPr/>
          <w:p>
            <w:pPr>
              <w:pStyle w:val="Compact"/>
            </w:pPr>
            <m:oMath>
              <m:sSub>
                <m:e>
                  <m:r>
                    <m:t>σ</m:t>
                  </m:r>
                </m:e>
                <m:sub>
                  <m:r>
                    <m:t>r</m:t>
                  </m:r>
                  <m:r>
                    <m:t>e</m:t>
                  </m:r>
                  <m:r>
                    <m:t>g</m:t>
                  </m:r>
                  <m:r>
                    <m:t>i</m:t>
                  </m:r>
                  <m:r>
                    <m:t>o</m:t>
                  </m:r>
                  <m:r>
                    <m:t>n</m:t>
                  </m:r>
                  <m:r>
                    <m:t>a</m:t>
                  </m:r>
                  <m:r>
                    <m:t>l</m:t>
                  </m:r>
                </m:sub>
              </m:sSub>
            </m:oMath>
          </w:p>
        </w:tc>
        <w:tc>
          <w:tcPr/>
          <w:p>
            <w:pPr>
              <w:pStyle w:val="Compact"/>
            </w:pPr>
            <w:r>
              <w:t xml:space="preserve">Regional uncertainty before local buffering.</w:t>
            </w:r>
          </w:p>
        </w:tc>
      </w:tr>
      <w:tr>
        <w:tc>
          <w:tcPr/>
          <w:p>
            <w:pPr>
              <w:pStyle w:val="Compact"/>
            </w:pPr>
            <m:oMath>
              <m:sSub>
                <m:e>
                  <m:r>
                    <m:t>σ</m:t>
                  </m:r>
                </m:e>
                <m:sub>
                  <m:r>
                    <m:t>e</m:t>
                  </m:r>
                  <m:r>
                    <m:t>f</m:t>
                  </m:r>
                  <m:r>
                    <m:t>f</m:t>
                  </m:r>
                </m:sub>
              </m:sSub>
            </m:oMath>
          </w:p>
        </w:tc>
        <w:tc>
          <w:tcPr/>
          <w:p>
            <w:pPr>
              <w:pStyle w:val="Compact"/>
            </w:pPr>
            <w:r>
              <w:t xml:space="preserve">Effective uncertainty experienced at the aggregation site after ecotone buffering,</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w:t>
            </w:r>
          </w:p>
        </w:tc>
      </w:tr>
      <w:tr>
        <w:tc>
          <w:tcPr/>
          <w:p>
            <w:pPr>
              <w:pStyle w:val="Compact"/>
            </w:pPr>
            <m:oMath>
              <m:sSup>
                <m:e>
                  <m:r>
                    <m:t>σ</m:t>
                  </m:r>
                </m:e>
                <m:sup>
                  <m:r>
                    <m:rPr>
                      <m:sty m:val="p"/>
                    </m:rPr>
                    <m:t>*</m:t>
                  </m:r>
                </m:sup>
              </m:sSup>
            </m:oMath>
          </w:p>
        </w:tc>
        <w:tc>
          <w:tcPr/>
          <w:p>
            <w:pPr>
              <w:pStyle w:val="Compact"/>
            </w:pPr>
            <w:r>
              <w:t xml:space="preserve">Critical threshold: the value of</w:t>
            </w:r>
            <w:r>
              <w:t xml:space="preserve"> </w:t>
            </w:r>
            <m:oMath>
              <m:r>
                <m:t>σ</m:t>
              </m:r>
            </m:oMath>
            <w:r>
              <w:t xml:space="preserve"> </w:t>
            </w:r>
            <w: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(strategy crossover).</w:t>
            </w:r>
          </w:p>
        </w:tc>
      </w:tr>
      <w:tr>
        <w:tc>
          <w:tcPr/>
          <w:p>
            <w:pPr>
              <w:pStyle w:val="Compact"/>
            </w:pPr>
            <m:oMath>
              <m:sSub>
                <m:e>
                  <m:r>
                    <m:t>σ</m:t>
                  </m:r>
                </m:e>
                <m:sub>
                  <m:r>
                    <m:t>t</m:t>
                  </m:r>
                  <m:r>
                    <m:t>a</m:t>
                  </m:r>
                  <m:r>
                    <m:t>r</m:t>
                  </m:r>
                  <m:r>
                    <m:t>g</m:t>
                  </m:r>
                  <m:r>
                    <m:t>e</m:t>
                  </m:r>
                  <m:r>
                    <m:t>t</m:t>
                  </m:r>
                </m:sub>
              </m:sSub>
            </m:oMath>
          </w:p>
        </w:tc>
        <w:tc>
          <w:tcPr/>
          <w:p>
            <w:pPr>
              <w:pStyle w:val="Compact"/>
            </w:pPr>
            <w:r>
              <w:t xml:space="preserve">Target</w:t>
            </w:r>
            <w:r>
              <w:t xml:space="preserve"> </w:t>
            </w:r>
            <m:oMath>
              <m:r>
                <m:t>σ</m:t>
              </m:r>
            </m:oMath>
            <w:r>
              <w:t xml:space="preserve"> </w:t>
            </w:r>
            <w:r>
              <w:t xml:space="preserve">set as input in a simulation sweep, as distinct from the realized</w:t>
            </w:r>
            <w:r>
              <w:t xml:space="preserve"> </w:t>
            </w:r>
            <m:oMath>
              <m:sSub>
                <m:e>
                  <m:r>
                    <m:t>σ</m:t>
                  </m:r>
                </m:e>
                <m:sub>
                  <m:r>
                    <m:t>e</m:t>
                  </m:r>
                  <m:r>
                    <m:t>f</m:t>
                  </m:r>
                  <m:r>
                    <m:t>f</m:t>
                  </m:r>
                </m:sub>
              </m:sSub>
            </m:oMath>
            <w:r>
              <w:t xml:space="preserve"> </w:t>
            </w:r>
            <w:r>
              <w:t xml:space="preserve">a run produces (§4).</w:t>
            </w:r>
          </w:p>
        </w:tc>
      </w:tr>
      <w:tr>
        <w:tc>
          <w:tcPr/>
          <w:p>
            <w:pPr>
              <w:pStyle w:val="Compact"/>
            </w:pPr>
            <m:oMath>
              <m:sSub>
                <m:e>
                  <m:r>
                    <m:t>σ</m:t>
                  </m:r>
                </m:e>
                <m:sub>
                  <m:r>
                    <m:t>L</m:t>
                  </m:r>
                  <m:r>
                    <m:t>M</m:t>
                  </m:r>
                  <m:r>
                    <m:t>V</m:t>
                  </m:r>
                </m:sub>
              </m:sSub>
            </m:oMath>
            <w:r>
              <w:t xml:space="preserve">,</w:t>
            </w:r>
            <w:r>
              <w:t xml:space="preserve"> </w:t>
            </w:r>
            <m:oMath>
              <m:sSub>
                <m:e>
                  <m:r>
                    <m:t>σ</m:t>
                  </m:r>
                </m:e>
                <m:sub>
                  <m:r>
                    <m:t>W</m:t>
                  </m:r>
                  <m:r>
                    <m:t>B</m:t>
                  </m:r>
                </m:sub>
              </m:sSub>
            </m:oMath>
          </w:p>
        </w:tc>
        <w:tc>
          <w:tcPr/>
          <w:p>
            <w:pPr>
              <w:pStyle w:val="Compact"/>
            </w:pPr>
            <w:r>
              <w:t xml:space="preserve">Empirical uncertainty estimates for the Late Archaic LMV (§5.5) and Watson Brake (§6.3).</w:t>
            </w:r>
          </w:p>
        </w:tc>
      </w:tr>
      <w:tr>
        <w:tc>
          <w:tcPr/>
          <w:p>
            <w:pPr>
              <w:pStyle w:val="Compact"/>
            </w:pPr>
            <w:r>
              <w:rPr>
                <w:b/>
                <w:bCs/>
              </w:rPr>
              <w:t xml:space="preserve">Ecotone buffering</w:t>
            </w:r>
          </w:p>
        </w:tc>
        <w:tc>
          <w:tcPr/>
          <w:p>
            <w:pPr>
              <w:pStyle w:val="Compact"/>
            </w:pPr>
          </w:p>
        </w:tc>
      </w:tr>
      <w:tr>
        <w:tc>
          <w:tcPr/>
          <w:p>
            <w:pPr>
              <w:pStyle w:val="Compact"/>
            </w:pPr>
            <m:oMath>
              <m:r>
                <m:t>ε</m:t>
              </m:r>
            </m:oMath>
          </w:p>
        </w:tc>
        <w:tc>
          <w:tcPr/>
          <w:p>
            <w:pPr>
              <w:pStyle w:val="Compact"/>
            </w:pPr>
            <w:r>
              <w:t xml:space="preserve">Ecotone advantage: shortfall buffering through negative covariance between locally accessible zone productivity and the regional shortfall driver; enters via</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 </w:t>
            </w:r>
            <w:r>
              <w:t xml:space="preserve">(§2.3).</w:t>
            </w:r>
          </w:p>
        </w:tc>
      </w:tr>
      <w:tr>
        <w:tc>
          <w:tcPr/>
          <w:p>
            <w:pPr>
              <w:pStyle w:val="Compact"/>
            </w:pPr>
            <w:r>
              <w:rPr>
                <w:b/>
                <w:bCs/>
              </w:rPr>
              <w:t xml:space="preserve">Signaling components and incentive</w:t>
            </w:r>
          </w:p>
        </w:tc>
        <w:tc>
          <w:tcPr/>
          <w:p>
            <w:pPr>
              <w:pStyle w:val="Compact"/>
            </w:pPr>
          </w:p>
        </w:tc>
      </w:tr>
      <w:tr>
        <w:tc>
          <w:tcPr/>
          <w:p>
            <w:pPr>
              <w:pStyle w:val="Compact"/>
            </w:pPr>
            <m:oMath>
              <m:r>
                <m:t>λ</m:t>
              </m:r>
            </m:oMath>
          </w:p>
        </w:tc>
        <w:tc>
          <w:tcPr/>
          <w:p>
            <w:pPr>
              <w:pStyle w:val="Compact"/>
            </w:pPr>
            <w:r>
              <w:t xml:space="preserve">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w:t>
            </w:r>
          </w:p>
        </w:tc>
      </w:tr>
      <w:tr>
        <w:tc>
          <w:tcPr/>
          <w:p>
            <w:pPr>
              <w:pStyle w:val="Compact"/>
            </w:pPr>
            <m:oMath>
              <m:sSub>
                <m:e>
                  <m:r>
                    <m:t>λ</m:t>
                  </m:r>
                </m:e>
                <m:sub>
                  <m:r>
                    <m:t>W</m:t>
                  </m:r>
                </m:sub>
              </m:sSub>
            </m:oMath>
          </w:p>
        </w:tc>
        <w:tc>
          <w:tcPr/>
          <w:p>
            <w:pPr>
              <w:pStyle w:val="Compact"/>
            </w:pPr>
            <w:r>
              <w:t xml:space="preserve">Within-group-reward component (fitness boost to visibly contributing bands).</w:t>
            </w:r>
          </w:p>
        </w:tc>
      </w:tr>
      <w:tr>
        <w:tc>
          <w:tcPr/>
          <w:p>
            <w:pPr>
              <w:pStyle w:val="Compact"/>
            </w:pPr>
            <m:oMath>
              <m:sSub>
                <m:e>
                  <m:r>
                    <m:t>λ</m:t>
                  </m:r>
                </m:e>
                <m:sub>
                  <m:r>
                    <m:t>C</m:t>
                  </m:r>
                </m:sub>
              </m:sSub>
            </m:oMath>
          </w:p>
        </w:tc>
        <w:tc>
          <w:tcPr/>
          <w:p>
            <w:pPr>
              <w:pStyle w:val="Compact"/>
            </w:pPr>
            <w:r>
              <w:t xml:space="preserve">Conflict-deterrence component.</w:t>
            </w:r>
          </w:p>
        </w:tc>
      </w:tr>
      <w:tr>
        <w:tc>
          <w:tcPr/>
          <w:p>
            <w:pPr>
              <w:pStyle w:val="Compact"/>
            </w:pPr>
            <m:oMath>
              <m:sSub>
                <m:e>
                  <m:r>
                    <m:t>λ</m:t>
                  </m:r>
                </m:e>
                <m:sub>
                  <m:r>
                    <m:t>X</m:t>
                  </m:r>
                </m:sub>
              </m:sSub>
            </m:oMath>
          </w:p>
        </w:tc>
        <w:tc>
          <w:tcPr/>
          <w:p>
            <w:pPr>
              <w:pStyle w:val="Compact"/>
            </w:pPr>
            <w:r>
              <w:t xml:space="preserve">Cooperation-network (buffering) component.</w:t>
            </w:r>
          </w:p>
        </w:tc>
      </w:tr>
      <w:tr>
        <w:tc>
          <w:tcPr/>
          <w:p>
            <w:pPr>
              <w:pStyle w:val="Compact"/>
            </w:pPr>
            <m:oMath>
              <m:sSub>
                <m:e>
                  <m:r>
                    <m:t>ξ</m:t>
                  </m:r>
                </m:e>
                <m:sub>
                  <m:r>
                    <m:t>X</m:t>
                  </m:r>
                </m:sub>
              </m:sSub>
            </m:oMath>
          </w:p>
        </w:tc>
        <w:tc>
          <w:tcPr/>
          <w:p>
            <w:pPr>
              <w:pStyle w:val="Compact"/>
            </w:pPr>
            <w:r>
              <w:t xml:space="preserve">Tunable weight on the restructured network-density term (§S5.2).</w:t>
            </w:r>
          </w:p>
        </w:tc>
      </w:tr>
      <w:tr>
        <w:tc>
          <w:tcPr/>
          <w:p>
            <w:pPr>
              <w:pStyle w:val="Compact"/>
            </w:pPr>
          </w:p>
        </w:tc>
        <w:tc>
          <w:tcPr/>
          <w:p>
            <w:pPr>
              <w:pStyle w:val="Compact"/>
            </w:pPr>
            <w:r>
              <w:rPr>
                <w:i/>
                <w:iCs/>
              </w:rPr>
              <w:t xml:space="preserve">The model’s four signaling components are</w:t>
            </w:r>
            <w:r>
              <w:t xml:space="preserve"> </w:t>
            </w:r>
            <m:oMath>
              <m:sSub>
                <m:e>
                  <m:r>
                    <m:t>λ</m:t>
                  </m:r>
                </m:e>
                <m:sub>
                  <m:r>
                    <m:t>W</m:t>
                  </m:r>
                </m:sub>
              </m:sSub>
              <m:r>
                <m:rPr>
                  <m:sty m:val="p"/>
                </m:rPr>
                <m:t>,</m:t>
              </m:r>
              <m:sSub>
                <m:e>
                  <m:r>
                    <m:t>λ</m:t>
                  </m:r>
                </m:e>
                <m:sub>
                  <m:r>
                    <m:t>C</m:t>
                  </m:r>
                </m:sub>
              </m:sSub>
              <m:r>
                <m:rPr>
                  <m:sty m:val="p"/>
                </m:rPr>
                <m:t>,</m:t>
              </m:r>
              <m:sSub>
                <m:e>
                  <m:r>
                    <m:t>λ</m:t>
                  </m:r>
                </m:e>
                <m:sub>
                  <m:r>
                    <m:t>X</m:t>
                  </m:r>
                </m:sub>
              </m:sSub>
            </m:oMath>
            <w:r>
              <w:rPr>
                <w:i/>
                <w:iCs/>
              </w:rPr>
              <w:t xml:space="preserve">, and</w:t>
            </w:r>
            <w:r>
              <w:t xml:space="preserve"> </w:t>
            </w:r>
            <m:oMath>
              <m:r>
                <m:t>ε</m:t>
              </m:r>
            </m:oMath>
            <w:r>
              <w:t xml:space="preserve"> </w:t>
            </w:r>
            <w:r>
              <w:rPr>
                <w:i/>
                <w:iCs/>
              </w:rPr>
              <w:t xml:space="preserve">(§2.4).</w:t>
            </w:r>
          </w:p>
        </w:tc>
      </w:tr>
      <w:tr>
        <w:tc>
          <w:tcPr/>
          <w:p>
            <w:pPr>
              <w:pStyle w:val="Compact"/>
            </w:pPr>
            <w:r>
              <w:rPr>
                <w:b/>
                <w:bCs/>
              </w:rPr>
              <w:t xml:space="preserve">Costs (deducted in</w:t>
            </w:r>
            <w:r>
              <w:rPr>
                <w:b/>
                <w:bCs/>
              </w:rPr>
              <w:t xml:space="preserve"> </w:t>
            </w:r>
            <m:oMath>
              <m:sSub>
                <m:e>
                  <m:r>
                    <m:t>W</m:t>
                  </m:r>
                </m:e>
                <m:sub>
                  <m:r>
                    <m:t>a</m:t>
                  </m:r>
                  <m:r>
                    <m:t>g</m:t>
                  </m:r>
                  <m:r>
                    <m:t>g</m:t>
                  </m:r>
                </m:sub>
              </m:sSub>
            </m:oMath>
            <w:r>
              <w:rPr>
                <w:b/>
                <w:bCs/>
              </w:rPr>
              <w:t xml:space="preserve">)</w:t>
            </w:r>
          </w:p>
        </w:tc>
        <w:tc>
          <w:tcPr/>
          <w:p>
            <w:pPr>
              <w:pStyle w:val="Compact"/>
            </w:pPr>
          </w:p>
        </w:tc>
      </w:tr>
      <w:tr>
        <w:tc>
          <w:tcPr/>
          <w:p>
            <w:pPr>
              <w:pStyle w:val="Compact"/>
            </w:pPr>
            <m:oMath>
              <m:sSub>
                <m:e>
                  <m:r>
                    <m:t>C</m:t>
                  </m:r>
                </m:e>
                <m:sub>
                  <m:r>
                    <m:t>t</m:t>
                  </m:r>
                  <m:r>
                    <m:t>o</m:t>
                  </m:r>
                  <m:r>
                    <m:t>t</m:t>
                  </m:r>
                  <m:r>
                    <m:t>a</m:t>
                  </m:r>
                  <m:r>
                    <m:t>l</m:t>
                  </m:r>
                </m:sub>
              </m:sSub>
            </m:oMath>
          </w:p>
        </w:tc>
        <w:tc>
          <w:tcPr/>
          <w:p>
            <w:pPr>
              <w:pStyle w:val="Compact"/>
            </w:pPr>
            <w:r>
              <w:t xml:space="preserve">Total aggregation cost, the sum of the three below.</w:t>
            </w:r>
          </w:p>
        </w:tc>
      </w:tr>
      <w:tr>
        <w:tc>
          <w:tcPr/>
          <w:p>
            <w:pPr>
              <w:pStyle w:val="Compact"/>
            </w:pPr>
            <m:oMath>
              <m:sSub>
                <m:e>
                  <m:r>
                    <m:t>C</m:t>
                  </m:r>
                </m:e>
                <m:sub>
                  <m:r>
                    <m:t>s</m:t>
                  </m:r>
                  <m:r>
                    <m:t>i</m:t>
                  </m:r>
                  <m:r>
                    <m:t>g</m:t>
                  </m:r>
                  <m:r>
                    <m:t>n</m:t>
                  </m:r>
                  <m:r>
                    <m:t>a</m:t>
                  </m:r>
                  <m:r>
                    <m:t>l</m:t>
                  </m:r>
                </m:sub>
              </m:sSub>
            </m:oMath>
          </w:p>
        </w:tc>
        <w:tc>
          <w:tcPr/>
          <w:p>
            <w:pPr>
              <w:pStyle w:val="Compact"/>
            </w:pPr>
            <w:r>
              <w:t xml:space="preserve">Signaling / monument-investment cost.</w:t>
            </w:r>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Opportunity cost (foregone foraging while aggregated).</w:t>
            </w:r>
          </w:p>
        </w:tc>
      </w:tr>
      <w:tr>
        <w:tc>
          <w:tcPr/>
          <w:p>
            <w:pPr>
              <w:pStyle w:val="Compact"/>
            </w:pPr>
            <m:oMath>
              <m:sSub>
                <m:e>
                  <m:r>
                    <m:t>C</m:t>
                  </m:r>
                </m:e>
                <m:sub>
                  <m:r>
                    <m:t>t</m:t>
                  </m:r>
                  <m:r>
                    <m:t>r</m:t>
                  </m:r>
                  <m:r>
                    <m:t>a</m:t>
                  </m:r>
                  <m:r>
                    <m:t>v</m:t>
                  </m:r>
                  <m:r>
                    <m:t>e</m:t>
                  </m:r>
                  <m:r>
                    <m:t>l</m:t>
                  </m:r>
                </m:sub>
              </m:sSub>
            </m:oMath>
          </w:p>
        </w:tc>
        <w:tc>
          <w:tcPr/>
          <w:p>
            <w:pPr>
              <w:pStyle w:val="Compact"/>
            </w:pPr>
            <w:r>
              <w:t xml:space="preserve">Travel cost to the aggregation site.</w:t>
            </w:r>
          </w:p>
        </w:tc>
      </w:tr>
      <w:tr>
        <w:tc>
          <w:tcPr/>
          <w:p>
            <w:pPr>
              <w:pStyle w:val="Compact"/>
            </w:pPr>
            <w:r>
              <w:rPr>
                <w:b/>
                <w:bCs/>
              </w:rPr>
              <w:t xml:space="preserve">Cooperation network and vulnerability</w:t>
            </w:r>
          </w:p>
        </w:tc>
        <w:tc>
          <w:tcPr/>
          <w:p>
            <w:pPr>
              <w:pStyle w:val="Compact"/>
            </w:pPr>
          </w:p>
        </w:tc>
      </w:tr>
      <w:tr>
        <w:tc>
          <w:tcPr/>
          <w:p>
            <w:pPr>
              <w:pStyle w:val="Compact"/>
            </w:pPr>
            <m:oMath>
              <m:r>
                <m:t>k</m:t>
              </m:r>
            </m:oMath>
          </w:p>
        </w:tc>
        <w:tc>
          <w:tcPr/>
          <w:p>
            <w:pPr>
              <w:pStyle w:val="Compact"/>
            </w:pPr>
            <w:r>
              <w:t xml:space="preserve">Number of cooperation partners a band has.</w:t>
            </w:r>
          </w:p>
        </w:tc>
      </w:tr>
      <w:tr>
        <w:tc>
          <w:tcPr/>
          <w:p>
            <w:pPr>
              <w:pStyle w:val="Compact"/>
            </w:pPr>
            <m:oMath>
              <m:sSub>
                <m:e>
                  <m:r>
                    <m:t>k</m:t>
                  </m:r>
                </m:e>
                <m:sub>
                  <m:r>
                    <m:t>0</m:t>
                  </m:r>
                </m:sub>
              </m:sSub>
            </m:oMath>
          </w:p>
        </w:tc>
        <w:tc>
          <w:tcPr/>
          <w:p>
            <w:pPr>
              <w:pStyle w:val="Compact"/>
            </w:pPr>
            <w:r>
              <w:t xml:space="preserve">Baseline (kin) network degree.</w:t>
            </w:r>
          </w:p>
        </w:tc>
      </w:tr>
      <w:tr>
        <w:tc>
          <w:tcPr/>
          <w:p>
            <w:pPr>
              <w:pStyle w:val="Compact"/>
            </w:pPr>
            <m:oMath>
              <m:sSub>
                <m:e>
                  <m:r>
                    <m:t>k</m:t>
                  </m:r>
                </m:e>
                <m:sub>
                  <m:r>
                    <m:t>a</m:t>
                  </m:r>
                  <m:r>
                    <m:t>g</m:t>
                  </m:r>
                  <m:r>
                    <m:t>g</m:t>
                  </m:r>
                </m:sub>
              </m:sSub>
            </m:oMath>
          </w:p>
        </w:tc>
        <w:tc>
          <w:tcPr/>
          <w:p>
            <w:pPr>
              <w:pStyle w:val="Compact"/>
            </w:pPr>
            <w:r>
              <w:t xml:space="preserve">Within-aggregation network degree (mature bands).</w:t>
            </w:r>
          </w:p>
        </w:tc>
      </w:tr>
      <w:tr>
        <w:tc>
          <w:tcPr/>
          <w:p>
            <w:pPr>
              <w:pStyle w:val="Compact"/>
            </w:pPr>
            <m:oMath>
              <m:sSub>
                <m:e>
                  <m:r>
                    <m:t>k</m:t>
                  </m:r>
                </m:e>
                <m:sub>
                  <m:r>
                    <m:t>e</m:t>
                  </m:r>
                  <m:r>
                    <m:t>f</m:t>
                  </m:r>
                  <m:r>
                    <m:t>f</m:t>
                  </m:r>
                </m:sub>
              </m:sSub>
            </m:oMath>
          </w:p>
        </w:tc>
        <w:tc>
          <w:tcPr/>
          <w:p>
            <w:pPr>
              <w:pStyle w:val="Compact"/>
            </w:pPr>
            <w:r>
              <w:t xml:space="preserve">Effective annual network degree, weighted across gathered and dispersed phases.</w:t>
            </w:r>
          </w:p>
        </w:tc>
      </w:tr>
      <w:tr>
        <w:tc>
          <w:tcPr/>
          <w:p>
            <w:pPr>
              <w:pStyle w:val="Compact"/>
            </w:pPr>
            <m:oMath>
              <m:sSub>
                <m:e>
                  <m:r>
                    <m:t>k</m:t>
                  </m:r>
                </m:e>
                <m:sub>
                  <m:r>
                    <m:rPr>
                      <m:sty m:val="p"/>
                    </m:rPr>
                    <m:t>max</m:t>
                  </m:r>
                </m:sub>
              </m:sSub>
            </m:oMath>
          </w:p>
        </w:tc>
        <w:tc>
          <w:tcPr/>
          <w:p>
            <w:pPr>
              <w:pStyle w:val="Compact"/>
            </w:pPr>
            <w:r>
              <w:t xml:space="preserve">Maximum recruitable partners (network saturation).</w:t>
            </w:r>
          </w:p>
        </w:tc>
      </w:tr>
      <w:tr>
        <w:tc>
          <w:tcPr/>
          <w:p>
            <w:pPr>
              <w:pStyle w:val="Compact"/>
            </w:pPr>
            <m:oMath>
              <m:r>
                <m:t>α</m:t>
              </m:r>
              <m:r>
                <m:rPr>
                  <m:sty m:val="p"/>
                </m:rPr>
                <m:t>(</m:t>
              </m:r>
              <m:r>
                <m:t>k</m:t>
              </m:r>
              <m:r>
                <m:rPr>
                  <m:sty m:val="p"/>
                </m:rPr>
                <m:t>)</m:t>
              </m:r>
            </m:oMath>
          </w:p>
        </w:tc>
        <w:tc>
          <w:tcPr/>
          <w:p>
            <w:pPr>
              <w:pStyle w:val="Compact"/>
            </w:pPr>
            <w:r>
              <w:t xml:space="preserve">Aggregator vulnerability,</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the share of a shortfall a band absorbs personally.</w:t>
            </w:r>
          </w:p>
        </w:tc>
      </w:tr>
      <w:tr>
        <w:tc>
          <w:tcPr/>
          <w:p>
            <w:pPr>
              <w:pStyle w:val="Compact"/>
            </w:pPr>
            <m:oMath>
              <m:r>
                <m:t>β</m:t>
              </m:r>
              <m:r>
                <m:rPr>
                  <m:sty m:val="p"/>
                </m:rPr>
                <m:t>(</m:t>
              </m:r>
              <m:r>
                <m:t>k</m:t>
              </m:r>
              <m:r>
                <m:rPr>
                  <m:sty m:val="p"/>
                </m:rPr>
                <m:t>)</m:t>
              </m:r>
            </m:oMath>
          </w:p>
        </w:tc>
        <w:tc>
          <w:tcPr/>
          <w:p>
            <w:pPr>
              <w:pStyle w:val="Compact"/>
            </w:pPr>
            <w:r>
              <w:t xml:space="preserve">Independent vulnerability (same functional form, baseline network).</w:t>
            </w:r>
          </w:p>
        </w:tc>
      </w:tr>
      <w:tr>
        <w:tc>
          <w:tcPr/>
          <w:p>
            <w:pPr>
              <w:pStyle w:val="Compact"/>
            </w:pPr>
            <m:oMath>
              <m:r>
                <m:t>γ</m:t>
              </m:r>
            </m:oMath>
          </w:p>
        </w:tc>
        <w:tc>
          <w:tcPr/>
          <w:p>
            <w:pPr>
              <w:pStyle w:val="Compact"/>
            </w:pPr>
            <w:r>
              <w:t xml:space="preserve">Per-partner buffering rate (how much each added partner reduces vulnerability).</w:t>
            </w:r>
          </w:p>
        </w:tc>
      </w:tr>
      <w:tr>
        <w:tc>
          <w:tcPr/>
          <w:p>
            <w:pPr>
              <w:pStyle w:val="Compact"/>
            </w:pPr>
            <w:r>
              <w:rPr>
                <w:b/>
                <w:bCs/>
              </w:rPr>
              <w:t xml:space="preserve">Monument stock</w:t>
            </w:r>
          </w:p>
        </w:tc>
        <w:tc>
          <w:tcPr/>
          <w:p>
            <w:pPr>
              <w:pStyle w:val="Compact"/>
            </w:pPr>
          </w:p>
        </w:tc>
      </w:tr>
      <w:tr>
        <w:tc>
          <w:tcPr/>
          <w:p>
            <w:pPr>
              <w:pStyle w:val="Compact"/>
            </w:pPr>
            <m:oMath>
              <m:sSub>
                <m:e>
                  <m:r>
                    <m:t>M</m:t>
                  </m:r>
                </m:e>
                <m:sub>
                  <m:r>
                    <m:t>g</m:t>
                  </m:r>
                </m:sub>
              </m:sSub>
            </m:oMath>
          </w:p>
        </w:tc>
        <w:tc>
          <w:tcPr/>
          <w:p>
            <w:pPr>
              <w:pStyle w:val="Compact"/>
            </w:pPr>
            <w:r>
              <w:t xml:space="preserve">Effective monument stock of group</w:t>
            </w:r>
            <w:r>
              <w:t xml:space="preserve"> </w:t>
            </w:r>
            <m:oMath>
              <m:r>
                <m:t>g</m:t>
              </m:r>
            </m:oMath>
            <w:r>
              <w:t xml:space="preserve">.</w:t>
            </w:r>
          </w:p>
        </w:tc>
      </w:tr>
      <w:tr>
        <w:tc>
          <w:tcPr/>
          <w:p>
            <w:pPr>
              <w:pStyle w:val="Compact"/>
            </w:pPr>
            <m:oMath>
              <m:sSub>
                <m:e>
                  <m:r>
                    <m:t>M</m:t>
                  </m:r>
                </m:e>
                <m:sub>
                  <m:r>
                    <m:t>h</m:t>
                  </m:r>
                  <m:r>
                    <m:t>a</m:t>
                  </m:r>
                  <m:r>
                    <m:t>l</m:t>
                  </m:r>
                  <m:r>
                    <m:t>f</m:t>
                  </m:r>
                </m:sub>
              </m:sSub>
            </m:oMath>
          </w:p>
        </w:tc>
        <w:tc>
          <w:tcPr/>
          <w:p>
            <w:pPr>
              <w:pStyle w:val="Compact"/>
            </w:pPr>
            <w:r>
              <w:t xml:space="preserve">Half-saturation constant in the partner-recruitment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w:t>
            </w:r>
          </w:p>
        </w:tc>
      </w:tr>
      <w:tr>
        <w:tc>
          <w:tcPr/>
          <w:p>
            <w:pPr>
              <w:pStyle w:val="Compact"/>
            </w:pPr>
            <m:oMath>
              <m:r>
                <m:t>δ</m:t>
              </m:r>
            </m:oMath>
          </w:p>
        </w:tc>
        <w:tc>
          <w:tcPr/>
          <w:p>
            <w:pPr>
              <w:pStyle w:val="Compact"/>
            </w:pPr>
            <w:r>
              <w:t xml:space="preserve">Monument depreciation (decay) rate.</w:t>
            </w:r>
          </w:p>
        </w:tc>
      </w:tr>
      <w:tr>
        <w:tc>
          <w:tcPr/>
          <w:p>
            <w:pPr>
              <w:pStyle w:val="Compact"/>
            </w:pPr>
            <m:oMath>
              <m:sSub>
                <m:e>
                  <m:r>
                    <m:t>M</m:t>
                  </m:r>
                </m:e>
                <m:sub>
                  <m:r>
                    <m:t>q</m:t>
                  </m:r>
                  <m:r>
                    <m:t>u</m:t>
                  </m:r>
                  <m:r>
                    <m:t>a</m:t>
                  </m:r>
                  <m:r>
                    <m:t>l</m:t>
                  </m:r>
                  <m:r>
                    <m:t>i</m:t>
                  </m:r>
                  <m:r>
                    <m:t>t</m:t>
                  </m:r>
                  <m:r>
                    <m:t>y</m:t>
                  </m:r>
                </m:sub>
              </m:sSub>
            </m:oMath>
          </w:p>
        </w:tc>
        <w:tc>
          <w:tcPr/>
          <w:p>
            <w:pPr>
              <w:pStyle w:val="Compact"/>
            </w:pPr>
            <w:r>
              <w:t xml:space="preserve">Monument-quality multiplier in the restructured network term (§S5.2).</w:t>
            </w:r>
          </w:p>
        </w:tc>
      </w:tr>
      <w:tr>
        <w:tc>
          <w:tcPr/>
          <w:p>
            <w:pPr>
              <w:pStyle w:val="Compact"/>
            </w:pPr>
            <w:r>
              <w:rPr>
                <w:b/>
                <w:bCs/>
              </w:rPr>
              <w:t xml:space="preserve">Aggregation and population</w:t>
            </w:r>
          </w:p>
        </w:tc>
        <w:tc>
          <w:tcPr/>
          <w:p>
            <w:pPr>
              <w:pStyle w:val="Compact"/>
            </w:pPr>
          </w:p>
        </w:tc>
      </w:tr>
      <w:tr>
        <w:tc>
          <w:tcPr/>
          <w:p>
            <w:pPr>
              <w:pStyle w:val="Compact"/>
            </w:pPr>
            <m:oMath>
              <m:sSub>
                <m:e>
                  <m:r>
                    <m:t>n</m:t>
                  </m:r>
                </m:e>
                <m:sub>
                  <m:r>
                    <m:t>a</m:t>
                  </m:r>
                  <m:r>
                    <m:t>g</m:t>
                  </m:r>
                  <m:r>
                    <m:t>g</m:t>
                  </m:r>
                </m:sub>
              </m:sSub>
            </m:oMath>
          </w:p>
        </w:tc>
        <w:tc>
          <w:tcPr/>
          <w:p>
            <w:pPr>
              <w:pStyle w:val="Compact"/>
            </w:pPr>
            <w:r>
              <w:t xml:space="preserve">Number of bands attained at the aggregation (crowd size).</w:t>
            </w:r>
            <w:r>
              <w:t xml:space="preserve"> </w:t>
            </w:r>
            <w:r>
              <w:rPr>
                <w:i/>
                <w:iCs/>
              </w:rPr>
              <w:t xml:space="preserve">Imported as an external input</w:t>
            </w:r>
            <w:r>
              <w:t xml:space="preserve">, not derived by the framework (§6.6).</w:t>
            </w:r>
          </w:p>
        </w:tc>
      </w:tr>
      <w:tr>
        <w:tc>
          <w:tcPr/>
          <w:p>
            <w:pPr>
              <w:pStyle w:val="Compact"/>
            </w:pPr>
            <m:oMath>
              <m:sSub>
                <m:e>
                  <m:r>
                    <m:t>n</m:t>
                  </m:r>
                </m:e>
                <m:sub>
                  <m:r>
                    <m:t>i</m:t>
                  </m:r>
                  <m:r>
                    <m:t>n</m:t>
                  </m:r>
                  <m:r>
                    <m:t>d</m:t>
                  </m:r>
                </m:sub>
              </m:sSub>
            </m:oMath>
          </w:p>
        </w:tc>
        <w:tc>
          <w:tcPr/>
          <w:p>
            <w:pPr>
              <w:pStyle w:val="Compact"/>
            </w:pPr>
            <w:r>
              <w:t xml:space="preserve">Number of independent (non-aggregating) bands.</w:t>
            </w:r>
          </w:p>
        </w:tc>
      </w:tr>
      <w:tr>
        <w:tc>
          <w:tcPr/>
          <w:p>
            <w:pPr>
              <w:pStyle w:val="Compact"/>
            </w:pPr>
            <m:oMath>
              <m:r>
                <m:t>N</m:t>
              </m:r>
            </m:oMath>
          </w:p>
        </w:tc>
        <w:tc>
          <w:tcPr/>
          <w:p>
            <w:pPr>
              <w:pStyle w:val="Compact"/>
            </w:pPr>
            <w:r>
              <w:t xml:space="preserve">Total number of bands in the population.</w:t>
            </w:r>
          </w:p>
        </w:tc>
      </w:tr>
      <w:tr>
        <w:tc>
          <w:tcPr/>
          <w:p>
            <w:pPr>
              <w:pStyle w:val="Compact"/>
            </w:pPr>
            <m:oMath>
              <m:sSub>
                <m:e>
                  <m:r>
                    <m:t>f</m:t>
                  </m:r>
                </m:e>
                <m:sub>
                  <m:r>
                    <m:t>a</m:t>
                  </m:r>
                  <m:r>
                    <m:t>g</m:t>
                  </m:r>
                  <m:r>
                    <m:t>g</m:t>
                  </m:r>
                </m:sub>
              </m:sSub>
            </m:oMath>
          </w:p>
        </w:tc>
        <w:tc>
          <w:tcPr/>
          <w:p>
            <w:pPr>
              <w:pStyle w:val="Compact"/>
            </w:pPr>
            <w:r>
              <w:t xml:space="preserve">Fraction of the year occupied by aggregation.</w:t>
            </w:r>
          </w:p>
        </w:tc>
      </w:tr>
      <w:tr>
        <w:tc>
          <w:tcPr/>
          <w:p>
            <w:pPr>
              <w:pStyle w:val="Compact"/>
            </w:pPr>
            <w:r>
              <w:rPr>
                <w:b/>
                <w:bCs/>
              </w:rPr>
              <w:t xml:space="preserve">Shortfall and conflict parameters</w:t>
            </w:r>
          </w:p>
        </w:tc>
        <w:tc>
          <w:tcPr/>
          <w:p>
            <w:pPr>
              <w:pStyle w:val="Compact"/>
            </w:pPr>
          </w:p>
        </w:tc>
      </w:tr>
      <w:tr>
        <w:tc>
          <w:tcPr/>
          <w:p>
            <w:pPr>
              <w:pStyle w:val="Compact"/>
            </w:pPr>
            <m:oMath>
              <m:r>
                <m:t>m</m:t>
              </m:r>
            </m:oMath>
          </w:p>
        </w:tc>
        <w:tc>
          <w:tcPr/>
          <w:p>
            <w:pPr>
              <w:pStyle w:val="Compact"/>
            </w:pPr>
            <w:r>
              <w:t xml:space="preserve">Shortfall magnitude: mean proportional productivity loss in a shortfall year (e.g.,</w:t>
            </w:r>
            <w:r>
              <w:t xml:space="preserve"> </w:t>
            </w:r>
            <m:oMath>
              <m:r>
                <m:t>m</m:t>
              </m:r>
              <m:r>
                <m:rPr>
                  <m:sty m:val="p"/>
                </m:rPr>
                <m:t>=</m:t>
              </m:r>
              <m:r>
                <m:t>0.45</m:t>
              </m:r>
            </m:oMath>
            <w:r>
              <w:t xml:space="preserve"> </w:t>
            </w:r>
            <w:r>
              <w:t xml:space="preserve">→ 55% of normal).</w:t>
            </w:r>
          </w:p>
        </w:tc>
      </w:tr>
      <w:tr>
        <w:tc>
          <w:tcPr/>
          <w:p>
            <w:pPr>
              <w:pStyle w:val="Compact"/>
            </w:pPr>
            <m:oMath>
              <m:r>
                <m:t>T</m:t>
              </m:r>
            </m:oMath>
          </w:p>
        </w:tc>
        <w:tc>
          <w:tcPr/>
          <w:p>
            <w:pPr>
              <w:pStyle w:val="Compact"/>
            </w:pPr>
            <w:r>
              <w:t xml:space="preserve">Mean spacing between shortfalls (recurrence interval), in years.</w:t>
            </w:r>
          </w:p>
        </w:tc>
      </w:tr>
      <w:tr>
        <w:tc>
          <w:tcPr/>
          <w:p>
            <w:pPr>
              <w:pStyle w:val="Compact"/>
            </w:pPr>
            <m:oMath>
              <m:sSub>
                <m:e>
                  <m:r>
                    <m:t>T</m:t>
                  </m:r>
                </m:e>
                <m:sub>
                  <m:r>
                    <m:t>0</m:t>
                  </m:r>
                </m:sub>
              </m:sSub>
            </m:oMath>
          </w:p>
        </w:tc>
        <w:tc>
          <w:tcPr/>
          <w:p>
            <w:pPr>
              <w:pStyle w:val="Compact"/>
            </w:pPr>
            <w:r>
              <w:t xml:space="preserve">Reference-window length for</w:t>
            </w:r>
            <w:r>
              <w:t xml:space="preserve"> </w:t>
            </w:r>
            <m:oMath>
              <m:r>
                <m:t>σ</m:t>
              </m:r>
            </m:oMath>
            <w:r>
              <w:t xml:space="preserve"> </w:t>
            </w:r>
            <w:r>
              <w:t xml:space="preserve">(the 20-year unit convention).</w:t>
            </w:r>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r>
      <w:tr>
        <w:tc>
          <w:tcPr/>
          <w:p>
            <w:pPr>
              <w:pStyle w:val="Compact"/>
            </w:pPr>
            <m:oMath>
              <m:sSub>
                <m:e>
                  <m:r>
                    <m:t>μ</m:t>
                  </m:r>
                </m:e>
                <m:sub>
                  <m:r>
                    <m:t>c</m:t>
                  </m:r>
                </m:sub>
              </m:sSub>
            </m:oMath>
          </w:p>
        </w:tc>
        <w:tc>
          <w:tcPr/>
          <w:p>
            <w:pPr>
              <w:pStyle w:val="Compact"/>
            </w:pPr>
            <w:r>
              <w:t xml:space="preserve">Conflict mortality fraction (the baseline conflict cost).</w:t>
            </w:r>
          </w:p>
        </w:tc>
      </w:tr>
      <w:tr>
        <w:tc>
          <w:tcPr/>
          <w:p>
            <w:pPr>
              <w:pStyle w:val="Compact"/>
            </w:pPr>
            <m:oMath>
              <m:r>
                <m:t>r</m:t>
              </m:r>
            </m:oMath>
          </w:p>
        </w:tc>
        <w:tc>
          <w:tcPr/>
          <w:p>
            <w:pPr>
              <w:pStyle w:val="Compact"/>
            </w:pPr>
            <w:r>
              <w:t xml:space="preserve">Reduction in conflict escalation conferred by visible monumental commitment (aggregators).</w:t>
            </w:r>
          </w:p>
        </w:tc>
      </w:tr>
      <w:tr>
        <w:tc>
          <w:tcPr/>
          <w:p>
            <w:pPr>
              <w:pStyle w:val="Compact"/>
            </w:pPr>
            <w:r>
              <w:rPr>
                <w:b/>
                <w:bCs/>
              </w:rPr>
              <w:t xml:space="preserve">Strategy choice and fitness</w:t>
            </w:r>
          </w:p>
        </w:tc>
        <w:tc>
          <w:tcPr/>
          <w:p>
            <w:pPr>
              <w:pStyle w:val="Compact"/>
            </w:pPr>
          </w:p>
        </w:tc>
      </w:tr>
      <w:tr>
        <w:tc>
          <w:tcPr/>
          <w:p>
            <w:pPr>
              <w:pStyle w:val="Compact"/>
            </w:pPr>
            <m:oMath>
              <m:sSub>
                <m:e>
                  <m:r>
                    <m:t>W</m:t>
                  </m:r>
                </m:e>
                <m:sub>
                  <m:r>
                    <m:t>a</m:t>
                  </m:r>
                  <m:r>
                    <m:t>g</m:t>
                  </m:r>
                  <m:r>
                    <m:t>g</m:t>
                  </m:r>
                </m:sub>
              </m:sSub>
            </m:oMath>
          </w:p>
        </w:tc>
        <w:tc>
          <w:tcPr/>
          <w:p>
            <w:pPr>
              <w:pStyle w:val="Compact"/>
            </w:pPr>
            <w:r>
              <w:t xml:space="preserve">Expected fitness of the aggregator strategy.</w:t>
            </w:r>
          </w:p>
        </w:tc>
      </w:tr>
      <w:tr>
        <w:tc>
          <w:tcPr/>
          <w:p>
            <w:pPr>
              <w:pStyle w:val="Compact"/>
            </w:pPr>
            <m:oMath>
              <m:sSub>
                <m:e>
                  <m:r>
                    <m:t>W</m:t>
                  </m:r>
                </m:e>
                <m:sub>
                  <m:r>
                    <m:t>i</m:t>
                  </m:r>
                  <m:r>
                    <m:t>n</m:t>
                  </m:r>
                  <m:r>
                    <m:t>d</m:t>
                  </m:r>
                </m:sub>
              </m:sSub>
            </m:oMath>
          </w:p>
        </w:tc>
        <w:tc>
          <w:tcPr/>
          <w:p>
            <w:pPr>
              <w:pStyle w:val="Compact"/>
            </w:pPr>
            <w:r>
              <w:t xml:space="preserve">Expected fitness of the independent strategy.</w:t>
            </w:r>
          </w:p>
        </w:tc>
      </w:tr>
      <w:tr>
        <w:tc>
          <w:tcPr/>
          <w:p>
            <w:pPr>
              <w:pStyle w:val="Compact"/>
            </w:pPr>
            <m:oMath>
              <m:r>
                <m:t>B</m:t>
              </m:r>
              <m:r>
                <m:rPr>
                  <m:sty m:val="p"/>
                </m:rPr>
                <m:t>(</m:t>
              </m:r>
              <m:r>
                <m:t>λ</m:t>
              </m:r>
              <m:r>
                <m:rPr>
                  <m:sty m:val="p"/>
                </m:rPr>
                <m:t>)</m:t>
              </m:r>
            </m:oMath>
          </w:p>
        </w:tc>
        <w:tc>
          <w:tcPr/>
          <w:p>
            <w:pPr>
              <w:pStyle w:val="Compact"/>
            </w:pPr>
            <w:r>
              <w:t xml:space="preserve">Signaling-benefit term added to aggregator fitness.</w:t>
            </w:r>
          </w:p>
        </w:tc>
      </w:tr>
      <w:tr>
        <w:tc>
          <w:tcPr/>
          <w:p>
            <w:pPr>
              <w:pStyle w:val="Compact"/>
            </w:pPr>
            <m:oMath>
              <m:r>
                <m:rPr>
                  <m:sty m:val="p"/>
                </m:rPr>
                <m:t>Δ</m:t>
              </m:r>
              <m:r>
                <m:t>W</m:t>
              </m:r>
            </m:oMath>
          </w:p>
        </w:tc>
        <w:tc>
          <w:tcPr/>
          <w:p>
            <w:pPr>
              <w:pStyle w:val="Compact"/>
            </w:pPr>
            <w:r>
              <w:t xml:space="preserve">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driving the annual choice.</w:t>
            </w:r>
          </w:p>
        </w:tc>
      </w:tr>
      <w:tr>
        <w:tc>
          <w:tcPr/>
          <w:p>
            <w:pPr>
              <w:pStyle w:val="Compact"/>
            </w:pPr>
            <m:oMath>
              <m:sSub>
                <m:e>
                  <m:r>
                    <m:t>p</m:t>
                  </m:r>
                </m:e>
                <m:sub>
                  <m:r>
                    <m:t>a</m:t>
                  </m:r>
                  <m:r>
                    <m:t>g</m:t>
                  </m:r>
                  <m:r>
                    <m:t>g</m:t>
                  </m:r>
                </m:sub>
              </m:sSub>
            </m:oMath>
          </w:p>
        </w:tc>
        <w:tc>
          <w:tcPr/>
          <w:p>
            <w:pPr>
              <w:pStyle w:val="Compact"/>
            </w:pPr>
            <w:r>
              <w:t xml:space="preserve">Probability a band chooses to aggregate, a logit on</w:t>
            </w:r>
            <w:r>
              <w:t xml:space="preserve"> </w:t>
            </w:r>
            <m:oMath>
              <m:r>
                <m:rPr>
                  <m:sty m:val="p"/>
                </m:rPr>
                <m:t>Δ</m:t>
              </m:r>
              <m:r>
                <m:t>W</m:t>
              </m:r>
            </m:oMath>
            <w:r>
              <w:t xml:space="preserve">:</w:t>
            </w:r>
            <w:r>
              <w:t xml:space="preserve"> </w:t>
            </w:r>
            <m:oMath>
              <m:sSub>
                <m:e>
                  <m:r>
                    <m:t>p</m:t>
                  </m:r>
                </m:e>
                <m:sub>
                  <m:r>
                    <m:t>a</m:t>
                  </m:r>
                  <m:r>
                    <m:t>g</m:t>
                  </m:r>
                  <m: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t xml:space="preserve">.</w:t>
            </w:r>
          </w:p>
        </w:tc>
      </w:tr>
      <w:tr>
        <w:tc>
          <w:tcPr/>
          <w:p>
            <w:pPr>
              <w:pStyle w:val="Compact"/>
            </w:pPr>
            <m:oMath>
              <m:r>
                <m:t>τ</m:t>
              </m:r>
            </m:oMath>
          </w:p>
        </w:tc>
        <w:tc>
          <w:tcPr/>
          <w:p>
            <w:pPr>
              <w:pStyle w:val="Compact"/>
            </w:pPr>
            <w:r>
              <w:t xml:space="preserve">Softmax temperature (</w:t>
            </w:r>
            <m:oMath>
              <m:r>
                <m:t>τ</m:t>
              </m:r>
              <m:r>
                <m:rPr>
                  <m:sty m:val="p"/>
                </m:rPr>
                <m:t>=</m:t>
              </m:r>
              <m:r>
                <m:t>0.1</m:t>
              </m:r>
            </m:oMath>
            <w:r>
              <w:t xml:space="preserve">); low</w:t>
            </w:r>
            <w:r>
              <w:t xml:space="preserve"> </w:t>
            </w:r>
            <m:oMath>
              <m:r>
                <m:t>τ</m:t>
              </m:r>
            </m:oMath>
            <w:r>
              <w:t xml:space="preserve"> </w:t>
            </w:r>
            <w:r>
              <w:t xml:space="preserve">gives near-deterministic, payoff-biased choice.</w:t>
            </w:r>
          </w:p>
        </w:tc>
      </w:tr>
      <w:tr>
        <w:tc>
          <w:tcPr/>
          <w:p>
            <w:pPr>
              <w:pStyle w:val="Compact"/>
            </w:pPr>
            <w:r>
              <w:t xml:space="preserve">strategy dominance</w:t>
            </w:r>
          </w:p>
        </w:tc>
        <w:tc>
          <w:tcPr/>
          <w:p>
            <w:pPr>
              <w:pStyle w:val="Compact"/>
            </w:pPr>
            <w:r>
              <w:t xml:space="preserve">Population fraction of aggregator bands minus fraction of independent bands; ranges</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w:t>
            </w:r>
          </w:p>
        </w:tc>
      </w:tr>
      <w:tr>
        <w:tc>
          <w:tcPr/>
          <w:p>
            <w:pPr>
              <w:pStyle w:val="Compact"/>
            </w:pPr>
            <w:r>
              <w:rPr>
                <w:b/>
                <w:bCs/>
              </w:rPr>
              <w:t xml:space="preserve">Selection accounting and statistics</w:t>
            </w:r>
          </w:p>
        </w:tc>
        <w:tc>
          <w:tcPr/>
          <w:p>
            <w:pPr>
              <w:pStyle w:val="Compact"/>
            </w:pPr>
          </w:p>
        </w:tc>
      </w:tr>
      <w:tr>
        <w:tc>
          <w:tcPr/>
          <w:p>
            <w:pPr>
              <w:pStyle w:val="Compact"/>
            </w:pPr>
            <m:oMath>
              <m:r>
                <m:rPr>
                  <m:sty m:val="p"/>
                </m:rPr>
                <m:t>Δ</m:t>
              </m:r>
              <m:acc>
                <m:accPr>
                  <m:chr m:val="‾"/>
                </m:accPr>
                <m:e>
                  <m:r>
                    <m:t>p</m:t>
                  </m:r>
                </m:e>
              </m:acc>
            </m:oMath>
          </w:p>
        </w:tc>
        <w:tc>
          <w:tcPr/>
          <w:p>
            <w:pPr>
              <w:pStyle w:val="Compact"/>
            </w:pPr>
            <w:r>
              <w:t xml:space="preserve">Year-on-year change in the population frequency of the aggregator strategy (Price equation, §2.1).</w:t>
            </w:r>
          </w:p>
        </w:tc>
      </w:tr>
      <w:tr>
        <w:tc>
          <w:tcPr/>
          <w:p>
            <w:pPr>
              <w:pStyle w:val="Compact"/>
            </w:pPr>
            <m:oMath>
              <m:sSub>
                <m:e>
                  <m:r>
                    <m:t>p</m:t>
                  </m:r>
                </m:e>
                <m:sub>
                  <m:r>
                    <m:t>g</m:t>
                  </m:r>
                </m:sub>
              </m:sSub>
            </m:oMath>
          </w:p>
        </w:tc>
        <w:tc>
          <w:tcPr/>
          <w:p>
            <w:pPr>
              <w:pStyle w:val="Compact"/>
            </w:pPr>
            <w:r>
              <w:t xml:space="preserve">Strategy of band</w:t>
            </w:r>
            <w:r>
              <w:t xml:space="preserve"> </w:t>
            </w:r>
            <m:oMath>
              <m:r>
                <m:t>g</m:t>
              </m:r>
            </m:oMath>
            <w:r>
              <w:t xml:space="preserve"> </w:t>
            </w:r>
            <w:r>
              <w:t xml:space="preserve">(aggregator</w:t>
            </w:r>
            <w:r>
              <w:t xml:space="preserve"> </w:t>
            </w:r>
            <m:oMath>
              <m:r>
                <m:rPr>
                  <m:sty m:val="p"/>
                </m:rPr>
                <m:t>=</m:t>
              </m:r>
              <m:r>
                <m:t>1</m:t>
              </m:r>
            </m:oMath>
            <w:r>
              <w:t xml:space="preserve">, independent</w:t>
            </w:r>
            <w:r>
              <w:t xml:space="preserve"> </w:t>
            </w:r>
            <m:oMath>
              <m:r>
                <m:rPr>
                  <m:sty m:val="p"/>
                </m:rPr>
                <m:t>=</m:t>
              </m:r>
              <m:r>
                <m:t>0</m:t>
              </m:r>
            </m:oMath>
            <w:r>
              <w:t xml:space="preserve">).</w:t>
            </w:r>
          </w:p>
        </w:tc>
      </w:tr>
      <w:tr>
        <w:tc>
          <w:tcPr/>
          <w:p>
            <w:pPr>
              <w:pStyle w:val="Compact"/>
            </w:pPr>
            <m:oMath>
              <m:sSub>
                <m:e>
                  <m:r>
                    <m:t>w</m:t>
                  </m:r>
                </m:e>
                <m:sub>
                  <m:r>
                    <m:t>g</m:t>
                  </m:r>
                </m:sub>
              </m:sSub>
            </m:oMath>
            <w:r>
              <w:t xml:space="preserve">,</w:t>
            </w:r>
            <w:r>
              <w:t xml:space="preserve"> </w:t>
            </w:r>
            <m:oMath>
              <m:acc>
                <m:accPr>
                  <m:chr m:val="‾"/>
                </m:accPr>
                <m:e>
                  <m:r>
                    <m:t>w</m:t>
                  </m:r>
                </m:e>
              </m:acc>
            </m:oMath>
          </w:p>
        </w:tc>
        <w:tc>
          <w:tcPr/>
          <w:p>
            <w:pPr>
              <w:pStyle w:val="Compact"/>
            </w:pPr>
            <w:r>
              <w:t xml:space="preserve">Fitness of band</w:t>
            </w:r>
            <w:r>
              <w:t xml:space="preserve"> </w:t>
            </w:r>
            <m:oMath>
              <m:r>
                <m:t>g</m:t>
              </m:r>
            </m:oMath>
            <w:r>
              <w:t xml:space="preserve">; mean fitness.</w:t>
            </w:r>
          </w:p>
        </w:tc>
      </w:tr>
      <w:tr>
        <w:tc>
          <w:tcPr/>
          <w:p>
            <w:pPr>
              <w:pStyle w:val="Compact"/>
            </w:pPr>
            <m:oMath>
              <m:r>
                <m:t>S</m:t>
              </m:r>
              <m:r>
                <m:rPr>
                  <m:sty m:val="p"/>
                </m:rPr>
                <m:t>(</m:t>
              </m:r>
              <m:r>
                <m:t>t</m:t>
              </m:r>
              <m:r>
                <m:rPr>
                  <m:sty m:val="p"/>
                </m:rPr>
                <m:t>)</m:t>
              </m:r>
            </m:oMath>
          </w:p>
        </w:tc>
        <w:tc>
          <w:tcPr/>
          <w:p>
            <w:pPr>
              <w:pStyle w:val="Compact"/>
            </w:pPr>
            <w:r>
              <w:t xml:space="preserve">Between-strategy-class selection differential,</w:t>
            </w:r>
            <w: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t xml:space="preserve">.</w:t>
            </w:r>
          </w:p>
        </w:tc>
      </w:tr>
      <w:tr>
        <w:tc>
          <w:tcPr/>
          <w:p>
            <w:pPr>
              <w:pStyle w:val="Compact"/>
            </w:pPr>
            <m:oMath>
              <m:r>
                <m:t>ρ</m:t>
              </m:r>
            </m:oMath>
          </w:p>
        </w:tc>
        <w:tc>
          <w:tcPr/>
          <w:p>
            <w:pPr>
              <w:pStyle w:val="Compact"/>
            </w:pPr>
            <w:r>
              <w:t xml:space="preserve">Spearman rank correlation (distance-decay and cross-site magnitude tests).</w:t>
            </w:r>
          </w:p>
        </w:tc>
      </w:tr>
    </w:tbl>
    <w:bookmarkStart w:id="20" w:name="X1d4ddca5e8d9149ba1a85f3855069f25c9d8b2c"/>
    <w:p>
      <w:pPr>
        <w:pStyle w:val="Heading3"/>
      </w:pPr>
      <w:r>
        <w:rPr>
          <w:rFonts w:ascii="Times New Roman" w:hAnsi="Times New Roman"/>
          <w:b w:val="0"/>
          <w:i w:val="0"/>
          <w:color w:val="000000"/>
          <w:sz w:val="22"/>
          <w:u w:val="single"/>
        </w:rPr>
        <w:t xml:space="preserve">2.1 Multilevel selection and the logic of aggregation</w:t>
      </w:r>
    </w:p>
    <w:p>
      <w:pPr>
        <w:pStyle w:val="FirstParagraph"/>
      </w:pPr>
      <w:r>
        <w:rPr>
          <w:rFonts w:ascii="Times New Roman" w:hAnsi="Times New Roman"/>
          <w:color w:val="000000"/>
          <w:sz w:val="22"/>
        </w:rP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rPr>
          <w:rFonts w:ascii="Times New Roman" w:hAnsi="Times New Roman"/>
          <w:color w:val="000000"/>
          <w:sz w:val="22"/>
        </w:rPr>
        <w:t xml:space="preserve">The framework operates at two distinct scales, and both are needed to explain Poverty Point. At the</w:t>
      </w:r>
      <w:r>
        <w:rPr>
          <w:rFonts w:ascii="Times New Roman" w:hAnsi="Times New Roman"/>
          <w:color w:val="000000"/>
          <w:sz w:val="22"/>
        </w:rPr>
        <w:t xml:space="preserve"> </w:t>
      </w:r>
      <w:r>
        <w:rPr>
          <w:rFonts w:ascii="Times New Roman" w:hAnsi="Times New Roman"/>
          <w:i/>
          <w:iCs/>
          <w:color w:val="000000"/>
          <w:sz w:val="22"/>
        </w:rPr>
        <w:t xml:space="preserve">band level</w:t>
      </w:r>
      <w:r>
        <w:rPr>
          <w:rFonts w:ascii="Times New Roman" w:hAnsi="Times New Roman"/>
          <w:color w:val="000000"/>
          <w:sz w:val="22"/>
        </w:rPr>
        <w:t xml:space="preserve">, each band decides each year whether to aggregate based on its own expected fitness: signal-conditional partner formation gives high-display bands more cooperative ties, network buffering reduces their shortfall vulnerability, and prestige accumulation translates into further partner-choice premium in subsequent years. The benefits of joining the aggregation accrue to the individual band that joins, and the strategy choice is made based on the individual band’s fitness. This is the engine that produces the year-on-year aggregation events that the archaeology records as construction episodes at the gathering site. At the</w:t>
      </w:r>
      <w:r>
        <w:rPr>
          <w:rFonts w:ascii="Times New Roman" w:hAnsi="Times New Roman"/>
          <w:color w:val="000000"/>
          <w:sz w:val="22"/>
        </w:rPr>
        <w:t xml:space="preserve"> </w:t>
      </w:r>
      <w:r>
        <w:rPr>
          <w:rFonts w:ascii="Times New Roman" w:hAnsi="Times New Roman"/>
          <w:i/>
          <w:iCs/>
          <w:color w:val="000000"/>
          <w:sz w:val="22"/>
        </w:rPr>
        <w:t xml:space="preserve">population level</w:t>
      </w:r>
      <w:r>
        <w:rPr>
          <w:rFonts w:ascii="Times New Roman" w:hAnsi="Times New Roman"/>
          <w:color w:val="000000"/>
          <w:sz w:val="22"/>
        </w:rPr>
        <w:t xml:space="preserve">, the cumulative effect of many band-level decisions interacts through the cooperation network: more aggregator bands at the gathering produce a denser obligation network, which in turn raises the buffering value of joining, which makes aggregation more attractive at the band level in subsequent years. This positive feedback is what gives the framework its sharp-threshold structure. The two scales are coupled, not independent: per-year decisions are made at the band level, but band-level payoffs depend on emergent population-level properties (network density, partner availability, accumulated monument stock at the gathering), so the band’s strategy choice is frequency-dependent rather than fixed.</w:t>
      </w:r>
    </w:p>
    <w:p>
      <w:pPr>
        <w:pStyle w:val="BodyText"/>
      </w:pPr>
      <w:r>
        <w:rPr>
          <w:rFonts w:ascii="Times New Roman" w:hAnsi="Times New Roman"/>
          <w:color w:val="000000"/>
          <w:sz w:val="22"/>
        </w:rPr>
        <w:t xml:space="preserve">We summarize the resulting dynamics using the Price equation (Price 1970), which partitions year-on-year change in the population frequency of the aggregator strategy into a selection term and a transmission term (readers unfamiliar with the formalism can read it as bookkeeping that asks, each year, whether aggregating bands are currently out-reproducing independent ones, and tracks how those small yearly differences accumulate):</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rPr>
          <w:rFonts w:ascii="Times New Roman" w:hAnsi="Times New Roman"/>
          <w:color w:val="000000"/>
          <w:sz w:val="22"/>
        </w:rPr>
        <w:t xml:space="preserve">For the binary aggregator/independent strategy in the Poverty Point model, where each band is either an aggregator or an independent (no within-band strategy mixing), the formal within-group selection term reduces to zero.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rPr>
          <w:rFonts w:ascii="Times New Roman" w:hAnsi="Times New Roman"/>
          <w:color w:val="000000"/>
          <w:sz w:val="22"/>
        </w:rPr>
        <w:t xml:space="preserve">, plus a transmission residual that captures strategy switching. This is a selection on a band-level trait under frequency-dependent network feedback rather than the within-group/between-group decomposition. The Sober-Wilson formulation applies to mixed-strategy groups (Sober and Wilson 1998; West, Griffin, and Gardner 2008). The Price equation is useful here as a population-dynamics accounting tool: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whether aggregator bands or independent bands are doing better at the moment, and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how far the population frequency has shifted as a result. For Poverty Point, both quantities matter.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(because the per-year fitness differential between strategy classes is bounded by realized shortfall buffering at that year), but its sign is consistent across the post-burn-in interval, and its integral over many decision cycles produces the substantial population shifts (initial</w:t>
      </w:r>
      <w:r>
        <w:rPr>
          <w:rFonts w:ascii="Times New Roman" w:hAnsi="Times New Roman"/>
          <w:color w:val="000000"/>
          <w:sz w:val="22"/>
        </w:rPr>
        <w:t xml:space="preserve"> </w:t>
      </w:r>
      <m:oMath>
        <m:acc>
          <m:accPr>
            <m:chr m:val="‾"/>
          </m:accPr>
          <m:e>
            <m:r>
              <m:t>p</m:t>
            </m:r>
          </m:e>
        </m:acc>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to equilibrium</w:t>
      </w:r>
      <w:r>
        <w:rPr>
          <w:rFonts w:ascii="Times New Roman" w:hAnsi="Times New Roman"/>
          <w:color w:val="000000"/>
          <w:sz w:val="22"/>
        </w:rPr>
        <w:t xml:space="preserve"> </w:t>
      </w:r>
      <m:oMath>
        <m:acc>
          <m:accPr>
            <m:chr m:val="‾"/>
          </m:accPr>
          <m:e>
            <m:r>
              <m:t>p</m:t>
            </m:r>
          </m:e>
        </m:acc>
        <m:r>
          <m:rPr>
            <m:sty m:val="p"/>
          </m:rPr>
          <m:t>≈</m:t>
        </m:r>
        <m:r>
          <m:t>0.9</m:t>
        </m:r>
      </m:oMath>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m:oMath>
        <m:acc>
          <m:accPr>
            <m:chr m:val="‾"/>
          </m:accPr>
          <m:e>
            <m:r>
              <m:t>p</m:t>
            </m:r>
          </m:e>
        </m:acc>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below) that explain how the LMV system converges on the sustained-aggregation equilibrium archaeology records, or fails to.</w:t>
      </w:r>
    </w:p>
    <w:p>
      <w:pPr>
        <w:pStyle w:val="BodyText"/>
      </w:pPr>
      <w:r>
        <w:rPr>
          <w:rFonts w:ascii="Times New Roman" w:hAnsi="Times New Roman"/>
          <w:color w:val="000000"/>
          <w:sz w:val="22"/>
        </w:rPr>
        <w:t xml:space="preserve">The persistent-kin-band structure of the model is important for this cumulative dynamics. Bands fission at size 30, daughter bands inherit half the parent’s network, and band identity tracks across years, subject to demographic turnover. This means that bands that consistently aggregate accumulate the network ties and monument-contribution history that fuel the cooperation-network feedback, and the small per-year selection differentials compound coherently along band lineages rather than scrambling across generations. The framework treats this as the operative population-level dynamic for Poverty Point, without positing a separate level of selection beyond what already operates at the band level under frequency-dependent feedback. The empirical Price decomposition from agent-based model output (§S5.5) confirms the expected pattern: per-year</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above the threshold and</w:t>
      </w:r>
      <w:r>
        <w:rPr>
          <w:rFonts w:ascii="Times New Roman" w:hAnsi="Times New Roman"/>
          <w:color w:val="000000"/>
          <w:sz w:val="22"/>
        </w:rPr>
        <w:t xml:space="preserve"> </w:t>
      </w:r>
      <m:oMath>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below it, integrating over the 200-year simulated interval to the population-level shifts that the simulation actually exhibits.</w:t>
      </w:r>
    </w:p>
    <w:p>
      <w:pPr>
        <w:pStyle w:val="BodyText"/>
      </w:pPr>
      <m:oMath>
        <m:r>
          <m:t>σ</m:t>
        </m:r>
      </m:oMath>
      <w:r>
        <w:rPr>
          <w:rFonts w:ascii="Times New Roman" w:hAnsi="Times New Roman"/>
          <w:color w:val="000000"/>
          <w:sz w:val="22"/>
        </w:rPr>
        <w:t xml:space="preserve"> </w:t>
      </w:r>
      <w:r>
        <w:rPr>
          <w:rFonts w:ascii="Times New Roman" w:hAnsi="Times New Roman"/>
          <w:color w:val="000000"/>
          <w:sz w:val="22"/>
        </w:rPr>
        <w:t xml:space="preserve">modulates the balance between the two Price components. In stable environments, the within-group cost dominates. In volatile environments, the between-group benefit dominates. Separating the two regimes is a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rPr>
          <w:rFonts w:ascii="Times New Roman" w:hAnsi="Times New Roman"/>
          <w:color w:val="000000"/>
          <w:sz w:val="22"/>
        </w:rPr>
        <w:t xml:space="preserve"> </w:t>
      </w:r>
      <w:r>
        <w:rPr>
          <w:rFonts w:ascii="Times New Roman" w:hAnsi="Times New Roman"/>
          <w:i/>
          <w:iCs/>
          <w:color w:val="000000"/>
          <w:sz w:val="22"/>
        </w:rPr>
        <w:t xml:space="preserve">phase transitions</w:t>
      </w:r>
      <w:r>
        <w:rPr>
          <w:rFonts w:ascii="Times New Roman" w:hAnsi="Times New Roman"/>
          <w:color w:val="000000"/>
          <w:sz w:val="22"/>
        </w:rP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rPr>
          <w:rFonts w:ascii="Times New Roman" w:hAnsi="Times New Roman"/>
          <w:color w:val="000000"/>
          <w:sz w:val="22"/>
        </w:rPr>
        <w:drawing>
          <wp:inline>
            <wp:extent cx="5486400" cy="2726182"/>
            <wp:effectExtent b="0" l="0" r="0" t="0"/>
            <wp:docPr descr="" title="" id="18" name="Picture"/>
            <a:graphic>
              <a:graphicData uri="http://schemas.openxmlformats.org/drawingml/2006/picture">
                <pic:pic>
                  <pic:nvPicPr>
                    <pic:cNvPr descr="/Users/clipo/PycharmProjects/poverty-point-signaling/figures/manuscript/figure_03_mls_decomposition.png" id="19" name="Picture"/>
                    <pic:cNvPicPr>
                      <a:picLocks noChangeArrowheads="1" noChangeAspect="1"/>
                    </pic:cNvPicPr>
                  </pic:nvPicPr>
                  <pic:blipFill>
                    <a:blip r:embed="rId17"/>
                    <a:stretch>
                      <a:fillRect/>
                    </a:stretch>
                  </pic:blipFill>
                  <pic:spPr bwMode="auto">
                    <a:xfrm>
                      <a:off x="0" y="0"/>
                      <a:ext cx="5486400" cy="272618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3. The cost and benefit components of the aggregator strategy.</w:t>
      </w:r>
      <w:r>
        <w:rPr>
          <w:rFonts w:ascii="Times New Roman" w:hAnsi="Times New Roman"/>
          <w:color w:val="000000"/>
          <w:sz w:val="20"/>
        </w:rPr>
        <w:t xml:space="preserve"> </w:t>
      </w:r>
      <w:r>
        <w:rPr>
          <w:rFonts w:ascii="Times New Roman" w:hAnsi="Times New Roman"/>
          <w:i/>
          <w:iCs/>
          <w:color w:val="000000"/>
          <w:sz w:val="20"/>
        </w:rPr>
        <w:t xml:space="preserve">(A) Schematic of the band-level selection logic. Aggregator bands pay a cooperation cost denoted by</w:t>
      </w:r>
      <w:r>
        <w:rPr>
          <w:rFonts w:ascii="Times New Roman" w:hAnsi="Times New Roman"/>
          <w:color w:val="000000"/>
          <w:sz w:val="20"/>
        </w:rPr>
        <w:t xml:space="preserve"> </w:t>
      </w:r>
      <m:oMath>
        <m:r>
          <m:t>C</m:t>
        </m:r>
      </m:oMath>
      <w:r>
        <w:rPr>
          <w:rFonts w:ascii="Times New Roman" w:hAnsi="Times New Roman"/>
          <w:color w:val="000000"/>
          <w:sz w:val="20"/>
        </w:rPr>
        <w:t xml:space="preserve"> </w:t>
      </w:r>
      <w:r>
        <w:rPr>
          <w:rFonts w:ascii="Times New Roman" w:hAnsi="Times New Roman"/>
          <w:i/>
          <w:iCs/>
          <w:color w:val="000000"/>
          <w:sz w:val="20"/>
        </w:rPr>
        <w:t xml:space="preserve">(monument labor, opportunity cost of travel, and time at the gathering), which independent bands avoid. Between-strategy fitness depends on whether the network-mediated buffering value of joining the aggregation exceeds this cost. An aggregator-majority population (</w:t>
      </w:r>
      <m:oMath>
        <m:r>
          <m:t>q</m:t>
        </m:r>
        <m:r>
          <m:rPr>
            <m:sty m:val="p"/>
          </m:rPr>
          <m:t>=</m:t>
        </m:r>
        <m:r>
          <m:t>0.8</m:t>
        </m:r>
      </m:oMath>
      <w:r>
        <w:rPr>
          <w:rFonts w:ascii="Times New Roman" w:hAnsi="Times New Roman"/>
          <w:i/>
          <w:iCs/>
          <w:color w:val="000000"/>
          <w:sz w:val="20"/>
        </w:rPr>
        <w:t xml:space="preserve">) supports a denser cooperation network, raising the buffering value of joining. An independent-majority population (</w:t>
      </w:r>
      <m:oMath>
        <m:r>
          <m:t>q</m:t>
        </m:r>
        <m:r>
          <m:rPr>
            <m:sty m:val="p"/>
          </m:rPr>
          <m:t>=</m:t>
        </m:r>
        <m:r>
          <m:t>0.2</m:t>
        </m:r>
      </m:oMath>
      <w:r>
        <w:rPr>
          <w:rFonts w:ascii="Times New Roman" w:hAnsi="Times New Roman"/>
          <w:i/>
          <w:iCs/>
          <w:color w:val="000000"/>
          <w:sz w:val="20"/>
        </w:rPr>
        <w:t xml:space="preserve">) supports a thinner network. (B) Net selection on the aggregator strategy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decomposed into the constant-cost component (red,</w:t>
      </w:r>
      <w:r>
        <w:rPr>
          <w:rFonts w:ascii="Times New Roman" w:hAnsi="Times New Roman"/>
          <w:color w:val="000000"/>
          <w:sz w:val="20"/>
        </w:rPr>
        <w:t xml:space="preserve"> </w:t>
      </w:r>
      <m:oMath>
        <m:r>
          <m:rPr>
            <m:sty m:val="p"/>
          </m:rPr>
          <m:t>−</m:t>
        </m:r>
        <m:r>
          <m:t>C</m:t>
        </m:r>
      </m:oMath>
      <w:r>
        <w:rPr>
          <w:rFonts w:ascii="Times New Roman" w:hAnsi="Times New Roman"/>
          <w:i/>
          <w:iCs/>
          <w:color w:val="000000"/>
          <w:sz w:val="20"/>
        </w:rPr>
        <w:t xml:space="preserve">) and the network-buffering benefit component (blue,</w:t>
      </w:r>
      <w:r>
        <w:rPr>
          <w:rFonts w:ascii="Times New Roman" w:hAnsi="Times New Roman"/>
          <w:color w:val="000000"/>
          <w:sz w:val="20"/>
        </w:rP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rFonts w:ascii="Times New Roman" w:hAnsi="Times New Roman"/>
          <w:i/>
          <w:iCs/>
          <w:color w:val="000000"/>
          <w:sz w:val="20"/>
        </w:rPr>
        <w:t xml:space="preserve">), which grows with shortfall frequency. The smooth analytical curves are illustrative under simplified parameterizations chosen so the schematic threshold lands near our calibrated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Black points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error bars) overlay the empirical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computed from agent-based-model output at three</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scenarios spanning the threshold (below-threshold</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above-threshold</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5 replicates each, post-burn-in pooled across years; §S5.5). The empirical anchors confirm the analytical prediction: between-strategy-class selection is negative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positive above it, with the sign reversal occurring near the framework’s analytical threshold.</w:t>
      </w:r>
    </w:p>
    <w:p>
      <w:pPr>
        <w:pStyle w:val="BodyText"/>
      </w:pPr>
      <w:r>
        <w:rPr>
          <w:rFonts w:ascii="Times New Roman" w:hAnsi="Times New Roman"/>
          <w:color w:val="000000"/>
          <w:sz w:val="22"/>
        </w:rP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rPr>
          <w:rFonts w:ascii="Times New Roman" w:hAnsi="Times New Roman"/>
          <w:color w:val="000000"/>
          <w:sz w:val="22"/>
        </w:rPr>
        <w:t xml:space="preserve">Costly-signaling models in archaeology have traditionally been developed for territorial groups competing for fixed positions in a landscape, where the signal carries a</w:t>
      </w:r>
      <w:r>
        <w:rPr>
          <w:rFonts w:ascii="Times New Roman" w:hAnsi="Times New Roman"/>
          <w:color w:val="000000"/>
          <w:sz w:val="22"/>
        </w:rPr>
        <w:t xml:space="preserve"> </w:t>
      </w:r>
      <w:r>
        <w:rPr>
          <w:rFonts w:ascii="Times New Roman" w:hAnsi="Times New Roman"/>
          <w:color w:val="000000"/>
          <w:sz w:val="22"/>
        </w:rPr>
        <w:t xml:space="preserve">“we can defend this place”</w:t>
      </w:r>
      <w:r>
        <w:rPr>
          <w:rFonts w:ascii="Times New Roman" w:hAnsi="Times New Roman"/>
          <w:color w:val="000000"/>
          <w:sz w:val="22"/>
        </w:rPr>
        <w:t xml:space="preserve"> </w:t>
      </w:r>
      <w:r>
        <w:rPr>
          <w:rFonts w:ascii="Times New Roman" w:hAnsi="Times New Roman"/>
          <w:color w:val="000000"/>
          <w:sz w:val="22"/>
        </w:rPr>
        <w:t xml:space="preserve">message, and monuments serve as deterrents directed at neighboring groups. For mobile hunter-gatherer bands, the optimization problem is different. Bands are not territorial (Kelly 2013). They choose whether to aggregate at a central location, how long to remain, and how much to invest in collective construction. The signal function shifts from deterrence to attraction. It now says</w:t>
      </w:r>
      <w:r>
        <w:rPr>
          <w:rFonts w:ascii="Times New Roman" w:hAnsi="Times New Roman"/>
          <w:color w:val="000000"/>
          <w:sz w:val="22"/>
        </w:rPr>
        <w:t xml:space="preserve"> </w:t>
      </w:r>
      <w:r>
        <w:rPr>
          <w:rFonts w:ascii="Times New Roman" w:hAnsi="Times New Roman"/>
          <w:color w:val="000000"/>
          <w:sz w:val="22"/>
        </w:rPr>
        <w:t xml:space="preserve">“we will cooperate reliably”</w:t>
      </w:r>
      <w:r>
        <w:rPr>
          <w:rFonts w:ascii="Times New Roman" w:hAnsi="Times New Roman"/>
          <w:color w:val="000000"/>
          <w:sz w:val="22"/>
        </w:rPr>
        <w:t xml:space="preserve"> </w:t>
      </w:r>
      <w:r>
        <w:rPr>
          <w:rFonts w:ascii="Times New Roman" w:hAnsi="Times New Roman"/>
          <w:color w:val="000000"/>
          <w:sz w:val="22"/>
        </w:rPr>
        <w:t xml:space="preserve">and serves to identify trustworthy partners among bands that may have only weak prior contact with one another. This shift requires fitness functions that reflect a fission-fusion social structure in which cooperation is re-established with partial strangers each year. It makes the network-feedback dynamic central rather than peripheral: the value of joining the aggregation depends on who else is joining, which depends in turn on whether the network has accumulated enough cooperative density to make joining worthwhile.</w:t>
      </w:r>
    </w:p>
    <w:bookmarkEnd w:id="20"/>
    <w:bookmarkStart w:id="21" w:name="honest-signals-index-not-handicap"/>
    <w:p>
      <w:pPr>
        <w:pStyle w:val="Heading3"/>
      </w:pPr>
      <w:r>
        <w:rPr>
          <w:rFonts w:ascii="Times New Roman" w:hAnsi="Times New Roman"/>
          <w:b w:val="0"/>
          <w:i w:val="0"/>
          <w:color w:val="000000"/>
          <w:sz w:val="22"/>
          <w:u w:val="single"/>
        </w:rPr>
        <w:t xml:space="preserve">2.2 Honest signals: index, not handicap</w:t>
      </w:r>
    </w:p>
    <w:p>
      <w:pPr>
        <w:pStyle w:val="FirstParagraph"/>
      </w:pPr>
      <w:r>
        <w:rPr>
          <w:rFonts w:ascii="Times New Roman" w:hAnsi="Times New Roman"/>
          <w:color w:val="000000"/>
          <w:sz w:val="22"/>
        </w:rPr>
        <w:t xml:space="preserve">The investment in monumentality serves as a signal within and between bands. These signals are considered</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since they are an investment of energy and resources. Signaling theory in archaeology distinguishes two kinds of reliable signals.</w:t>
      </w:r>
      <w:r>
        <w:rPr>
          <w:rFonts w:ascii="Times New Roman" w:hAnsi="Times New Roman"/>
          <w:color w:val="000000"/>
          <w:sz w:val="22"/>
        </w:rPr>
        <w:t xml:space="preserve"> </w:t>
      </w:r>
      <w:r>
        <w:rPr>
          <w:rFonts w:ascii="Times New Roman" w:hAnsi="Times New Roman"/>
          <w:i/>
          <w:iCs/>
          <w:color w:val="000000"/>
          <w:sz w:val="22"/>
        </w:rPr>
        <w:t xml:space="preserve">Handicap</w:t>
      </w:r>
      <w:r>
        <w:rPr>
          <w:rFonts w:ascii="Times New Roman" w:hAnsi="Times New Roman"/>
          <w:color w:val="000000"/>
          <w:sz w:val="22"/>
        </w:rPr>
        <w:t xml:space="preserve"> </w:t>
      </w:r>
      <w:r>
        <w:rPr>
          <w:rFonts w:ascii="Times New Roman" w:hAnsi="Times New Roman"/>
          <w:color w:val="000000"/>
          <w:sz w:val="22"/>
        </w:rPr>
        <w:t xml:space="preserve">signals (Zahavi 1975) are reliable because they are wasteful: only individuals with surplus capacity can afford them, so the signal correlates with quality precisely because of the cost.</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rPr>
          <w:rFonts w:ascii="Times New Roman" w:hAnsi="Times New Roman"/>
          <w:color w:val="000000"/>
          <w:sz w:val="22"/>
        </w:rPr>
        <w:t xml:space="preserve">For a signaling framework to do empirical work, it must specify four things: who is signaling, who is receiving, what quality is being signaled, and how the receiver responds. At an aggregation gathering: (1) the</w:t>
      </w:r>
      <w:r>
        <w:rPr>
          <w:rFonts w:ascii="Times New Roman" w:hAnsi="Times New Roman"/>
          <w:color w:val="000000"/>
          <w:sz w:val="22"/>
        </w:rPr>
        <w:t xml:space="preserve"> </w:t>
      </w:r>
      <w:r>
        <w:rPr>
          <w:rFonts w:ascii="Times New Roman" w:hAnsi="Times New Roman"/>
          <w:b/>
          <w:bCs/>
          <w:color w:val="000000"/>
          <w:sz w:val="22"/>
        </w:rPr>
        <w:t xml:space="preserve">signaler</w:t>
      </w:r>
      <w:r>
        <w:rPr>
          <w:rFonts w:ascii="Times New Roman" w:hAnsi="Times New Roman"/>
          <w:color w:val="000000"/>
          <w:sz w:val="22"/>
        </w:rPr>
        <w:t xml:space="preserve"> </w:t>
      </w:r>
      <w:r>
        <w:rPr>
          <w:rFonts w:ascii="Times New Roman" w:hAnsi="Times New Roman"/>
          <w:color w:val="000000"/>
          <w:sz w:val="22"/>
        </w:rPr>
        <w:t xml:space="preserve">is an aggregating band; (2) the</w:t>
      </w:r>
      <w:r>
        <w:rPr>
          <w:rFonts w:ascii="Times New Roman" w:hAnsi="Times New Roman"/>
          <w:color w:val="000000"/>
          <w:sz w:val="22"/>
        </w:rPr>
        <w:t xml:space="preserve"> </w:t>
      </w:r>
      <w:r>
        <w:rPr>
          <w:rFonts w:ascii="Times New Roman" w:hAnsi="Times New Roman"/>
          <w:b/>
          <w:bCs/>
          <w:color w:val="000000"/>
          <w:sz w:val="22"/>
        </w:rPr>
        <w:t xml:space="preserve">receivers</w:t>
      </w:r>
      <w:r>
        <w:rPr>
          <w:rFonts w:ascii="Times New Roman" w:hAnsi="Times New Roman"/>
          <w:color w:val="000000"/>
          <w:sz w:val="22"/>
        </w:rPr>
        <w:t xml:space="preserve"> </w:t>
      </w:r>
      <w:r>
        <w:rPr>
          <w:rFonts w:ascii="Times New Roman" w:hAnsi="Times New Roman"/>
          <w:color w:val="000000"/>
          <w:sz w:val="22"/>
        </w:rPr>
        <w:t xml:space="preserve">are other bands at the gathering, both established partners and prospective ones drawn from across the regional network; (3) the</w:t>
      </w:r>
      <w:r>
        <w:rPr>
          <w:rFonts w:ascii="Times New Roman" w:hAnsi="Times New Roman"/>
          <w:color w:val="000000"/>
          <w:sz w:val="22"/>
        </w:rPr>
        <w:t xml:space="preserve"> </w:t>
      </w:r>
      <w:r>
        <w:rPr>
          <w:rFonts w:ascii="Times New Roman" w:hAnsi="Times New Roman"/>
          <w:b/>
          <w:bCs/>
          <w:color w:val="000000"/>
          <w:sz w:val="22"/>
        </w:rPr>
        <w:t xml:space="preserve">quality being signaled</w:t>
      </w:r>
      <w:r>
        <w:rPr>
          <w:rFonts w:ascii="Times New Roman" w:hAnsi="Times New Roman"/>
          <w:color w:val="000000"/>
          <w:sz w:val="22"/>
        </w:rPr>
        <w:t xml:space="preserve"> </w:t>
      </w:r>
      <w:r>
        <w:rPr>
          <w:rFonts w:ascii="Times New Roman" w:hAnsi="Times New Roman"/>
          <w:color w:val="000000"/>
          <w:sz w:val="22"/>
        </w:rPr>
        <w:t xml:space="preserve">is cooperative reliability, operationalized as a band’s likelihood of contributing labor to collective construction and reciprocating obligations during shortfalls; (4) the</w:t>
      </w:r>
      <w:r>
        <w:rPr>
          <w:rFonts w:ascii="Times New Roman" w:hAnsi="Times New Roman"/>
          <w:color w:val="000000"/>
          <w:sz w:val="22"/>
        </w:rPr>
        <w:t xml:space="preserve"> </w:t>
      </w:r>
      <w:r>
        <w:rPr>
          <w:rFonts w:ascii="Times New Roman" w:hAnsi="Times New Roman"/>
          <w:b/>
          <w:bCs/>
          <w:color w:val="000000"/>
          <w:sz w:val="22"/>
        </w:rPr>
        <w:t xml:space="preserve">receiver response</w:t>
      </w:r>
      <w:r>
        <w:rPr>
          <w:rFonts w:ascii="Times New Roman" w:hAnsi="Times New Roman"/>
          <w:color w:val="000000"/>
          <w:sz w:val="22"/>
        </w:rPr>
        <w:t xml:space="preserve"> </w:t>
      </w:r>
      <w:r>
        <w:rPr>
          <w:rFonts w:ascii="Times New Roman" w:hAnsi="Times New Roman"/>
          <w:color w:val="000000"/>
          <w:sz w:val="22"/>
        </w:rPr>
        <w:t xml:space="preserve">is preferential partner selection, with bands forming and strengthening reciprocal obligations with high-signal partners over the course of an aggregation season.</w:t>
      </w:r>
    </w:p>
    <w:p>
      <w:pPr>
        <w:pStyle w:val="BodyText"/>
      </w:pPr>
      <w:r>
        <w:rPr>
          <w:rFonts w:ascii="Times New Roman" w:hAnsi="Times New Roman"/>
          <w:color w:val="000000"/>
          <w:sz w:val="22"/>
        </w:rPr>
        <w:t xml:space="preserve">The framework requires a signal-conditional response from the receiver. A</w:t>
      </w:r>
      <w:r>
        <w:rPr>
          <w:rFonts w:ascii="Times New Roman" w:hAnsi="Times New Roman"/>
          <w:color w:val="000000"/>
          <w:sz w:val="22"/>
        </w:rPr>
        <w:t xml:space="preserve"> </w:t>
      </w:r>
      <w:r>
        <w:rPr>
          <w:rFonts w:ascii="Times New Roman" w:hAnsi="Times New Roman"/>
          <w:color w:val="000000"/>
          <w:sz w:val="22"/>
        </w:rPr>
        <w:t xml:space="preserve">“signal-conditional response”</w:t>
      </w:r>
      <w:r>
        <w:rPr>
          <w:rFonts w:ascii="Times New Roman" w:hAnsi="Times New Roman"/>
          <w:color w:val="000000"/>
          <w:sz w:val="22"/>
        </w:rPr>
        <w:t xml:space="preserve"> </w:t>
      </w:r>
      <w:r>
        <w:rPr>
          <w:rFonts w:ascii="Times New Roman" w:hAnsi="Times New Roman"/>
          <w:color w:val="000000"/>
          <w:sz w:val="22"/>
        </w:rP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rPr>
          <w:rFonts w:ascii="Times New Roman" w:hAnsi="Times New Roman"/>
          <w:color w:val="000000"/>
          <w:sz w:val="22"/>
        </w:rP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rPr>
          <w:rFonts w:ascii="Times New Roman" w:hAnsi="Times New Roman"/>
          <w:color w:val="000000"/>
          <w:sz w:val="22"/>
        </w:rP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The bulk of our empirical evaluation, however, focuses on the volume of monumental earthwork because these structures are quantitatively tractable measures of accumulated signaling effort.</w:t>
      </w:r>
    </w:p>
    <w:p>
      <w:pPr>
        <w:pStyle w:val="BodyText"/>
      </w:pPr>
      <w:r>
        <w:rPr>
          <w:rFonts w:ascii="Times New Roman" w:hAnsi="Times New Roman"/>
          <w:b/>
          <w:bCs/>
          <w:color w:val="000000"/>
          <w:sz w:val="22"/>
        </w:rPr>
        <w:t xml:space="preserve">The signal half-life.</w:t>
      </w:r>
      <w:r>
        <w:rPr>
          <w:rFonts w:ascii="Times New Roman" w:hAnsi="Times New Roman"/>
          <w:color w:val="000000"/>
          <w:sz w:val="22"/>
        </w:rPr>
        <w:t xml:space="preserve"> </w:t>
      </w:r>
      <w:r>
        <w:rPr>
          <w:rFonts w:ascii="Times New Roman" w:hAnsi="Times New Roman"/>
          <w:color w:val="000000"/>
          <w:sz w:val="22"/>
        </w:rPr>
        <w:t xml:space="preserve">The value of a completed earthwork as an honest signal of</w:t>
      </w:r>
      <w:r>
        <w:rPr>
          <w:rFonts w:ascii="Times New Roman" w:hAnsi="Times New Roman"/>
          <w:color w:val="000000"/>
          <w:sz w:val="22"/>
        </w:rPr>
        <w:t xml:space="preserve"> </w:t>
      </w:r>
      <w:r>
        <w:rPr>
          <w:rFonts w:ascii="Times New Roman" w:hAnsi="Times New Roman"/>
          <w:i/>
          <w:iCs/>
          <w:color w:val="000000"/>
          <w:sz w:val="22"/>
        </w:rPr>
        <w:t xml:space="preserve">current</w:t>
      </w:r>
      <w:r>
        <w:rPr>
          <w:rFonts w:ascii="Times New Roman" w:hAnsi="Times New Roman"/>
          <w:color w:val="000000"/>
          <w:sz w:val="22"/>
        </w:rPr>
        <w:t xml:space="preserve"> </w:t>
      </w:r>
      <w:r>
        <w:rPr>
          <w:rFonts w:ascii="Times New Roman" w:hAnsi="Times New Roman"/>
          <w:color w:val="000000"/>
          <w:sz w:val="22"/>
        </w:rP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(the current index value plus the persistent-CRED value) and decouple under abandonment, when the index value decays first, and the persistent-CRED value follows the landscape’s physical decay. Continuous reinvestment is necessary to sustain either channel.</w:t>
      </w:r>
    </w:p>
    <w:p>
      <w:pPr>
        <w:pStyle w:val="BodyText"/>
      </w:pPr>
      <w:r>
        <w:rPr>
          <w:rFonts w:ascii="Times New Roman" w:hAnsi="Times New Roman"/>
          <w:color w:val="000000"/>
          <w:sz w:val="22"/>
        </w:rP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 available substitutes for a contemporary observer. Geochemical signatures, traceable to specific sources through analyses such as neutron activation, ICP-MS, and atomic absorption spectrophotometry, allow us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rPr>
          <w:rFonts w:ascii="Times New Roman" w:hAnsi="Times New Roman"/>
          <w:color w:val="000000"/>
          <w:sz w:val="22"/>
        </w:rP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(as described above) is sharper than</w:t>
      </w:r>
      <w:r>
        <w:rPr>
          <w:rFonts w:ascii="Times New Roman" w:hAnsi="Times New Roman"/>
          <w:color w:val="000000"/>
          <w:sz w:val="22"/>
        </w:rPr>
        <w:t xml:space="preserve"> </w:t>
      </w:r>
      <w:r>
        <w:rPr>
          <w:rFonts w:ascii="Times New Roman" w:hAnsi="Times New Roman"/>
          <w:color w:val="000000"/>
          <w:sz w:val="22"/>
        </w:rPr>
        <w:t xml:space="preserve">“expensive”</w:t>
      </w:r>
      <w:r>
        <w:rPr>
          <w:rFonts w:ascii="Times New Roman" w:hAnsi="Times New Roman"/>
          <w:color w:val="000000"/>
          <w:sz w:val="22"/>
        </w:rPr>
        <w:t xml:space="preserve">: it requires that the signal cannot be produced without the underlying quality the receiver wants to know about. For earthworks, that quality is the mobilization of cooperative labor at the gathering, and basket-built fill cannot be produced without it. For imported exotics, the quality is directly related to travel to or partnership with bands at the geological source. A galena nodule from Potosi, Wisconsin, cannot be produced by a band that has not (directly or through a known visitor-band partner) accessed Potosi material. PPOs do not have this property at the band level: locally produced fired-earth cooking objects can be made by any band with access to local clay and fuel, including bands that neither attended the gathering nor contributed labor. PPO possession does not reliably index participation as a visitor band. The same logic applies to locally-produced lithic forms widely distributed in the regional record (projectile points, Jaketown perforators). These artifacts are produced from materials available to any band in the LMV and are not source-constrained in the way that copper, galena, or steatite are. They,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PPOs are widely distributed among LMV-affiliated populations rather than concentrated at the gathering site, unlike exotic materials. The framework’s formalized signaling channels are therefore earthworks (i.e., features that are collective and group-level) and imported exotic goods (i.e., artifacts that reflect the individual-band level). PPOs are not in this set, not because they are cheap (cost is incidental), but because they fail the unfakeability criterion at the band level.</w:t>
      </w:r>
    </w:p>
    <w:p>
      <w:pPr>
        <w:pStyle w:val="BodyText"/>
      </w:pPr>
      <w:r>
        <w:rPr>
          <w:rFonts w:ascii="Times New Roman" w:hAnsi="Times New Roman"/>
          <w:color w:val="000000"/>
          <w:sz w:val="22"/>
        </w:rPr>
        <w:t xml:space="preserve">A weaker form of the signaling argument could, in principle, apply to PPO production</w:t>
      </w:r>
      <w:r>
        <w:rPr>
          <w:rFonts w:ascii="Times New Roman" w:hAnsi="Times New Roman"/>
          <w:color w:val="000000"/>
          <w:sz w:val="22"/>
        </w:rPr>
        <w:t xml:space="preserve"> </w:t>
      </w:r>
      <w:r>
        <w:rPr>
          <w:rFonts w:ascii="Times New Roman" w:hAnsi="Times New Roman"/>
          <w:i/>
          <w:iCs/>
          <w:color w:val="000000"/>
          <w:sz w:val="22"/>
        </w:rPr>
        <w:t xml:space="preserve">volume</w:t>
      </w:r>
      <w:r>
        <w:rPr>
          <w:rFonts w:ascii="Times New Roman" w:hAnsi="Times New Roman"/>
          <w:color w:val="000000"/>
          <w:sz w:val="22"/>
        </w:rPr>
        <w:t xml:space="preserve"> </w:t>
      </w:r>
      <w:r>
        <w:rPr>
          <w:rFonts w:ascii="Times New Roman" w:hAnsi="Times New Roman"/>
          <w:color w:val="000000"/>
          <w:sz w:val="22"/>
        </w:rPr>
        <w:t xml:space="preserve">at the site rather than PPO</w:t>
      </w:r>
      <w:r>
        <w:rPr>
          <w:rFonts w:ascii="Times New Roman" w:hAnsi="Times New Roman"/>
          <w:color w:val="000000"/>
          <w:sz w:val="22"/>
        </w:rPr>
        <w:t xml:space="preserve"> </w:t>
      </w:r>
      <w:r>
        <w:rPr>
          <w:rFonts w:ascii="Times New Roman" w:hAnsi="Times New Roman"/>
          <w:i/>
          <w:iCs/>
          <w:color w:val="000000"/>
          <w:sz w:val="22"/>
        </w:rPr>
        <w:t xml:space="preserve">possession</w:t>
      </w:r>
      <w:r>
        <w:rPr>
          <w:rFonts w:ascii="Times New Roman" w:hAnsi="Times New Roman"/>
          <w:color w:val="000000"/>
          <w:sz w:val="22"/>
        </w:rPr>
        <w:t xml:space="preserve"> </w:t>
      </w:r>
      <w:r>
        <w:rPr>
          <w:rFonts w:ascii="Times New Roman" w:hAnsi="Times New Roman"/>
          <w:color w:val="000000"/>
          <w:sz w:val="22"/>
        </w:rP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the cooking needs of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rPr>
          <w:rFonts w:ascii="Times New Roman" w:hAnsi="Times New Roman"/>
          <w:color w:val="000000"/>
          <w:sz w:val="22"/>
        </w:rPr>
        <w:t xml:space="preserve">PPOs nonetheless carry information about regional social structure, though on a different intellectual register: cultural transmission rather than signaling. Functionally, PPOs are a cooking technology that solves a practical problem and would be expected to spread on its own merits wherever the same problem is faced. Stylistically, the</w:t>
      </w:r>
      <w:r>
        <w:rPr>
          <w:rFonts w:ascii="Times New Roman" w:hAnsi="Times New Roman"/>
          <w:color w:val="000000"/>
          <w:sz w:val="22"/>
        </w:rPr>
        <w:t xml:space="preserve"> </w:t>
      </w:r>
      <w:r>
        <w:rPr>
          <w:rFonts w:ascii="Times New Roman" w:hAnsi="Times New Roman"/>
          <w:i/>
          <w:iCs/>
          <w:color w:val="000000"/>
          <w:sz w:val="22"/>
        </w:rPr>
        <w:t xml:space="preserve">forms</w:t>
      </w:r>
      <w:r>
        <w:rPr>
          <w:rFonts w:ascii="Times New Roman" w:hAnsi="Times New Roman"/>
          <w:color w:val="000000"/>
          <w:sz w:val="22"/>
        </w:rPr>
        <w:t xml:space="preserve"> </w:t>
      </w:r>
      <w:r>
        <w:rPr>
          <w:rFonts w:ascii="Times New Roman" w:hAnsi="Times New Roman"/>
          <w:color w:val="000000"/>
          <w:sz w:val="22"/>
        </w:rP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It serves as transmission data rather than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rPr>
          <w:rFonts w:ascii="Times New Roman" w:hAnsi="Times New Roman"/>
          <w:b w:val="0"/>
          <w:i w:val="0"/>
          <w:color w:val="000000"/>
          <w:sz w:val="22"/>
          <w:u w:val="single"/>
        </w:rPr>
        <w:t xml:space="preserve">2.3 The ecotone advantage</w:t>
      </w:r>
    </w:p>
    <w:p>
      <w:pPr>
        <w:pStyle w:val="FirstParagraph"/>
      </w:pPr>
      <w:r>
        <w:rPr>
          <w:rFonts w:ascii="Times New Roman" w:hAnsi="Times New Roman"/>
          <w:color w:val="000000"/>
          <w:sz w:val="22"/>
        </w:rP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rPr>
          <w:rFonts w:ascii="Times New Roman" w:hAnsi="Times New Roman"/>
          <w:color w:val="000000"/>
          <w:sz w:val="22"/>
        </w:rPr>
        <w:t xml:space="preserve"> </w:t>
      </w:r>
      <m:oMath>
        <m:r>
          <m:t>ε</m:t>
        </m:r>
      </m:oMath>
      <w:r>
        <w:rPr>
          <w:rFonts w:ascii="Times New Roman" w:hAnsi="Times New Roman"/>
          <w:color w:val="000000"/>
          <w:sz w:val="22"/>
        </w:rP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rPr>
          <w:rFonts w:ascii="Times New Roman" w:hAnsi="Times New Roman"/>
          <w:color w:val="000000"/>
          <w:sz w:val="22"/>
        </w:rPr>
        <w:t xml:space="preserve">The mechanism</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 is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small. When the local zones draw on independent shortfall drivers (e.g., drainages with different hydrographs, uplands and lowlands responding to different precipitation modes), some local zones are typically producing during regional shortfalls.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5640199"/>
            <wp:effectExtent b="0" l="0" r="0" t="0"/>
            <wp:docPr descr="" title="" id="23" name="Picture"/>
            <a:graphic>
              <a:graphicData uri="http://schemas.openxmlformats.org/drawingml/2006/picture">
                <pic:pic>
                  <pic:nvPicPr>
                    <pic:cNvPr descr="/Users/clipo/PycharmProjects/poverty-point-signaling/figures/manuscript/figure_04_ecotone_seasonal.png" id="24" name="Picture"/>
                    <pic:cNvPicPr>
                      <a:picLocks noChangeArrowheads="1" noChangeAspect="1"/>
                    </pic:cNvPicPr>
                  </pic:nvPicPr>
                  <pic:blipFill>
                    <a:blip r:embed="rId22"/>
                    <a:stretch>
                      <a:fillRect/>
                    </a:stretch>
                  </pic:blipFill>
                  <pic:spPr bwMode="auto">
                    <a:xfrm>
                      <a:off x="0" y="0"/>
                      <a:ext cx="5486400" cy="564019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4. The ecotone advantage: how multi-zone access buffers shortfall.</w:t>
      </w:r>
      <w:r>
        <w:rPr>
          <w:rFonts w:ascii="Times New Roman" w:hAnsi="Times New Roman"/>
          <w:color w:val="000000"/>
          <w:sz w:val="20"/>
        </w:rPr>
        <w:t xml:space="preserve"> </w:t>
      </w:r>
      <w:r>
        <w:rPr>
          <w:rFonts w:ascii="Times New Roman" w:hAnsi="Times New Roman"/>
          <w:i/>
          <w:iCs/>
          <w:color w:val="000000"/>
          <w:sz w:val="20"/>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Because the zones peak at staggered times, several resource types overlap in summer and at least one zone remains productive in most other seasons; this temporal complementarity, not summer abundance alone, is what the ecotone advantage exploits (Panel B).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 this variance reduction, not raw zone count.</w:t>
      </w:r>
    </w:p>
    <w:p>
      <w:pPr>
        <w:pStyle w:val="BodyText"/>
      </w:pPr>
      <w:r>
        <w:rPr>
          <w:rFonts w:ascii="Times New Roman" w:hAnsi="Times New Roman"/>
          <w:color w:val="000000"/>
          <w:sz w:val="22"/>
        </w:rP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covariance-based shortfall buffering, distinguishing it from the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rPr>
          <w:rFonts w:ascii="Times New Roman" w:hAnsi="Times New Roman"/>
          <w:b w:val="0"/>
          <w:i w:val="0"/>
          <w:color w:val="000000"/>
          <w:sz w:val="22"/>
          <w:u w:val="single"/>
        </w:rPr>
        <w:t xml:space="preserve">2.4 Fitness functions and the critical threshold</w:t>
      </w:r>
    </w:p>
    <w:p>
      <w:pPr>
        <w:pStyle w:val="FirstParagraph"/>
      </w:pPr>
      <w:r>
        <w:rPr>
          <w:rFonts w:ascii="Times New Roman" w:hAnsi="Times New Roman"/>
          <w:color w:val="000000"/>
          <w:sz w:val="22"/>
        </w:rPr>
        <w:t xml:space="preserve">Bands choose annually between the</w:t>
      </w:r>
      <w:r>
        <w:rPr>
          <w:rFonts w:ascii="Times New Roman" w:hAnsi="Times New Roman"/>
          <w:color w:val="000000"/>
          <w:sz w:val="22"/>
        </w:rPr>
        <w:t xml:space="preserve"> </w:t>
      </w:r>
      <w:r>
        <w:rPr>
          <w:rFonts w:ascii="Times New Roman" w:hAnsi="Times New Roman"/>
          <w:b/>
          <w:bCs/>
          <w:color w:val="000000"/>
          <w:sz w:val="22"/>
        </w:rPr>
        <w:t xml:space="preserve">aggregator</w:t>
      </w:r>
      <w:r>
        <w:rPr>
          <w:rFonts w:ascii="Times New Roman" w:hAnsi="Times New Roman"/>
          <w:color w:val="000000"/>
          <w:sz w:val="22"/>
        </w:rPr>
        <w:t xml:space="preserve"> </w:t>
      </w:r>
      <w:r>
        <w:rPr>
          <w:rFonts w:ascii="Times New Roman" w:hAnsi="Times New Roman"/>
          <w:color w:val="000000"/>
          <w:sz w:val="22"/>
        </w:rPr>
        <w:t xml:space="preserve">strategy (travel to the site, invest in monuments and exotics, and form reciprocal obligations) and the</w:t>
      </w:r>
      <w:r>
        <w:rPr>
          <w:rFonts w:ascii="Times New Roman" w:hAnsi="Times New Roman"/>
          <w:color w:val="000000"/>
          <w:sz w:val="22"/>
        </w:rPr>
        <w:t xml:space="preserve"> </w:t>
      </w:r>
      <w:r>
        <w:rPr>
          <w:rFonts w:ascii="Times New Roman" w:hAnsi="Times New Roman"/>
          <w:b/>
          <w:b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strategy (remain dispersed and forage independently). A band that aggregates</w:t>
      </w:r>
      <w:r>
        <w:rPr>
          <w:rFonts w:ascii="Times New Roman" w:hAnsi="Times New Roman"/>
          <w:color w:val="000000"/>
          <w:sz w:val="22"/>
        </w:rPr>
        <w:t xml:space="preserve"> </w:t>
      </w:r>
      <w:r>
        <w:rPr>
          <w:rFonts w:ascii="Times New Roman" w:hAnsi="Times New Roman"/>
          <w:i/>
          <w:iCs/>
          <w:color w:val="000000"/>
          <w:sz w:val="22"/>
        </w:rPr>
        <w:t xml:space="preserve">pays</w:t>
      </w:r>
      <w:r>
        <w:rPr>
          <w:rFonts w:ascii="Times New Roman" w:hAnsi="Times New Roman"/>
          <w:color w:val="000000"/>
          <w:sz w:val="22"/>
        </w:rPr>
        <w:t xml:space="preserve"> </w:t>
      </w:r>
      <w:r>
        <w:rPr>
          <w:rFonts w:ascii="Times New Roman" w:hAnsi="Times New Roman"/>
          <w:color w:val="000000"/>
          <w:sz w:val="22"/>
        </w:rPr>
        <w:t xml:space="preserve">to do so (travel, time away from foraging, labor on monuments) and</w:t>
      </w:r>
      <w:r>
        <w:rPr>
          <w:rFonts w:ascii="Times New Roman" w:hAnsi="Times New Roman"/>
          <w:color w:val="000000"/>
          <w:sz w:val="22"/>
        </w:rPr>
        <w:t xml:space="preserve"> </w:t>
      </w:r>
      <w:r>
        <w:rPr>
          <w:rFonts w:ascii="Times New Roman" w:hAnsi="Times New Roman"/>
          <w:i/>
          <w:iCs/>
          <w:color w:val="000000"/>
          <w:sz w:val="22"/>
        </w:rPr>
        <w:t xml:space="preserve">gains</w:t>
      </w:r>
      <w:r>
        <w:rPr>
          <w:rFonts w:ascii="Times New Roman" w:hAnsi="Times New Roman"/>
          <w:color w:val="000000"/>
          <w:sz w:val="22"/>
        </w:rPr>
        <w:t xml:space="preserve"> </w:t>
      </w:r>
      <w:r>
        <w:rPr>
          <w:rFonts w:ascii="Times New Roman" w:hAnsi="Times New Roman"/>
          <w:color w:val="000000"/>
          <w:sz w:val="22"/>
        </w:rP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sSub>
            <m:e>
              <m:r>
                <m:t>μ</m:t>
              </m:r>
            </m:e>
            <m:sub>
              <m:r>
                <m:t>c</m:t>
              </m:r>
            </m:sub>
          </m:sSub>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rPr>
          <w:rFonts w:ascii="Times New Roman" w:hAnsi="Times New Roman"/>
          <w:color w:val="000000"/>
          <w:sz w:val="22"/>
        </w:rP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rPr>
          <w:rFonts w:ascii="Times New Roman" w:hAnsi="Times New Roman"/>
          <w:color w:val="000000"/>
          <w:sz w:val="22"/>
        </w:rPr>
        <w:t xml:space="preserve"> </w:t>
      </w:r>
      <m:oMath>
        <m:r>
          <m:rPr>
            <m:sty m:val="p"/>
          </m:rPr>
          <m:t>(</m:t>
        </m:r>
        <m:r>
          <m:t>1</m:t>
        </m:r>
        <m:r>
          <m:rPr>
            <m:sty m:val="p"/>
          </m:rPr>
          <m:t>−</m:t>
        </m:r>
        <m:sSub>
          <m:e>
            <m:r>
              <m:t>C</m:t>
            </m:r>
          </m:e>
          <m:sub>
            <m:r>
              <m:t>t</m:t>
            </m:r>
            <m:r>
              <m:t>o</m:t>
            </m:r>
            <m:r>
              <m:t>t</m:t>
            </m:r>
            <m:r>
              <m:t>a</m:t>
            </m:r>
            <m:r>
              <m:t>l</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deducts travel, labor on monuments, exotic-goods investment, and foregone foraging. The shortfall-survival factor</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captures the buffering advantage of aggregators: cooperation networks allow them to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adds a within-group fitness boost to bands that contribute, scaled by 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which combines the within-group reward, the conflict-deterrence component, and the cooperation-network component. We refer to these three terms, together with 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as the model’s four signaling components. The ablation experiments in §4.3 and §S5.4 switch each one on and off, individually and in combination.</w:t>
      </w:r>
    </w:p>
    <w:p>
      <w:pPr>
        <w:pStyle w:val="BodyText"/>
      </w:pPr>
      <w:r>
        <w:rPr>
          <w:rFonts w:ascii="Times New Roman" w:hAnsi="Times New Roman"/>
          <w:color w:val="000000"/>
          <w:sz w:val="22"/>
        </w:rPr>
        <w:t xml:space="preserve">The vulnerability function</w:t>
      </w:r>
      <w:r>
        <w:rPr>
          <w:rFonts w:ascii="Times New Roman" w:hAnsi="Times New Roman"/>
          <w:color w:val="000000"/>
          <w:sz w:val="22"/>
        </w:rP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computed from the band’s cooperation network rather than set as a free input. Here</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is the number of cooperation partners a band has access to,</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controls how much each partner reduces vulnerability, and</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rPr>
          <w:rFonts w:ascii="Times New Roman" w:hAnsi="Times New Roman"/>
          <w:color w:val="000000"/>
          <w:sz w:val="22"/>
        </w:rPr>
        <w:t xml:space="preserve">). Aggregators with mature monument stocks reach within-aggregation network degree</w:t>
      </w:r>
      <w:r>
        <w:rPr>
          <w:rFonts w:ascii="Times New Roman" w:hAnsi="Times New Roman"/>
          <w:color w:val="000000"/>
          <w:sz w:val="22"/>
        </w:rPr>
        <w:t xml:space="preserve"> </w:t>
      </w:r>
      <m:oMath>
        <m:sSub>
          <m:e>
            <m:r>
              <m:t>k</m:t>
            </m:r>
          </m:e>
          <m:sub>
            <m:r>
              <m:t>a</m:t>
            </m:r>
            <m:r>
              <m:t>g</m:t>
            </m:r>
            <m:r>
              <m:t>g</m:t>
            </m:r>
          </m:sub>
        </m:sSub>
        <m:r>
          <m:rPr>
            <m:sty m:val="p"/>
          </m:rPr>
          <m:t>≈</m:t>
        </m:r>
        <m:r>
          <m:t>4</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6</m:t>
        </m:r>
      </m:oMath>
      <w:r>
        <w:rPr>
          <w:rFonts w:ascii="Times New Roman" w:hAnsi="Times New Roman"/>
          <w:color w:val="000000"/>
          <w:sz w:val="22"/>
        </w:rPr>
        <w:t xml:space="preserve">. Aggregation occupies only a fraction</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the ties formed there decay during the dispersed phase. Therefore, the effective annual 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a weighted average across the gathered and dispersed periods rather than the within-gathering value alone.</w:t>
      </w:r>
    </w:p>
    <w:p>
      <w:pPr>
        <w:pStyle w:val="BodyText"/>
      </w:pPr>
      <w:r>
        <w:rPr>
          <w:rFonts w:ascii="Times New Roman" w:hAnsi="Times New Roman"/>
          <w:color w:val="000000"/>
          <w:sz w:val="22"/>
        </w:rP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rPr>
          <w:rFonts w:ascii="Times New Roman" w:hAnsi="Times New Roman"/>
          <w:color w:val="000000"/>
          <w:sz w:val="22"/>
        </w:rPr>
        <w:t xml:space="preserve">Independents avoid the aggregation cost but face full regional uncertainty with only baseline networks and gain no signaling benefit. Parameter values are estimated from ethnographic analogy, archaeological inference, and theoretical constraint. The full justifications are in Supplemental §S2, and sensitivity analyses across all 13 parameters are in Supplemental §S3.</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the value of environmental uncertainty at which the two fitness functions cross over: below</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the independent strategy pays better, above it the aggregator strategy pays better. We find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numerically using Brent’s (1973) method, a standard one-dimensional root-finder that locates where a function changes sign. The difference</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falls steadily with rising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across the range we use, because aggregation costs do not depend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With moderate ecotone advantage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With stronger ecotone access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0.36</m:t>
        </m:r>
      </m:oMath>
      <w:r>
        <w:rPr>
          <w:rFonts w:ascii="Times New Roman" w:hAnsi="Times New Roman"/>
          <w:color w:val="000000"/>
          <w:sz w:val="22"/>
        </w:rPr>
        <w:t xml:space="preserve">. Lower thresholds mean aggregation becomes adaptive under milder environmental uncertainty.</w:t>
      </w:r>
    </w:p>
    <w:p>
      <w:pPr>
        <w:pStyle w:val="BodyText"/>
      </w:pPr>
      <w:r>
        <w:rPr>
          <w:rFonts w:ascii="Times New Roman" w:hAnsi="Times New Roman"/>
          <w:color w:val="000000"/>
          <w:sz w:val="22"/>
        </w:rPr>
        <w:t xml:space="preserve">The cooperation network feeds back on itself, which is what makes the transition 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rPr>
          <w:rFonts w:ascii="Times New Roman" w:hAnsi="Times New Roman"/>
          <w:color w:val="000000"/>
          <w:sz w:val="22"/>
        </w:rPr>
        <w:t xml:space="preserve">Monument investment builds an effective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stock attracts cooperation partners through a saturating function</w:t>
      </w:r>
      <w:r>
        <w:rPr>
          <w:rFonts w:ascii="Times New Roman" w:hAnsi="Times New Roman"/>
          <w:color w:val="000000"/>
          <w:sz w:val="22"/>
        </w:rP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rPr>
          <w:rFonts w:ascii="Times New Roman" w:hAnsi="Times New Roman"/>
          <w:color w:val="000000"/>
          <w:sz w:val="22"/>
        </w:rPr>
        <w:t xml:space="preserve">. This functional form (sometimes called Michaelis-Menten) has the property that partners are recruited steadily at low stock and then plateau</w:t>
      </w:r>
      <w:r>
        <w:rPr>
          <w:rFonts w:ascii="Times New Roman" w:hAnsi="Times New Roman"/>
          <w:color w:val="000000"/>
          <w:sz w:val="22"/>
        </w:rPr>
        <w:t xml:space="preserve"> </w:t>
      </w:r>
      <m:oMath>
        <m:sSub>
          <m:e>
            <m:r>
              <m:t>k</m:t>
            </m:r>
          </m:e>
          <m:sub>
            <m:r>
              <m:t>0</m:t>
            </m:r>
          </m:sub>
        </m:sSub>
        <m:r>
          <m:rPr>
            <m:sty m:val="p"/>
          </m:rPr>
          <m:t>+</m:t>
        </m:r>
        <m:sSub>
          <m:e>
            <m:r>
              <m:t>k</m:t>
            </m:r>
          </m:e>
          <m:sub>
            <m:r>
              <m:rPr>
                <m:sty m:val="p"/>
              </m:rPr>
              <m:t>max</m:t>
            </m:r>
          </m:sub>
        </m:sSub>
      </m:oMath>
      <w:r>
        <w:rPr>
          <w:rFonts w:ascii="Times New Roman" w:hAnsi="Times New Roman"/>
          <w:color w:val="000000"/>
          <w:sz w:val="22"/>
        </w:rPr>
        <w:t xml:space="preserve"> </w:t>
      </w:r>
      <w:r>
        <w:rPr>
          <w:rFonts w:ascii="Times New Roman" w:hAnsi="Times New Roman"/>
          <w:color w:val="000000"/>
          <w:sz w:val="22"/>
        </w:rPr>
        <w:t xml:space="preserve">as the maximum capacity is reached. A larger network reduces vulnerability through</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Lower vulnerability increases the cooperation-network component of the total signaling incentive</w:t>
      </w:r>
      <w:r>
        <w:rPr>
          <w:rFonts w:ascii="Times New Roman" w:hAnsi="Times New Roman"/>
          <w:color w:val="000000"/>
          <w:sz w:val="22"/>
        </w:rPr>
        <w:t xml:space="preserve"> </w:t>
      </w:r>
      <m:oMath>
        <m:r>
          <m:t>λ</m:t>
        </m:r>
      </m:oMath>
      <w:r>
        <w:rPr>
          <w:rFonts w:ascii="Times New Roman" w:hAnsi="Times New Roman"/>
          <w:color w:val="000000"/>
          <w:sz w:val="22"/>
        </w:rPr>
        <w:t xml:space="preserve">. A higher</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raises the optimal level of signaling investment, leading to more monuments. The four steps form a closed loop in which</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r>
          <m:t>λ</m:t>
        </m:r>
      </m:oMath>
      <w:r>
        <w:rPr>
          <w:rFonts w:ascii="Times New Roman" w:hAnsi="Times New Roman"/>
          <w:color w:val="000000"/>
          <w:sz w:val="22"/>
        </w:rPr>
        <w:t xml:space="preserve">. We solve this loop computationally by what mathematicians call</w:t>
      </w:r>
      <w:r>
        <w:rPr>
          <w:rFonts w:ascii="Times New Roman" w:hAnsi="Times New Roman"/>
          <w:color w:val="000000"/>
          <w:sz w:val="22"/>
        </w:rPr>
        <w:t xml:space="preserve"> </w:t>
      </w:r>
      <w:r>
        <w:rPr>
          <w:rFonts w:ascii="Times New Roman" w:hAnsi="Times New Roman"/>
          <w:i/>
          <w:iCs/>
          <w:color w:val="000000"/>
          <w:sz w:val="22"/>
        </w:rPr>
        <w:t xml:space="preserve">fixed-point iteration</w:t>
      </w:r>
      <w:r>
        <w:rPr>
          <w:rFonts w:ascii="Times New Roman" w:hAnsi="Times New Roman"/>
          <w:color w:val="000000"/>
          <w:sz w:val="22"/>
        </w:rPr>
        <w:t xml:space="preserve">: pick a starting value for</w:t>
      </w:r>
      <w:r>
        <w:rPr>
          <w:rFonts w:ascii="Times New Roman" w:hAnsi="Times New Roman"/>
          <w:color w:val="000000"/>
          <w:sz w:val="22"/>
        </w:rPr>
        <w:t xml:space="preserve"> </w:t>
      </w:r>
      <m:oMath>
        <m:r>
          <m:t>λ</m:t>
        </m:r>
      </m:oMath>
      <w:r>
        <w:rPr>
          <w:rFonts w:ascii="Times New Roman" w:hAnsi="Times New Roman"/>
          <w:color w:val="000000"/>
          <w:sz w:val="22"/>
        </w:rPr>
        <w:t xml:space="preserve">, compute the monument stock that value implies, recompute</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from that stock, and repeat until the value stops changing. The</w:t>
      </w:r>
      <w:r>
        <w:rPr>
          <w:rFonts w:ascii="Times New Roman" w:hAnsi="Times New Roman"/>
          <w:color w:val="000000"/>
          <w:sz w:val="22"/>
        </w:rPr>
        <w:t xml:space="preserve"> </w:t>
      </w:r>
      <w:r>
        <w:rPr>
          <w:rFonts w:ascii="Times New Roman" w:hAnsi="Times New Roman"/>
          <w:color w:val="000000"/>
          <w:sz w:val="22"/>
        </w:rPr>
        <w:t xml:space="preserve">“fixed point”</w:t>
      </w:r>
      <w:r>
        <w:rPr>
          <w:rFonts w:ascii="Times New Roman" w:hAnsi="Times New Roman"/>
          <w:color w:val="000000"/>
          <w:sz w:val="22"/>
        </w:rPr>
        <w:t xml:space="preserve"> </w:t>
      </w:r>
      <w:r>
        <w:rPr>
          <w:rFonts w:ascii="Times New Roman" w:hAnsi="Times New Roman"/>
          <w:color w:val="000000"/>
          <w:sz w:val="22"/>
        </w:rPr>
        <w:t xml:space="preserve">is the value of</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the iteration converges in 18 steps every time, and runs starting from very different initial values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all reach the same monument stock to within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The equilibrium is therefore unique at the parameter values we use. The answer the model returns does not depend on the analyst’s starting guess.</w:t>
      </w:r>
    </w:p>
    <w:p>
      <w:pPr>
        <w:pStyle w:val="BodyText"/>
      </w:pPr>
      <w:r>
        <w:rPr>
          <w:rFonts w:ascii="Times New Roman" w:hAnsi="Times New Roman"/>
          <w:color w:val="000000"/>
          <w:sz w:val="22"/>
        </w:rPr>
        <w:drawing>
          <wp:inline>
            <wp:extent cx="5486400" cy="2210359"/>
            <wp:effectExtent b="0" l="0" r="0" t="0"/>
            <wp:docPr descr="" title="" id="27" name="Picture"/>
            <a:graphic>
              <a:graphicData uri="http://schemas.openxmlformats.org/drawingml/2006/picture">
                <pic:pic>
                  <pic:nvPicPr>
                    <pic:cNvPr descr="/Users/clipo/PycharmProjects/poverty-point-signaling/figures/manuscript/figure_05_fitness_crossover.png" id="28" name="Picture"/>
                    <pic:cNvPicPr>
                      <a:picLocks noChangeArrowheads="1" noChangeAspect="1"/>
                    </pic:cNvPicPr>
                  </pic:nvPicPr>
                  <pic:blipFill>
                    <a:blip r:embed="rId26"/>
                    <a:stretch>
                      <a:fillRect/>
                    </a:stretch>
                  </pic:blipFill>
                  <pic:spPr bwMode="auto">
                    <a:xfrm>
                      <a:off x="0" y="0"/>
                      <a:ext cx="5486400" cy="221035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5. Fitness crossover and the critical threshold.</w:t>
      </w:r>
      <w:r>
        <w:rPr>
          <w:rFonts w:ascii="Times New Roman" w:hAnsi="Times New Roman"/>
          <w:color w:val="000000"/>
          <w:sz w:val="20"/>
        </w:rPr>
        <w:t xml:space="preserve"> </w:t>
      </w:r>
      <w:r>
        <w:rPr>
          <w:rFonts w:ascii="Times New Roman" w:hAnsi="Times New Roman"/>
          <w:i/>
          <w:iCs/>
          <w:color w:val="000000"/>
          <w:sz w:val="20"/>
        </w:rPr>
        <w:t xml:space="preserve">Expected fitness for aggregator (orange) and independent (purple) strategies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The strategies cross at</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given a given moderate ecotone advantage (</w:t>
      </w:r>
      <m:oMath>
        <m:r>
          <m:t>ε</m:t>
        </m:r>
        <m:r>
          <m:rPr>
            <m:sty m:val="p"/>
          </m:rPr>
          <m:t>=</m:t>
        </m:r>
        <m:r>
          <m:t>0.35</m:t>
        </m:r>
      </m:oMath>
      <w:r>
        <w:rPr>
          <w:rFonts w:ascii="Times New Roman" w:hAnsi="Times New Roman"/>
          <w:i/>
          <w:iCs/>
          <w:color w:val="000000"/>
          <w:sz w:val="20"/>
        </w:rPr>
        <w:t xml:space="preser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independent strategy yields a higher expected fitness.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aggregator strategy does. The fitness difference</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is monotonically decreasing in</w:t>
      </w:r>
      <w:r>
        <w:rPr>
          <w:rFonts w:ascii="Times New Roman" w:hAnsi="Times New Roman"/>
          <w:color w:val="000000"/>
          <w:sz w:val="20"/>
        </w:rPr>
        <w:t xml:space="preserve"> </w:t>
      </w:r>
      <m:oMath>
        <m:r>
          <m:t>σ</m:t>
        </m:r>
      </m:oMath>
      <w:r>
        <w:rPr>
          <w:rFonts w:ascii="Times New Roman" w:hAnsi="Times New Roman"/>
          <w:i/>
          <w:iCs/>
          <w:color w:val="000000"/>
          <w:sz w:val="20"/>
        </w:rPr>
        <w:t xml:space="preserve">, so the threshold is unique.</w:t>
      </w:r>
    </w:p>
    <w:bookmarkEnd w:id="29"/>
    <w:bookmarkEnd w:id="30"/>
    <w:bookmarkStart w:id="34" w:name="the-agent-based-model"/>
    <w:p>
      <w:pPr>
        <w:pStyle w:val="Heading2"/>
      </w:pPr>
      <w:r>
        <w:rPr>
          <w:rFonts w:ascii="Times New Roman" w:hAnsi="Times New Roman"/>
          <w:b w:val="0"/>
          <w:i/>
          <w:color w:val="000000"/>
          <w:sz w:val="24"/>
          <w:u w:val="none"/>
        </w:rPr>
        <w:t xml:space="preserve">3. The agent-based model</w:t>
      </w:r>
    </w:p>
    <w:p>
      <w:pPr>
        <w:pStyle w:val="FirstParagraph"/>
      </w:pPr>
      <w:r>
        <w:rPr>
          <w:rFonts w:ascii="Times New Roman" w:hAnsi="Times New Roman"/>
          <w:color w:val="000000"/>
          <w:sz w:val="22"/>
        </w:rP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rPr>
          <w:rFonts w:ascii="Times New Roman" w:hAnsi="Times New Roman"/>
          <w:color w:val="000000"/>
          <w:sz w:val="22"/>
        </w:rPr>
        <w:t xml:space="preserve"> </w:t>
      </w:r>
      <w:r>
        <w:rPr>
          <w:rFonts w:ascii="Times New Roman" w:hAnsi="Times New Roman"/>
          <w:i/>
          <w:iCs/>
          <w:color w:val="000000"/>
          <w:sz w:val="22"/>
        </w:rPr>
        <w:t xml:space="preserve">dynamic sufficiency</w:t>
      </w:r>
      <w:r>
        <w:rPr>
          <w:rFonts w:ascii="Times New Roman" w:hAnsi="Times New Roman"/>
          <w:color w:val="000000"/>
          <w:sz w:val="22"/>
        </w:rPr>
        <w:t xml:space="preserve">: whether a model’s specified state variables and transition rules contain enough machinery to generate the behavior the theory attributes to it. Dynamic sufficiency is distinct from</w:t>
      </w:r>
      <w:r>
        <w:rPr>
          <w:rFonts w:ascii="Times New Roman" w:hAnsi="Times New Roman"/>
          <w:color w:val="000000"/>
          <w:sz w:val="22"/>
        </w:rPr>
        <w:t xml:space="preserve"> </w:t>
      </w:r>
      <w:r>
        <w:rPr>
          <w:rFonts w:ascii="Times New Roman" w:hAnsi="Times New Roman"/>
          <w:i/>
          <w:iCs/>
          <w:color w:val="000000"/>
          <w:sz w:val="22"/>
        </w:rPr>
        <w:t xml:space="preserve">empirical sufficiency</w:t>
      </w:r>
      <w:r>
        <w:rPr>
          <w:rFonts w:ascii="Times New Roman" w:hAnsi="Times New Roman"/>
          <w:color w:val="000000"/>
          <w:sz w:val="22"/>
        </w:rP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rPr>
          <w:rFonts w:ascii="Times New Roman" w:hAnsi="Times New Roman"/>
          <w:color w:val="000000"/>
          <w:sz w:val="22"/>
        </w:rPr>
        <w:t xml:space="preserve">The agent-based model addresses the dynamic-sufficiency question. It implements the framework’s individual-level mechanisms as agent-level rules. It asks whether the aggregate-level patterns predicted by the theory (the sharp phase transition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rPr>
          <w:rFonts w:ascii="Times New Roman" w:hAnsi="Times New Roman"/>
          <w:color w:val="000000"/>
          <w:sz w:val="22"/>
        </w:rP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First, there is an</w:t>
      </w:r>
      <w:r>
        <w:rPr>
          <w:rFonts w:ascii="Times New Roman" w:hAnsi="Times New Roman"/>
          <w:color w:val="000000"/>
          <w:sz w:val="22"/>
        </w:rPr>
        <w:t xml:space="preserve"> </w:t>
      </w:r>
      <w:r>
        <w:rPr>
          <w:rFonts w:ascii="Times New Roman" w:hAnsi="Times New Roman"/>
          <w:b/>
          <w:bCs/>
          <w:color w:val="000000"/>
          <w:sz w:val="22"/>
        </w:rPr>
        <w:t xml:space="preserve">environment module</w:t>
      </w:r>
      <w:r>
        <w:rPr>
          <w:rFonts w:ascii="Times New Roman" w:hAnsi="Times New Roman"/>
          <w:color w:val="000000"/>
          <w:sz w:val="22"/>
        </w:rPr>
        <w:t xml:space="preserve"> </w:t>
      </w:r>
      <w:r>
        <w:rPr>
          <w:rFonts w:ascii="Times New Roman" w:hAnsi="Times New Roman"/>
          <w:color w:val="000000"/>
          <w:sz w:val="22"/>
        </w:rPr>
        <w:t xml:space="preserve">representing a heterogeneous four-zone landscape with seasonal cycles and stochastic shortfalls. Second, we use an</w:t>
      </w:r>
      <w:r>
        <w:rPr>
          <w:rFonts w:ascii="Times New Roman" w:hAnsi="Times New Roman"/>
          <w:color w:val="000000"/>
          <w:sz w:val="22"/>
        </w:rPr>
        <w:t xml:space="preserve"> </w:t>
      </w:r>
      <w:r>
        <w:rPr>
          <w:rFonts w:ascii="Times New Roman" w:hAnsi="Times New Roman"/>
          <w:b/>
          <w:bCs/>
          <w:color w:val="000000"/>
          <w:sz w:val="22"/>
        </w:rPr>
        <w:t xml:space="preserve">agent module</w:t>
      </w:r>
      <w:r>
        <w:rPr>
          <w:rFonts w:ascii="Times New Roman" w:hAnsi="Times New Roman"/>
          <w:color w:val="000000"/>
          <w:sz w:val="22"/>
        </w:rPr>
        <w:t xml:space="preserve"> </w:t>
      </w:r>
      <w:r>
        <w:rPr>
          <w:rFonts w:ascii="Times New Roman" w:hAnsi="Times New Roman"/>
          <w:color w:val="000000"/>
          <w:sz w:val="22"/>
        </w:rPr>
        <w:t xml:space="preserve">that implements band-level state (i.e., location, resources, monument investment, exotic holdings, obligation network), annual strategy choice (best-response between aggregator and independent), action execution, and reproduction (i.e., births and deaths weighted by fitness, fission at band size &gt; 30). Third, we implement a</w:t>
      </w:r>
      <w:r>
        <w:rPr>
          <w:rFonts w:ascii="Times New Roman" w:hAnsi="Times New Roman"/>
          <w:color w:val="000000"/>
          <w:sz w:val="22"/>
        </w:rPr>
        <w:t xml:space="preserve"> </w:t>
      </w:r>
      <w:r>
        <w:rPr>
          <w:rFonts w:ascii="Times New Roman" w:hAnsi="Times New Roman"/>
          <w:b/>
          <w:bCs/>
          <w:color w:val="000000"/>
          <w:sz w:val="22"/>
        </w:rPr>
        <w:t xml:space="preserve">simulation controller</w:t>
      </w:r>
      <w:r>
        <w:rPr>
          <w:rFonts w:ascii="Times New Roman" w:hAnsi="Times New Roman"/>
          <w:color w:val="000000"/>
          <w:sz w:val="22"/>
        </w:rPr>
        <w:t xml:space="preserve"> </w:t>
      </w:r>
      <w:r>
        <w:rPr>
          <w:rFonts w:ascii="Times New Roman" w:hAnsi="Times New Roman"/>
          <w:color w:val="000000"/>
          <w:sz w:val="22"/>
        </w:rPr>
        <w:t xml:space="preserve">that orchestrates the annual aggregation-dispersal cycle.</w:t>
      </w:r>
    </w:p>
    <w:p>
      <w:pPr>
        <w:pStyle w:val="BodyText"/>
      </w:pPr>
      <w:r>
        <w:rPr>
          <w:rFonts w:ascii="Times New Roman" w:hAnsi="Times New Roman"/>
          <w:color w:val="000000"/>
          <w:sz w:val="22"/>
        </w:rP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Instead, they choose probabilistically. For the binary aggregator-versus-independent choice, the model uses a logit on the fitness difference</w:t>
      </w:r>
      <w:r>
        <w:rPr>
          <w:rFonts w:ascii="Times New Roman" w:hAnsi="Times New Roman"/>
          <w:color w:val="000000"/>
          <w:sz w:val="22"/>
        </w:rPr>
        <w:t xml:space="preserve"> </w:t>
      </w:r>
      <m:oMath>
        <m:r>
          <m:rPr>
            <m:sty m:val="p"/>
          </m:rPr>
          <m:t>Δ</m:t>
        </m:r>
        <m:r>
          <m:t>W</m:t>
        </m:r>
        <m:r>
          <m:rPr>
            <m:sty m:val="p"/>
          </m:rPr>
          <m:t>=</m:t>
        </m:r>
        <m:sSub>
          <m:e>
            <m:r>
              <m:t>W</m:t>
            </m:r>
          </m:e>
          <m:sub>
            <m:r>
              <m:rPr>
                <m:sty m:val="p"/>
              </m:rPr>
              <m:t>a</m:t>
            </m:r>
            <m:r>
              <m:rPr>
                <m:sty m:val="p"/>
              </m:rPr>
              <m:t>g</m:t>
            </m:r>
            <m:r>
              <m:rPr>
                <m:sty m:val="p"/>
              </m:rPr>
              <m:t>g</m:t>
            </m:r>
          </m:sub>
        </m:sSub>
        <m:r>
          <m:rPr>
            <m:sty m:val="p"/>
          </m:rPr>
          <m:t>−</m:t>
        </m:r>
        <m:sSub>
          <m:e>
            <m:r>
              <m:t>W</m:t>
            </m:r>
          </m:e>
          <m:sub>
            <m:r>
              <m:rPr>
                <m:sty m:val="p"/>
              </m:rPr>
              <m:t>i</m:t>
            </m:r>
            <m:r>
              <m:rPr>
                <m:sty m:val="p"/>
              </m:rPr>
              <m:t>n</m:t>
            </m:r>
            <m:r>
              <m:rPr>
                <m:sty m:val="p"/>
              </m:rPr>
              <m:t>d</m:t>
            </m:r>
          </m:sub>
        </m:sSub>
      </m:oMath>
      <w:r>
        <w:rPr>
          <w:rFonts w:ascii="Times New Roman" w:hAnsi="Times New Roman"/>
          <w:color w:val="000000"/>
          <w:sz w:val="22"/>
        </w:rPr>
        <w:t xml:space="preserve">, with</w:t>
      </w:r>
      <w:r>
        <w:rPr>
          <w:rFonts w:ascii="Times New Roman" w:hAnsi="Times New Roman"/>
          <w:color w:val="000000"/>
          <w:sz w:val="22"/>
        </w:rPr>
        <w:t xml:space="preserve"> </w:t>
      </w:r>
      <m:oMath>
        <m:sSub>
          <m:e>
            <m:r>
              <m:t>p</m:t>
            </m:r>
          </m:e>
          <m:sub>
            <m:r>
              <m:rPr>
                <m:sty m:val="p"/>
              </m:rPr>
              <m:t>a</m:t>
            </m:r>
            <m:r>
              <m:rPr>
                <m:sty m:val="p"/>
              </m:rPr>
              <m:t>g</m:t>
            </m:r>
            <m:r>
              <m:rPr>
                <m:sty m:val="p"/>
              </m:rP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and a softmax temperature</w:t>
      </w:r>
      <w:r>
        <w:rPr>
          <w:rFonts w:ascii="Times New Roman" w:hAnsi="Times New Roman"/>
          <w:color w:val="000000"/>
          <w:sz w:val="22"/>
        </w:rPr>
        <w:t xml:space="preserve"> </w:t>
      </w:r>
      <m:oMath>
        <m:r>
          <m:t>τ</m:t>
        </m:r>
        <m:r>
          <m:rPr>
            <m:sty m:val="p"/>
          </m:rPr>
          <m:t>=</m:t>
        </m:r>
        <m:r>
          <m:t>0.1</m:t>
        </m:r>
      </m:oMath>
      <w:r>
        <w:rPr>
          <w:rFonts w:ascii="Times New Roman" w:hAnsi="Times New Roman"/>
          <w:color w:val="000000"/>
          <w:sz w:val="22"/>
        </w:rPr>
        <w:t xml:space="preserve">. Low</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a near-deterministic choice. High</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nearly a random choice.</w:t>
      </w:r>
    </w:p>
    <w:p>
      <w:pPr>
        <w:pStyle w:val="BodyText"/>
      </w:pPr>
      <w:r>
        <w:rPr>
          <w:rFonts w:ascii="Times New Roman" w:hAnsi="Times New Roman"/>
          <w:color w:val="000000"/>
          <w:sz w:val="22"/>
        </w:rPr>
        <w:t xml:space="preserve">We use the low value,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The model also implements a small memory effect that adjusts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before the logit is applied: if a band has been aggregating. Its recent five-year fitness is above its long-term mean, the recent-success signal nudges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in favor of continuing to aggregate (and symmetrically for the independent strategy and for the reverse case where recent fitness is below the long-term mean). The adjustment is at the same magnitude as the per-step sensitivity of</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so it can plausibly shift the threshold location. A sensitivity probe reported in §S3.1 confirms that removing the memory adjustment shifts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less than 0.01 across the canonical parameter range. The memory effect is therefore documented for transparency, but does not substantively change the threshold-location result.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rPr>
          <w:rFonts w:ascii="Times New Roman" w:hAnsi="Times New Roman"/>
          <w:color w:val="000000"/>
          <w:sz w:val="22"/>
        </w:rP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create the multi-zone buffering effect captured by the ecotone advantage parameter</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Stochastic shortfalls (e.g., drought years, exceptional floods, mast-crop failures) are characterized by two parameters: how often they occur (</w:t>
      </w:r>
      <w:r>
        <w:rPr>
          <w:rFonts w:ascii="Times New Roman" w:hAnsi="Times New Roman"/>
          <w:i/>
          <w:iCs/>
          <w:color w:val="000000"/>
          <w:sz w:val="22"/>
        </w:rPr>
        <w:t xml:space="preserve">recurrence frequency</w:t>
      </w:r>
      <w:r>
        <w:rPr>
          <w:rFonts w:ascii="Times New Roman" w:hAnsi="Times New Roman"/>
          <w:color w:val="000000"/>
          <w:sz w:val="22"/>
        </w:rPr>
        <w:t xml:space="preserve">) and how badly they reduce productivity when they occur (</w:t>
      </w:r>
      <w:r>
        <w:rPr>
          <w:rFonts w:ascii="Times New Roman" w:hAnsi="Times New Roman"/>
          <w:i/>
          <w:iCs/>
          <w:color w:val="000000"/>
          <w:sz w:val="22"/>
        </w:rPr>
        <w:t xml:space="preserve">magnitude</w:t>
      </w:r>
      <w:r>
        <w:rPr>
          <w:rFonts w:ascii="Times New Roman" w:hAnsi="Times New Roman"/>
          <w:color w:val="000000"/>
          <w:sz w:val="22"/>
        </w:rPr>
        <w:t xml:space="preserve">). The model collapses these two into a single composite uncertainty index,</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is the average proportional productivity loss in a shortfall year (so</w:t>
      </w:r>
      <w:r>
        <w:rPr>
          <w:rFonts w:ascii="Times New Roman" w:hAnsi="Times New Roman"/>
          <w:color w:val="000000"/>
          <w:sz w:val="22"/>
        </w:rPr>
        <w:t xml:space="preserve"> </w:t>
      </w:r>
      <m:oMath>
        <m:r>
          <m:t>m</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means a shortfall year delivers 55% of normal productivity) and</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is the mean spacing between shortfalls. The derivation (Supplemental §S1.4) treats shortfalls as random events that arrive at an average rate of one per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 each reducing that year’s productivity by</w:t>
      </w:r>
      <w:r>
        <w:rPr>
          <w:rFonts w:ascii="Times New Roman" w:hAnsi="Times New Roman"/>
          <w:color w:val="000000"/>
          <w:sz w:val="22"/>
        </w:rPr>
        <w:t xml:space="preserve"> </w:t>
      </w:r>
      <m:oMath>
        <m:r>
          <m:t>m</m:t>
        </m:r>
      </m:oMath>
      <w:r>
        <w:rPr>
          <w:rFonts w:ascii="Times New Roman" w:hAnsi="Times New Roman"/>
          <w:color w:val="000000"/>
          <w:sz w:val="22"/>
        </w:rPr>
        <w:t xml:space="preserve">. Standard probability theory then gives the standard deviation of annual productivity loss across many years as</w:t>
      </w:r>
      <w:r>
        <w:rPr>
          <w:rFonts w:ascii="Times New Roman" w:hAnsi="Times New Roman"/>
          <w:color w:val="000000"/>
          <w:sz w:val="22"/>
        </w:rPr>
        <w:t xml:space="preserve"> </w:t>
      </w:r>
      <m:oMath>
        <m:r>
          <m:t>m</m:t>
        </m:r>
        <m:r>
          <m:rPr>
            <m:sty m:val="p"/>
          </m:rPr>
          <m:t>/</m:t>
        </m:r>
        <m:rad>
          <m:radPr>
            <m:degHide m:val="on"/>
          </m:radPr>
          <m:deg/>
          <m:e>
            <m:r>
              <m:t>T</m:t>
            </m:r>
          </m:e>
        </m:rad>
      </m:oMath>
      <w:r>
        <w:rPr>
          <w:rFonts w:ascii="Times New Roman" w:hAnsi="Times New Roman"/>
          <w:color w:val="000000"/>
          <w:sz w:val="22"/>
        </w:rPr>
        <w:t xml:space="preserve">. We multiply by</w:t>
      </w:r>
      <w:r>
        <w:rPr>
          <w:rFonts w:ascii="Times New Roman" w:hAnsi="Times New Roman"/>
          <w:color w:val="000000"/>
          <w:sz w:val="22"/>
        </w:rPr>
        <w:t xml:space="preserve"> </w:t>
      </w:r>
      <m:oMath>
        <m:rad>
          <m:radPr>
            <m:degHide m:val="on"/>
          </m:radPr>
          <m:deg/>
          <m:e>
            <m:r>
              <m:t>20</m:t>
            </m:r>
          </m:e>
        </m:rad>
      </m:oMath>
      <w:r>
        <w:rPr>
          <w:rFonts w:ascii="Times New Roman" w:hAnsi="Times New Roman"/>
          <w:color w:val="000000"/>
          <w:sz w:val="22"/>
        </w:rPr>
        <w:t xml:space="preserve"> </w:t>
      </w:r>
      <w:r>
        <w:rPr>
          <w:rFonts w:ascii="Times New Roman" w:hAnsi="Times New Roman"/>
          <w:color w:val="000000"/>
          <w:sz w:val="22"/>
        </w:rPr>
        <w:t xml:space="preserve">to express this in 20-year-reference units, so that a shortfall regime with</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r>
          <m:t>σ</m:t>
        </m:r>
        <m:r>
          <m:rPr>
            <m:sty m:val="p"/>
          </m:rPr>
          <m:t>=</m:t>
        </m:r>
        <m:r>
          <m:t>m</m:t>
        </m:r>
      </m:oMath>
      <w:r>
        <w:rPr>
          <w:rFonts w:ascii="Times New Roman" w:hAnsi="Times New Roman"/>
          <w:color w:val="000000"/>
          <w:sz w:val="22"/>
        </w:rPr>
        <w:t xml:space="preserve">. The intuitive consequence is that frequency and magnitude trade off. A regime with severity-0.5 shortfalls every twenty years yields the same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as a regime with severity-0.25 shortfalls every five years, because both expose a band to the same cumulative variance over a generation-scale horizon.</w:t>
      </w:r>
    </w:p>
    <w:p>
      <w:pPr>
        <w:pStyle w:val="BodyText"/>
      </w:pPr>
      <w:r>
        <w:rPr>
          <w:rFonts w:ascii="Times New Roman" w:hAnsi="Times New Roman"/>
          <w:color w:val="000000"/>
          <w:sz w:val="22"/>
        </w:rPr>
        <w:t xml:space="preserve">A note on interpretation is in order, because the symbol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conventionally read as a statistical standard deviation. In the fitness functions of §2.4,</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rPr>
          <w:rFonts w:ascii="Times New Roman" w:hAnsi="Times New Roman"/>
          <w:color w:val="000000"/>
          <w:sz w:val="22"/>
        </w:rPr>
        <w:t xml:space="preserve"> </w:t>
      </w:r>
      <w:r>
        <w:rPr>
          <w:rFonts w:ascii="Times New Roman" w:hAnsi="Times New Roman"/>
          <w:color w:val="000000"/>
          <w:sz w:val="22"/>
        </w:rPr>
        <w:t xml:space="preserve">“effective shortfall severity index over a 20-year horizon,”</w:t>
      </w:r>
      <w:r>
        <w:rPr>
          <w:rFonts w:ascii="Times New Roman" w:hAnsi="Times New Roman"/>
          <w:color w:val="000000"/>
          <w:sz w:val="22"/>
        </w:rPr>
        <w:t xml:space="preserve"> </w:t>
      </w:r>
      <w:r>
        <w:rPr>
          <w:rFonts w:ascii="Times New Roman" w:hAnsi="Times New Roman"/>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“year-to-year variability in harvest yields.”</w:t>
      </w:r>
      <w:r>
        <w:rPr>
          <w:rFonts w:ascii="Times New Roman" w:hAnsi="Times New Roman"/>
          <w:color w:val="000000"/>
          <w:sz w:val="22"/>
        </w:rPr>
        <w:t xml:space="preserve"> </w:t>
      </w:r>
      <w:r>
        <w:rPr>
          <w:rFonts w:ascii="Times New Roman" w:hAnsi="Times New Roman"/>
          <w:color w:val="000000"/>
          <w:sz w:val="22"/>
        </w:rPr>
        <w:t xml:space="preserve">A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while a longer one (say, 50 years) would yield larger values, because more shortfalls accumulate over a longer span. Critically, this rescaling does not affect the comparisons that drive the analysis. The empirical estimate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(i.e., the severity inferred from late-Holocene Lower Mississippi Valley paleoclimate proxies; §5.5) and the model-derived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are computed on the same scale, so their ratio is invariant under any consistent change of reference window. We confirm this in §S1.4: across</w:t>
      </w:r>
      <w:r>
        <w:rPr>
          <w:rFonts w:ascii="Times New Roman" w:hAnsi="Times New Roman"/>
          <w:color w:val="000000"/>
          <w:sz w:val="22"/>
        </w:rP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r>
          <m:rPr>
            <m:sty m:val="p"/>
          </m:rPr>
          <m:t>=</m:t>
        </m:r>
        <m:r>
          <m:t>1.591</m:t>
        </m:r>
      </m:oMath>
      <w:r>
        <w:rPr>
          <w:rFonts w:ascii="Times New Roman" w:hAnsi="Times New Roman"/>
          <w:color w:val="000000"/>
          <w:sz w:val="22"/>
        </w:rPr>
        <w:t xml:space="preserve"> </w:t>
      </w:r>
      <w:r>
        <w:rPr>
          <w:rFonts w:ascii="Times New Roman" w:hAnsi="Times New Roman"/>
          <w:color w:val="000000"/>
          <w:sz w:val="22"/>
        </w:rPr>
        <w:t xml:space="preserve">is preserved exactly. This invariance is what makes threshold-proximity comparisons meaningful, and we rely on it when reporting results below.</w:t>
      </w:r>
    </w:p>
    <w:p>
      <w:pPr>
        <w:pStyle w:val="BodyText"/>
      </w:pPr>
      <w:r>
        <w:rPr>
          <w:rFonts w:ascii="Times New Roman" w:hAnsi="Times New Roman"/>
          <w:color w:val="000000"/>
          <w:sz w:val="22"/>
        </w:rPr>
        <w:t xml:space="preserve">The aggregator fitness function combines vulnerability and shortfall severity multiplicatively, as</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where</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vulnerability coefficient (i.e., the fraction of unbuffered shortfall loss the band actually experiences given its network) 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effective shortfall severity. The plain-language reading of the function is</w:t>
      </w:r>
      <w:r>
        <w:rPr>
          <w:rFonts w:ascii="Times New Roman" w:hAnsi="Times New Roman"/>
          <w:color w:val="000000"/>
          <w:sz w:val="22"/>
        </w:rPr>
        <w:t xml:space="preserve"> </w:t>
      </w:r>
      <w:r>
        <w:rPr>
          <w:rFonts w:ascii="Times New Roman" w:hAnsi="Times New Roman"/>
          <w:color w:val="000000"/>
          <w:sz w:val="22"/>
        </w:rPr>
        <w:t xml:space="preserve">“fraction of productivity lost = vulnerability × severity.”</w:t>
      </w:r>
      <w:r>
        <w:rPr>
          <w:rFonts w:ascii="Times New Roman" w:hAnsi="Times New Roman"/>
          <w:color w:val="000000"/>
          <w:sz w:val="22"/>
        </w:rPr>
        <w:t xml:space="preserve"> </w:t>
      </w:r>
      <w:r>
        <w:rPr>
          <w:rFonts w:ascii="Times New Roman" w:hAnsi="Times New Roman"/>
          <w:color w:val="000000"/>
          <w:sz w:val="22"/>
        </w:rPr>
        <w:t xml:space="preserve">This product is the principled choice given the meanings of the two factors:</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does not denote a fractional loss in its own right. Instead, it modulates how a</w:t>
      </w:r>
      <w:r>
        <w:rPr>
          <w:rFonts w:ascii="Times New Roman" w:hAnsi="Times New Roman"/>
          <w:color w:val="000000"/>
          <w:sz w:val="22"/>
        </w:rPr>
        <w:t xml:space="preserve"> </w:t>
      </w:r>
      <m:oMath>
        <m:r>
          <m:t>σ</m:t>
        </m:r>
      </m:oMath>
      <w:r>
        <w:rPr>
          <w:rFonts w:ascii="Times New Roman" w:hAnsi="Times New Roman"/>
          <w:color w:val="000000"/>
          <w:sz w:val="22"/>
        </w:rPr>
        <w:t xml:space="preserve">-induced loss is perceived, and the multiplicative coupling ensures that modulation operates on the right scale. We considered two alternative couplings discussed in the broader risk-pooling literature,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and document them in §S3.6. Direct substitution of either alternative produces degenerate or quantitatively incomparable results because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not on commensurate scales (a vulnerability coefficient is not a hazard rate), so a fair coupling-form comparison would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a probability-like quantity. We retain the multiplicative form throughout the analyses below, and report the §S3.6 reformulation as evidence that the phase-transition structure (a sharp transition at some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is a generic property of the framework rather than the result of this specific functional form.</w:t>
      </w:r>
    </w:p>
    <w:p>
      <w:pPr>
        <w:pStyle w:val="BodyText"/>
      </w:pPr>
      <w:r>
        <w:rPr>
          <w:rFonts w:ascii="Times New Roman" w:hAnsi="Times New Roman"/>
          <w:b/>
          <w:bCs/>
          <w:color w:val="000000"/>
          <w:sz w:val="22"/>
        </w:rPr>
        <w:t xml:space="preserve">Run configurations.</w:t>
      </w:r>
      <w:r>
        <w:rPr>
          <w:rFonts w:ascii="Times New Roman" w:hAnsi="Times New Roman"/>
          <w:color w:val="000000"/>
          <w:sz w:val="22"/>
        </w:rPr>
        <w:t xml:space="preserve"> </w:t>
      </w:r>
      <w:r>
        <w:rPr>
          <w:rFonts w:ascii="Times New Roman" w:hAnsi="Times New Roman"/>
          <w:color w:val="000000"/>
          <w:sz w:val="22"/>
        </w:rPr>
        <w:t xml:space="preserve">The model is run in three configurations in this study, each addressing a different question and each labeled at the point of use.</w:t>
      </w:r>
    </w:p>
    <w:p>
      <w:pPr>
        <w:numPr>
          <w:ilvl w:val="0"/>
          <w:numId w:val="1001"/>
        </w:numPr>
      </w:pPr>
      <w:r>
        <w:rPr>
          <w:rFonts w:ascii="Times New Roman" w:hAnsi="Times New Roman"/>
          <w:i/>
          <w:iCs/>
          <w:color w:val="000000"/>
          <w:sz w:val="22"/>
        </w:rPr>
        <w:t xml:space="preserve">Phase-transition sweep</w:t>
      </w:r>
      <w:r>
        <w:rPr>
          <w:rFonts w:ascii="Times New Roman" w:hAnsi="Times New Roman"/>
          <w:color w:val="000000"/>
          <w:sz w:val="22"/>
        </w:rPr>
        <w:t xml:space="preserve"> </w:t>
      </w:r>
      <w:r>
        <w:rPr>
          <w:rFonts w:ascii="Times New Roman" w:hAnsi="Times New Roman"/>
          <w:color w:val="000000"/>
          <w:sz w:val="22"/>
        </w:rP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rFonts w:ascii="Times New Roman" w:hAnsi="Times New Roman"/>
          <w:i/>
          <w:iCs/>
          <w:color w:val="000000"/>
          <w:sz w:val="22"/>
        </w:rPr>
        <w:t xml:space="preserve">Ablation experiment</w:t>
      </w:r>
      <w:r>
        <w:rPr>
          <w:rFonts w:ascii="Times New Roman" w:hAnsi="Times New Roman"/>
          <w:color w:val="000000"/>
          <w:sz w:val="22"/>
        </w:rPr>
        <w:t xml:space="preserve"> </w:t>
      </w:r>
      <w:r>
        <w:rPr>
          <w:rFonts w:ascii="Times New Roman" w:hAnsi="Times New Roman"/>
          <w:color w:val="000000"/>
          <w:sz w:val="22"/>
        </w:rP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rFonts w:ascii="Times New Roman" w:hAnsi="Times New Roman"/>
          <w:i/>
          <w:iCs/>
          <w:color w:val="000000"/>
          <w:sz w:val="22"/>
        </w:rPr>
        <w:t xml:space="preserve">One-at-a-time (OAT) sensitivity</w:t>
      </w:r>
      <w:r>
        <w:rPr>
          <w:rFonts w:ascii="Times New Roman" w:hAnsi="Times New Roman"/>
          <w:color w:val="000000"/>
          <w:sz w:val="22"/>
        </w:rPr>
        <w:t xml:space="preserve"> </w:t>
      </w:r>
      <w:r>
        <w:rPr>
          <w:rFonts w:ascii="Times New Roman" w:hAnsi="Times New Roman"/>
          <w:color w:val="000000"/>
          <w:sz w:val="22"/>
        </w:rPr>
        <w:t xml:space="preserve">(§S3.1): tests how strongly each model parameter influences the critical threshold. Each parameter is shifted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its default value, and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recomputed analytically as the value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rFonts w:ascii="Times New Roman" w:hAnsi="Times New Roman"/>
          <w:b/>
          <w:bCs/>
          <w:color w:val="000000"/>
          <w:sz w:val="22"/>
        </w:rPr>
        <w:t xml:space="preserve">Restructured network-saturation function (§S5.2).</w:t>
      </w:r>
      <w:r>
        <w:rPr>
          <w:rFonts w:ascii="Times New Roman" w:hAnsi="Times New Roman"/>
          <w:color w:val="000000"/>
          <w:sz w:val="22"/>
        </w:rPr>
        <w:t xml:space="preserve"> </w:t>
      </w:r>
      <w:r>
        <w:rPr>
          <w:rFonts w:ascii="Times New Roman" w:hAnsi="Times New Roman"/>
          <w:color w:val="000000"/>
          <w:sz w:val="22"/>
        </w:rPr>
        <w:t xml:space="preserve">The default formulation of the cooperation-network component,</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captures only the</w:t>
      </w:r>
      <w:r>
        <w:rPr>
          <w:rFonts w:ascii="Times New Roman" w:hAnsi="Times New Roman"/>
          <w:color w:val="000000"/>
          <w:sz w:val="22"/>
        </w:rPr>
        <w:t xml:space="preserve"> </w:t>
      </w:r>
      <w:r>
        <w:rPr>
          <w:rFonts w:ascii="Times New Roman" w:hAnsi="Times New Roman"/>
          <w:i/>
          <w:iCs/>
          <w:color w:val="000000"/>
          <w:sz w:val="22"/>
        </w:rPr>
        <w:t xml:space="preserve">incremental</w:t>
      </w:r>
      <w:r>
        <w:rPr>
          <w:rFonts w:ascii="Times New Roman" w:hAnsi="Times New Roman"/>
          <w:color w:val="000000"/>
          <w:sz w:val="22"/>
        </w:rPr>
        <w:t xml:space="preserve"> </w:t>
      </w:r>
      <w:r>
        <w:rPr>
          <w:rFonts w:ascii="Times New Roman" w:hAnsi="Times New Roman"/>
          <w:color w:val="000000"/>
          <w:sz w:val="22"/>
        </w:rPr>
        <w:t xml:space="preserve">value of one additional partner. Once a band has already accumulated many partners through past investment, that incremental value approaches zero, and so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effectively goes silent at equilibrium, even though the network itself is still doing real work, buffering shortfalls. To recover that buffering value, we test a restructured form that adds an absolute</w:t>
      </w:r>
      <w:r>
        <w:rPr>
          <w:rFonts w:ascii="Times New Roman" w:hAnsi="Times New Roman"/>
          <w:color w:val="000000"/>
          <w:sz w:val="22"/>
        </w:rPr>
        <w:t xml:space="preserve"> </w:t>
      </w:r>
      <w:r>
        <w:rPr>
          <w:rFonts w:ascii="Times New Roman" w:hAnsi="Times New Roman"/>
          <w:i/>
          <w:iCs/>
          <w:color w:val="000000"/>
          <w:sz w:val="22"/>
        </w:rPr>
        <w:t xml:space="preserve">network-density</w:t>
      </w:r>
      <w:r>
        <w:rPr>
          <w:rFonts w:ascii="Times New Roman" w:hAnsi="Times New Roman"/>
          <w:color w:val="000000"/>
          <w:sz w:val="22"/>
        </w:rPr>
        <w:t xml:space="preserve"> </w:t>
      </w:r>
      <w:r>
        <w:rPr>
          <w:rFonts w:ascii="Times New Roman" w:hAnsi="Times New Roman"/>
          <w:color w:val="000000"/>
          <w:sz w:val="22"/>
        </w:rP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controls how much this density term contributes. 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the formulation reduces to the default, and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the density term adds</w:t>
      </w:r>
      <w:r>
        <w:rPr>
          <w:rFonts w:ascii="Times New Roman" w:hAnsi="Times New Roman"/>
          <w:color w:val="000000"/>
          <w:sz w:val="22"/>
        </w:rPr>
        <w:t xml:space="preserve"> </w:t>
      </w:r>
      <m:oMath>
        <m:r>
          <m:t>0.03</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at equilibrium. The full functional form and parameter values are given in §S5.2. The implications for the §4.3 ablation are developed below.</w:t>
      </w:r>
    </w:p>
    <w:p>
      <w:pPr>
        <w:pStyle w:val="BodyText"/>
      </w:pPr>
      <w:r>
        <w:rPr>
          <w:rFonts w:ascii="Times New Roman" w:hAnsi="Times New Roman"/>
          <w:color w:val="000000"/>
          <w:sz w:val="22"/>
        </w:rPr>
        <w:drawing>
          <wp:inline>
            <wp:extent cx="5486400" cy="4799228"/>
            <wp:effectExtent b="0" l="0" r="0" t="0"/>
            <wp:docPr descr="" title="" id="32" name="Picture"/>
            <a:graphic>
              <a:graphicData uri="http://schemas.openxmlformats.org/drawingml/2006/picture">
                <pic:pic>
                  <pic:nvPicPr>
                    <pic:cNvPr descr="/Users/clipo/PycharmProjects/poverty-point-signaling/figures/manuscript/figure_06_model_architecture.png" id="33" name="Picture"/>
                    <pic:cNvPicPr>
                      <a:picLocks noChangeArrowheads="1" noChangeAspect="1"/>
                    </pic:cNvPicPr>
                  </pic:nvPicPr>
                  <pic:blipFill>
                    <a:blip r:embed="rId31"/>
                    <a:stretch>
                      <a:fillRect/>
                    </a:stretch>
                  </pic:blipFill>
                  <pic:spPr bwMode="auto">
                    <a:xfrm>
                      <a:off x="0" y="0"/>
                      <a:ext cx="5486400" cy="4799228"/>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6. Agent-based model architecture.</w:t>
      </w:r>
      <w:r>
        <w:rPr>
          <w:rFonts w:ascii="Times New Roman" w:hAnsi="Times New Roman"/>
          <w:color w:val="000000"/>
          <w:sz w:val="20"/>
        </w:rPr>
        <w:t xml:space="preserve"> </w:t>
      </w:r>
      <w:r>
        <w:rPr>
          <w:rFonts w:ascii="Times New Roman" w:hAnsi="Times New Roman"/>
          <w:i/>
          <w:iCs/>
          <w:color w:val="000000"/>
          <w:sz w:val="20"/>
        </w:rPr>
        <w:t xml:space="preserve">(A) Environment module: heterogeneous four-zone landscape (i.e., aquatic, terrestrial game, mast, ecotone-edge) with seasonal cycles and stochastic shortfalls. The ecotone parameter</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rPr>
          <w:rFonts w:ascii="Times New Roman" w:hAnsi="Times New Roman"/>
          <w:color w:val="000000"/>
          <w:sz w:val="20"/>
        </w:rPr>
        <w:t xml:space="preserve"> </w:t>
      </w:r>
      <m:oMath>
        <m:sSub>
          <m:e>
            <m:r>
              <m:t>W</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(eq. §2.4) determine the critical threshold</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rPr>
          <w:rFonts w:ascii="Times New Roman" w:hAnsi="Times New Roman"/>
          <w:b w:val="0"/>
          <w:i/>
          <w:color w:val="000000"/>
          <w:sz w:val="24"/>
          <w:u w:val="none"/>
        </w:rPr>
        <w:t xml:space="preserve">4. Theory and simulation results</w:t>
      </w:r>
    </w:p>
    <w:bookmarkStart w:id="41" w:name="phase-transition"/>
    <w:p>
      <w:pPr>
        <w:pStyle w:val="Heading3"/>
      </w:pPr>
      <w:r>
        <w:rPr>
          <w:rFonts w:ascii="Times New Roman" w:hAnsi="Times New Roman"/>
          <w:b w:val="0"/>
          <w:i w:val="0"/>
          <w:color w:val="000000"/>
          <w:sz w:val="22"/>
          <w:u w:val="single"/>
        </w:rPr>
        <w:t xml:space="preserve">4.1 Phase transition</w:t>
      </w:r>
    </w:p>
    <w:p>
      <w:pPr>
        <w:pStyle w:val="FirstParagraph"/>
      </w:pPr>
      <w:r>
        <w:rPr>
          <w:rFonts w:ascii="Times New Roman" w:hAnsi="Times New Roman"/>
          <w:color w:val="000000"/>
          <w:sz w:val="22"/>
        </w:rPr>
        <w:t xml:space="preserve">The first test is whether the simulation exhibits the sharp behavioral threshold predicted by the theory. We define the</w:t>
      </w:r>
      <w:r>
        <w:rPr>
          <w:rFonts w:ascii="Times New Roman" w:hAnsi="Times New Roman"/>
          <w:color w:val="000000"/>
          <w:sz w:val="22"/>
        </w:rPr>
        <w:t xml:space="preserve"> </w:t>
      </w:r>
      <w:r>
        <w:rPr>
          <w:rFonts w:ascii="Times New Roman" w:hAnsi="Times New Roman"/>
          <w:b/>
          <w:bCs/>
          <w:color w:val="000000"/>
          <w:sz w:val="22"/>
        </w:rPr>
        <w:t xml:space="preserve">strategy-dominance metric</w:t>
      </w:r>
      <w:r>
        <w:rPr>
          <w:rFonts w:ascii="Times New Roman" w:hAnsi="Times New Roman"/>
          <w:color w:val="000000"/>
          <w:sz w:val="22"/>
        </w:rPr>
        <w:t xml:space="preserve"> </w:t>
      </w:r>
      <w:r>
        <w:rPr>
          <w:rFonts w:ascii="Times New Roman" w:hAnsi="Times New Roman"/>
          <w:color w:val="000000"/>
          <w:sz w:val="22"/>
        </w:rPr>
        <w:t xml:space="preserve">as the population fraction of aggregator bands minus the population fraction of independent bands, ranging from</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independent) to</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aggregator), with</w:t>
      </w:r>
      <w:r>
        <w:rPr>
          <w:rFonts w:ascii="Times New Roman" w:hAnsi="Times New Roman"/>
          <w:color w:val="000000"/>
          <w:sz w:val="22"/>
        </w:rPr>
        <w:t xml:space="preserve"> </w:t>
      </w:r>
      <m:oMath>
        <m:r>
          <m:t>0</m:t>
        </m:r>
      </m:oMath>
      <w:r>
        <w:rPr>
          <w:rFonts w:ascii="Times New Roman" w:hAnsi="Times New Roman"/>
          <w:color w:val="000000"/>
          <w:sz w:val="22"/>
        </w:rPr>
        <w:t xml:space="preserve"> </w:t>
      </w:r>
      <w:r>
        <w:rPr>
          <w:rFonts w:ascii="Times New Roman" w:hAnsi="Times New Roman"/>
          <w:color w:val="000000"/>
          <w:sz w:val="22"/>
        </w:rPr>
        <w:t xml:space="preserve">indicating parity. Running the model at PP-scenario parameters (</w:t>
      </w:r>
      <m:oMath>
        <m:r>
          <m:t>ε</m:t>
        </m:r>
        <m:r>
          <m:rPr>
            <m:sty m:val="p"/>
          </m:rPr>
          <m:t>=</m:t>
        </m:r>
        <m:r>
          <m:t>0.35</m:t>
        </m:r>
      </m:oMath>
      <w:r>
        <w:rPr>
          <w:rFonts w:ascii="Times New Roman" w:hAnsi="Times New Roman"/>
          <w:color w:val="000000"/>
          <w:sz w:val="22"/>
        </w:rPr>
        <w:t xml:space="preserve">) across a sweep of effective uncertainty values with twenty stochastic replicates per cell, the signal-conditional configuration produces a clean S-curve in strategy dominance: the metric climbs from strongly negative at low</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through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to saturation near</w:t>
      </w:r>
      <w:r>
        <w:rPr>
          <w:rFonts w:ascii="Times New Roman" w:hAnsi="Times New Roman"/>
          <w:color w:val="000000"/>
          <w:sz w:val="22"/>
        </w:rPr>
        <w:t xml:space="preserve"> </w:t>
      </w:r>
      <m:oMath>
        <m:r>
          <m:rPr>
            <m:sty m:val="p"/>
          </m:rPr>
          <m:t>+</m:t>
        </m:r>
        <m:r>
          <m:t>0.93</m:t>
        </m:r>
      </m:oMath>
      <w:r>
        <w:rPr>
          <w:rFonts w:ascii="Times New Roman" w:hAnsi="Times New Roman"/>
          <w:color w:val="000000"/>
          <w:sz w:val="22"/>
        </w:rPr>
        <w:t xml:space="preserve"> </w:t>
      </w:r>
      <w:r>
        <w:rPr>
          <w:rFonts w:ascii="Times New Roman" w:hAnsi="Times New Roman"/>
          <w:color w:val="000000"/>
          <w:sz w:val="22"/>
        </w:rPr>
        <w:t xml:space="preserve">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(Figure 7A). The per-cell replicate spread (SD 0.04 to 0.14) is tight enough to characterize both the location of the crossing and the sharpness of the transition. The simulated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confirming that the agent-based dynamics reproduce the threshold derived in §2.4. Sweep configuration, the precise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and the realized-vs-target sigma adjustment are documented in §S7.1.</w:t>
      </w:r>
    </w:p>
    <w:p>
      <w:pPr>
        <w:pStyle w:val="BodyText"/>
      </w:pPr>
      <w:r>
        <w:rPr>
          <w:rFonts w:ascii="Times New Roman" w:hAnsi="Times New Roman"/>
          <w:color w:val="000000"/>
          <w:sz w:val="22"/>
        </w:rPr>
        <w:drawing>
          <wp:inline>
            <wp:extent cx="5486400" cy="4584864"/>
            <wp:effectExtent b="0" l="0" r="0" t="0"/>
            <wp:docPr descr="" title="" id="36" name="Picture"/>
            <a:graphic>
              <a:graphicData uri="http://schemas.openxmlformats.org/drawingml/2006/picture">
                <pic:pic>
                  <pic:nvPicPr>
                    <pic:cNvPr descr="/Users/clipo/PycharmProjects/poverty-point-signaling/figures/manuscript/figure_07_phase_transition.png" id="37" name="Picture"/>
                    <pic:cNvPicPr>
                      <a:picLocks noChangeArrowheads="1" noChangeAspect="1"/>
                    </pic:cNvPicPr>
                  </pic:nvPicPr>
                  <pic:blipFill>
                    <a:blip r:embed="rId35"/>
                    <a:stretch>
                      <a:fillRect/>
                    </a:stretch>
                  </pic:blipFill>
                  <pic:spPr bwMode="auto">
                    <a:xfrm>
                      <a:off x="0" y="0"/>
                      <a:ext cx="5486400" cy="458486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7. Phase transition validation at the calibrated PP scenario.</w:t>
      </w:r>
      <w:r>
        <w:rPr>
          <w:rFonts w:ascii="Times New Roman" w:hAnsi="Times New Roman"/>
          <w:color w:val="000000"/>
          <w:sz w:val="20"/>
        </w:rPr>
        <w:t xml:space="preserve"> </w:t>
      </w:r>
      <w:r>
        <w:rPr>
          <w:rFonts w:ascii="Times New Roman" w:hAnsi="Times New Roman"/>
          <w:i/>
          <w:iCs/>
          <w:color w:val="000000"/>
          <w:sz w:val="20"/>
        </w:rPr>
        <w:t xml:space="preserve">Twenty stochastic replicates per cell × 7</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points at PP-scenario parameters (</w:t>
      </w:r>
      <m:oMath>
        <m:r>
          <m:t>ε</m:t>
        </m:r>
        <m:r>
          <m:rPr>
            <m:sty m:val="p"/>
          </m:rPr>
          <m:t>=</m:t>
        </m:r>
        <m:r>
          <m:t>0.35</m:t>
        </m:r>
      </m:oMath>
      <w:r>
        <w:rPr>
          <w:rFonts w:ascii="Times New Roman" w:hAnsi="Times New Roman"/>
          <w:i/>
          <w:iCs/>
          <w:color w:val="000000"/>
          <w:sz w:val="20"/>
        </w:rPr>
        <w:t xml:space="preserve">). (A) Strategy dominance vs effective environmental uncertainty</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metric climbs from strongly negative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through crossover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0"/>
        </w:rPr>
        <w:t xml:space="preserve"> </w:t>
      </w:r>
      <w:r>
        <w:rPr>
          <w:rFonts w:ascii="Times New Roman" w:hAnsi="Times New Roman"/>
          <w:i/>
          <w:iCs/>
          <w:color w:val="000000"/>
          <w:sz w:val="20"/>
        </w:rPr>
        <w:t xml:space="preserve">to saturation near</w:t>
      </w:r>
      <w:r>
        <w:rPr>
          <w:rFonts w:ascii="Times New Roman" w:hAnsi="Times New Roman"/>
          <w:color w:val="000000"/>
          <w:sz w:val="20"/>
        </w:rPr>
        <w:t xml:space="preserve"> </w:t>
      </w:r>
      <m:oMath>
        <m:r>
          <m:rPr>
            <m:sty m:val="p"/>
          </m:rPr>
          <m:t>+</m:t>
        </m:r>
        <m:r>
          <m:t>0.93</m:t>
        </m:r>
      </m:oMath>
      <w:r>
        <w:rPr>
          <w:rFonts w:ascii="Times New Roman" w:hAnsi="Times New Roman"/>
          <w:color w:val="000000"/>
          <w:sz w:val="20"/>
        </w:rPr>
        <w:t xml:space="preserve"> </w:t>
      </w:r>
      <w:r>
        <w:rPr>
          <w:rFonts w:ascii="Times New Roman" w:hAnsi="Times New Roman"/>
          <w:i/>
          <w:iCs/>
          <w:color w:val="000000"/>
          <w:sz w:val="20"/>
        </w:rPr>
        <w:t xml:space="preserve">at the highest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values, matching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to within 0.013. (B) Mean aggregation size in bands per gathering, increasing sharply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reaching the optimal</w:t>
      </w:r>
      <w:r>
        <w:rPr>
          <w:rFonts w:ascii="Times New Roman" w:hAnsi="Times New Roman"/>
          <w:color w:val="000000"/>
          <w:sz w:val="20"/>
        </w:rPr>
        <w:t xml:space="preserve"> </w:t>
      </w:r>
      <m:oMath>
        <m:sSub>
          <m:e>
            <m:r>
              <m:t>n</m:t>
            </m:r>
          </m:e>
          <m:sub>
            <m:r>
              <m:t>a</m:t>
            </m:r>
            <m:r>
              <m:t>g</m:t>
            </m:r>
            <m:r>
              <m:t>g</m:t>
            </m:r>
          </m:sub>
        </m:sSub>
        <m:r>
          <m:rPr>
            <m:sty m:val="p"/>
          </m:rPr>
          <m:t>≈</m:t>
        </m:r>
        <m:r>
          <m:t>25</m:t>
        </m:r>
      </m:oMath>
      <w:r>
        <w:rPr>
          <w:rFonts w:ascii="Times New Roman" w:hAnsi="Times New Roman"/>
          <w:color w:val="000000"/>
          <w:sz w:val="20"/>
        </w:rPr>
        <w:t xml:space="preserve"> </w:t>
      </w:r>
      <w:r>
        <w:rPr>
          <w:rFonts w:ascii="Times New Roman" w:hAnsi="Times New Roman"/>
          <w:i/>
          <w:iCs/>
          <w:color w:val="000000"/>
          <w:sz w:val="20"/>
        </w:rPr>
        <w:t xml:space="preserve">at the highest uncertainty values. (C) Monument investment (cumulative units across the 200-year simulated interval), climbing from baseline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to large accumulations at high</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rFonts w:ascii="Times New Roman" w:hAnsi="Times New Roman"/>
          <w:i/>
          <w:iCs/>
          <w:color w:val="000000"/>
          <w:sz w:val="20"/>
        </w:rPr>
        <w:t xml:space="preserve">, yellow shading) separating cleanly from the pre-threshold cluster. The signal-conditional vs random-partner ablation comparison (§4.3) is tabulated per cell in §S7.1 rather than plotted here. The substantive result is that the two versions cross the threshold at almost the same point (signal-conditional</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threshold shift</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or</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within replicate noise).</w:t>
      </w:r>
    </w:p>
    <w:p>
      <w:pPr>
        <w:pStyle w:val="BodyText"/>
      </w:pPr>
      <w:r>
        <w:rPr>
          <w:rFonts w:ascii="Times New Roman" w:hAnsi="Times New Roman"/>
          <w:color w:val="000000"/>
          <w:sz w:val="22"/>
        </w:rPr>
        <w:t xml:space="preserve">The phase-transition sweep characterizes where the threshold lies. Figure 8 shows the dynamics in the calibrated PP scenario across a 5-replicate ensemble of 500-year trajectories above the threshold. Strategy dominance stabilizes within the burn-in window and remains stable thereafter, with the post-burn-in median at</w:t>
      </w:r>
      <w:r>
        <w:rPr>
          <w:rFonts w:ascii="Times New Roman" w:hAnsi="Times New Roman"/>
          <w:color w:val="000000"/>
          <w:sz w:val="22"/>
        </w:rPr>
        <w:t xml:space="preserve"> </w:t>
      </w:r>
      <m:oMath>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and the 10-90 percentile envelope</w:t>
      </w:r>
      <w:r>
        <w:rPr>
          <w:rFonts w:ascii="Times New Roman" w:hAnsi="Times New Roman"/>
          <w:color w:val="000000"/>
          <w:sz w:val="22"/>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replicates (Panel A). Cumulative monument investment grows approximately linearly through the simulated interval (Panel B). Aggregation size settles to roughly 37-45 bands per gathering across the ensemble (Panel C). The ensemble envelope is narrow throughout: stochastic shortfall realizations produce visible year-to-year variation within each trajectory, but no replicate crosses below the threshold or out of the aggregator-dominant regime, confirming that the aggregator strategy is the stable equilibrium under PP-scenario uncertainty rather than a transient outcome.</w:t>
      </w:r>
    </w:p>
    <w:p>
      <w:pPr>
        <w:pStyle w:val="BodyText"/>
      </w:pPr>
      <w:r>
        <w:rPr>
          <w:rFonts w:ascii="Times New Roman" w:hAnsi="Times New Roman"/>
          <w:color w:val="000000"/>
          <w:sz w:val="22"/>
        </w:rPr>
        <w:drawing>
          <wp:inline>
            <wp:extent cx="5486400" cy="4481090"/>
            <wp:effectExtent b="0" l="0" r="0" t="0"/>
            <wp:docPr descr="" title="" id="39" name="Picture"/>
            <a:graphic>
              <a:graphicData uri="http://schemas.openxmlformats.org/drawingml/2006/picture">
                <pic:pic>
                  <pic:nvPicPr>
                    <pic:cNvPr descr="/Users/clipo/PycharmProjects/poverty-point-signaling/figures/manuscript/figure_08_temporal_dynamics.png" id="40" name="Picture"/>
                    <pic:cNvPicPr>
                      <a:picLocks noChangeArrowheads="1" noChangeAspect="1"/>
                    </pic:cNvPicPr>
                  </pic:nvPicPr>
                  <pic:blipFill>
                    <a:blip r:embed="rId38"/>
                    <a:stretch>
                      <a:fillRect/>
                    </a:stretch>
                  </pic:blipFill>
                  <pic:spPr bwMode="auto">
                    <a:xfrm>
                      <a:off x="0" y="0"/>
                      <a:ext cx="5486400" cy="448109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8. Temporal dynamics at calibrated PP-scenario parameters (5-replicate ensemble).</w:t>
      </w:r>
      <w:r>
        <w:rPr>
          <w:rFonts w:ascii="Times New Roman" w:hAnsi="Times New Roman"/>
          <w:color w:val="000000"/>
          <w:sz w:val="20"/>
        </w:rPr>
        <w:t xml:space="preserve"> </w:t>
      </w:r>
      <w:r>
        <w:rPr>
          <w:rFonts w:ascii="Times New Roman" w:hAnsi="Times New Roman"/>
          <w:i/>
          <w:iCs/>
          <w:color w:val="000000"/>
          <w:sz w:val="20"/>
        </w:rPr>
        <w:t xml:space="preserve">Five 500-year trajectories at PP-scenario parameters (</w:t>
      </w:r>
      <m:oMath>
        <m:r>
          <m:t>σ</m:t>
        </m:r>
        <m:r>
          <m:rPr>
            <m:sty m:val="p"/>
          </m:rPr>
          <m:t>=</m:t>
        </m:r>
        <m:r>
          <m:t>0.64</m:t>
        </m:r>
      </m:oMath>
      <w:r>
        <w:rPr>
          <w:rFonts w:ascii="Times New Roman" w:hAnsi="Times New Roman"/>
          <w:i/>
          <w:iCs/>
          <w:color w:val="000000"/>
          <w:sz w:val="20"/>
        </w:rPr>
        <w:t xml:space="preserve">,</w:t>
      </w:r>
      <w:r>
        <w:rPr>
          <w:rFonts w:ascii="Times New Roman" w:hAnsi="Times New Roman"/>
          <w:color w:val="000000"/>
          <w:sz w:val="20"/>
        </w:rPr>
        <w:t xml:space="preserve"> </w:t>
      </w:r>
      <m:oMath>
        <m:r>
          <m:t>ε</m:t>
        </m:r>
        <m:r>
          <m:rPr>
            <m:sty m:val="p"/>
          </m:rPr>
          <m:t>=</m:t>
        </m:r>
        <m:r>
          <m:t>0.35</m:t>
        </m:r>
      </m:oMath>
      <w:r>
        <w:rPr>
          <w:rFonts w:ascii="Times New Roman" w:hAnsi="Times New Roman"/>
          <w:i/>
          <w:iCs/>
          <w:color w:val="000000"/>
          <w:sz w:val="20"/>
        </w:rPr>
        <w:t xml:space="preserve">), above the threshold. Each panel shows individual replicate trajectories as thin gray lines, the 10-90 percentile envelope as a colored band, and the median across replicates as a thick colored line. (A) Strategy dominance (fraction of aggregator bands minus fraction of independent bands). The metric stabilizes during burn-in and remains in the aggregator-dominant band, with a post-burn-in median of +0.64 and a replicate envelope of</w:t>
      </w:r>
      <w:r>
        <w:rPr>
          <w:rFonts w:ascii="Times New Roman" w:hAnsi="Times New Roman"/>
          <w:i/>
          <w:iCs/>
          <w:color w:val="000000"/>
          <w:sz w:val="20"/>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i/>
          <w:iCs/>
          <w:color w:val="000000"/>
          <w:sz w:val="20"/>
        </w:rPr>
        <w:t xml:space="preserve">. Light orange shading marks years in which more than half of the replicates were in a shortfall state. (B) Cumulative monument investment climbing approximately linearly through the simulated interval, with the replicate envelope showing modest divergence (final values 22,444-24,692 units across the five seeds). (C) Aggregation size in bands per gathering, settling to 37-45 across the ensemble. The ensemble envelope is narrow throughout: stochastic shortfall realizations drive year-to-year variation within each trajectory, but no replicate crosses below the threshold.</w:t>
      </w:r>
    </w:p>
    <w:bookmarkEnd w:id="41"/>
    <w:bookmarkStart w:id="45" w:name="phase-space-structure"/>
    <w:p>
      <w:pPr>
        <w:pStyle w:val="Heading3"/>
      </w:pPr>
      <w:r>
        <w:rPr>
          <w:rFonts w:ascii="Times New Roman" w:hAnsi="Times New Roman"/>
          <w:b w:val="0"/>
          <w:i w:val="0"/>
          <w:color w:val="000000"/>
          <w:sz w:val="22"/>
          <w:u w:val="single"/>
        </w:rPr>
        <w:t xml:space="preserve">4.2 Phase-space structure</w:t>
      </w:r>
    </w:p>
    <w:p>
      <w:pPr>
        <w:pStyle w:val="FirstParagraph"/>
      </w:pPr>
      <w:r>
        <w:rPr>
          <w:rFonts w:ascii="Times New Roman" w:hAnsi="Times New Roman"/>
          <w:color w:val="000000"/>
          <w:sz w:val="22"/>
        </w:rPr>
        <w:t xml:space="preserve">The §4.1 sweep validates the threshold along a single slice through parameter space (</w:t>
      </w:r>
      <m:oMath>
        <m:r>
          <m:t>ε</m:t>
        </m:r>
        <m:r>
          <m:rPr>
            <m:sty m:val="p"/>
          </m:rPr>
          <m:t>=</m:t>
        </m:r>
        <m:r>
          <m:t>0.35</m:t>
        </m:r>
      </m:oMath>
      <w:r>
        <w:rPr>
          <w:rFonts w:ascii="Times New Roman" w:hAnsi="Times New Roman"/>
          <w:color w:val="000000"/>
          <w:sz w:val="22"/>
        </w:rPr>
        <w:t xml:space="preserve">, varying</w:t>
      </w:r>
      <w:r>
        <w:rPr>
          <w:rFonts w:ascii="Times New Roman" w:hAnsi="Times New Roman"/>
          <w:color w:val="000000"/>
          <w:sz w:val="22"/>
        </w:rPr>
        <w:t xml:space="preserve"> </w:t>
      </w:r>
      <m:oMath>
        <m:r>
          <m:t>σ</m:t>
        </m:r>
      </m:oMath>
      <w:r>
        <w:rPr>
          <w:rFonts w:ascii="Times New Roman" w:hAnsi="Times New Roman"/>
          <w:color w:val="000000"/>
          <w:sz w:val="22"/>
        </w:rPr>
        <w:t xml:space="preserve">). The framework’s analytical prediction is more general: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a function of</w:t>
      </w:r>
      <w:r>
        <w:rPr>
          <w:rFonts w:ascii="Times New Roman" w:hAnsi="Times New Roman"/>
          <w:color w:val="000000"/>
          <w:sz w:val="22"/>
        </w:rPr>
        <w:t xml:space="preserve"> </w:t>
      </w:r>
      <m:oMath>
        <m:r>
          <m:t>ε</m:t>
        </m:r>
      </m:oMath>
      <w:r>
        <w:rPr>
          <w:rFonts w:ascii="Times New Roman" w:hAnsi="Times New Roman"/>
          <w:color w:val="000000"/>
          <w:sz w:val="22"/>
        </w:rPr>
        <w:t xml:space="preserve">, with low-</w:t>
      </w:r>
      <m:oMath>
        <m:r>
          <m:t>ε</m:t>
        </m:r>
      </m:oMath>
      <w:r>
        <w:rPr>
          <w:rFonts w:ascii="Times New Roman" w:hAnsi="Times New Roman"/>
          <w:color w:val="000000"/>
          <w:sz w:val="22"/>
        </w:rPr>
        <w:t xml:space="preserve"> </w:t>
      </w:r>
      <w:r>
        <w:rPr>
          <w:rFonts w:ascii="Times New Roman" w:hAnsi="Times New Roman"/>
          <w:color w:val="000000"/>
          <w:sz w:val="22"/>
        </w:rPr>
        <w:t xml:space="preserve">sites requiring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aggregation to become adaptive, and high-</w:t>
      </w:r>
      <m:oMath>
        <m:r>
          <m:t>ε</m:t>
        </m:r>
      </m:oMath>
      <w:r>
        <w:rPr>
          <w:rFonts w:ascii="Times New Roman" w:hAnsi="Times New Roman"/>
          <w:color w:val="000000"/>
          <w:sz w:val="22"/>
        </w:rPr>
        <w:t xml:space="preserve"> </w:t>
      </w:r>
      <w:r>
        <w:rPr>
          <w:rFonts w:ascii="Times New Roman" w:hAnsi="Times New Roman"/>
          <w:color w:val="000000"/>
          <w:sz w:val="22"/>
        </w:rPr>
        <w:t xml:space="preserve">sites crossing into the aggregator regime at lower</w:t>
      </w:r>
      <w:r>
        <w:rPr>
          <w:rFonts w:ascii="Times New Roman" w:hAnsi="Times New Roman"/>
          <w:color w:val="000000"/>
          <w:sz w:val="22"/>
        </w:rPr>
        <w:t xml:space="preserve"> </w:t>
      </w:r>
      <m:oMath>
        <m:r>
          <m:t>σ</m:t>
        </m:r>
      </m:oMath>
      <w:r>
        <w:rPr>
          <w:rFonts w:ascii="Times New Roman" w:hAnsi="Times New Roman"/>
          <w:color w:val="000000"/>
          <w:sz w:val="22"/>
        </w:rPr>
        <w:t xml:space="preserve">. To test whether the agent-based dynamics reproduce this structure across the joint parameter plane, rather than just along the slice, we ran the model on a grid over the environmental uncertainty</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The simulated phase space matches the analytical prediction across the plane (Figure 9). At low</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&lt;</m:t>
        </m:r>
        <m:r>
          <m:t>0.2</m:t>
        </m:r>
      </m:oMath>
      <w:r>
        <w:rPr>
          <w:rFonts w:ascii="Times New Roman" w:hAnsi="Times New Roman"/>
          <w:color w:val="000000"/>
          <w:sz w:val="22"/>
        </w:rPr>
        <w:t xml:space="preserve">), the regime boundary shifts right, requiring</w:t>
      </w:r>
      <w:r>
        <w:rPr>
          <w:rFonts w:ascii="Times New Roman" w:hAnsi="Times New Roman"/>
          <w:color w:val="000000"/>
          <w:sz w:val="22"/>
        </w:rPr>
        <w:t xml:space="preserve"> </w:t>
      </w:r>
      <m:oMath>
        <m:r>
          <m:t>σ</m:t>
        </m:r>
        <m:r>
          <m:rPr>
            <m:sty m:val="p"/>
          </m:rPr>
          <m:t>≈</m:t>
        </m:r>
        <m:r>
          <m:t>0.55</m:t>
        </m:r>
      </m:oMath>
      <w:r>
        <w:rPr>
          <w:rFonts w:ascii="Times New Roman" w:hAnsi="Times New Roman"/>
          <w:color w:val="000000"/>
          <w:sz w:val="22"/>
        </w:rPr>
        <w:t xml:space="preserve">-</w:t>
      </w:r>
      <m:oMath>
        <m:r>
          <m:t>0.60</m:t>
        </m:r>
      </m:oMath>
      <w:r>
        <w:rPr>
          <w:rFonts w:ascii="Times New Roman" w:hAnsi="Times New Roman"/>
          <w:color w:val="000000"/>
          <w:sz w:val="22"/>
        </w:rPr>
        <w:t xml:space="preserve"> </w:t>
      </w:r>
      <w:r>
        <w:rPr>
          <w:rFonts w:ascii="Times New Roman" w:hAnsi="Times New Roman"/>
          <w:color w:val="000000"/>
          <w:sz w:val="22"/>
        </w:rPr>
        <w:t xml:space="preserve">for sustained aggregator dominance. 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&gt;</m:t>
        </m:r>
        <m:r>
          <m:t>0.4</m:t>
        </m:r>
      </m:oMath>
      <w:r>
        <w:rPr>
          <w:rFonts w:ascii="Times New Roman" w:hAnsi="Times New Roman"/>
          <w:color w:val="000000"/>
          <w:sz w:val="22"/>
        </w:rPr>
        <w:t xml:space="preserve">), the boundary shifts left to</w:t>
      </w:r>
      <w:r>
        <w:rPr>
          <w:rFonts w:ascii="Times New Roman" w:hAnsi="Times New Roman"/>
          <w:color w:val="000000"/>
          <w:sz w:val="22"/>
        </w:rPr>
        <w:t xml:space="preserve"> </w:t>
      </w:r>
      <m:oMath>
        <m:r>
          <m:t>σ</m:t>
        </m:r>
        <m:r>
          <m:rPr>
            <m:sty m:val="p"/>
          </m:rPr>
          <m:t>≈</m:t>
        </m:r>
        <m:r>
          <m:t>0.42</m:t>
        </m:r>
      </m:oMath>
      <w:r>
        <w:rPr>
          <w:rFonts w:ascii="Times New Roman" w:hAnsi="Times New Roman"/>
          <w:color w:val="000000"/>
          <w:sz w:val="22"/>
        </w:rP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in the high-</w:t>
      </w:r>
      <m:oMath>
        <m:r>
          <m:t>σ</m:t>
        </m:r>
      </m:oMath>
      <w:r>
        <w:rPr>
          <w:rFonts w:ascii="Times New Roman" w:hAnsi="Times New Roman"/>
          <w:color w:val="000000"/>
          <w:sz w:val="22"/>
        </w:rPr>
        <w:t xml:space="preserve">, high-</w:t>
      </w:r>
      <m:oMath>
        <m:r>
          <m:t>ε</m:t>
        </m:r>
      </m:oMath>
      <w:r>
        <w:rPr>
          <w:rFonts w:ascii="Times New Roman" w:hAnsi="Times New Roman"/>
          <w:color w:val="000000"/>
          <w:sz w:val="22"/>
        </w:rPr>
        <w:t xml:space="preserve"> </w:t>
      </w:r>
      <w:r>
        <w:rPr>
          <w:rFonts w:ascii="Times New Roman" w:hAnsi="Times New Roman"/>
          <w:color w:val="000000"/>
          <w:sz w:val="22"/>
        </w:rPr>
        <w:t xml:space="preserve">corner of the plane (</w:t>
      </w:r>
      <m:oMath>
        <m:r>
          <m:t>σ</m:t>
        </m:r>
        <m:r>
          <m:rPr>
            <m:sty m:val="p"/>
          </m:rPr>
          <m:t>≳</m:t>
        </m:r>
        <m:r>
          <m:t>0.80</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rPr>
          <w:rFonts w:ascii="Times New Roman" w:hAnsi="Times New Roman"/>
          <w:color w:val="000000"/>
          <w:sz w:val="22"/>
        </w:rPr>
        <w:drawing>
          <wp:inline>
            <wp:extent cx="5486400" cy="1618920"/>
            <wp:effectExtent b="0" l="0" r="0" t="0"/>
            <wp:docPr descr="" title="" id="43" name="Picture"/>
            <a:graphic>
              <a:graphicData uri="http://schemas.openxmlformats.org/drawingml/2006/picture">
                <pic:pic>
                  <pic:nvPicPr>
                    <pic:cNvPr descr="/Users/clipo/PycharmProjects/poverty-point-signaling/figures/manuscript/figure_09_phase_space.png" id="44" name="Picture"/>
                    <pic:cNvPicPr>
                      <a:picLocks noChangeArrowheads="1" noChangeAspect="1"/>
                    </pic:cNvPicPr>
                  </pic:nvPicPr>
                  <pic:blipFill>
                    <a:blip r:embed="rId42"/>
                    <a:stretch>
                      <a:fillRect/>
                    </a:stretch>
                  </pic:blipFill>
                  <pic:spPr bwMode="auto">
                    <a:xfrm>
                      <a:off x="0" y="0"/>
                      <a:ext cx="5486400" cy="161892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9. Phase-space structure across the joint</w:t>
      </w:r>
      <w:r>
        <w:rPr>
          <w:rFonts w:ascii="Times New Roman" w:hAnsi="Times New Roman"/>
          <w:color w:val="000000"/>
          <w:sz w:val="20"/>
        </w:rPr>
        <w:t xml:space="preserve"> </w:t>
      </w:r>
      <m:oMath>
        <m:r>
          <m:rPr>
            <m:sty m:val="p"/>
          </m:rPr>
          <m:t>(</m:t>
        </m:r>
        <m:r>
          <m:t>σ</m:t>
        </m:r>
        <m:r>
          <m:rPr>
            <m:sty m:val="p"/>
          </m:rPr>
          <m:t>,</m:t>
        </m:r>
        <m:r>
          <m:t>ε</m:t>
        </m:r>
        <m:r>
          <m:rPr>
            <m:sty m:val="p"/>
          </m:rPr>
          <m:t>)</m:t>
        </m:r>
      </m:oMath>
      <w:r>
        <w:rPr>
          <w:rFonts w:ascii="Times New Roman" w:hAnsi="Times New Roman"/>
          <w:color w:val="000000"/>
          <w:sz w:val="20"/>
        </w:rPr>
        <w:t xml:space="preserve"> </w:t>
      </w:r>
      <w:r>
        <w:rPr>
          <w:rFonts w:ascii="Times New Roman" w:hAnsi="Times New Roman"/>
          <w:b/>
          <w:bCs/>
          <w:i/>
          <w:iCs/>
          <w:color w:val="000000"/>
          <w:sz w:val="20"/>
        </w:rPr>
        <w:t xml:space="preserve">plane (5 replicates per cell).</w:t>
      </w:r>
      <w:r>
        <w:rPr>
          <w:rFonts w:ascii="Times New Roman" w:hAnsi="Times New Roman"/>
          <w:color w:val="000000"/>
          <w:sz w:val="20"/>
        </w:rPr>
        <w:t xml:space="preserve"> </w:t>
      </w:r>
      <w:r>
        <w:rPr>
          <w:rFonts w:ascii="Times New Roman" w:hAnsi="Times New Roman"/>
          <w:i/>
          <w:iCs/>
          <w:color w:val="000000"/>
          <w:sz w:val="20"/>
        </w:rPr>
        <w:t xml:space="preserve">Mean strategy dominance, mean monument investment, and replicate spread across the two-dimensional parameter space defined by environmental uncertainty</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(horizontal axis) and ecotone advantage</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(vertical axis), produced by running the agent-based model on a 12×10 grid spanning both parameters at otherwise PP-scenario settings, with five stochastic replicates per cell. A) The analytical critical-threshold line (the value of</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at which</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for each</w:t>
      </w:r>
      <w:r>
        <w:rPr>
          <w:rFonts w:ascii="Times New Roman" w:hAnsi="Times New Roman"/>
          <w:color w:val="000000"/>
          <w:sz w:val="20"/>
        </w:rPr>
        <w:t xml:space="preserve"> </w:t>
      </w:r>
      <m:oMath>
        <m:r>
          <m:t>ε</m:t>
        </m:r>
      </m:oMath>
      <w:r>
        <w:rPr>
          <w:rFonts w:ascii="Times New Roman" w:hAnsi="Times New Roman"/>
          <w:i/>
          <w:iCs/>
          <w:color w:val="000000"/>
          <w:sz w:val="20"/>
        </w:rPr>
        <w:t xml:space="preserve">, derived in §2.4) is overlaid on a continuous color map of mean simulated strategy dominance (purple = independents dominate at</w:t>
      </w:r>
      <w:r>
        <w:rPr>
          <w:rFonts w:ascii="Times New Roman" w:hAnsi="Times New Roman"/>
          <w:color w:val="000000"/>
          <w:sz w:val="20"/>
        </w:rPr>
        <w:t xml:space="preserve"> </w:t>
      </w:r>
      <m:oMath>
        <m:r>
          <m:t>σ</m:t>
        </m:r>
        <m:r>
          <m:rPr>
            <m:sty m:val="p"/>
          </m:rPr>
          <m:t>&lt;</m:t>
        </m:r>
        <m:sSup>
          <m:e>
            <m:r>
              <m:t>σ</m:t>
            </m:r>
          </m:e>
          <m:sup>
            <m:r>
              <m:rPr>
                <m:sty m:val="p"/>
              </m:rPr>
              <m:t>*</m:t>
            </m:r>
          </m:sup>
        </m:sSup>
      </m:oMath>
      <w:r>
        <w:rPr>
          <w:rFonts w:ascii="Times New Roman" w:hAnsi="Times New Roman"/>
          <w:i/>
          <w:iCs/>
          <w:color w:val="000000"/>
          <w:sz w:val="20"/>
        </w:rPr>
        <w:t xml:space="preserve">; off-white = parity at the threshold; orange = aggregators dominate at</w:t>
      </w:r>
      <w:r>
        <w:rPr>
          <w:rFonts w:ascii="Times New Roman" w:hAnsi="Times New Roman"/>
          <w:color w:val="000000"/>
          <w:sz w:val="20"/>
        </w:rPr>
        <w:t xml:space="preserve"> </w:t>
      </w:r>
      <m:oMath>
        <m:r>
          <m:t>σ</m:t>
        </m:r>
        <m:r>
          <m:rPr>
            <m:sty m:val="p"/>
          </m:rPr>
          <m:t>&gt;</m:t>
        </m:r>
        <m:sSup>
          <m:e>
            <m:r>
              <m:t>σ</m:t>
            </m:r>
          </m:e>
          <m:sup>
            <m:r>
              <m:rPr>
                <m:sty m:val="p"/>
              </m:rPr>
              <m:t>*</m:t>
            </m:r>
          </m:sup>
        </m:sSup>
      </m:oMath>
      <w:r>
        <w:rPr>
          <w:rFonts w:ascii="Times New Roman" w:hAnsi="Times New Roman"/>
          <w:i/>
          <w:iCs/>
          <w:color w:val="000000"/>
          <w:sz w:val="20"/>
        </w:rPr>
        <w:t xml:space="preserve">). The threshold line falls along the color transition across the plane. B) Mean monument accumulation, which is maximal in the high-</w:t>
      </w:r>
      <w:r>
        <w:rPr>
          <w:rFonts w:ascii="Times New Roman" w:hAnsi="Times New Roman"/>
          <w:color w:val="000000"/>
          <w:sz w:val="20"/>
        </w:rPr>
        <w:t xml:space="preserve"> </w:t>
      </w:r>
      <m:oMath>
        <m:r>
          <m:t>σ</m:t>
        </m:r>
      </m:oMath>
      <w:r>
        <w:rPr>
          <w:rFonts w:ascii="Times New Roman" w:hAnsi="Times New Roman"/>
          <w:i/>
          <w:iCs/>
          <w:color w:val="000000"/>
          <w:sz w:val="20"/>
        </w:rPr>
        <w:t xml:space="preserve">, high-</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corner, exactly where the framework predicts the strongest joint operation of uncertainty pressure and ecotone-buffered cooperation. C) Per-cell standard deviation of strategy dominance across the five replicates. The replicate spread is small (SD</w:t>
      </w:r>
      <w:r>
        <w:rPr>
          <w:rFonts w:ascii="Times New Roman" w:hAnsi="Times New Roman"/>
          <w:color w:val="000000"/>
          <w:sz w:val="20"/>
        </w:rPr>
        <w:t xml:space="preserve"> </w:t>
      </w:r>
      <m:oMath>
        <m:r>
          <m:rPr>
            <m:sty m:val="p"/>
          </m:rPr>
          <m:t>≈</m:t>
        </m:r>
        <m:r>
          <m:t>0.005</m:t>
        </m:r>
      </m:oMath>
      <w:r>
        <w:rPr>
          <w:rFonts w:ascii="Times New Roman" w:hAnsi="Times New Roman"/>
          <w:color w:val="000000"/>
          <w:sz w:val="20"/>
        </w:rPr>
        <w:t xml:space="preserve">-</w:t>
      </w:r>
      <m:oMath>
        <m:r>
          <m:t>0.03</m:t>
        </m:r>
      </m:oMath>
      <w:r>
        <w:rPr>
          <w:rFonts w:ascii="Times New Roman" w:hAnsi="Times New Roman"/>
          <w:color w:val="000000"/>
          <w:sz w:val="20"/>
        </w:rPr>
        <w:t xml:space="preserve"> </w:t>
      </w:r>
      <w:r>
        <w:rPr>
          <w:rFonts w:ascii="Times New Roman" w:hAnsi="Times New Roman"/>
          <w:i/>
          <w:iCs/>
          <w:color w:val="000000"/>
          <w:sz w:val="20"/>
        </w:rPr>
        <w:t xml:space="preserve">across the plane), confirming that the mean phase-space structure in panels A and B is robust to stochastic variation rather than an artifact of single realizations.</w:t>
      </w:r>
    </w:p>
    <w:bookmarkEnd w:id="45"/>
    <w:bookmarkStart w:id="46" w:name="signaling-vs-cooperation-ablation"/>
    <w:p>
      <w:pPr>
        <w:pStyle w:val="Heading3"/>
      </w:pPr>
      <w:r>
        <w:rPr>
          <w:rFonts w:ascii="Times New Roman" w:hAnsi="Times New Roman"/>
          <w:b w:val="0"/>
          <w:i w:val="0"/>
          <w:color w:val="000000"/>
          <w:sz w:val="22"/>
          <w:u w:val="single"/>
        </w:rPr>
        <w:t xml:space="preserve">4.3 Signaling-vs-cooperation ablation</w:t>
      </w:r>
    </w:p>
    <w:p>
      <w:pPr>
        <w:pStyle w:val="FirstParagraph"/>
      </w:pPr>
      <w:r>
        <w:rPr>
          <w:rFonts w:ascii="Times New Roman" w:hAnsi="Times New Roman"/>
          <w:color w:val="000000"/>
          <w:sz w:val="22"/>
        </w:rPr>
        <w:t xml:space="preserve">A reasonable concern about any signaling model is whether the signaling apparatus does explanatory work that generic cooperation theory does not. If a model that pools risk through cooperative networks produces the same predictions as one that adds signaling on top, then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the threshold dimension is no more than collective-action theory in different vocabulary (cf. Penn and Szamadó 2020). We address this with an</w:t>
      </w:r>
      <w:r>
        <w:rPr>
          <w:rFonts w:ascii="Times New Roman" w:hAnsi="Times New Roman"/>
          <w:color w:val="000000"/>
          <w:sz w:val="22"/>
        </w:rPr>
        <w:t xml:space="preserve"> </w:t>
      </w:r>
      <w:r>
        <w:rPr>
          <w:rFonts w:ascii="Times New Roman" w:hAnsi="Times New Roman"/>
          <w:i/>
          <w:iCs/>
          <w:color w:val="000000"/>
          <w:sz w:val="22"/>
        </w:rPr>
        <w:t xml:space="preserve">ablation comparison</w:t>
      </w:r>
      <w:r>
        <w:rPr>
          <w:rFonts w:ascii="Times New Roman" w:hAnsi="Times New Roman"/>
          <w:color w:val="000000"/>
          <w:sz w:val="22"/>
        </w:rP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based on visible signals (i.e., monument contributions and possession of exotic goods),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rPr>
          <w:rFonts w:ascii="Times New Roman" w:hAnsi="Times New Roman"/>
          <w:color w:val="000000"/>
          <w:sz w:val="22"/>
        </w:rP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sweep with PP-scenario parameters (</w:t>
      </w:r>
      <m:oMath>
        <m:r>
          <m:t>ε</m:t>
        </m:r>
        <m:r>
          <m:rPr>
            <m:sty m:val="p"/>
          </m:rPr>
          <m:t>=</m:t>
        </m:r>
        <m:r>
          <m:t>0.35</m:t>
        </m:r>
      </m:oMath>
      <w:r>
        <w:rPr>
          <w:rFonts w:ascii="Times New Roman" w:hAnsi="Times New Roman"/>
          <w:color w:val="000000"/>
          <w:sz w:val="22"/>
        </w:rPr>
        <w:t xml:space="preserve">). The sweep configuration and per-cell statistics for both versions are documented in §S7.1.</w:t>
      </w:r>
    </w:p>
    <w:p>
      <w:pPr>
        <w:pStyle w:val="BodyText"/>
      </w:pPr>
      <w:r>
        <w:rPr>
          <w:rFonts w:ascii="Times New Roman" w:hAnsi="Times New Roman"/>
          <w:b/>
          <w:bCs/>
          <w:color w:val="000000"/>
          <w:sz w:val="22"/>
        </w:rPr>
        <w:t xml:space="preserve">Result: the two versions cross the threshold at almost the same point.</w:t>
      </w:r>
      <w:r>
        <w:rPr>
          <w:rFonts w:ascii="Times New Roman" w:hAnsi="Times New Roman"/>
          <w:color w:val="000000"/>
          <w:sz w:val="22"/>
        </w:rPr>
        <w:t xml:space="preserve"> </w:t>
      </w:r>
      <w:r>
        <w:rPr>
          <w:rFonts w:ascii="Times New Roman" w:hAnsi="Times New Roman"/>
          <w:color w:val="000000"/>
          <w:sz w:val="22"/>
        </w:rPr>
        <w:t xml:space="preserve">In plain terms, we tested whether</w:t>
      </w:r>
      <w:r>
        <w:rPr>
          <w:rFonts w:ascii="Times New Roman" w:hAnsi="Times New Roman"/>
          <w:color w:val="000000"/>
          <w:sz w:val="22"/>
        </w:rPr>
        <w:t xml:space="preserve"> </w:t>
      </w:r>
      <w:r>
        <w:rPr>
          <w:rFonts w:ascii="Times New Roman" w:hAnsi="Times New Roman"/>
          <w:i/>
          <w:iCs/>
          <w:color w:val="000000"/>
          <w:sz w:val="22"/>
        </w:rPr>
        <w:t xml:space="preserve">choosing partners based on their visible signals</w:t>
      </w:r>
      <w:r>
        <w:rPr>
          <w:rFonts w:ascii="Times New Roman" w:hAnsi="Times New Roman"/>
          <w:color w:val="000000"/>
          <w:sz w:val="22"/>
        </w:rPr>
        <w:t xml:space="preserve"> </w:t>
      </w:r>
      <w:r>
        <w:rPr>
          <w:rFonts w:ascii="Times New Roman" w:hAnsi="Times New Roman"/>
          <w:color w:val="000000"/>
          <w:sz w:val="22"/>
        </w:rPr>
        <w:t xml:space="preserve">changes the point at which aggregation becomes worthwhile, holding the cooperation safety-net mechanics fixed, and we found it does not. With twenty stochastic replicates per cell, the signal-conditional version crosses at</w:t>
      </w:r>
      <w:r>
        <w:rPr>
          <w:rFonts w:ascii="Times New Roman" w:hAnsi="Times New Roman"/>
          <w:color w:val="000000"/>
          <w:sz w:val="22"/>
        </w:rPr>
        <w:t xml:space="preserve"> </w:t>
      </w:r>
      <m:oMath>
        <m:sSub>
          <m:e>
            <m:r>
              <m:t>σ</m:t>
            </m:r>
          </m:e>
          <m:sub>
            <m:r>
              <m:t>e</m:t>
            </m:r>
            <m:r>
              <m:t>f</m:t>
            </m:r>
            <m:r>
              <m:t>f</m:t>
            </m:r>
          </m:sub>
        </m:sSub>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and the random-partner version at</w:t>
      </w:r>
      <w:r>
        <w:rPr>
          <w:rFonts w:ascii="Times New Roman" w:hAnsi="Times New Roman"/>
          <w:color w:val="000000"/>
          <w:sz w:val="22"/>
        </w:rPr>
        <w:t xml:space="preserve"> </w:t>
      </w:r>
      <m:oMath>
        <m:sSub>
          <m:e>
            <m:r>
              <m:t>σ</m:t>
            </m:r>
          </m:e>
          <m:sub>
            <m:r>
              <m:t>e</m:t>
            </m:r>
            <m:r>
              <m:t>f</m:t>
            </m:r>
            <m:r>
              <m:t>f</m:t>
            </m:r>
          </m:sub>
        </m:sSub>
        <m:r>
          <m:rPr>
            <m:sty m:val="p"/>
          </m:rPr>
          <m:t>≈</m:t>
        </m:r>
        <m:r>
          <m:t>0.400</m:t>
        </m:r>
      </m:oMath>
      <w:r>
        <w:rPr>
          <w:rFonts w:ascii="Times New Roman" w:hAnsi="Times New Roman"/>
          <w:color w:val="000000"/>
          <w:sz w:val="22"/>
        </w:rPr>
        <w:t xml:space="preserve">, a difference of about 3.2%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that lies within the replicate-to-replicate noise. Both versions reach near-total aggregator dominance (</w:t>
      </w:r>
      <m:oMath>
        <m:r>
          <m:rPr>
            <m:sty m:val="p"/>
          </m:rPr>
          <m:t>≈</m:t>
        </m:r>
        <m:r>
          <m:rPr>
            <m:sty m:val="p"/>
          </m:rPr>
          <m:t>+</m:t>
        </m:r>
        <m:r>
          <m:t>0.93</m:t>
        </m:r>
      </m:oMath>
      <w:r>
        <w:rPr>
          <w:rFonts w:ascii="Times New Roman" w:hAnsi="Times New Roman"/>
          <w:color w:val="000000"/>
          <w:sz w:val="22"/>
        </w:rPr>
        <w:t xml:space="preserve">) at the highest uncertainty levels, identical at the reported precision. The ablation result is narrower than the broad framing might suggest. What the comparison removes is the</w:t>
      </w:r>
      <w:r>
        <w:rPr>
          <w:rFonts w:ascii="Times New Roman" w:hAnsi="Times New Roman"/>
          <w:color w:val="000000"/>
          <w:sz w:val="22"/>
        </w:rPr>
        <w:t xml:space="preserve"> </w:t>
      </w:r>
      <w:r>
        <w:rPr>
          <w:rFonts w:ascii="Times New Roman" w:hAnsi="Times New Roman"/>
          <w:i/>
          <w:iCs/>
          <w:color w:val="000000"/>
          <w:sz w:val="22"/>
        </w:rPr>
        <w:t xml:space="preserve">signal-conditional partner-formation</w:t>
      </w:r>
      <w:r>
        <w:rPr>
          <w:rFonts w:ascii="Times New Roman" w:hAnsi="Times New Roman"/>
          <w:color w:val="000000"/>
          <w:sz w:val="22"/>
        </w:rPr>
        <w:t xml:space="preserve"> </w:t>
      </w:r>
      <w:r>
        <w:rPr>
          <w:rFonts w:ascii="Times New Roman" w:hAnsi="Times New Roman"/>
          <w:color w:val="000000"/>
          <w:sz w:val="22"/>
        </w:rPr>
        <w:t xml:space="preserve">mechanism (mechanism (i) in §2.2’s three-rule operationalization): in the random-partner version, ties form by uniform random pairing instead of preferentially with high-display partners, but tie-strength-ordered shortfall help-calling (mechanism (ii)) and network-density-driven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reduction (mechanism (iii)) are preserved. The honest statement is therefore that, with the parameterization used here, weighted partner selection does not shift the threshold while holding network cooperation constant. This is not the same as showing that signaling adds nothing to network cooperation generally. The cooperation-network component itself is not ablated in this experiment. The deeper test, which would ablate the cooperation-network buffering mechanism itself, is reported in the factorial component-ablation experiment of §S5.4 (which turns each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individually and in factorial combination). The point-by-point comparison statistics for the partner-formation ablation are in §S7.1.</w:t>
      </w:r>
    </w:p>
    <w:p>
      <w:pPr>
        <w:pStyle w:val="BodyText"/>
      </w:pPr>
      <w:r>
        <w:rPr>
          <w:rFonts w:ascii="Times New Roman" w:hAnsi="Times New Roman"/>
          <w:color w:val="000000"/>
          <w:sz w:val="22"/>
        </w:rP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the location of the threshold.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Kidder and Grooms (2025:7) describe the active-period flow as strongly asymmetric, concentrating material at the hub. Under the signaling reading, exotic acquisition operates through partner-choice premium at the gathering, so material accumulates at the hub while only personal-effects fractions return home with visitor bands. That is the pattern observed. Each alternative predicts a different pattern. The legitimate risk-pooling counter-hypothesis is sharper than the form sometimes stated: under hunter-gatherer risk-pooling, which operates primarily in archaeologically invisible media (food, dried provisions, labor, hospitality) during the dispersed phase, there is no particular reason for durable exotics to flow at all, since the pooled medium is not the durable item. The discriminating contrast is therefore not between signaling and bidirectional galena flow, but between signaling and negligible durable-exotic flow under pure risk-pooling. The Smith (1991), Gibson and Griffing (1994), and Mitch (2023) data show metric-ton-scale concentrated inflow, which signaling-via-partner-choice predicts and pure risk-pooling does not. A generic down-the-line exchange predicts smooth distance-decay from each geological source, with no single node dominating. Those concentration figures rule this out. The framework passes the discriminating test on the existing record despite producing no detectable threshold shift.</w:t>
      </w:r>
    </w:p>
    <w:p>
      <w:pPr>
        <w:pStyle w:val="BodyText"/>
      </w:pPr>
      <w:r>
        <w:rPr>
          <w:rFonts w:ascii="Times New Roman" w:hAnsi="Times New Roman"/>
          <w:color w:val="000000"/>
          <w:sz w:val="22"/>
        </w:rPr>
        <w:t xml:space="preserve">The second reading is that, in the threshold dimension, the framework reduces to a multilevel 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rPr>
          <w:rFonts w:ascii="Times New Roman" w:hAnsi="Times New Roman"/>
          <w:color w:val="000000"/>
          <w:sz w:val="22"/>
        </w:rPr>
        <w:t xml:space="preserve"> </w:t>
      </w:r>
      <w:r>
        <w:rPr>
          <w:rFonts w:ascii="Times New Roman" w:hAnsi="Times New Roman"/>
          <w:i/>
          <w:iCs/>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this dimension. Rather, the cooperation-network component (</w:t>
      </w:r>
      <m:oMath>
        <m:sSub>
          <m:e>
            <m:r>
              <m:t>λ</m:t>
            </m:r>
          </m:e>
          <m:sub>
            <m:r>
              <m:t>X</m:t>
            </m:r>
          </m:sub>
        </m:sSub>
      </m:oMath>
      <w:r>
        <w:rPr>
          <w:rFonts w:ascii="Times New Roman" w:hAnsi="Times New Roman"/>
          <w:color w:val="000000"/>
          <w:sz w:val="22"/>
        </w:rPr>
        <w:t xml:space="preserve">) produces the threshold, and the signal-conditional partner formation layered on top does not shift it further.</w:t>
      </w:r>
    </w:p>
    <w:p>
      <w:pPr>
        <w:pStyle w:val="BodyText"/>
      </w:pPr>
      <w:r>
        <w:rPr>
          <w:rFonts w:ascii="Times New Roman" w:hAnsi="Times New Roman"/>
          <w:color w:val="000000"/>
          <w:sz w:val="22"/>
        </w:rPr>
        <w:t xml:space="preserve">The ablation result reported here does not resolve the discrepancy between these two findings. A different test makes the choice, the spatial-flow signature evaluated in §6.1, not by where the threshold lies.</w:t>
      </w:r>
    </w:p>
    <w:p>
      <w:pPr>
        <w:pStyle w:val="BodyText"/>
      </w:pPr>
      <w:r>
        <w:rPr>
          <w:rFonts w:ascii="Times New Roman" w:hAnsi="Times New Roman"/>
          <w:color w:val="000000"/>
          <w:sz w:val="22"/>
        </w:rPr>
        <w:t xml:space="preserve">For completeness, we also report an earlier surrogate test that the framework used before the random-partner comparison. Setting the within-group reward parameter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to zero (i.e., removing the bonus that visibly cooperative bands receive, while leaving all network and ecotone effects intact) shifts the analytical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increase. Sweeping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its plausible ethnographic range</w:t>
      </w:r>
      <w:r>
        <w:rPr>
          <w:rFonts w:ascii="Times New Roman" w:hAnsi="Times New Roman"/>
          <w:color w:val="000000"/>
          <w:sz w:val="22"/>
        </w:rPr>
        <w:t xml:space="preserve"> </w:t>
      </w:r>
      <m:oMath>
        <m:r>
          <m:rPr>
            <m:sty m:val="p"/>
          </m:rPr>
          <m:t>[</m:t>
        </m:r>
        <m:r>
          <m:t>0.05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monotonically from 0.543 to 0.263. This sensitivity indicates that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is not free to vary. Its value matters quantitatively in determining the threshold location. But the test does not isolate signaling from generic cooperation, because what is removed by 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rPr>
          <w:rFonts w:ascii="Times New Roman" w:hAnsi="Times New Roman"/>
          <w:color w:val="000000"/>
          <w:sz w:val="22"/>
        </w:rPr>
        <w:t xml:space="preserve">The plausible-range claim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the plausible range of that benefit.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rPr>
          <w:rFonts w:ascii="Times New Roman" w:hAnsi="Times New Roman"/>
          <w:color w:val="000000"/>
          <w:sz w:val="22"/>
        </w:rPr>
        <w:t xml:space="preserve">‘hoansi (!Kung) record showing that good hunters’</w:t>
      </w:r>
      <w:r>
        <w:rPr>
          <w:rFonts w:ascii="Times New Roman" w:hAnsi="Times New Roman"/>
          <w:color w:val="000000"/>
          <w:sz w:val="22"/>
        </w:rPr>
        <w:t xml:space="preserve"> </w:t>
      </w:r>
      <w:r>
        <w:rPr>
          <w:rFonts w:ascii="Times New Roman" w:hAnsi="Times New Roman"/>
          <w:color w:val="000000"/>
          <w:sz w:val="22"/>
        </w:rP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the order of</w:t>
      </w:r>
      <w:r>
        <w:rPr>
          <w:rFonts w:ascii="Times New Roman" w:hAnsi="Times New Roman"/>
          <w:color w:val="000000"/>
          <w:sz w:val="22"/>
        </w:rPr>
        <w:t xml:space="preserve"> </w:t>
      </w:r>
      <m:oMath>
        <m:r>
          <m:t>0.05</m:t>
        </m:r>
      </m:oMath>
      <w:r>
        <w:rPr>
          <w:rFonts w:ascii="Times New Roman" w:hAnsi="Times New Roman"/>
          <w:color w:val="000000"/>
          <w:sz w:val="22"/>
        </w:rPr>
        <w:t xml:space="preserve">-</w:t>
      </w:r>
      <m:oMath>
        <m:r>
          <m:t>0.30</m:t>
        </m:r>
      </m:oMath>
      <w:r>
        <w:rPr>
          <w:rFonts w:ascii="Times New Roman" w:hAnsi="Times New Roman"/>
          <w:color w:val="000000"/>
          <w:sz w:val="22"/>
        </w:rPr>
        <w:t xml:space="preserve">, with central values around</w:t>
      </w:r>
      <w:r>
        <w:rPr>
          <w:rFonts w:ascii="Times New Roman" w:hAnsi="Times New Roman"/>
          <w:color w:val="000000"/>
          <w:sz w:val="22"/>
        </w:rPr>
        <w:t xml:space="preserve"> </w:t>
      </w:r>
      <m:oMath>
        <m:r>
          <m:t>0.10</m:t>
        </m:r>
      </m:oMath>
      <w:r>
        <w:rPr>
          <w:rFonts w:ascii="Times New Roman" w:hAnsi="Times New Roman"/>
          <w:color w:val="000000"/>
          <w:sz w:val="22"/>
        </w:rPr>
        <w:t xml:space="preserve">-</w:t>
      </w:r>
      <m:oMath>
        <m:r>
          <m:t>0.20</m:t>
        </m:r>
      </m:oMath>
      <w:r>
        <w:rPr>
          <w:rFonts w:ascii="Times New Roman" w:hAnsi="Times New Roman"/>
          <w:color w:val="000000"/>
          <w:sz w:val="22"/>
        </w:rPr>
        <w:t xml:space="preserve">. We do not claim that this analysis derives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the data. It brackets a defensible range within which the asserted central value of 0.15 lies. The corresponding threshold sensitivity to</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this range is reported in §4.4.</w:t>
      </w:r>
    </w:p>
    <w:bookmarkEnd w:id="46"/>
    <w:bookmarkStart w:id="47" w:name="sensitivity"/>
    <w:p>
      <w:pPr>
        <w:pStyle w:val="Heading3"/>
      </w:pPr>
      <w:r>
        <w:rPr>
          <w:rFonts w:ascii="Times New Roman" w:hAnsi="Times New Roman"/>
          <w:b w:val="0"/>
          <w:i w:val="0"/>
          <w:color w:val="000000"/>
          <w:sz w:val="22"/>
          <w:u w:val="single"/>
        </w:rPr>
        <w:t xml:space="preserve">4.4 Sensitivity</w:t>
      </w:r>
    </w:p>
    <w:p>
      <w:pPr>
        <w:pStyle w:val="FirstParagraph"/>
      </w:pPr>
      <w:r>
        <w:rPr>
          <w:rFonts w:ascii="Times New Roman" w:hAnsi="Times New Roman"/>
          <w:color w:val="000000"/>
          <w:sz w:val="22"/>
        </w:rPr>
        <w:t xml:space="preserve">A one-at-a-time (OAT) sensitivity analysis varies each model parameter individually across a defined range while holding the other parameters at their default values. It records how much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changes as a result. The resulting</w:t>
      </w:r>
      <w:r>
        <w:rPr>
          <w:rFonts w:ascii="Times New Roman" w:hAnsi="Times New Roman"/>
          <w:color w:val="000000"/>
          <w:sz w:val="22"/>
        </w:rPr>
        <w:t xml:space="preserve"> </w:t>
      </w:r>
      <w:r>
        <w:rPr>
          <w:rFonts w:ascii="Times New Roman" w:hAnsi="Times New Roman"/>
          <w:i/>
          <w:iCs/>
          <w:color w:val="000000"/>
          <w:sz w:val="22"/>
        </w:rPr>
        <w:t xml:space="preserve">swing</w:t>
      </w:r>
      <w:r>
        <w:rPr>
          <w:rFonts w:ascii="Times New Roman" w:hAnsi="Times New Roman"/>
          <w:color w:val="000000"/>
          <w:sz w:val="22"/>
        </w:rPr>
        <w:t xml:space="preserve"> </w:t>
      </w:r>
      <w:r>
        <w:rPr>
          <w:rFonts w:ascii="Times New Roman" w:hAnsi="Times New Roman"/>
          <w:color w:val="000000"/>
          <w:sz w:val="22"/>
        </w:rPr>
        <w:t xml:space="preserve">is the difference between the highest and lowest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produced across the parameter’s tested range, and it measures how strongly that parameter influences the threshold. With baseline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 PP-scenario parameters, a swing of 0.20 means the threshold can move by half its baseline value depending on the setting of that parameter alone. The full table is in Supplemental §S3.1.</w:t>
      </w:r>
    </w:p>
    <w:p>
      <w:pPr>
        <w:pStyle w:val="BodyText"/>
      </w:pPr>
      <w:r>
        <w:rPr>
          <w:rFonts w:ascii="Times New Roman" w:hAnsi="Times New Roman"/>
          <w:color w:val="000000"/>
          <w:sz w:val="22"/>
        </w:rPr>
        <w:t xml:space="preserve">Four parameters produce large swings. A</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perturbation of the signaling-investment cost</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moves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0.225, the largest swing in the model.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0.154 across its full plausible range</w:t>
      </w:r>
      <w:r>
        <w:rPr>
          <w:rFonts w:ascii="Times New Roman" w:hAnsi="Times New Roman"/>
          <w:color w:val="000000"/>
          <w:sz w:val="22"/>
        </w:rPr>
        <w:t xml:space="preserve"> </w:t>
      </w:r>
      <m:oMath>
        <m:r>
          <m:rPr>
            <m:sty m:val="p"/>
          </m:rPr>
          <m:t>[</m:t>
        </m:r>
        <m:r>
          <m:t>0.10</m:t>
        </m:r>
        <m:r>
          <m:rPr>
            <m:sty m:val="p"/>
          </m:rPr>
          <m:t>,</m:t>
        </m:r>
        <m:r>
          <m:t>0.50</m:t>
        </m:r>
        <m:r>
          <m:rPr>
            <m:sty m:val="p"/>
          </m:rPr>
          <m:t>]</m:t>
        </m:r>
      </m:oMath>
      <w:r>
        <w:rPr>
          <w:rFonts w:ascii="Times New Roman" w:hAnsi="Times New Roman"/>
          <w:color w:val="000000"/>
          <w:sz w:val="22"/>
        </w:rPr>
        <w:t xml:space="preserve">, followed closely by the opportunity cost</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w:t>
      </w:r>
      <w:r>
        <w:rPr>
          <w:rFonts w:ascii="Times New Roman" w:hAnsi="Times New Roman"/>
          <w:color w:val="000000"/>
          <w:sz w:val="22"/>
        </w:rPr>
        <w:t xml:space="preserve">at 0.150 and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at 0.137 (both across</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The network parameters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travel-cost coefficient produce moderate swings. Three parameters leave the threshold essentially unchanged: monument depreciation (</w:t>
      </w:r>
      <m:oMath>
        <m:r>
          <m:t>δ</m:t>
        </m:r>
      </m:oMath>
      <w:r>
        <w:rPr>
          <w:rFonts w:ascii="Times New Roman" w:hAnsi="Times New Roman"/>
          <w:color w:val="000000"/>
          <w:sz w:val="22"/>
        </w:rPr>
        <w:t xml:space="preserve">), the half-saturation constant (</w:t>
      </w:r>
      <m:oMath>
        <m:sSub>
          <m:e>
            <m:r>
              <m:t>M</m:t>
            </m:r>
          </m:e>
          <m:sub>
            <m:r>
              <m:t>h</m:t>
            </m:r>
            <m:r>
              <m:t>a</m:t>
            </m:r>
            <m:r>
              <m:t>l</m:t>
            </m:r>
            <m:r>
              <m:t>f</m:t>
            </m:r>
          </m:sub>
        </m:sSub>
      </m:oMath>
      <w:r>
        <w:rPr>
          <w:rFonts w:ascii="Times New Roman" w:hAnsi="Times New Roman"/>
          <w:color w:val="000000"/>
          <w:sz w:val="22"/>
        </w:rPr>
        <w:t xml:space="preserve">), and aggregation size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w:t>
      </w:r>
      <w:r>
        <w:rPr>
          <w:rFonts w:ascii="Times New Roman" w:hAnsi="Times New Roman"/>
          <w:color w:val="000000"/>
          <w:sz w:val="22"/>
        </w:rPr>
        <w:t xml:space="preserve"> </w:t>
      </w:r>
      <m:oMath>
        <m:r>
          <m:t>5</m:t>
        </m:r>
        <m:r>
          <m:rPr>
            <m:sty m:val="p"/>
          </m:rPr>
          <m:t>≤</m:t>
        </m:r>
        <m:sSub>
          <m:e>
            <m:r>
              <m:t>n</m:t>
            </m:r>
          </m:e>
          <m:sub>
            <m:r>
              <m:t>a</m:t>
            </m:r>
            <m:r>
              <m:t>g</m:t>
            </m:r>
            <m:r>
              <m:t>g</m:t>
            </m:r>
          </m:sub>
        </m:sSub>
        <m:r>
          <m:rPr>
            <m:sty m:val="p"/>
          </m:rPr>
          <m:t>≤</m:t>
        </m:r>
        <m:r>
          <m:t>50</m:t>
        </m:r>
      </m:oMath>
      <w:r>
        <w:rPr>
          <w:rFonts w:ascii="Times New Roman" w:hAnsi="Times New Roman"/>
          <w:color w:val="000000"/>
          <w:sz w:val="22"/>
        </w:rPr>
        <w:t xml:space="preserve">) show swings below 0.02. The cooperation-network component parameters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exhibit zero sensitivity because their values are not free dials but are determined endogenously by the lambda-sigma feedback loop. Thus, perturbing their starting values does not affect the equilibrium the loop converges to.</w:t>
      </w:r>
    </w:p>
    <w:p>
      <w:pPr>
        <w:pStyle w:val="BodyText"/>
      </w:pPr>
      <w:r>
        <w:rPr>
          <w:rFonts w:ascii="Times New Roman" w:hAnsi="Times New Roman"/>
          <w:color w:val="000000"/>
          <w:sz w:val="22"/>
        </w:rPr>
        <w:t xml:space="preserve">The substantive implication is that the threshold’s location is set primarily by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and by ecotone access (</w:t>
      </w:r>
      <m:oMath>
        <m:r>
          <m:t>ε</m:t>
        </m:r>
      </m:oMath>
      <w:r>
        <w:rPr>
          <w:rFonts w:ascii="Times New Roman" w:hAnsi="Times New Roman"/>
          <w:color w:val="000000"/>
          <w:sz w:val="22"/>
        </w:rPr>
        <w:t xml:space="preserve">).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modulates the threshold but does not dominate it. The cooperation-network components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rPr>
          <w:rFonts w:ascii="Times New Roman" w:hAnsi="Times New Roman"/>
          <w:b w:val="0"/>
          <w:i/>
          <w:color w:val="000000"/>
          <w:sz w:val="24"/>
          <w:u w:val="none"/>
        </w:rPr>
        <w:t xml:space="preserve">5. The Lower Mississippi Valley Late Archaic record</w:t>
      </w:r>
    </w:p>
    <w:p>
      <w:pPr>
        <w:pStyle w:val="FirstParagraph"/>
      </w:pPr>
      <w:r>
        <w:rPr>
          <w:rFonts w:ascii="Times New Roman" w:hAnsi="Times New Roman"/>
          <w:color w:val="000000"/>
          <w:sz w:val="22"/>
        </w:rPr>
        <w:t xml:space="preserve">We now turn from the framework’s theoretical predictions to its empirical sufficiency. The Lower Mississippi Valley between approximately 4,200 and 3,000 cal BP records the densest expression of the Eastern Archaic monumental tradition. It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rPr>
          <w:rFonts w:ascii="Times New Roman" w:hAnsi="Times New Roman"/>
          <w:b w:val="0"/>
          <w:i w:val="0"/>
          <w:color w:val="000000"/>
          <w:sz w:val="22"/>
          <w:u w:val="single"/>
        </w:rPr>
        <w:t xml:space="preserve">5.1 Site inventory</w:t>
      </w:r>
    </w:p>
    <w:p>
      <w:pPr>
        <w:pStyle w:val="FirstParagraph"/>
      </w:pPr>
      <w:r>
        <w:rPr>
          <w:rFonts w:ascii="Times New Roman" w:hAnsi="Times New Roman"/>
          <w:color w:val="000000"/>
          <w:sz w:val="22"/>
        </w:rP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 a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rFonts w:ascii="Times New Roman" w:hAnsi="Times New Roman"/>
          <w:b/>
          <w:bCs/>
          <w:color w:val="000000"/>
          <w:sz w:val="22"/>
        </w:rPr>
        <w:t xml:space="preserve">Table 1.</w:t>
      </w:r>
      <w:r>
        <w:rPr>
          <w:rFonts w:ascii="Times New Roman" w:hAnsi="Times New Roman"/>
          <w:color w:val="000000"/>
          <w:sz w:val="22"/>
        </w:rPr>
        <w:t xml:space="preserve"> </w:t>
      </w:r>
      <w:r>
        <w:rPr>
          <w:rFonts w:ascii="Times New Roman" w:hAnsi="Times New Roman"/>
          <w:i/>
          <w:iCs/>
          <w:color w:val="000000"/>
          <w:sz w:val="22"/>
        </w:rPr>
        <w:t xml:space="preserve">The eleven LMV sites. Coordinates are decimal degrees (NAD83), derived from the source UTM coordinates in data/site utms.xlsx (zone 15N for interior LA/MS sites; zone 16N for the coastal MS pair).</w:t>
      </w:r>
      <w:r>
        <w:rPr>
          <w:rFonts w:ascii="Times New Roman" w:hAnsi="Times New Roman"/>
          <w:i/>
          <w:iCs/>
          <w:color w:val="000000"/>
          <w:sz w:val="22"/>
        </w:rPr>
        <w:t xml:space="preserve"> </w:t>
      </w:r>
      <w:r>
        <w:rPr>
          <w:rFonts w:ascii="Times New Roman" w:hAnsi="Times New Roman"/>
          <w:i/>
          <w:iCs/>
          <w:color w:val="000000"/>
          <w:sz w:val="22"/>
        </w:rPr>
        <w:t xml:space="preserve">“Period”</w:t>
      </w:r>
      <w:r>
        <w:rPr>
          <w:rFonts w:ascii="Times New Roman" w:hAnsi="Times New Roman"/>
          <w:i/>
          <w:iCs/>
          <w:color w:val="000000"/>
          <w:sz w:val="22"/>
        </w:rPr>
        <w:t xml:space="preserve"> </w:t>
      </w:r>
      <w:r>
        <w:rPr>
          <w:rFonts w:ascii="Times New Roman" w:hAnsi="Times New Roman"/>
          <w:i/>
          <w:iCs/>
          <w:color w:val="000000"/>
          <w:sz w:val="22"/>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5000"/>
        <w:tblLayout w:type="fixed"/>
        <w:tblLook w:firstRow="1" w:lastRow="0" w:firstColumn="0" w:lastColumn="0" w:noHBand="0" w:noVBand="0" w:val="0020"/>
      </w:tblPr>
      <w:tblGrid>
        <w:gridCol w:w="1053"/>
        <w:gridCol w:w="980"/>
        <w:gridCol w:w="762"/>
        <w:gridCol w:w="2143"/>
        <w:gridCol w:w="2216"/>
        <w:gridCol w:w="762"/>
      </w:tblGrid>
      <w:tr>
        <w:trPr>
          <w:tblHeader w:val="on"/>
        </w:trPr>
        <w:tc>
          <w:tcPr/>
          <w:p>
            <w:pPr>
              <w:pStyle w:val="Compact"/>
              <w:jc w:val="center"/>
            </w:pPr>
            <w:r>
              <w:rPr>
                <w:b/>
                <w:bCs/>
              </w:rPr>
              <w:t xml:space="preserve">Site (trinomial)</w:t>
            </w:r>
          </w:p>
        </w:tc>
        <w:tc>
          <w:tcPr/>
          <w:p>
            <w:pPr>
              <w:pStyle w:val="Compact"/>
              <w:jc w:val="right"/>
            </w:pPr>
            <w:r>
              <w:rPr>
                <w:b/>
                <w:bCs/>
              </w:rPr>
              <w:t xml:space="preserve">County/Parish, State</w:t>
            </w:r>
          </w:p>
        </w:tc>
        <w:tc>
          <w:tcPr/>
          <w:p>
            <w:pPr>
              <w:pStyle w:val="Compact"/>
              <w:jc w:val="center"/>
            </w:pPr>
            <w:r>
              <w:rPr>
                <w:b/>
                <w:bCs/>
              </w:rPr>
              <w:t xml:space="preserve">Lat / Lon</w:t>
            </w:r>
          </w:p>
        </w:tc>
        <w:tc>
          <w:tcPr/>
          <w:p>
            <w:pPr>
              <w:pStyle w:val="Compact"/>
              <w:jc w:val="center"/>
            </w:pPr>
            <w:r>
              <w:rPr>
                <w:b/>
                <w:bCs/>
              </w:rPr>
              <w:t xml:space="preserve">Setting</w:t>
            </w:r>
          </w:p>
        </w:tc>
        <w:tc>
          <w:tcPr/>
          <w:p>
            <w:pPr>
              <w:pStyle w:val="Compact"/>
              <w:jc w:val="center"/>
            </w:pPr>
            <w:r>
              <w:rPr>
                <w:b/>
                <w:bCs/>
              </w:rPr>
              <w:t xml:space="preserve">Dates (cal BP)</w:t>
            </w:r>
          </w:p>
        </w:tc>
        <w:tc>
          <w:tcPr/>
          <w:p>
            <w:pPr>
              <w:pStyle w:val="Compact"/>
              <w:jc w:val="right"/>
            </w:pPr>
            <w:r>
              <w:rPr>
                <w:b/>
                <w:bCs/>
              </w:rPr>
              <w:t xml:space="preserve">Monument scale</w:t>
            </w:r>
          </w:p>
        </w:tc>
      </w:tr>
      <w:tr>
        <w:tc>
          <w:tcPr/>
          <w:p>
            <w:pPr>
              <w:pStyle w:val="Compact"/>
              <w:jc w:val="center"/>
            </w:pPr>
            <w:r>
              <w:t xml:space="preserve">Poverty Point (16WC5)</w:t>
            </w:r>
          </w:p>
        </w:tc>
        <w:tc>
          <w:tcPr/>
          <w:p>
            <w:pPr>
              <w:pStyle w:val="Compact"/>
              <w:jc w:val="right"/>
            </w:pPr>
            <w:r>
              <w:t xml:space="preserve">West Carroll, LA</w:t>
            </w:r>
          </w:p>
        </w:tc>
        <w:tc>
          <w:tcPr/>
          <w:p>
            <w:pPr>
              <w:pStyle w:val="Compact"/>
              <w:jc w:val="center"/>
            </w:pPr>
            <w:r>
              <w:t xml:space="preserve">32.6362 / -91.4089</w:t>
            </w:r>
          </w:p>
        </w:tc>
        <w:tc>
          <w:tcPr/>
          <w:p>
            <w:pPr>
              <w:pStyle w:val="Compact"/>
              <w:jc w:val="center"/>
            </w:pPr>
            <w:r>
              <w:t xml:space="preserve">Macon Ridge / Bayou Maçon confluence</w:t>
            </w:r>
          </w:p>
        </w:tc>
        <w:tc>
          <w:tcPr/>
          <w:p>
            <w:pPr>
              <w:pStyle w:val="Compact"/>
              <w:jc w:val="center"/>
            </w:pPr>
            <w:r>
              <w:t xml:space="preserve">3650-3050</w:t>
            </w:r>
          </w:p>
        </w:tc>
        <w:tc>
          <w:tcPr/>
          <w:p>
            <w:pPr>
              <w:pStyle w:val="Compact"/>
              <w:jc w:val="right"/>
            </w:pPr>
            <w:r>
              <w:t xml:space="preserve">Very large</w:t>
            </w:r>
          </w:p>
        </w:tc>
      </w:tr>
      <w:tr>
        <w:tc>
          <w:tcPr/>
          <w:p>
            <w:pPr>
              <w:pStyle w:val="Compact"/>
              <w:jc w:val="center"/>
            </w:pPr>
            <w:r>
              <w:t xml:space="preserve">Lower Jackson (16WC10)</w:t>
            </w:r>
          </w:p>
        </w:tc>
        <w:tc>
          <w:tcPr/>
          <w:p>
            <w:pPr>
              <w:pStyle w:val="Compact"/>
              <w:jc w:val="right"/>
            </w:pPr>
            <w:r>
              <w:t xml:space="preserve">West Carroll, LA</w:t>
            </w:r>
          </w:p>
        </w:tc>
        <w:tc>
          <w:tcPr/>
          <w:p>
            <w:pPr>
              <w:pStyle w:val="Compact"/>
              <w:jc w:val="center"/>
            </w:pPr>
            <w:r>
              <w:t xml:space="preserve">32.6175 / -91.4108</w:t>
            </w:r>
          </w:p>
        </w:tc>
        <w:tc>
          <w:tcPr/>
          <w:p>
            <w:pPr>
              <w:pStyle w:val="Compact"/>
              <w:jc w:val="center"/>
            </w:pPr>
            <w:r>
              <w:t xml:space="preserve">Macon Ridge, ~3 km S of PP</w:t>
            </w:r>
          </w:p>
        </w:tc>
        <w:tc>
          <w:tcPr/>
          <w:p>
            <w:pPr>
              <w:pStyle w:val="Compact"/>
              <w:jc w:val="center"/>
            </w:pPr>
            <w:r>
              <w:t xml:space="preserve">~5500</w:t>
            </w:r>
          </w:p>
        </w:tc>
        <w:tc>
          <w:tcPr/>
          <w:p>
            <w:pPr>
              <w:pStyle w:val="Compact"/>
              <w:jc w:val="right"/>
            </w:pPr>
            <w:r>
              <w:t xml:space="preserve">Minimal</w:t>
            </w:r>
          </w:p>
        </w:tc>
      </w:tr>
      <w:tr>
        <w:tc>
          <w:tcPr/>
          <w:p>
            <w:pPr>
              <w:pStyle w:val="Compact"/>
              <w:jc w:val="center"/>
            </w:pPr>
            <w:r>
              <w:t xml:space="preserve">Watson Brake (16OU175)</w:t>
            </w:r>
          </w:p>
        </w:tc>
        <w:tc>
          <w:tcPr/>
          <w:p>
            <w:pPr>
              <w:pStyle w:val="Compact"/>
              <w:jc w:val="right"/>
            </w:pPr>
            <w:r>
              <w:t xml:space="preserve">Ouachita, LA</w:t>
            </w:r>
          </w:p>
        </w:tc>
        <w:tc>
          <w:tcPr/>
          <w:p>
            <w:pPr>
              <w:pStyle w:val="Compact"/>
              <w:jc w:val="center"/>
            </w:pPr>
            <w:r>
              <w:t xml:space="preserve">32.4475 / -92.0978</w:t>
            </w:r>
          </w:p>
        </w:tc>
        <w:tc>
          <w:tcPr/>
          <w:p>
            <w:pPr>
              <w:pStyle w:val="Compact"/>
              <w:jc w:val="center"/>
            </w:pPr>
            <w:r>
              <w:t xml:space="preserve">Pleistocene terrace / Ouachita River</w:t>
            </w:r>
          </w:p>
        </w:tc>
        <w:tc>
          <w:tcPr/>
          <w:p>
            <w:pPr>
              <w:pStyle w:val="Compact"/>
              <w:jc w:val="center"/>
            </w:pPr>
            <w:r>
              <w:t xml:space="preserve">5400-4700</w:t>
            </w:r>
          </w:p>
        </w:tc>
        <w:tc>
          <w:tcPr/>
          <w:p>
            <w:pPr>
              <w:pStyle w:val="Compact"/>
              <w:jc w:val="right"/>
            </w:pPr>
            <w:r>
              <w:t xml:space="preserve">Mid</w:t>
            </w:r>
          </w:p>
        </w:tc>
      </w:tr>
      <w:tr>
        <w:tc>
          <w:tcPr/>
          <w:p>
            <w:pPr>
              <w:pStyle w:val="Compact"/>
              <w:jc w:val="center"/>
            </w:pPr>
            <w:r>
              <w:t xml:space="preserve">Frenchman’s Bend (16OU259)</w:t>
            </w:r>
          </w:p>
        </w:tc>
        <w:tc>
          <w:tcPr/>
          <w:p>
            <w:pPr>
              <w:pStyle w:val="Compact"/>
              <w:jc w:val="right"/>
            </w:pPr>
            <w:r>
              <w:t xml:space="preserve">Ouachita, LA</w:t>
            </w:r>
          </w:p>
        </w:tc>
        <w:tc>
          <w:tcPr/>
          <w:p>
            <w:pPr>
              <w:pStyle w:val="Compact"/>
              <w:jc w:val="center"/>
            </w:pPr>
            <w:r>
              <w:t xml:space="preserve">32.5530 / -92.1100</w:t>
            </w:r>
          </w:p>
        </w:tc>
        <w:tc>
          <w:tcPr/>
          <w:p>
            <w:pPr>
              <w:pStyle w:val="Compact"/>
              <w:jc w:val="center"/>
            </w:pPr>
            <w:r>
              <w:t xml:space="preserve">Pleistocene terrace / Ouachita tributary, Bayou DeSiard</w:t>
            </w:r>
          </w:p>
        </w:tc>
        <w:tc>
          <w:tcPr/>
          <w:p>
            <w:pPr>
              <w:pStyle w:val="Compact"/>
              <w:jc w:val="center"/>
            </w:pPr>
            <w:r>
              <w:t xml:space="preserve">Middle Archaic (5600-5320 BP cluster; many large-SD dates)</w:t>
            </w:r>
          </w:p>
        </w:tc>
        <w:tc>
          <w:tcPr/>
          <w:p>
            <w:pPr>
              <w:pStyle w:val="Compact"/>
              <w:jc w:val="right"/>
            </w:pPr>
            <w:r>
              <w:t xml:space="preserve">Mid?</w:t>
            </w:r>
          </w:p>
        </w:tc>
      </w:tr>
      <w:tr>
        <w:tc>
          <w:tcPr/>
          <w:p>
            <w:pPr>
              <w:pStyle w:val="Compact"/>
              <w:jc w:val="center"/>
            </w:pPr>
            <w:r>
              <w:t xml:space="preserve">Caney (16CT5)</w:t>
            </w:r>
          </w:p>
        </w:tc>
        <w:tc>
          <w:tcPr/>
          <w:p>
            <w:pPr>
              <w:pStyle w:val="Compact"/>
              <w:jc w:val="right"/>
            </w:pPr>
            <w:r>
              <w:t xml:space="preserve">Catahoula, LA</w:t>
            </w:r>
          </w:p>
        </w:tc>
        <w:tc>
          <w:tcPr/>
          <w:p>
            <w:pPr>
              <w:pStyle w:val="Compact"/>
              <w:jc w:val="center"/>
            </w:pPr>
            <w:r>
              <w:t xml:space="preserve">31.8500 / -91.6700</w:t>
            </w:r>
          </w:p>
        </w:tc>
        <w:tc>
          <w:tcPr/>
          <w:p>
            <w:pPr>
              <w:pStyle w:val="Compact"/>
              <w:jc w:val="center"/>
            </w:pPr>
            <w:r>
              <w:t xml:space="preserve">Pleistocene terrace / small drainage / mast forest</w:t>
            </w:r>
          </w:p>
        </w:tc>
        <w:tc>
          <w:tcPr/>
          <w:p>
            <w:pPr>
              <w:pStyle w:val="Compact"/>
              <w:jc w:val="center"/>
            </w:pPr>
            <w:r>
              <w:t xml:space="preserve">MA + later?</w:t>
            </w:r>
          </w:p>
        </w:tc>
        <w:tc>
          <w:tcPr/>
          <w:p>
            <w:pPr>
              <w:pStyle w:val="Compact"/>
              <w:jc w:val="right"/>
            </w:pPr>
            <w:r>
              <w:t xml:space="preserve">Mid</w:t>
            </w:r>
          </w:p>
        </w:tc>
      </w:tr>
      <w:tr>
        <w:tc>
          <w:tcPr/>
          <w:p>
            <w:pPr>
              <w:pStyle w:val="Compact"/>
              <w:jc w:val="center"/>
            </w:pPr>
            <w:r>
              <w:t xml:space="preserve">Insley (16FR3)</w:t>
            </w:r>
          </w:p>
        </w:tc>
        <w:tc>
          <w:tcPr/>
          <w:p>
            <w:pPr>
              <w:pStyle w:val="Compact"/>
              <w:jc w:val="right"/>
            </w:pPr>
            <w:r>
              <w:t xml:space="preserve">Franklin, LA</w:t>
            </w:r>
          </w:p>
        </w:tc>
        <w:tc>
          <w:tcPr/>
          <w:p>
            <w:pPr>
              <w:pStyle w:val="Compact"/>
              <w:jc w:val="center"/>
            </w:pPr>
            <w:r>
              <w:t xml:space="preserve">32.0833 / -91.6750</w:t>
            </w:r>
          </w:p>
        </w:tc>
        <w:tc>
          <w:tcPr/>
          <w:p>
            <w:pPr>
              <w:pStyle w:val="Compact"/>
              <w:jc w:val="center"/>
            </w:pPr>
            <w:r>
              <w:t xml:space="preserve">Macon Ridge / Bayou Maçon / small drainage / mast forest</w:t>
            </w:r>
          </w:p>
        </w:tc>
        <w:tc>
          <w:tcPr/>
          <w:p>
            <w:pPr>
              <w:pStyle w:val="Compact"/>
              <w:jc w:val="center"/>
            </w:pPr>
            <w:r>
              <w:t xml:space="preserve">Pov Pt with Coles Creek Mnds.</w:t>
            </w:r>
          </w:p>
        </w:tc>
        <w:tc>
          <w:tcPr/>
          <w:p>
            <w:pPr>
              <w:pStyle w:val="Compact"/>
              <w:jc w:val="right"/>
            </w:pPr>
            <w:r>
              <w:t xml:space="preserve">?</w:t>
            </w:r>
          </w:p>
        </w:tc>
      </w:tr>
      <w:tr>
        <w:tc>
          <w:tcPr/>
          <w:p>
            <w:pPr>
              <w:pStyle w:val="Compact"/>
              <w:jc w:val="center"/>
            </w:pPr>
            <w:r>
              <w:t xml:space="preserve">Cowpen Slough (16CT147)</w:t>
            </w:r>
          </w:p>
        </w:tc>
        <w:tc>
          <w:tcPr/>
          <w:p>
            <w:pPr>
              <w:pStyle w:val="Compact"/>
              <w:jc w:val="right"/>
            </w:pPr>
            <w:r>
              <w:t xml:space="preserve">Catahoula, LA</w:t>
            </w:r>
          </w:p>
        </w:tc>
        <w:tc>
          <w:tcPr/>
          <w:p>
            <w:pPr>
              <w:pStyle w:val="Compact"/>
              <w:jc w:val="center"/>
            </w:pPr>
            <w:r>
              <w:t xml:space="preserve">31.6800 / -91.6500</w:t>
            </w:r>
          </w:p>
        </w:tc>
        <w:tc>
          <w:tcPr/>
          <w:p>
            <w:pPr>
              <w:pStyle w:val="Compact"/>
              <w:jc w:val="center"/>
            </w:pPr>
            <w:r>
              <w:t xml:space="preserve">Red/Black River confluence area</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J.W. Copes (16MA47)</w:t>
            </w:r>
          </w:p>
        </w:tc>
        <w:tc>
          <w:tcPr/>
          <w:p>
            <w:pPr>
              <w:pStyle w:val="Compact"/>
              <w:jc w:val="right"/>
            </w:pPr>
            <w:r>
              <w:t xml:space="preserve">Madison, LA</w:t>
            </w:r>
          </w:p>
        </w:tc>
        <w:tc>
          <w:tcPr/>
          <w:p>
            <w:pPr>
              <w:pStyle w:val="Compact"/>
              <w:jc w:val="center"/>
            </w:pPr>
            <w:r>
              <w:t xml:space="preserve">32.4500 / -91.1500</w:t>
            </w:r>
          </w:p>
        </w:tc>
        <w:tc>
          <w:tcPr/>
          <w:p>
            <w:pPr>
              <w:pStyle w:val="Compact"/>
              <w:jc w:val="center"/>
            </w:pPr>
            <w:r>
              <w:t xml:space="preserve">Joe’s Bayou / small drainage; PP satellite</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Jaketown (22HU505)</w:t>
            </w:r>
          </w:p>
        </w:tc>
        <w:tc>
          <w:tcPr/>
          <w:p>
            <w:pPr>
              <w:pStyle w:val="Compact"/>
              <w:jc w:val="right"/>
            </w:pPr>
            <w:r>
              <w:t xml:space="preserve">Humphreys, MS</w:t>
            </w:r>
          </w:p>
        </w:tc>
        <w:tc>
          <w:tcPr/>
          <w:p>
            <w:pPr>
              <w:pStyle w:val="Compact"/>
              <w:jc w:val="center"/>
            </w:pPr>
            <w:r>
              <w:t xml:space="preserve">33.1789 / -90.4561</w:t>
            </w:r>
          </w:p>
        </w:tc>
        <w:tc>
          <w:tcPr/>
          <w:p>
            <w:pPr>
              <w:pStyle w:val="Compact"/>
              <w:jc w:val="center"/>
            </w:pPr>
            <w:r>
              <w:t xml:space="preserve">Yazoo Basin meander belt</w:t>
            </w:r>
          </w:p>
        </w:tc>
        <w:tc>
          <w:tcPr/>
          <w:p>
            <w:pPr>
              <w:pStyle w:val="Compact"/>
              <w:jc w:val="center"/>
            </w:pPr>
            <w:r>
              <w:t xml:space="preserve">4000-3000</w:t>
            </w:r>
          </w:p>
        </w:tc>
        <w:tc>
          <w:tcPr/>
          <w:p>
            <w:pPr>
              <w:pStyle w:val="Compact"/>
              <w:jc w:val="right"/>
            </w:pPr>
            <w:r>
              <w:t xml:space="preserve">Small</w:t>
            </w:r>
          </w:p>
        </w:tc>
      </w:tr>
      <w:tr>
        <w:tc>
          <w:tcPr/>
          <w:p>
            <w:pPr>
              <w:pStyle w:val="Compact"/>
              <w:jc w:val="center"/>
            </w:pPr>
            <w:r>
              <w:t xml:space="preserve">Claiborne (22HA501)</w:t>
            </w:r>
          </w:p>
        </w:tc>
        <w:tc>
          <w:tcPr/>
          <w:p>
            <w:pPr>
              <w:pStyle w:val="Compact"/>
              <w:jc w:val="right"/>
            </w:pPr>
            <w:r>
              <w:t xml:space="preserve">Hancock, MS</w:t>
            </w:r>
          </w:p>
        </w:tc>
        <w:tc>
          <w:tcPr/>
          <w:p>
            <w:pPr>
              <w:pStyle w:val="Compact"/>
              <w:jc w:val="center"/>
            </w:pPr>
            <w:r>
              <w:t xml:space="preserve">30.3097 / -89.5933</w:t>
            </w:r>
          </w:p>
        </w:tc>
        <w:tc>
          <w:tcPr/>
          <w:p>
            <w:pPr>
              <w:pStyle w:val="Compact"/>
              <w:jc w:val="center"/>
            </w:pPr>
            <w:r>
              <w:t xml:space="preserve">Pearl River mouth, coastal</w:t>
            </w:r>
          </w:p>
        </w:tc>
        <w:tc>
          <w:tcPr/>
          <w:p>
            <w:pPr>
              <w:pStyle w:val="Compact"/>
              <w:jc w:val="center"/>
            </w:pPr>
            <w:r>
              <w:t xml:space="preserve">LA-PP</w:t>
            </w:r>
          </w:p>
        </w:tc>
        <w:tc>
          <w:tcPr/>
          <w:p>
            <w:pPr>
              <w:pStyle w:val="Compact"/>
              <w:jc w:val="right"/>
            </w:pPr>
            <w:r>
              <w:t xml:space="preserve">Minimal</w:t>
            </w:r>
          </w:p>
        </w:tc>
      </w:tr>
      <w:tr>
        <w:tc>
          <w:tcPr/>
          <w:p>
            <w:pPr>
              <w:pStyle w:val="Compact"/>
              <w:jc w:val="center"/>
            </w:pPr>
            <w:r>
              <w:t xml:space="preserve">Cedarland (22HA506)</w:t>
            </w:r>
          </w:p>
        </w:tc>
        <w:tc>
          <w:tcPr/>
          <w:p>
            <w:pPr>
              <w:pStyle w:val="Compact"/>
              <w:jc w:val="right"/>
            </w:pPr>
            <w:r>
              <w:t xml:space="preserve">Hancock, MS</w:t>
            </w:r>
          </w:p>
        </w:tc>
        <w:tc>
          <w:tcPr/>
          <w:p>
            <w:pPr>
              <w:pStyle w:val="Compact"/>
              <w:jc w:val="center"/>
            </w:pPr>
            <w:r>
              <w:t xml:space="preserve">30.3083 / -89.5919</w:t>
            </w:r>
          </w:p>
        </w:tc>
        <w:tc>
          <w:tcPr/>
          <w:p>
            <w:pPr>
              <w:pStyle w:val="Compact"/>
              <w:jc w:val="center"/>
            </w:pPr>
            <w:r>
              <w:t xml:space="preserve">Pearl River mouth, coastal</w:t>
            </w:r>
          </w:p>
        </w:tc>
        <w:tc>
          <w:tcPr/>
          <w:p>
            <w:pPr>
              <w:pStyle w:val="Compact"/>
              <w:jc w:val="center"/>
            </w:pPr>
            <w:r>
              <w:t xml:space="preserve">3880-3800 BP (Kidder et al. 2025)</w:t>
            </w:r>
          </w:p>
        </w:tc>
        <w:tc>
          <w:tcPr/>
          <w:p>
            <w:pPr>
              <w:pStyle w:val="Compact"/>
              <w:jc w:val="right"/>
            </w:pPr>
            <w:r>
              <w:t xml:space="preserve">Shell/earth midden</w:t>
            </w:r>
          </w:p>
        </w:tc>
      </w:tr>
    </w:tbl>
    <w:p>
      <w:pPr>
        <w:pStyle w:val="BodyText"/>
      </w:pPr>
      <w:r>
        <w:rPr>
          <w:rFonts w:ascii="Times New Roman" w:hAnsi="Times New Roman"/>
          <w:color w:val="000000"/>
          <w:sz w:val="22"/>
        </w:rP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rFonts w:ascii="Times New Roman" w:hAnsi="Times New Roman"/>
          <w:b/>
          <w:bCs/>
          <w:color w:val="000000"/>
          <w:sz w:val="22"/>
        </w:rPr>
        <w:t xml:space="preserve">Lower Jackson</w:t>
      </w:r>
      <w:r>
        <w:rPr>
          <w:rFonts w:ascii="Times New Roman" w:hAnsi="Times New Roman"/>
          <w:color w:val="000000"/>
          <w:sz w:val="22"/>
        </w:rPr>
        <w:t xml:space="preserve"> </w:t>
      </w:r>
      <w:r>
        <w:rPr>
          <w:rFonts w:ascii="Times New Roman" w:hAnsi="Times New Roman"/>
          <w:color w:val="000000"/>
          <w:sz w:val="22"/>
        </w:rPr>
        <w:t xml:space="preserve">(16WC10), approximately 3 km south of the Poverty Point earthworks on Macon Ridge, is a single isolated mound (Saunders et al. 2001). The conventional Middle Archaic assignment rests on a single submound charcoal date that appears to be a multi-entity sample, </w:t>
      </w:r>
      <w:r>
        <w:rPr>
          <w:rFonts w:ascii="Times New Roman" w:hAnsi="Times New Roman"/>
          <w:color w:val="000000"/>
          <w:sz w:val="22"/>
          <w:highlight w:val="yellow"/>
        </w:rPr>
        <w:t xml:space="preserve">and both Middle Archaic and Poverty Point-period artifacts have been recovered in the immediate area.</w:t>
      </w:r>
      <w:r>
        <w:rPr>
          <w:rFonts w:ascii="Times New Roman" w:hAnsi="Times New Roman"/>
          <w:color w:val="000000"/>
          <w:sz w:val="22"/>
        </w:rPr>
        <w:t xml:space="preserve"> Kidder and Grooms (2024) apply chronological hygiene criteria that would reject the submound date as a reliable</w:t>
      </w:r>
      <w:r>
        <w:rPr>
          <w:rFonts w:ascii="Times New Roman" w:hAnsi="Times New Roman"/>
          <w:color w:val="000000"/>
          <w:sz w:val="22"/>
        </w:rPr>
        <w:t xml:space="preserve"> </w:t>
      </w:r>
      <w:r>
        <w:rPr>
          <w:rFonts w:ascii="Times New Roman" w:hAnsi="Times New Roman"/>
          <w:i/>
          <w:iCs/>
          <w:color w:val="000000"/>
          <w:sz w:val="22"/>
        </w:rPr>
        <w:t xml:space="preserve">terminus post quem</w:t>
      </w:r>
      <w:r>
        <w:rPr>
          <w:rFonts w:ascii="Times New Roman" w:hAnsi="Times New Roman"/>
          <w:color w:val="000000"/>
          <w:sz w:val="22"/>
        </w:rPr>
        <w:t xml:space="preserve"> </w:t>
      </w:r>
      <w:r>
        <w:rPr>
          <w:rFonts w:ascii="Times New Roman" w:hAnsi="Times New Roman"/>
          <w:color w:val="000000"/>
          <w:sz w:val="22"/>
        </w:rPr>
        <w:t xml:space="preserve">and treat the Middle Archaic assignment as unconfirmed. Lower Jackson is likely a single-band or single-event minimal-construction event with no associated residential or evidence of exchange. The Middle Archaic chronology should be understood as provisional under the chronological hygiene criteria the framework otherwise invokes (Kidder and Grooms 2024). Three readings of the site are compatible with the available evidence: (a) a Middle Archaic single-event monument at ~5500 cal BP, the conventional reading; (b) a Late Archaic PP-period monument with a contaminated submound date; or (c) a complex site whose chronological position cannot be resolved on the existing data. The single-band single-event reading is provisional under (a), entirely defeated under (b), and indeterminate under (c). Despite sharing PP’s catchment context under any of the three readings, Lower Jackson never attained even WB-scale construction. The site is used here as one of several anchors for the structural claim that high-</w:t>
      </w:r>
      <m:oMath>
        <m:r>
          <m:t>ε</m:t>
        </m:r>
      </m:oMath>
      <w:r>
        <w:rPr>
          <w:rFonts w:ascii="Times New Roman" w:hAnsi="Times New Roman"/>
          <w:color w:val="000000"/>
          <w:sz w:val="22"/>
        </w:rPr>
        <w:t xml:space="preserve"> </w:t>
      </w:r>
      <w:r>
        <w:rPr>
          <w:rFonts w:ascii="Times New Roman" w:hAnsi="Times New Roman"/>
          <w:color w:val="000000"/>
          <w:sz w:val="22"/>
        </w:rPr>
        <w:t xml:space="preserve">access alone is insufficient for large-scale monument accumulation. The same point is made independently by Insley and J.W. Copes (which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without becoming monumental) and by the convergence dimension of §6.6, so the structural argument does not rest on Lower Jackson’s reading. Conclusions drawn specifically from Lower Jackson should be read as conditional on the conventional chronology and revisable in light of future data.</w:t>
      </w:r>
    </w:p>
    <w:p>
      <w:pPr>
        <w:pStyle w:val="BodyText"/>
      </w:pPr>
      <w:r>
        <w:rPr>
          <w:rFonts w:ascii="Times New Roman" w:hAnsi="Times New Roman"/>
          <w:b/>
          <w:bCs/>
          <w:color w:val="000000"/>
          <w:sz w:val="22"/>
        </w:rPr>
        <w:t xml:space="preserve">Watson Brake</w:t>
      </w:r>
      <w:r>
        <w:rPr>
          <w:rFonts w:ascii="Times New Roman" w:hAnsi="Times New Roman"/>
          <w:color w:val="000000"/>
          <w:sz w:val="22"/>
        </w:rPr>
        <w:t xml:space="preserve"> </w:t>
      </w:r>
      <w:r>
        <w:rPr>
          <w:rFonts w:ascii="Times New Roman" w:hAnsi="Times New Roman"/>
          <w:color w:val="000000"/>
          <w:sz w:val="22"/>
        </w:rPr>
        <w:t xml:space="preserve">(16OU175) sits on a Pleistocene terrace </w:t>
      </w:r>
      <w:r>
        <w:rPr>
          <w:rFonts w:ascii="Times New Roman" w:hAnsi="Times New Roman"/>
          <w:color w:val="000000"/>
          <w:sz w:val="22"/>
          <w:highlight w:val="yellow"/>
        </w:rPr>
        <w:t xml:space="preserve">overlooking an unnamed intermittent stream that flows from Watson Brake into the Ouachita River</w:t>
      </w:r>
      <w:r>
        <w:rPr>
          <w:rFonts w:ascii="Times New Roman" w:hAnsi="Times New Roman"/>
          <w:color w:val="000000"/>
          <w:sz w:val="22"/>
        </w:rPr>
        <w:t>, in Ouachita Parish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The deposit’s 11 mounds and connecting ridges encompass approximately 6 ha of constructed earthwork. </w:t>
      </w:r>
      <w:r>
        <w:rPr>
          <w:rFonts w:ascii="Times New Roman" w:hAnsi="Times New Roman"/>
          <w:color w:val="000000"/>
          <w:sz w:val="22"/>
          <w:highlight w:val="yellow"/>
        </w:rPr>
        <w:t xml:space="preserve">We estimate the constructed earthwork volume by per-mound polygon integration using Lidar data available from the State of Louisiana.</w:t>
      </w:r>
      <w:r>
        <w:rPr>
          <w:rFonts w:ascii="Times New Roman" w:hAnsi="Times New Roman"/>
          <w:color w:val="000000"/>
          <w:sz w:val="22"/>
        </w:rPr>
        <w:t xml:space="preserve">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It treats the inter-mound surface as natural ground rather than as constructed fill. Summing across all clusters gives a total of</w:t>
      </w:r>
      <w:r>
        <w:rPr>
          <w:rFonts w:ascii="Times New Roman" w:hAnsi="Times New Roman"/>
          <w:color w:val="000000"/>
          <w:sz w:val="22"/>
        </w:rPr>
        <w:t xml:space="preserve"> </w:t>
      </w:r>
      <w:r>
        <w:rPr>
          <w:rFonts w:ascii="Times New Roman" w:hAnsi="Times New Roman"/>
          <w:b/>
          <w:bCs/>
          <w:color w:val="000000"/>
          <w:sz w:val="22"/>
        </w:rPr>
        <w:t xml:space="preserve">27,065 m³</w:t>
      </w:r>
      <w:r>
        <w:rPr>
          <w:rFonts w:ascii="Times New Roman" w:hAnsi="Times New Roman"/>
          <w:color w:val="000000"/>
          <w:sz w:val="22"/>
        </w:rP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2005b). WB is the framework’s most demanding internal test. Its near-threshold treatment is in §6.3.</w:t>
      </w:r>
    </w:p>
    <w:p>
      <w:pPr>
        <w:pStyle w:val="BodyText"/>
      </w:pPr>
      <w:r>
        <w:rPr>
          <w:rFonts w:ascii="Times New Roman" w:hAnsi="Times New Roman"/>
          <w:b/>
          <w:bCs/>
          <w:color w:val="000000"/>
          <w:sz w:val="22"/>
        </w:rPr>
        <w:t xml:space="preserve">Frenchman’s Bend</w:t>
      </w:r>
      <w:r>
        <w:rPr>
          <w:rFonts w:ascii="Times New Roman" w:hAnsi="Times New Roman"/>
          <w:color w:val="000000"/>
          <w:sz w:val="22"/>
        </w:rPr>
        <w:t xml:space="preserve"> </w:t>
      </w:r>
      <w:r>
        <w:rPr>
          <w:rFonts w:ascii="Times New Roman" w:hAnsi="Times New Roman"/>
          <w:color w:val="000000"/>
          <w:sz w:val="22"/>
        </w:rPr>
        <w:t xml:space="preserve">(16OU259), in Ouachita Parish, is a smaller Middle Archaic mound complex on a Pleistocene terrace adjacent to Bayou Desiard, a tributary of the Ouachita </w:t>
      </w:r>
      <w:r>
        <w:rPr>
          <w:rFonts w:ascii="Times New Roman" w:hAnsi="Times New Roman"/>
          <w:color w:val="000000"/>
          <w:sz w:val="22"/>
          <w:highlight w:val="yellow"/>
        </w:rPr>
        <w:t xml:space="preserve">(Saunders et al. 1994, 2009)</w:t>
      </w:r>
      <w:r>
        <w:rPr>
          <w:rFonts w:ascii="Times New Roman" w:hAnsi="Times New Roman"/>
          <w:color w:val="000000"/>
          <w:sz w:val="22"/>
        </w:rPr>
        <w:t xml:space="preserve">. The site comprises five low mounds with limited associated evidence of residential activity.</w:t>
      </w:r>
    </w:p>
    <w:p>
      <w:pPr>
        <w:pStyle w:val="BodyText"/>
      </w:pPr>
      <w:r>
        <w:rPr>
          <w:rFonts w:ascii="Times New Roman" w:hAnsi="Times New Roman"/>
          <w:b/>
          <w:bCs/>
          <w:color w:val="000000"/>
          <w:sz w:val="22"/>
        </w:rPr>
        <w:t xml:space="preserve">Caney</w:t>
      </w:r>
      <w:r>
        <w:rPr>
          <w:rFonts w:ascii="Times New Roman" w:hAnsi="Times New Roman"/>
          <w:color w:val="000000"/>
          <w:sz w:val="22"/>
        </w:rPr>
        <w:t xml:space="preserve"> </w:t>
      </w:r>
      <w:r>
        <w:rPr>
          <w:rFonts w:ascii="Times New Roman" w:hAnsi="Times New Roman"/>
          <w:color w:val="000000"/>
          <w:sz w:val="22"/>
        </w:rPr>
        <w:t xml:space="preserve">(16CT5) in Catahoula Parish has a complex chronology that the framework treats with caution. Mounds C and D yielded Middle Archaic dates on mid-mound organically-enriched sediments. The artifact assemblage spans the Paleoindian through the Plaquemine periods. The last stage of Mound B contained a complete Marksville pot. Pedogenetic evidence in mound soils indicates that the bulk of construction at most of the six mounds occurred during Poverty Point or Tchefuncte times rather than the Middle Archaic, with Middle Archaic dates as the earliest component overprinted by substantial later construction (Sassaman 2005:340-341, </w:t>
      </w:r>
      <w:r>
        <w:rPr>
          <w:rFonts w:ascii="Times New Roman" w:hAnsi="Times New Roman"/>
          <w:color w:val="000000"/>
          <w:sz w:val="22"/>
          <w:highlight w:val="yellow"/>
        </w:rPr>
        <w:t xml:space="preserve">summarizing Saunders et al. 2000)</w:t>
      </w:r>
      <w:r>
        <w:rPr>
          <w:rFonts w:ascii="Times New Roman" w:hAnsi="Times New Roman"/>
          <w:color w:val="000000"/>
          <w:sz w:val="22"/>
        </w:rPr>
        <w:t xml:space="preserve">. For the §6.4 / Table 2 screening, we treat Caney as a multi-period mound complex whose latest substantial construction is broadly Poverty Point-Tchefuncte, comparable in scale to roughly 1-2</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Watson Brake’s individual mounds. The screening test on Caney is therefore a comparison of its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against the Late Archaic monument-builder distribution. If the bulk of construction is in fact Middle Archaic, Caney’s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remains a relevant comparator under a different period assignment, but the comparison case to WB rather than to PP becomes the right reference. The framework’s screening conclusion is not sensitive to which of these chronological readings is correct because Caney falls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on either reading.</w:t>
      </w:r>
    </w:p>
    <w:p>
      <w:pPr>
        <w:pStyle w:val="BodyText"/>
      </w:pPr>
      <w:r>
        <w:rPr>
          <w:rFonts w:ascii="Times New Roman" w:hAnsi="Times New Roman"/>
          <w:b/>
          <w:bCs/>
          <w:color w:val="000000"/>
          <w:sz w:val="22"/>
        </w:rPr>
        <w:t xml:space="preserve">Insley</w:t>
      </w:r>
      <w:r>
        <w:rPr>
          <w:rFonts w:ascii="Times New Roman" w:hAnsi="Times New Roman"/>
          <w:color w:val="000000"/>
          <w:sz w:val="22"/>
        </w:rPr>
        <w:t xml:space="preserve"> </w:t>
      </w:r>
      <w:r>
        <w:rPr>
          <w:rFonts w:ascii="Times New Roman" w:hAnsi="Times New Roman"/>
          <w:color w:val="000000"/>
          <w:sz w:val="22"/>
        </w:rPr>
        <w:t xml:space="preserve">(16FR3) in Franklin Parish was originally assigned to the Middle Archaic based on its mound arrangement </w:t>
      </w:r>
      <w:r>
        <w:rPr>
          <w:rFonts w:ascii="Times New Roman" w:hAnsi="Times New Roman"/>
          <w:color w:val="000000"/>
          <w:sz w:val="22"/>
          <w:highlight w:val="yellow"/>
        </w:rPr>
        <w:t xml:space="preserve">(Sassaman and Heckenberger 2004)</w:t>
      </w:r>
      <w:r>
        <w:rPr>
          <w:rFonts w:ascii="Times New Roman" w:hAnsi="Times New Roman"/>
          <w:color w:val="000000"/>
          <w:sz w:val="22"/>
        </w:rPr>
        <w:t xml:space="preserve">,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w:t>
      </w:r>
      <w:r>
        <w:rPr>
          <w:rFonts w:ascii="Times New Roman" w:hAnsi="Times New Roman"/>
          <w:color w:val="000000"/>
          <w:sz w:val="22"/>
          <w:highlight w:val="yellow"/>
        </w:rPr>
        <w:t xml:space="preserve">Insley does contain exotic material, though in small quantities, and lacks the large-scale residential occupation associated with the Poverty Point type-site.</w:t>
      </w:r>
      <w:r>
        <w:rPr>
          <w:rFonts w:ascii="Times New Roman" w:hAnsi="Times New Roman"/>
          <w:color w:val="000000"/>
          <w:sz w:val="22"/>
        </w:rPr>
        <w:t xml:space="preserve"> We retain Insley in the §6.4 and §6.5 GIS analyses below because the screening test operates on catchment geomorphology rather than chronology, and the screening result is robust to the site’s inclusion or exclusion.</w:t>
      </w:r>
    </w:p>
    <w:p>
      <w:pPr>
        <w:pStyle w:val="BodyText"/>
      </w:pPr>
      <w:r>
        <w:rPr>
          <w:rFonts w:ascii="Times New Roman" w:hAnsi="Times New Roman"/>
          <w:b/>
          <w:bCs/>
          <w:color w:val="000000"/>
          <w:sz w:val="22"/>
        </w:rPr>
        <w:t xml:space="preserve">Cowpen Slough</w:t>
      </w:r>
      <w:r>
        <w:rPr>
          <w:rFonts w:ascii="Times New Roman" w:hAnsi="Times New Roman"/>
          <w:color w:val="000000"/>
          <w:sz w:val="22"/>
        </w:rPr>
        <w:t xml:space="preserve"> </w:t>
      </w:r>
      <w:r>
        <w:rPr>
          <w:rFonts w:ascii="Times New Roman" w:hAnsi="Times New Roman"/>
          <w:color w:val="000000"/>
          <w:sz w:val="22"/>
        </w:rPr>
        <w:t xml:space="preserve">(16CT147) in Catahoula Parish is an LA/PP-period hamlet near the confluence of the Red and Black Rivers, with no monumental architecture and only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rFonts w:ascii="Times New Roman" w:hAnsi="Times New Roman"/>
          <w:b/>
          <w:bCs/>
          <w:color w:val="000000"/>
          <w:sz w:val="22"/>
        </w:rPr>
        <w:t xml:space="preserve">J.W. Copes</w:t>
      </w:r>
      <w:r>
        <w:rPr>
          <w:rFonts w:ascii="Times New Roman" w:hAnsi="Times New Roman"/>
          <w:color w:val="000000"/>
          <w:sz w:val="22"/>
        </w:rPr>
        <w:t xml:space="preserve"> </w:t>
      </w:r>
      <w:r>
        <w:rPr>
          <w:rFonts w:ascii="Times New Roman" w:hAnsi="Times New Roman"/>
          <w:color w:val="000000"/>
          <w:sz w:val="22"/>
        </w:rPr>
        <w:t xml:space="preserve">(16MA47) in Madison Parish, on Brimberry Brake near Joe’s Bayou, is a small PP-period habitation site described by Jackson </w:t>
      </w:r>
      <w:r>
        <w:rPr>
          <w:rFonts w:ascii="Times New Roman" w:hAnsi="Times New Roman"/>
          <w:color w:val="000000"/>
          <w:sz w:val="22"/>
          <w:highlight w:val="yellow"/>
        </w:rPr>
        <w:t xml:space="preserve">(1982, 1986, 1989)</w:t>
      </w:r>
      <w:r>
        <w:rPr>
          <w:rFonts w:ascii="Times New Roman" w:hAnsi="Times New Roman"/>
          <w:color w:val="000000"/>
          <w:sz w:val="22"/>
        </w:rPr>
        <w:t xml:space="preserve"> as a satellite to the Poverty Point regional system. Jackson </w:t>
      </w:r>
      <w:r>
        <w:rPr>
          <w:rFonts w:ascii="Times New Roman" w:hAnsi="Times New Roman"/>
          <w:color w:val="000000"/>
          <w:sz w:val="22"/>
          <w:highlight w:val="yellow"/>
        </w:rPr>
        <w:t xml:space="preserve">(1982:73, 82)</w:t>
      </w:r>
      <w:r>
        <w:rPr>
          <w:rFonts w:ascii="Times New Roman" w:hAnsi="Times New Roman"/>
          <w:color w:val="000000"/>
          <w:sz w:val="22"/>
        </w:rPr>
        <w:t xml:space="preserve">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extends well beyond the single galena cube usually cited. Copes yielded one of the larger documented hinterland Poverty Point assemblages (4,031 artifacts), including nonlocal chipped stone such as novaculite alongside the galena, in quantities far below the type-site totals (Gibson and Griffing 1994:223; Jackson </w:t>
      </w:r>
      <w:r>
        <w:rPr>
          <w:rFonts w:ascii="Times New Roman" w:hAnsi="Times New Roman"/>
          <w:color w:val="000000"/>
          <w:sz w:val="22"/>
          <w:highlight w:val="yellow"/>
        </w:rPr>
        <w:t xml:space="preserve">1982:84</w:t>
      </w:r>
      <w:r>
        <w:rPr>
          <w:rFonts w:ascii="Times New Roman" w:hAnsi="Times New Roman"/>
          <w:color w:val="000000"/>
          <w:sz w:val="22"/>
        </w:rPr>
        <w:t xml:space="preserve">; cf. Walthall et al. 1982). Participation in the long-distance exchange network therefore reached well beyond the Poverty Point type site.</w:t>
      </w:r>
    </w:p>
    <w:p>
      <w:pPr>
        <w:pStyle w:val="BodyText"/>
      </w:pPr>
      <w:r>
        <w:rPr>
          <w:rFonts w:ascii="Times New Roman" w:hAnsi="Times New Roman"/>
          <w:b/>
          <w:bCs/>
          <w:color w:val="000000"/>
          <w:sz w:val="22"/>
        </w:rPr>
        <w:t xml:space="preserve">Jaketown</w:t>
      </w:r>
      <w:r>
        <w:rPr>
          <w:rFonts w:ascii="Times New Roman" w:hAnsi="Times New Roman"/>
          <w:color w:val="000000"/>
          <w:sz w:val="22"/>
        </w:rPr>
        <w:t xml:space="preserve"> </w:t>
      </w:r>
      <w:r>
        <w:rPr>
          <w:rFonts w:ascii="Times New Roman" w:hAnsi="Times New Roman"/>
          <w:color w:val="000000"/>
          <w:sz w:val="22"/>
        </w:rP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Poverty Point-period traits appear at Jaketown more than 400 years before they appear at the type site. Those traits therefore cannot have radiated outward from Poverty Point, and Poverty Point is not the terminal point of a single down-the-line diffusion chain. The pattern instead supports a convergence reading, in which PP-period traits developed across several regional centers (Jaketown among the earliest) and later concentrated at Poverty Point (Grooms et al. 2023).</w:t>
      </w:r>
    </w:p>
    <w:p>
      <w:pPr>
        <w:pStyle w:val="BodyText"/>
      </w:pPr>
      <w:r>
        <w:rPr>
          <w:rFonts w:ascii="Times New Roman" w:hAnsi="Times New Roman"/>
          <w:b/>
          <w:bCs/>
          <w:color w:val="000000"/>
          <w:sz w:val="22"/>
        </w:rPr>
        <w:t xml:space="preserve">Claiborne</w:t>
      </w:r>
      <w:r>
        <w:rPr>
          <w:rFonts w:ascii="Times New Roman" w:hAnsi="Times New Roman"/>
          <w:color w:val="000000"/>
          <w:sz w:val="22"/>
        </w:rPr>
        <w:t xml:space="preserve"> </w:t>
      </w:r>
      <w:r>
        <w:rPr>
          <w:rFonts w:ascii="Times New Roman" w:hAnsi="Times New Roman"/>
          <w:color w:val="000000"/>
          <w:sz w:val="22"/>
        </w:rPr>
        <w:t xml:space="preserve">(22HA501) and</w:t>
      </w:r>
      <w:r>
        <w:rPr>
          <w:rFonts w:ascii="Times New Roman" w:hAnsi="Times New Roman"/>
          <w:color w:val="000000"/>
          <w:sz w:val="22"/>
        </w:rPr>
        <w:t xml:space="preserve"> </w:t>
      </w:r>
      <w:r>
        <w:rPr>
          <w:rFonts w:ascii="Times New Roman" w:hAnsi="Times New Roman"/>
          <w:b/>
          <w:bCs/>
          <w:color w:val="000000"/>
          <w:sz w:val="22"/>
        </w:rPr>
        <w:t xml:space="preserve">Cedarland</w:t>
      </w:r>
      <w:r>
        <w:rPr>
          <w:rFonts w:ascii="Times New Roman" w:hAnsi="Times New Roman"/>
          <w:color w:val="000000"/>
          <w:sz w:val="22"/>
        </w:rPr>
        <w:t xml:space="preserve"> </w:t>
      </w:r>
      <w:r>
        <w:rPr>
          <w:rFonts w:ascii="Times New Roman" w:hAnsi="Times New Roman"/>
          <w:color w:val="000000"/>
          <w:sz w:val="22"/>
        </w:rP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broader Pearl River coast reinforces this reading, and it must be stated carefully because the relevant site is morphologically Poverty Point-like. The nearby Jackson Landing site pairs a platform mound with a 460 m semicircular earthen enclosure, but that construction dates to the early Late Woodland (ca. AD 400-700), roughly 1,500 years after the Poverty Point period, and overlies the buried Late Archaic ground surface rather than being built during it. The site’s Poverty Point-period presence is only a minor Late Archaic Pearl River-phase component (ca. 3000-1200 BC) with a perforated Poverty Point object and soapstone, not monumental architecture (Boudreaux 2015). Two points follow. The coast participated in the Poverty Point-period exchange sphere without building monuments at that time. And because the same coastal setting did support a semicircular-earthwork center later, the Poverty Point-period absence of coastal monuments cannot reflect a permanent ecological veto. It reflects the absence, during the Poverty Point window, of the sustained aggregation that produces monumentality, consistent with the necessity-but-not-sufficiency reading developed in §6.6 rather than a low-</w:t>
      </w:r>
      <m:oMath>
        <m:r>
          <m:t>ε</m:t>
        </m:r>
      </m:oMath>
      <w:r>
        <w:rPr>
          <w:rFonts w:ascii="Times New Roman" w:hAnsi="Times New Roman"/>
          <w:color w:val="000000"/>
          <w:sz w:val="22"/>
        </w:rPr>
        <w:t xml:space="preserve"> </w:t>
      </w:r>
      <w:r>
        <w:rPr>
          <w:rFonts w:ascii="Times New Roman" w:hAnsi="Times New Roman"/>
          <w:color w:val="000000"/>
          <w:sz w:val="22"/>
        </w:rPr>
        <w:t xml:space="preserve">exclusion. The coastal pair is the framework’s natural negative case in the LMV: coastal sites that participated in the Poverty Point exchange network yet did not become monumental during the Poverty Point period. If the screening claim is correct, they should sit at the low end of the interior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resource-diversity ranking; §6.4 reports that they do, though by smaller margins than a clean coastal-versus-interior split would imply.</w:t>
      </w:r>
    </w:p>
    <w:bookmarkEnd w:id="49"/>
    <w:bookmarkStart w:id="53" w:name="chronology"/>
    <w:p>
      <w:pPr>
        <w:pStyle w:val="Heading3"/>
      </w:pPr>
      <w:r>
        <w:rPr>
          <w:rFonts w:ascii="Times New Roman" w:hAnsi="Times New Roman"/>
          <w:b w:val="0"/>
          <w:i w:val="0"/>
          <w:color w:val="000000"/>
          <w:sz w:val="22"/>
          <w:u w:val="single"/>
        </w:rPr>
        <w:t xml:space="preserve">5.2 Chronology</w:t>
      </w:r>
    </w:p>
    <w:p>
      <w:pPr>
        <w:pStyle w:val="FirstParagraph"/>
      </w:pPr>
      <w:r>
        <w:rPr>
          <w:rFonts w:ascii="Times New Roman" w:hAnsi="Times New Roman"/>
          <w:color w:val="000000"/>
          <w:sz w:val="22"/>
        </w:rP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2005b).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rPr>
          <w:rFonts w:ascii="Times New Roman" w:hAnsi="Times New Roman"/>
          <w:color w:val="000000"/>
          <w:sz w:val="22"/>
        </w:rP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rPr>
          <w:rFonts w:ascii="Times New Roman" w:hAnsi="Times New Roman"/>
          <w:color w:val="000000"/>
          <w:sz w:val="22"/>
        </w:rPr>
        <w:drawing>
          <wp:inline>
            <wp:extent cx="5486400" cy="3997023"/>
            <wp:effectExtent b="0" l="0" r="0" t="0"/>
            <wp:docPr descr="" title="" id="51" name="Picture"/>
            <a:graphic>
              <a:graphicData uri="http://schemas.openxmlformats.org/drawingml/2006/picture">
                <pic:pic>
                  <pic:nvPicPr>
                    <pic:cNvPr descr="/Users/clipo/PycharmProjects/poverty-point-signaling/figures/manuscript/figure_10_regional_chronology.png" id="52" name="Picture"/>
                    <pic:cNvPicPr>
                      <a:picLocks noChangeArrowheads="1" noChangeAspect="1"/>
                    </pic:cNvPicPr>
                  </pic:nvPicPr>
                  <pic:blipFill>
                    <a:blip r:embed="rId50"/>
                    <a:stretch>
                      <a:fillRect/>
                    </a:stretch>
                  </pic:blipFill>
                  <pic:spPr bwMode="auto">
                    <a:xfrm>
                      <a:off x="0" y="0"/>
                      <a:ext cx="5486400" cy="399702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10. Regional chronological synthesis.</w:t>
      </w:r>
      <w:r>
        <w:rPr>
          <w:rFonts w:ascii="Times New Roman" w:hAnsi="Times New Roman"/>
          <w:color w:val="000000"/>
          <w:sz w:val="20"/>
        </w:rPr>
        <w:t xml:space="preserve"> </w:t>
      </w:r>
      <w:r>
        <w:rPr>
          <w:rFonts w:ascii="Times New Roman" w:hAnsi="Times New Roman"/>
          <w:i/>
          <w:iCs/>
          <w:color w:val="000000"/>
          <w:sz w:val="20"/>
        </w:rPr>
        <w:t xml:space="preserve">(A) Full timeline showing Frenchman’s Bend (5600-5320 BP reliable cluster shown as solid purple band, with lighter extension to older large-SD dates (Saunders et al. 1994, 2009), Lower Jackson (single isolated mound at ~5500 cal BP shown as gray diamond with</w:t>
      </w:r>
      <w:r>
        <w:rPr>
          <w:rFonts w:ascii="Times New Roman" w:hAnsi="Times New Roman"/>
          <w:color w:val="000000"/>
          <w:sz w:val="20"/>
        </w:rPr>
        <w:t xml:space="preserve"> </w:t>
      </w:r>
      <m:oMath>
        <m:r>
          <m:rPr>
            <m:sty m:val="p"/>
          </m:rPr>
          <m:t>±</m:t>
        </m:r>
        <m:r>
          <m:t>150</m:t>
        </m:r>
      </m:oMath>
      <w:r>
        <w:rPr>
          <w:rFonts w:ascii="Times New Roman" w:hAnsi="Times New Roman"/>
          <w:color w:val="000000"/>
          <w:sz w:val="20"/>
        </w:rPr>
        <w:t xml:space="preserve"> </w:t>
      </w:r>
      <w:r>
        <w:rPr>
          <w:rFonts w:ascii="Times New Roman" w:hAnsi="Times New Roman"/>
          <w:i/>
          <w:iCs/>
          <w:color w:val="000000"/>
          <w:sz w:val="20"/>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the abandonment of Watson Brake and the emergence of Poverty Point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rPr>
          <w:rFonts w:ascii="Times New Roman" w:hAnsi="Times New Roman"/>
          <w:color w:val="000000"/>
          <w:sz w:val="20"/>
        </w:rPr>
        <w:t xml:space="preserve"> </w:t>
      </w:r>
      <w:r>
        <w:rPr>
          <w:rFonts w:ascii="Times New Roman" w:hAnsi="Times New Roman"/>
          <w:color w:val="000000"/>
          <w:sz w:val="20"/>
        </w:rPr>
        <w:t xml:space="preserve">in situ</w:t>
      </w:r>
      <w:r>
        <w:rPr>
          <w:rFonts w:ascii="Times New Roman" w:hAnsi="Times New Roman"/>
          <w:color w:val="000000"/>
          <w:sz w:val="20"/>
        </w:rPr>
        <w:t xml:space="preserve"> </w:t>
      </w:r>
      <w:r>
        <w:rPr>
          <w:rFonts w:ascii="Times New Roman" w:hAnsi="Times New Roman"/>
          <w:i/>
          <w:iCs/>
          <w:color w:val="000000"/>
          <w:sz w:val="20"/>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2019) rests instead on PPO production volumes and assemblage composition. Source: Kidder and Grooms (2024); Grooms et al. (2023); Saunders et al. (2001, </w:t>
      </w:r>
      <w:r>
        <w:rPr>
          <w:rFonts w:ascii="Times New Roman" w:hAnsi="Times New Roman"/>
          <w:i/>
          <w:iCs/>
          <w:color w:val="000000"/>
          <w:sz w:val="20"/>
          <w:highlight w:val="yellow"/>
        </w:rPr>
        <w:t xml:space="preserve">2005b, 2009)</w:t>
      </w:r>
      <w:r>
        <w:rPr>
          <w:rFonts w:ascii="Times New Roman" w:hAnsi="Times New Roman"/>
          <w:i/>
          <w:iCs/>
          <w:color w:val="000000"/>
          <w:sz w:val="20"/>
        </w:rPr>
        <w:t xml:space="preserve">.</w:t>
      </w:r>
    </w:p>
    <w:bookmarkEnd w:id="53"/>
    <w:bookmarkStart w:id="54" w:name="construction-tempo"/>
    <w:p>
      <w:pPr>
        <w:pStyle w:val="Heading3"/>
      </w:pPr>
      <w:r>
        <w:rPr>
          <w:rFonts w:ascii="Times New Roman" w:hAnsi="Times New Roman"/>
          <w:b w:val="0"/>
          <w:i w:val="0"/>
          <w:color w:val="000000"/>
          <w:sz w:val="22"/>
          <w:u w:val="single"/>
        </w:rPr>
        <w:t xml:space="preserve">5.3 Construction tempo</w:t>
      </w:r>
    </w:p>
    <w:p>
      <w:pPr>
        <w:pStyle w:val="FirstParagraph"/>
      </w:pPr>
      <w:r>
        <w:rPr>
          <w:rFonts w:ascii="Times New Roman" w:hAnsi="Times New Roman"/>
          <w:color w:val="000000"/>
          <w:sz w:val="22"/>
        </w:rPr>
        <w:t>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A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rPr>
          <w:rFonts w:ascii="Times New Roman" w:hAnsi="Times New Roman"/>
          <w:b w:val="0"/>
          <w:i w:val="0"/>
          <w:color w:val="000000"/>
          <w:sz w:val="22"/>
          <w:u w:val="single"/>
        </w:rPr>
        <w:t xml:space="preserve">5.4 Exotic-goods inventory</w:t>
      </w:r>
    </w:p>
    <w:p>
      <w:pPr>
        <w:pStyle w:val="FirstParagraph"/>
      </w:pPr>
      <w:r>
        <w:rPr>
          <w:rFonts w:ascii="Times New Roman" w:hAnsi="Times New Roman"/>
          <w:color w:val="000000"/>
          <w:sz w:val="22"/>
        </w:rP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rPr>
          <w:rFonts w:ascii="Times New Roman" w:hAnsi="Times New Roman"/>
          <w:b w:val="0"/>
          <w:i w:val="0"/>
          <w:color w:val="000000"/>
          <w:sz w:val="22"/>
          <w:u w:val="single"/>
        </w:rPr>
        <w:t xml:space="preserve">5.5 Paleoclimate</w:t>
      </w:r>
    </w:p>
    <w:p>
      <w:pPr>
        <w:pStyle w:val="FirstParagraph"/>
      </w:pPr>
      <w:r>
        <w:rPr>
          <w:rFonts w:ascii="Times New Roman" w:hAnsi="Times New Roman"/>
          <w:color w:val="000000"/>
          <w:sz w:val="22"/>
        </w:rPr>
        <w:t xml:space="preserve">The Late Holocene LMV climate is documented through several proxy systems, none of which is specifically an LMV-interior hydroclimate reconstruction at the resolution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would prefer. We summarize the proxies we engage, acknowledge their geographic mismatch with LMV-interior subsistence variance, and identify the LMV-region records that a future revision should bring to bear. The Temperature 12k database (Kaufman et al. 2020) is a continental-scale composite that under-resolves centennial variability but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The Salonen et al. (2025) calibration is for the upper Midwest, not the LMV interior. We use it as a regional analog for the broader hydroclimate, not as a direct LMV proxy. Critically, the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at Western Lake (Florida) and Lake Shelby (Alabama) shows that the occupation overlapped a hyperactive hurricane interval (~3800-1000 BP), with landfall rates roughly 5× the baseline. These are Gulf Coast records, and we use them as a proxy for the eastern LMV hurricane regime. The western LMV interior, including Macon Ridge, would have experienced hurricanes at lower intensity and frequency than the Gulf Coast records document. Hence, the landfall rate enters the LMV-interior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as an upper bound on the hurricane-driven component. Combining drought and hurricane recurrence, we estimate a shortfall frequency of ~10 years and magnitude of ~0.45, yielding</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(95% CI 0.41-0.94) under the composite-uncertainty index defined in §3 (full derivation in §S1.4). The 95% CI 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reflects three sources of uncertainty (decomposed in §6.2 and §S15): proxy magnitude uncertainty (the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cited proxies), proxy frequency uncertainty (the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cross-dating of paleotempestology events), and paleo-archaeological cross-dating error between the proxy chronologies and the archaeological active interval (</w:t>
      </w:r>
      <m:oMath>
        <m:r>
          <m:rPr>
            <m:sty m:val="p"/>
          </m:rPr>
          <m:t>∼</m:t>
        </m:r>
        <m:r>
          <m:rPr>
            <m:sty m:val="p"/>
          </m:rPr>
          <m:t>±</m:t>
        </m:r>
        <m:r>
          <m:t>50</m:t>
        </m:r>
      </m:oMath>
      <w:r>
        <w:rPr>
          <w:rFonts w:ascii="Times New Roman" w:hAnsi="Times New Roman"/>
          <w:color w:val="000000"/>
          <w:sz w:val="22"/>
        </w:rPr>
        <w:t xml:space="preserve">-</w:t>
      </w:r>
      <m:oMath>
        <m:r>
          <m:t>100</m:t>
        </m:r>
      </m:oMath>
      <w:r>
        <w:rPr>
          <w:rFonts w:ascii="Times New Roman" w:hAnsi="Times New Roman"/>
          <w:color w:val="000000"/>
          <w:sz w:val="22"/>
        </w:rPr>
        <w:t xml:space="preserve"> </w:t>
      </w:r>
      <w:r>
        <w:rPr>
          <w:rFonts w:ascii="Times New Roman" w:hAnsi="Times New Roman"/>
          <w:color w:val="000000"/>
          <w:sz w:val="22"/>
        </w:rPr>
        <w:t xml:space="preserve">yr per proxy, propagating to</w:t>
      </w:r>
      <w:r>
        <w:rPr>
          <w:rFonts w:ascii="Times New Roman" w:hAnsi="Times New Roman"/>
          <w:color w:val="000000"/>
          <w:sz w:val="22"/>
        </w:rPr>
        <w:t xml:space="preserve"> </w:t>
      </w:r>
      <m:oMath>
        <m:r>
          <m:rPr>
            <m:sty m:val="p"/>
          </m:rPr>
          <m:t>∼</m:t>
        </m:r>
        <m:r>
          <m:rPr>
            <m:sty m:val="p"/>
          </m:rPr>
          <m:t>±</m:t>
        </m:r>
        <m:r>
          <m:t>10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integrated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 The width of the interval is therefore real, not nominal, and reflects genuine input uncertainty rather than artifactual broadening.</w:t>
      </w:r>
    </w:p>
    <w:p>
      <w:pPr>
        <w:pStyle w:val="BodyText"/>
      </w:pPr>
      <w:r>
        <w:rPr>
          <w:rFonts w:ascii="Times New Roman" w:hAnsi="Times New Roman"/>
          <w:i/>
          <w:iCs/>
          <w:color w:val="000000"/>
          <w:sz w:val="22"/>
        </w:rPr>
        <w:t xml:space="preserve">LMV-interior proxies not yet engaged.</w:t>
      </w:r>
      <w:r>
        <w:rPr>
          <w:rFonts w:ascii="Times New Roman" w:hAnsi="Times New Roman"/>
          <w:color w:val="000000"/>
          <w:sz w:val="22"/>
        </w:rPr>
        <w:t xml:space="preserve"> </w:t>
      </w:r>
      <w:r>
        <w:rPr>
          <w:rFonts w:ascii="Times New Roman" w:hAnsi="Times New Roman"/>
          <w:color w:val="000000"/>
          <w:sz w:val="22"/>
        </w:rPr>
        <w:t xml:space="preserve">A future revision of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should bring LMV-interior records to bear in place of the regional composites used here. Candidates include Lake Tulane pollen (Florida, the closest published LMV-region pollen reconstruction), Avery Island salt-dome paleoenvironmental records (Louisiana, the only Pleistocene-Holocene record from within the LMV catchment), Pigmy Basin Mg/Ca SSTs (offshore Gulf, the closest published high-resolution Holocene SST record to the LMV), and Mississippi Delta sediment-supply records (the most direct paleo-hydroclimate signal for the LMV mainstem). None of these is a single-proxy LMV-interior subsistence-variance reconstruction at the resolution PP requires, and constructing such a composite is a substantial paleoenvironmental project beyond the scope of the present framework. We treat the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estimate above as a first-order regional analog rather than a calibrated LMV-interior signal, and the §6.2 threshold-proximity test as a near-tie posterior (not a confirmed pass) in part because of this proxy provenance limitation. A future paleo-revision could substantially tighten the test in either direction.</w:t>
      </w:r>
    </w:p>
    <w:p>
      <w:pPr>
        <w:pStyle w:val="BodyText"/>
      </w:pPr>
      <w:r>
        <w:rPr>
          <w:rFonts w:ascii="Times New Roman" w:hAnsi="Times New Roman"/>
          <w:i/>
          <w:iCs/>
          <w:color w:val="000000"/>
          <w:sz w:val="22"/>
        </w:rPr>
        <w:t xml:space="preserve">Decomposition of</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 </w:t>
      </w:r>
      <w:r>
        <w:rPr>
          <w:rFonts w:ascii="Times New Roman" w:hAnsi="Times New Roman"/>
          <w:i/>
          <w:iCs/>
          <w:color w:val="000000"/>
          <w:sz w:val="22"/>
        </w:rPr>
        <w:t xml:space="preserve">into independent components.</w:t>
      </w:r>
      <w:r>
        <w:rPr>
          <w:rFonts w:ascii="Times New Roman" w:hAnsi="Times New Roman"/>
          <w:color w:val="000000"/>
          <w:sz w:val="22"/>
        </w:rPr>
        <w:t xml:space="preserve"> </w:t>
      </w:r>
      <w:r>
        <w:rPr>
          <w:rFonts w:ascii="Times New Roman" w:hAnsi="Times New Roman"/>
          <w:color w:val="000000"/>
          <w:sz w:val="22"/>
        </w:rPr>
        <w:t xml:space="preserve">The current composite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t>
      </w:r>
      <w:r>
        <w:rPr>
          <w:rFonts w:ascii="Times New Roman" w:hAnsi="Times New Roman"/>
          <w:color w:val="000000"/>
          <w:sz w:val="22"/>
        </w:rPr>
        <w:t xml:space="preserve">aggregates drought and hurricane variance into a single index. This is a model-of-convenience choice rather than a derivation: hunters facing a multi-year drought versus a Category-4 hurricane experience qualitatively different shortfalls, and the cooperation network the framework posits buffers them through different channels (e.g., a drought year is buffered by spatially distributed partners pooling food, and a hurricane is buffered by upstream partners taking in displaced bands). A decomposition into drought-component</w:t>
      </w:r>
      <w:r>
        <w:rPr>
          <w:rFonts w:ascii="Times New Roman" w:hAnsi="Times New Roman"/>
          <w:color w:val="000000"/>
          <w:sz w:val="22"/>
        </w:rPr>
        <w:t xml:space="preserve"> </w:t>
      </w:r>
      <m:oMath>
        <m:sSub>
          <m:e>
            <m:r>
              <m:t>σ</m:t>
            </m:r>
          </m:e>
          <m:sub>
            <m:r>
              <m:t>d</m:t>
            </m:r>
          </m:sub>
        </m:sSub>
      </m:oMath>
      <w:r>
        <w:rPr>
          <w:rFonts w:ascii="Times New Roman" w:hAnsi="Times New Roman"/>
          <w:color w:val="000000"/>
          <w:sz w:val="22"/>
        </w:rPr>
        <w:t xml:space="preserve"> </w:t>
      </w:r>
      <w:r>
        <w:rPr>
          <w:rFonts w:ascii="Times New Roman" w:hAnsi="Times New Roman"/>
          <w:color w:val="000000"/>
          <w:sz w:val="22"/>
        </w:rPr>
        <w:t xml:space="preserve">and event-component</w:t>
      </w:r>
      <w:r>
        <w:rPr>
          <w:rFonts w:ascii="Times New Roman" w:hAnsi="Times New Roman"/>
          <w:color w:val="000000"/>
          <w:sz w:val="22"/>
        </w:rPr>
        <w:t xml:space="preserve"> </w:t>
      </w:r>
      <m:oMath>
        <m:sSub>
          <m:e>
            <m:r>
              <m:t>σ</m:t>
            </m:r>
          </m:e>
          <m:sub>
            <m:r>
              <m:t>e</m:t>
            </m:r>
          </m:sub>
        </m:sSub>
      </m:oMath>
      <w:r>
        <w:rPr>
          <w:rFonts w:ascii="Times New Roman" w:hAnsi="Times New Roman"/>
          <w:color w:val="000000"/>
          <w:sz w:val="22"/>
        </w:rPr>
        <w:t xml:space="preserve">, run separately through the §6.2 threshold-proximity test, would either confirm that the lumped-</w:t>
      </w:r>
      <m:oMath>
        <m:r>
          <m:t>σ</m:t>
        </m:r>
      </m:oMath>
      <w:r>
        <w:rPr>
          <w:rFonts w:ascii="Times New Roman" w:hAnsi="Times New Roman"/>
          <w:color w:val="000000"/>
          <w:sz w:val="22"/>
        </w:rPr>
        <w:t xml:space="preserve"> </w:t>
      </w:r>
      <w:r>
        <w:rPr>
          <w:rFonts w:ascii="Times New Roman" w:hAnsi="Times New Roman"/>
          <w:color w:val="000000"/>
          <w:sz w:val="22"/>
        </w:rPr>
        <w:t xml:space="preserve">result is robust to decomposition or identify which component is doing the threshold-crossing work. We do not run this decomposition in the present article because the LMV-interior drought-component proxy is not currently constructed (see preceding paragraph). However, the decomposition analysis is a natural extension when the LMV-interior reconstructions are available.</w:t>
      </w:r>
    </w:p>
    <w:p>
      <w:pPr>
        <w:pStyle w:val="BodyText"/>
      </w:pPr>
      <w:r>
        <w:rPr>
          <w:rFonts w:ascii="Times New Roman" w:hAnsi="Times New Roman"/>
          <w:color w:val="000000"/>
          <w:sz w:val="22"/>
        </w:rPr>
        <w:drawing>
          <wp:inline>
            <wp:extent cx="5486400" cy="4771671"/>
            <wp:effectExtent b="0" l="0" r="0" t="0"/>
            <wp:docPr descr="" title="" id="57" name="Picture"/>
            <a:graphic>
              <a:graphicData uri="http://schemas.openxmlformats.org/drawingml/2006/picture">
                <pic:pic>
                  <pic:nvPicPr>
                    <pic:cNvPr descr="/Users/clipo/PycharmProjects/poverty-point-signaling/figures/manuscript/figure_11_paleoclimate_proxy.png" id="58" name="Picture"/>
                    <pic:cNvPicPr>
                      <a:picLocks noChangeArrowheads="1" noChangeAspect="1"/>
                    </pic:cNvPicPr>
                  </pic:nvPicPr>
                  <pic:blipFill>
                    <a:blip r:embed="rId56"/>
                    <a:stretch>
                      <a:fillRect/>
                    </a:stretch>
                  </pic:blipFill>
                  <pic:spPr bwMode="auto">
                    <a:xfrm>
                      <a:off x="0" y="0"/>
                      <a:ext cx="5486400" cy="4771671"/>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11. Paleoclimate proxy synthesis for the Late Holocene Lower Mississippi Valley.</w:t>
      </w:r>
      <w:r>
        <w:rPr>
          <w:rFonts w:ascii="Times New Roman" w:hAnsi="Times New Roman"/>
          <w:color w:val="000000"/>
          <w:sz w:val="20"/>
        </w:rPr>
        <w:t xml:space="preserve"> </w:t>
      </w:r>
      <w:r>
        <w:rPr>
          <w:rFonts w:ascii="Times New Roman" w:hAnsi="Times New Roman"/>
          <w:i/>
          <w:iCs/>
          <w:color w:val="000000"/>
          <w:sz w:val="20"/>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rPr>
          <w:rFonts w:ascii="Times New Roman" w:hAnsi="Times New Roman"/>
          <w:color w:val="000000"/>
          <w:sz w:val="20"/>
        </w:rPr>
        <w:t xml:space="preserve"> </w:t>
      </w:r>
      <m:oMath>
        <m:r>
          <m:t>σ</m:t>
        </m:r>
        <m:r>
          <m:rPr>
            <m:sty m:val="p"/>
          </m:rPr>
          <m:t>=</m:t>
        </m:r>
        <m:r>
          <m:t>m</m:t>
        </m:r>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for the three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mound-building cases: Poverty Point (</w:t>
      </w:r>
      <m:oMath>
        <m:r>
          <m:t>T</m:t>
        </m:r>
        <m:r>
          <m:rPr>
            <m:sty m:val="p"/>
          </m:rPr>
          <m:t>=</m:t>
        </m:r>
        <m:r>
          <m:t>10</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0.45</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Watson Brake (</w:t>
      </w:r>
      <m:oMath>
        <m:r>
          <m:t>T</m:t>
        </m:r>
        <m:r>
          <m:rPr>
            <m:sty m:val="p"/>
          </m:rPr>
          <m:t>=</m:t>
        </m:r>
        <m:r>
          <m:t>12</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0.40</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0.52</m:t>
        </m:r>
      </m:oMath>
      <w:r>
        <w:rPr>
          <w:rFonts w:ascii="Times New Roman" w:hAnsi="Times New Roman"/>
          <w:i/>
          <w:iCs/>
          <w:color w:val="000000"/>
          <w:sz w:val="20"/>
        </w:rPr>
        <w:t xml:space="preserve">), and Jaketown (</w:t>
      </w:r>
      <m:oMath>
        <m:r>
          <m:t>T</m:t>
        </m:r>
        <m:r>
          <m:rPr>
            <m:sty m:val="p"/>
          </m:rPr>
          <m:t>=</m:t>
        </m:r>
        <m:r>
          <m:t>11</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0.42</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0.57</m:t>
        </m:r>
      </m:oMath>
      <w:r>
        <w:rPr>
          <w:rFonts w:ascii="Times New Roman" w:hAnsi="Times New Roman"/>
          <w:i/>
          <w:iCs/>
          <w:color w:val="000000"/>
          <w:sz w:val="20"/>
        </w:rPr>
        <w:t xml:space="preserve">), showing the frequency-effect component</w:t>
      </w:r>
      <w:r>
        <w:rPr>
          <w:rFonts w:ascii="Times New Roman" w:hAnsi="Times New Roman"/>
          <w:color w:val="000000"/>
          <w:sz w:val="20"/>
        </w:rPr>
        <w:t xml:space="preserve"> </w:t>
      </w:r>
      <m:oMath>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(blue bars) and magnitude component</w:t>
      </w:r>
      <w:r>
        <w:rPr>
          <w:rFonts w:ascii="Times New Roman" w:hAnsi="Times New Roman"/>
          <w:color w:val="000000"/>
          <w:sz w:val="20"/>
        </w:rPr>
        <w:t xml:space="preserve"> </w:t>
      </w:r>
      <m:oMath>
        <m:r>
          <m:t>m</m:t>
        </m:r>
      </m:oMath>
      <w:r>
        <w:rPr>
          <w:rFonts w:ascii="Times New Roman" w:hAnsi="Times New Roman"/>
          <w:color w:val="000000"/>
          <w:sz w:val="20"/>
        </w:rPr>
        <w:t xml:space="preserve"> </w:t>
      </w:r>
      <w:r>
        <w:rPr>
          <w:rFonts w:ascii="Times New Roman" w:hAnsi="Times New Roman"/>
          <w:i/>
          <w:iCs/>
          <w:color w:val="000000"/>
          <w:sz w:val="20"/>
        </w:rPr>
        <w:t xml:space="preserve">(orange bars). Dashed red line marks the analytical critical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(E) Cross-site composite uncertainty (</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with ±1 SD error bars) across the five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sites (Poverty Point, Watson Brake, Jaketown, Lower Jackson, Frenchman’s Bend). Each site’s central estimate exceeds the</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threshold (dashed red line). (F) Environmental phase space defined by the shortfall recurrence interval (horizontal axis, mean years between shortfalls) and shortfall magnitude (vertical axis). The analytical critical-threshold contour</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(dashed red) separates the regime where the framework predicts independent foraging (lower-right, blue: long recurrence interval, low magnitude) from the regime where it predicts sustained aggregation (upper-left, red: short recurrence interval, high magnitude). The four interior LMV monument-building sites with the strongest paleoclimate estimates (Poverty Point, Watson Brake, Jaketown, Lower Jackson) all fall above the threshold contour at their LMV-derived</w:t>
      </w:r>
      <w:r>
        <w:rPr>
          <w:rFonts w:ascii="Times New Roman" w:hAnsi="Times New Roman"/>
          <w:color w:val="000000"/>
          <w:sz w:val="20"/>
        </w:rPr>
        <w:t xml:space="preserve"> </w:t>
      </w:r>
      <m:oMath>
        <m:r>
          <m:rPr>
            <m:sty m:val="p"/>
          </m:rPr>
          <m:t>(</m:t>
        </m:r>
        <m:r>
          <m:t>T</m:t>
        </m:r>
        <m:r>
          <m:rPr>
            <m:sty m:val="p"/>
          </m:rPr>
          <m:t>,</m:t>
        </m:r>
        <m:r>
          <m:t>m</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coordinates.</w:t>
      </w:r>
    </w:p>
    <w:bookmarkEnd w:id="59"/>
    <w:bookmarkEnd w:id="60"/>
    <w:bookmarkStart w:id="81" w:name="X7f56f72728939b2e31227af71f8d33710616234"/>
    <w:p>
      <w:pPr>
        <w:pStyle w:val="Heading2"/>
      </w:pPr>
      <w:r>
        <w:rPr>
          <w:rFonts w:ascii="Times New Roman" w:hAnsi="Times New Roman"/>
          <w:b w:val="0"/>
          <w:i/>
          <w:color w:val="000000"/>
          <w:sz w:val="24"/>
          <w:u w:val="none"/>
        </w:rPr>
        <w:t xml:space="preserve">6. Empirical evaluation: Poverty Point and the LMV transition</w:t>
      </w:r>
    </w:p>
    <w:p>
      <w:pPr>
        <w:pStyle w:val="FirstParagraph"/>
      </w:pPr>
      <w:r>
        <w:rPr>
          <w:rFonts w:ascii="Times New Roman" w:hAnsi="Times New Roman"/>
          <w:color w:val="000000"/>
          <w:sz w:val="22"/>
        </w:rP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rPr>
          <w:rFonts w:ascii="Times New Roman" w:hAnsi="Times New Roman"/>
          <w:color w:val="000000"/>
          <w:sz w:val="22"/>
        </w:rP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sites known to have built mounds);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rPr>
          <w:rFonts w:ascii="Times New Roman" w:hAnsi="Times New Roman"/>
          <w:b w:val="0"/>
          <w:i w:val="0"/>
          <w:color w:val="000000"/>
          <w:sz w:val="22"/>
          <w:u w:val="single"/>
        </w:rPr>
        <w:t xml:space="preserve">6.1 Calibration anchor and exotic-goods consistency</w:t>
      </w:r>
    </w:p>
    <w:p>
      <w:pPr>
        <w:pStyle w:val="FirstParagraph"/>
      </w:pPr>
      <w:r>
        <w:rPr>
          <w:rFonts w:ascii="Times New Roman" w:hAnsi="Times New Roman"/>
          <w:color w:val="000000"/>
          <w:sz w:val="22"/>
        </w:rPr>
        <w:t xml:space="preserve">Our model uses abstract investment units rather than cubic meters or artifact counts. To compare model output with the archaeological record, we anchor to a single archaeological value and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731 (mean ± sample SD; ddof = 1 throughout; figures in earlier project drafts reported the ddof = 0 value 684, which is smaller by the factor</w:t>
      </w:r>
      <w:r>
        <w:rPr>
          <w:rFonts w:ascii="Times New Roman" w:hAnsi="Times New Roman"/>
          <w:color w:val="000000"/>
          <w:sz w:val="22"/>
        </w:rPr>
        <w:t xml:space="preserve"> </w:t>
      </w:r>
      <m:oMath>
        <m:rad>
          <m:radPr>
            <m:degHide m:val="on"/>
          </m:radPr>
          <m:deg/>
          <m:e>
            <m:r>
              <m:t>n</m:t>
            </m:r>
            <m:r>
              <m:rPr>
                <m:sty m:val="p"/>
              </m:rPr>
              <m:t>/</m:t>
            </m:r>
            <m:r>
              <m:rPr>
                <m:sty m:val="p"/>
              </m:rPr>
              <m:t>(</m:t>
            </m:r>
            <m:r>
              <m:t>n</m:t>
            </m:r>
            <m:r>
              <m:rPr>
                <m:sty m:val="p"/>
              </m:rPr>
              <m:t>−</m:t>
            </m:r>
            <m:r>
              <m:t>1</m:t>
            </m:r>
            <m:r>
              <m:rPr>
                <m:sty m:val="p"/>
              </m:rPr>
              <m:t>)</m:t>
            </m:r>
          </m:e>
        </m:rad>
        <m:r>
          <m:rPr>
            <m:sty m:val="p"/>
          </m:rPr>
          <m:t>=</m:t>
        </m:r>
        <m:rad>
          <m:radPr>
            <m:degHide m:val="on"/>
          </m:radPr>
          <m:deg/>
          <m:e>
            <m:r>
              <m:t>8</m:t>
            </m:r>
            <m:r>
              <m:rPr>
                <m:sty m:val="p"/>
              </m:rPr>
              <m:t>/</m:t>
            </m:r>
            <m:r>
              <m:t>7</m:t>
            </m:r>
          </m:e>
        </m:rad>
        <m:r>
          <m:rPr>
            <m:sty m:val="p"/>
          </m:rPr>
          <m:t>≈</m:t>
        </m:r>
        <m:r>
          <m:t>1.069</m:t>
        </m:r>
      </m:oMath>
      <w:r>
        <w:rPr>
          <w:rFonts w:ascii="Times New Roman" w:hAnsi="Times New Roman"/>
          <w:color w:val="000000"/>
          <w:sz w:val="22"/>
        </w:rPr>
        <w:t xml:space="preserve">).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rPr>
          <w:rFonts w:ascii="Times New Roman" w:hAnsi="Times New Roman"/>
          <w:color w:val="000000"/>
          <w:sz w:val="22"/>
        </w:rPr>
        <w:t xml:space="preserve">The scaling factor is fit to the volume target, so the volume match itself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rPr>
          <w:rFonts w:ascii="Times New Roman" w:hAnsi="Times New Roman"/>
          <w:color w:val="000000"/>
          <w:sz w:val="22"/>
        </w:rP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were derived from independent paleoclimate and Saunders et al. (2005b) site-description sources after PP calibration but before the model was run at WB inputs.</w:t>
      </w:r>
    </w:p>
    <w:p>
      <w:pPr>
        <w:pStyle w:val="BodyText"/>
      </w:pPr>
      <w:r>
        <w:rPr>
          <w:rFonts w:ascii="Times New Roman" w:hAnsi="Times New Roman"/>
          <w:color w:val="000000"/>
          <w:sz w:val="22"/>
        </w:rP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0.38</m:t>
        </m:r>
      </m:oMath>
      <w:r>
        <w:rPr>
          <w:rFonts w:ascii="Times New Roman" w:hAnsi="Times New Roman"/>
          <w:color w:val="000000"/>
          <w:sz w:val="22"/>
        </w:rPr>
        <w:t xml:space="preserve">) produces 9,731 ± 731 cumulative monument units and 21,469 ± 1,606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sample SD (ddof = 1). Against this, the archaeological record documents 155 copper objects, 2,221 steatite fragments, and 740 galena masses and shaped objects (Hays 2019; Webb 1982). Per material, the model produces 178 ± 22 copper, 838 ± 93 steatite, and 1,265 ± 110 galena items (mean ± sample SD, eight replicates). These per-material counts are not directly comparable across the model-archaeology boundary, because the units of count differ. The model’s</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is a single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bowl, one mass, or one sheet). Steatite is reported as fragments, copper as objects, and galena as masses and shaped artifacts. Compared on a per-vessel basis, the model’s 838 steatite acquisitions are closer to a match or moderate overshoot against the</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estimate than a 2.6× fragment-count undershoot. Copper (1.15×) and galena (1.80×) are at least within the same order of magnitude. Novaculite and crystal quartz are also tracked, and enter the distance-decay test in Panel C at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rPr>
          <w:rFonts w:ascii="Times New Roman" w:hAnsi="Times New Roman"/>
          <w:color w:val="000000"/>
          <w:sz w:val="22"/>
        </w:rPr>
        <w:t xml:space="preserve">We treat the per-material comparison as a posterior predictive check. Each material’s eight-replicate distribution defines a 95% predictive interval at PP-calibrated parameters, and we ask whether the archaeological count falls inside it.</w:t>
      </w:r>
      <w:r>
        <w:rPr>
          <w:rFonts w:ascii="Times New Roman" w:hAnsi="Times New Roman"/>
          <w:color w:val="000000"/>
          <w:sz w:val="22"/>
        </w:rPr>
        <w:t xml:space="preserve"> </w:t>
      </w:r>
      <w:r>
        <w:rPr>
          <w:rFonts w:ascii="Times New Roman" w:hAnsi="Times New Roman"/>
          <w:i/>
          <w:iCs/>
          <w:color w:val="000000"/>
          <w:sz w:val="22"/>
        </w:rPr>
        <w:t xml:space="preserve">Copper</w:t>
      </w:r>
      <w:r>
        <w:rPr>
          <w:rFonts w:ascii="Times New Roman" w:hAnsi="Times New Roman"/>
          <w:color w:val="000000"/>
          <w:sz w:val="22"/>
        </w:rPr>
        <w:t xml:space="preserve"> </w:t>
      </w:r>
      <w:r>
        <w:rPr>
          <w:rFonts w:ascii="Times New Roman" w:hAnsi="Times New Roman"/>
          <w:color w:val="000000"/>
          <w:sz w:val="22"/>
        </w:rPr>
        <w:t xml:space="preserve">is the cleanest test in counting-unit terms (i.e., our model produces acquired objects, whereas archaeology counts objects): the central 95% predictive interval (mean ± 1.96 × SD) is [137, 219] and contains the archaeological count of 155. The model is consistent with the recovered count. The apparent fit may understate the true import volume because copper preserves poorly in the corrosive Macon Ridge soils (Mariano 2011), so the surviving 155 specimens represent a lower bound on what was originally deposited.</w:t>
      </w:r>
      <w:r>
        <w:rPr>
          <w:rFonts w:ascii="Times New Roman" w:hAnsi="Times New Roman"/>
          <w:color w:val="000000"/>
          <w:sz w:val="22"/>
        </w:rPr>
        <w:t xml:space="preserve"> </w:t>
      </w:r>
      <w:r>
        <w:rPr>
          <w:rFonts w:ascii="Times New Roman" w:hAnsi="Times New Roman"/>
          <w:i/>
          <w:iCs/>
          <w:color w:val="000000"/>
          <w:sz w:val="22"/>
        </w:rPr>
        <w:t xml:space="preserve">Galena</w:t>
      </w:r>
      <w:r>
        <w:rPr>
          <w:rFonts w:ascii="Times New Roman" w:hAnsi="Times New Roman"/>
          <w:color w:val="000000"/>
          <w:sz w:val="22"/>
        </w:rPr>
        <w:t xml:space="preserve"> </w:t>
      </w:r>
      <w:r>
        <w:rPr>
          <w:rFonts w:ascii="Times New Roman" w:hAnsi="Times New Roman"/>
          <w:color w:val="000000"/>
          <w:sz w:val="22"/>
        </w:rP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rPr>
          <w:rFonts w:ascii="Times New Roman" w:hAnsi="Times New Roman"/>
          <w:color w:val="000000"/>
          <w:sz w:val="22"/>
        </w:rPr>
        <w:t xml:space="preserve"> </w:t>
      </w:r>
      <w:r>
        <w:rPr>
          <w:rFonts w:ascii="Times New Roman" w:hAnsi="Times New Roman"/>
          <w:i/>
          <w:iCs/>
          <w:color w:val="000000"/>
          <w:sz w:val="22"/>
        </w:rPr>
        <w:t xml:space="preserve">acquisition flow</w:t>
      </w:r>
      <w:r>
        <w:rPr>
          <w:rFonts w:ascii="Times New Roman" w:hAnsi="Times New Roman"/>
          <w:color w:val="000000"/>
          <w:sz w:val="22"/>
        </w:rPr>
        <w:t xml:space="preserve"> </w:t>
      </w:r>
      <w:r>
        <w:rPr>
          <w:rFonts w:ascii="Times New Roman" w:hAnsi="Times New Roman"/>
          <w:color w:val="000000"/>
          <w:sz w:val="22"/>
        </w:rPr>
        <w:t xml:space="preserve">(the number of galena units imported into the system per unit time), while the archaeological record captures</w:t>
      </w:r>
      <w:r>
        <w:rPr>
          <w:rFonts w:ascii="Times New Roman" w:hAnsi="Times New Roman"/>
          <w:color w:val="000000"/>
          <w:sz w:val="22"/>
        </w:rPr>
        <w:t xml:space="preserve"> </w:t>
      </w:r>
      <w:r>
        <w:rPr>
          <w:rFonts w:ascii="Times New Roman" w:hAnsi="Times New Roman"/>
          <w:i/>
          <w:iCs/>
          <w:color w:val="000000"/>
          <w:sz w:val="22"/>
        </w:rPr>
        <w:t xml:space="preserve">recovered discard</w:t>
      </w:r>
      <w:r>
        <w:rPr>
          <w:rFonts w:ascii="Times New Roman" w:hAnsi="Times New Roman"/>
          <w:color w:val="000000"/>
          <w:sz w:val="22"/>
        </w:rPr>
        <w:t xml:space="preserve"> </w:t>
      </w:r>
      <w:r>
        <w:rPr>
          <w:rFonts w:ascii="Times New Roman" w:hAnsi="Times New Roman"/>
          <w:color w:val="000000"/>
          <w:sz w:val="22"/>
        </w:rPr>
        <w:t xml:space="preserve">(what fell out of the curation cycle, survived the active occupation, was deposited in the sampled portions of the site, and was cataloged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w:t>
      </w:r>
      <w:r>
        <w:rPr>
          <w:rFonts w:ascii="Times New Roman" w:hAnsi="Times New Roman"/>
          <w:color w:val="000000"/>
          <w:sz w:val="22"/>
          <w:highlight w:val="yellow"/>
        </w:rPr>
        <w:t xml:space="preserve">collected</w:t>
      </w:r>
      <w:r>
        <w:rPr>
          <w:rFonts w:ascii="Times New Roman" w:hAnsi="Times New Roman"/>
          <w:color w:val="000000"/>
          <w:sz w:val="22"/>
        </w:rPr>
        <w:t xml:space="preserve">), curation reduces the recovered count well below the gross acquisition flow the model produces. The framework, therefore, predicts the</w:t>
      </w:r>
      <w:r>
        <w:rPr>
          <w:rFonts w:ascii="Times New Roman" w:hAnsi="Times New Roman"/>
          <w:color w:val="000000"/>
          <w:sz w:val="22"/>
        </w:rPr>
        <w:t xml:space="preserve"> </w:t>
      </w:r>
      <w:r>
        <w:rPr>
          <w:rFonts w:ascii="Times New Roman" w:hAnsi="Times New Roman"/>
          <w:i/>
          <w:iCs/>
          <w:color w:val="000000"/>
          <w:sz w:val="22"/>
        </w:rPr>
        <w:t xml:space="preserve">direction</w:t>
      </w:r>
      <w:r>
        <w:rPr>
          <w:rFonts w:ascii="Times New Roman" w:hAnsi="Times New Roman"/>
          <w:color w:val="000000"/>
          <w:sz w:val="22"/>
        </w:rPr>
        <w:t xml:space="preserve"> </w:t>
      </w:r>
      <w:r>
        <w:rPr>
          <w:rFonts w:ascii="Times New Roman" w:hAnsi="Times New Roman"/>
          <w:color w:val="000000"/>
          <w:sz w:val="22"/>
        </w:rPr>
        <w:t xml:space="preserve">of the gap (curation of valuable signaling materials reduces preserved counts) even though it does not determine the precise magnitude. The implied ~58% net retention is a back-calculated figure consistent with both mechanisms operating but not independently anchored to either.</w:t>
      </w:r>
      <w:r>
        <w:rPr>
          <w:rFonts w:ascii="Times New Roman" w:hAnsi="Times New Roman"/>
          <w:color w:val="000000"/>
          <w:sz w:val="22"/>
        </w:rPr>
        <w:t xml:space="preserve"> </w:t>
      </w:r>
      <w:r>
        <w:rPr>
          <w:rFonts w:ascii="Times New Roman" w:hAnsi="Times New Roman"/>
          <w:i/>
          <w:iCs/>
          <w:color w:val="000000"/>
          <w:sz w:val="22"/>
        </w:rPr>
        <w:t xml:space="preserve">Steatite</w:t>
      </w:r>
      <w:r>
        <w:rPr>
          <w:rFonts w:ascii="Times New Roman" w:hAnsi="Times New Roman"/>
          <w:color w:val="000000"/>
          <w:sz w:val="22"/>
        </w:rPr>
        <w:t xml:space="preserve"> </w:t>
      </w:r>
      <w:r>
        <w:rPr>
          <w:rFonts w:ascii="Times New Roman" w:hAnsi="Times New Roman"/>
          <w:color w:val="000000"/>
          <w:sz w:val="22"/>
        </w:rPr>
        <w:t xml:space="preserve">depends on whether the archaeological count is taken as fragments (2,221) or vessels. </w:t>
      </w:r>
      <w:r>
        <w:rPr>
          <w:rFonts w:ascii="Times New Roman" w:hAnsi="Times New Roman"/>
          <w:color w:val="000000"/>
          <w:sz w:val="22"/>
          <w:highlight w:val="yellow"/>
        </w:rPr>
        <w:t xml:space="preserve">Webb estimated a steatite-vessel cache at</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and judged the site-wide total</w:t>
      </w:r>
      <w:r>
        <w:rPr>
          <w:rFonts w:ascii="Times New Roman" w:hAnsi="Times New Roman"/>
          <w:color w:val="000000"/>
          <w:sz w:val="22"/>
        </w:rPr>
        <w:t xml:space="preserve"> </w:t>
      </w:r>
      <w:r>
        <w:rPr>
          <w:rFonts w:ascii="Times New Roman" w:hAnsi="Times New Roman"/>
          <w:color w:val="000000"/>
          <w:sz w:val="22"/>
        </w:rPr>
        <w:t xml:space="preserve">“must have been in the thousands”</w:t>
      </w:r>
      <w:r>
        <w:rPr>
          <w:rFonts w:ascii="Times New Roman" w:hAnsi="Times New Roman"/>
          <w:color w:val="000000"/>
          <w:sz w:val="22"/>
        </w:rPr>
        <w:t xml:space="preserve"> </w:t>
      </w:r>
      <w:r>
        <w:rPr>
          <w:rFonts w:ascii="Times New Roman" w:hAnsi="Times New Roman"/>
          <w:color w:val="000000"/>
          <w:sz w:val="22"/>
        </w:rPr>
        <w:t xml:space="preserve">(Webb 1982:45). On a vessel basis, the model’s predictive interval [666, 1009] is </w:t>
      </w:r>
      <w:r>
        <w:rPr>
          <w:rFonts w:ascii="Times New Roman" w:hAnsi="Times New Roman"/>
          <w:color w:val="000000"/>
          <w:sz w:val="22"/>
          <w:highlight w:val="yellow"/>
        </w:rPr>
        <w:t xml:space="preserve">consistent with Webb’s several-hundred-vessel cache estimate.</w:t>
      </w:r>
      <w:r>
        <w:rPr>
          <w:rFonts w:ascii="Times New Roman" w:hAnsi="Times New Roman"/>
          <w:color w:val="000000"/>
          <w:sz w:val="22"/>
        </w:rPr>
        <w:t xml:space="preserve"> On the fragment basis, the comparison is unit-mismatched and not directly interpretable without a fragments-per-vessel conversion, which the present model does not encode. The check is therefore consistent for copper, consistent on a vessel basis for steatite, and consistent after curation and partial recovery for galena. In each case, the reconciliation is framework-consistent rather than ad hoc.</w:t>
      </w:r>
    </w:p>
    <w:p>
      <w:pPr>
        <w:pStyle w:val="BodyText"/>
      </w:pPr>
      <w:r>
        <w:rPr>
          <w:rFonts w:ascii="Times New Roman" w:hAnsi="Times New Roman"/>
          <w:color w:val="000000"/>
          <w:sz w:val="22"/>
        </w:rP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0.42</m:t>
        </m:r>
      </m:oMath>
      <w:r>
        <w:rPr>
          <w:rFonts w:ascii="Times New Roman" w:hAnsi="Times New Roman"/>
          <w:color w:val="000000"/>
          <w:sz w:val="22"/>
        </w:rPr>
        <w:t xml:space="preserve">). Steatite, galena, novaculite, and crystal quartz, however, move together strongly (</w:t>
      </w:r>
      <m:oMath>
        <m:r>
          <m:t>r</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0.97</m:t>
        </m:r>
      </m:oMath>
      <w:r>
        <w:rPr>
          <w:rFonts w:ascii="Times New Roman" w:hAnsi="Times New Roman"/>
          <w:color w:val="000000"/>
          <w:sz w:val="22"/>
        </w:rP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is from the simulation’s mean, accounting for correlations among the four counts rather than assuming independence. That four-material archaeological vector (copper 155, steatite 2,221, galena 740, crystal quartz 395) gives</w:t>
      </w:r>
      <w:r>
        <w:rPr>
          <w:rFonts w:ascii="Times New Roman" w:hAnsi="Times New Roman"/>
          <w:color w:val="000000"/>
          <w:sz w:val="22"/>
        </w:rPr>
        <w:t xml:space="preserve"> </w:t>
      </w:r>
      <m:oMath>
        <m:sSup>
          <m:e>
            <m:r>
              <m:t>d</m:t>
            </m:r>
          </m:e>
          <m:sup>
            <m:r>
              <m:t>2</m:t>
            </m:r>
          </m:sup>
        </m:sSup>
        <m:r>
          <m:rPr>
            <m:sty m:val="p"/>
          </m:rPr>
          <m:t>=</m:t>
        </m:r>
        <m:r>
          <m:t>4</m:t>
        </m:r>
        <m:r>
          <m:rPr>
            <m:sty m:val="p"/>
          </m:rPr>
          <m:t>,</m:t>
        </m:r>
        <m:r>
          <m:t>252</m:t>
        </m:r>
      </m:oMath>
      <w:r>
        <w:rPr>
          <w:rFonts w:ascii="Times New Roman" w:hAnsi="Times New Roman"/>
          <w:color w:val="000000"/>
          <w:sz w:val="22"/>
        </w:rPr>
        <w:t xml:space="preserve"> </w:t>
      </w:r>
      <w:r>
        <w:rPr>
          <w:rFonts w:ascii="Times New Roman" w:hAnsi="Times New Roman"/>
          <w:color w:val="000000"/>
          <w:sz w:val="22"/>
        </w:rPr>
        <w:t xml:space="preserve">against the simulation distribution, far outside any rejection threshold appropriate for an eight-replicate covariance estimate. The deviation decomposes into four substantively distinct sources: copper at</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SDs (within noise); steatite at</w:t>
      </w:r>
      <w:r>
        <w:rPr>
          <w:rFonts w:ascii="Times New Roman" w:hAnsi="Times New Roman"/>
          <w:color w:val="000000"/>
          <w:sz w:val="22"/>
        </w:rPr>
        <w:t xml:space="preserve"> </w:t>
      </w:r>
      <m:oMath>
        <m:r>
          <m:rPr>
            <m:sty m:val="p"/>
          </m:rPr>
          <m:t>+</m:t>
        </m:r>
        <m:r>
          <m:t>15.8</m:t>
        </m:r>
      </m:oMath>
      <w:r>
        <w:rPr>
          <w:rFonts w:ascii="Times New Roman" w:hAnsi="Times New Roman"/>
          <w:color w:val="000000"/>
          <w:sz w:val="22"/>
        </w:rPr>
        <w:t xml:space="preserve"> </w:t>
      </w:r>
      <w:r>
        <w:rPr>
          <w:rFonts w:ascii="Times New Roman" w:hAnsi="Times New Roman"/>
          <w:color w:val="000000"/>
          <w:sz w:val="22"/>
        </w:rPr>
        <w:t xml:space="preserve">SDs (the published count is in fragments while the model produces vessels, with roughly six fragments per vessel reconciling the gap; Webb 1982:45); galena at</w:t>
      </w:r>
      <w:r>
        <w:rPr>
          <w:rFonts w:ascii="Times New Roman" w:hAnsi="Times New Roman"/>
          <w:color w:val="000000"/>
          <w:sz w:val="22"/>
        </w:rPr>
        <w:t xml:space="preserve"> </w:t>
      </w:r>
      <m:oMath>
        <m:r>
          <m:rPr>
            <m:sty m:val="p"/>
          </m:rPr>
          <m:t>−</m:t>
        </m:r>
        <m:r>
          <m:t>5.1</m:t>
        </m:r>
      </m:oMath>
      <w:r>
        <w:rPr>
          <w:rFonts w:ascii="Times New Roman" w:hAnsi="Times New Roman"/>
          <w:color w:val="000000"/>
          <w:sz w:val="22"/>
        </w:rPr>
        <w:t xml:space="preserve"> </w:t>
      </w:r>
      <w:r>
        <w:rPr>
          <w:rFonts w:ascii="Times New Roman" w:hAnsi="Times New Roman"/>
          <w:color w:val="000000"/>
          <w:sz w:val="22"/>
        </w:rP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rPr>
          <w:rFonts w:ascii="Times New Roman" w:hAnsi="Times New Roman"/>
          <w:color w:val="000000"/>
          <w:sz w:val="22"/>
        </w:rPr>
        <w:t xml:space="preserve"> </w:t>
      </w:r>
      <m:oMath>
        <m:r>
          <m:rPr>
            <m:sty m:val="p"/>
          </m:rPr>
          <m:t>−</m:t>
        </m:r>
        <m:r>
          <m:t>13.5</m:t>
        </m:r>
      </m:oMath>
      <w:r>
        <w:rPr>
          <w:rFonts w:ascii="Times New Roman" w:hAnsi="Times New Roman"/>
          <w:color w:val="000000"/>
          <w:sz w:val="22"/>
        </w:rPr>
        <w:t xml:space="preserve"> </w:t>
      </w:r>
      <w:r>
        <w:rPr>
          <w:rFonts w:ascii="Times New Roman" w:hAnsi="Times New Roman"/>
          <w:color w:val="000000"/>
          <w:sz w:val="22"/>
        </w:rPr>
        <w:t xml:space="preserve">SDs (two mechanisms compound: the same curation-and-recovery effect operating on galena, plus the Panel C</w:t>
      </w:r>
      <w:r>
        <w:rPr>
          <w:rFonts w:ascii="Times New Roman" w:hAnsi="Times New Roman"/>
          <w:color w:val="000000"/>
          <w:sz w:val="22"/>
        </w:rPr>
        <w:t xml:space="preserve"> </w:t>
      </w:r>
      <w:r>
        <w:rPr>
          <w:rFonts w:ascii="Times New Roman" w:hAnsi="Times New Roman"/>
          <w:color w:val="000000"/>
          <w:sz w:val="22"/>
        </w:rPr>
        <w:t xml:space="preserve">“PP downstream of close-source distance-decay”</w:t>
      </w:r>
      <w:r>
        <w:rPr>
          <w:rFonts w:ascii="Times New Roman" w:hAnsi="Times New Roman"/>
          <w:color w:val="000000"/>
          <w:sz w:val="22"/>
        </w:rPr>
        <w:t xml:space="preserve"> </w:t>
      </w:r>
      <w:r>
        <w:rPr>
          <w:rFonts w:ascii="Times New Roman" w:hAnsi="Times New Roman"/>
          <w:color w:val="000000"/>
          <w:sz w:val="22"/>
        </w:rPr>
        <w:t xml:space="preserve">finding that reduces acquisition flow into PP in the first place). Substantively,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rPr>
          <w:rFonts w:ascii="Times New Roman" w:hAnsi="Times New Roman"/>
          <w:color w:val="000000"/>
          <w:sz w:val="22"/>
        </w:rPr>
        <w:drawing>
          <wp:inline>
            <wp:extent cx="5486400" cy="1706606"/>
            <wp:effectExtent b="0" l="0" r="0" t="0"/>
            <wp:docPr descr="" title="" id="62" name="Picture"/>
            <a:graphic>
              <a:graphicData uri="http://schemas.openxmlformats.org/drawingml/2006/picture">
                <pic:pic>
                  <pic:nvPicPr>
                    <pic:cNvPr descr="/Users/clipo/PycharmProjects/poverty-point-signaling/figures/manuscript/figure_12_calibration.png" id="63" name="Picture"/>
                    <pic:cNvPicPr>
                      <a:picLocks noChangeArrowheads="1" noChangeAspect="1"/>
                    </pic:cNvPicPr>
                  </pic:nvPicPr>
                  <pic:blipFill>
                    <a:blip r:embed="rId61"/>
                    <a:stretch>
                      <a:fillRect/>
                    </a:stretch>
                  </pic:blipFill>
                  <pic:spPr bwMode="auto">
                    <a:xfrm>
                      <a:off x="0" y="0"/>
                      <a:ext cx="5486400" cy="17066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12. Archaeological calibration with replicate-spread error bars.</w:t>
      </w:r>
      <w:r>
        <w:rPr>
          <w:rFonts w:ascii="Times New Roman" w:hAnsi="Times New Roman"/>
          <w:color w:val="000000"/>
          <w:sz w:val="20"/>
        </w:rPr>
        <w:t xml:space="preserve"> </w:t>
      </w:r>
      <w:r>
        <w:rPr>
          <w:rFonts w:ascii="Times New Roman" w:hAnsi="Times New Roman"/>
          <w:i/>
          <w:iCs/>
          <w:color w:val="000000"/>
          <w:sz w:val="20"/>
        </w:rPr>
        <w:t xml:space="preserve">Bars are means across 8 stochastic replicates, each with 200 simulated years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rFonts w:ascii="Times New Roman" w:hAnsi="Times New Roman"/>
          <w:i/>
          <w:iCs/>
          <w:color w:val="000000"/>
          <w:sz w:val="20"/>
        </w:rPr>
        <w:t xml:space="preserve"> </w:t>
      </w:r>
      <w:r>
        <w:rPr>
          <w:rFonts w:ascii="Times New Roman" w:hAnsi="Times New Roman"/>
          <w:i/>
          <w:iCs/>
          <w:color w:val="000000"/>
          <w:sz w:val="20"/>
        </w:rPr>
        <w:t xml:space="preserve">“item”</w:t>
      </w:r>
      <w:r>
        <w:rPr>
          <w:rFonts w:ascii="Times New Roman" w:hAnsi="Times New Roman"/>
          <w:i/>
          <w:iCs/>
          <w:color w:val="000000"/>
          <w:sz w:val="20"/>
        </w:rPr>
        <w:t xml:space="preserve"> </w:t>
      </w:r>
      <w:r>
        <w:rPr>
          <w:rFonts w:ascii="Times New Roman" w:hAnsi="Times New Roman"/>
          <w:i/>
          <w:iCs/>
          <w:color w:val="000000"/>
          <w:sz w:val="20"/>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rPr>
          <w:rFonts w:ascii="Times New Roman" w:hAnsi="Times New Roman"/>
          <w:color w:val="000000"/>
          <w:sz w:val="20"/>
        </w:rPr>
        <w:t xml:space="preserve"> </w:t>
      </w:r>
      <m:oMath>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rPr>
          <w:rFonts w:ascii="Times New Roman" w:hAnsi="Times New Roman"/>
          <w:color w:val="000000"/>
          <w:sz w:val="20"/>
        </w:rPr>
        <w:t xml:space="preserve"> </w:t>
      </w:r>
      <m:oMath>
        <m:r>
          <m:t>ρ</m:t>
        </m:r>
        <m:r>
          <m:rPr>
            <m:sty m:val="p"/>
          </m:rPr>
          <m:t>=</m:t>
        </m:r>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and log-space</w:t>
      </w:r>
      <w:r>
        <w:rPr>
          <w:rFonts w:ascii="Times New Roman" w:hAnsi="Times New Roman"/>
          <w:color w:val="000000"/>
          <w:sz w:val="20"/>
        </w:rPr>
        <w:t xml:space="preserve"> </w:t>
      </w:r>
      <m:oMath>
        <m:sSup>
          <m:e>
            <m:r>
              <m:t>R</m:t>
            </m:r>
          </m:e>
          <m:sup>
            <m:r>
              <m:t>2</m:t>
            </m:r>
          </m:sup>
        </m:sSup>
        <m:r>
          <m:rPr>
            <m:sty m:val="p"/>
          </m:rPr>
          <m:t>=</m:t>
        </m:r>
        <m:r>
          <m:rPr>
            <m:sty m:val="p"/>
          </m:rPr>
          <m:t>−</m:t>
        </m:r>
        <m:r>
          <m:t>1.23</m:t>
        </m:r>
      </m:oMath>
      <w:r>
        <w:rPr>
          <w:rFonts w:ascii="Times New Roman" w:hAnsi="Times New Roman"/>
          <w:color w:val="000000"/>
          <w:sz w:val="20"/>
        </w:rPr>
        <w:t xml:space="preserve"> </w:t>
      </w:r>
      <w:r>
        <w:rPr>
          <w:rFonts w:ascii="Times New Roman" w:hAnsi="Times New Roman"/>
          <w:i/>
          <w:iCs/>
          <w:color w:val="000000"/>
          <w:sz w:val="20"/>
        </w:rPr>
        <w:t xml:space="preserve">across the five materials, reflecting that the uniform model does not capture the near-source vs far-source asymmetry. The same statistics restricted to the three far-source materials (galena, steatite, copper) give</w:t>
      </w:r>
      <w:r>
        <w:rPr>
          <w:rFonts w:ascii="Times New Roman" w:hAnsi="Times New Roman"/>
          <w:color w:val="000000"/>
          <w:sz w:val="20"/>
        </w:rPr>
        <w:t xml:space="preserve"> </w:t>
      </w:r>
      <m:oMath>
        <m:r>
          <m:t>ρ</m:t>
        </m:r>
        <m:r>
          <m:rPr>
            <m:sty m:val="p"/>
          </m:rPr>
          <m:t>=</m:t>
        </m:r>
        <m:r>
          <m:rPr>
            <m:sty m:val="p"/>
          </m:rPr>
          <m:t>+</m:t>
        </m:r>
        <m:r>
          <m:t>0.50</m:t>
        </m:r>
      </m:oMath>
      <w:r>
        <w:rPr>
          <w:rFonts w:ascii="Times New Roman" w:hAnsi="Times New Roman"/>
          <w:i/>
          <w:iCs/>
          <w:color w:val="000000"/>
          <w:sz w:val="20"/>
        </w:rPr>
        <w:t xml:space="preserve">.</w:t>
      </w:r>
    </w:p>
    <w:p>
      <w:pPr>
        <w:pStyle w:val="BodyText"/>
      </w:pPr>
      <w:r>
        <w:rPr>
          <w:rFonts w:ascii="Times New Roman" w:hAnsi="Times New Roman"/>
          <w:color w:val="000000"/>
          <w:sz w:val="22"/>
        </w:rPr>
        <w:t xml:space="preserve">The distance-decay prediction provides a partially independent test, with informative failures. The model’s exotic-acquisition function</w:t>
      </w:r>
      <w:r>
        <w:rPr>
          <w:rFonts w:ascii="Times New Roman" w:hAnsi="Times New Roman"/>
          <w:color w:val="000000"/>
          <w:sz w:val="22"/>
        </w:rP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rPr>
          <w:rFonts w:ascii="Times New Roman" w:hAnsi="Times New Roman"/>
          <w:color w:val="000000"/>
          <w:sz w:val="22"/>
        </w:rPr>
        <w:t xml:space="preserve"> </w:t>
      </w:r>
      <m:oMath>
        <m:r>
          <m:t>ρ</m:t>
        </m:r>
        <m:r>
          <m:rPr>
            <m:sty m:val="p"/>
          </m:rPr>
          <m:t>=</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log-space</w:t>
      </w:r>
      <w:r>
        <w:rPr>
          <w:rFonts w:ascii="Times New Roman" w:hAnsi="Times New Roman"/>
          <w:color w:val="000000"/>
          <w:sz w:val="22"/>
        </w:rPr>
        <w:t xml:space="preserve"> </w:t>
      </w:r>
      <m:oMath>
        <m:sSup>
          <m:e>
            <m:r>
              <m:t>R</m:t>
            </m:r>
          </m:e>
          <m:sup>
            <m:r>
              <m:t>2</m:t>
            </m:r>
          </m:sup>
        </m:sSup>
        <m:r>
          <m:rPr>
            <m:sty m:val="p"/>
          </m:rPr>
          <m:t>=</m:t>
        </m:r>
        <m:r>
          <m:rPr>
            <m:sty m:val="p"/>
          </m:rPr>
          <m:t>−</m:t>
        </m:r>
        <m:r>
          <m:t>1.23</m:t>
        </m:r>
      </m:oMath>
      <w:r>
        <w:rPr>
          <w:rFonts w:ascii="Times New Roman" w:hAnsi="Times New Roman"/>
          <w:color w:val="000000"/>
          <w:sz w:val="22"/>
        </w:rPr>
        <w:t xml:space="preserve"> </w:t>
      </w:r>
      <w:r>
        <w:rPr>
          <w:rFonts w:ascii="Times New Roman" w:hAnsi="Times New Roman"/>
          <w:color w:val="000000"/>
          <w:sz w:val="22"/>
        </w:rP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rPr>
          <w:rFonts w:ascii="Times New Roman" w:hAnsi="Times New Roman"/>
          <w:color w:val="000000"/>
          <w:sz w:val="22"/>
        </w:rPr>
        <w:t xml:space="preserve"> </w:t>
      </w:r>
      <m:oMath>
        <m:r>
          <m:t>ρ</m:t>
        </m:r>
        <m:r>
          <m:rPr>
            <m:sty m:val="p"/>
          </m:rPr>
          <m:t>=</m:t>
        </m:r>
        <m:r>
          <m:rPr>
            <m:sty m:val="p"/>
          </m:rPr>
          <m:t>+</m:t>
        </m:r>
        <m:r>
          <m:t>0.50</m:t>
        </m:r>
      </m:oMath>
      <w:r>
        <w:rPr>
          <w:rFonts w:ascii="Times New Roman" w:hAnsi="Times New Roman"/>
          <w:color w:val="000000"/>
          <w:sz w:val="22"/>
        </w:rP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 decays rather than of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rPr>
          <w:rFonts w:ascii="Times New Roman" w:hAnsi="Times New Roman"/>
          <w:color w:val="000000"/>
          <w:sz w:val="22"/>
        </w:rPr>
        <w:t xml:space="preserve"> </w:t>
      </w:r>
      <w:r>
        <w:rPr>
          <w:rFonts w:ascii="Times New Roman" w:hAnsi="Times New Roman"/>
          <w:i/>
          <w:iCs/>
          <w:color w:val="000000"/>
          <w:sz w:val="22"/>
        </w:rPr>
        <w:t xml:space="preserve">requires</w:t>
      </w:r>
      <w:r>
        <w:rPr>
          <w:rFonts w:ascii="Times New Roman" w:hAnsi="Times New Roman"/>
          <w:color w:val="000000"/>
          <w:sz w:val="22"/>
        </w:rPr>
        <w:t xml:space="preserve"> </w:t>
      </w:r>
      <w:r>
        <w:rPr>
          <w:rFonts w:ascii="Times New Roman" w:hAnsi="Times New Roman"/>
          <w:color w:val="000000"/>
          <w:sz w:val="22"/>
        </w:rPr>
        <w:t xml:space="preserve">a partner network (far-source materials) and merely a downstream beneficiary for materials that closer sites can intercept (near-source materials).</w:t>
      </w:r>
    </w:p>
    <w:p>
      <w:pPr>
        <w:pStyle w:val="BodyText"/>
      </w:pPr>
      <w:r>
        <w:rPr>
          <w:rFonts w:ascii="Times New Roman" w:hAnsi="Times New Roman"/>
          <w:color w:val="000000"/>
          <w:sz w:val="22"/>
        </w:rPr>
        <w:t xml:space="preserve">Three caveats apply to this test. First, the 500 km characteristic length scale is a model parameter, not an</w:t>
      </w:r>
      <w:r>
        <w:rPr>
          <w:rFonts w:ascii="Times New Roman" w:hAnsi="Times New Roman"/>
          <w:color w:val="000000"/>
          <w:sz w:val="22"/>
        </w:rPr>
        <w:t xml:space="preserve"> </w:t>
      </w:r>
      <w:r>
        <w:rPr>
          <w:rFonts w:ascii="Times New Roman" w:hAnsi="Times New Roman"/>
          <w:i/>
          <w:iCs/>
          <w:color w:val="000000"/>
          <w:sz w:val="22"/>
        </w:rPr>
        <w:t xml:space="preserve">a priori</w:t>
      </w:r>
      <w:r>
        <w:rPr>
          <w:rFonts w:ascii="Times New Roman" w:hAnsi="Times New Roman"/>
          <w:color w:val="000000"/>
          <w:sz w:val="22"/>
        </w:rPr>
        <w:t xml:space="preserve"> </w:t>
      </w:r>
      <w:r>
        <w:rPr>
          <w:rFonts w:ascii="Times New Roman" w:hAnsi="Times New Roman"/>
          <w:color w:val="000000"/>
          <w:sz w:val="22"/>
        </w:rPr>
        <w:t xml:space="preserve">prediction, and it is not derived from data independent of the LMV. Second, the Spearman ranking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any model in the uniform-decay family (including a generic transport-cost or down-the-line exchange model) would produce the same</w:t>
      </w:r>
      <w:r>
        <w:rPr>
          <w:rFonts w:ascii="Times New Roman" w:hAnsi="Times New Roman"/>
          <w:color w:val="000000"/>
          <w:sz w:val="22"/>
        </w:rPr>
        <w:t xml:space="preserve"> </w:t>
      </w:r>
      <m:oMath>
        <m:r>
          <m:t>ρ</m:t>
        </m:r>
      </m:oMath>
      <w:r>
        <w:rPr>
          <w:rFonts w:ascii="Times New Roman" w:hAnsi="Times New Roman"/>
          <w:color w:val="000000"/>
          <w:sz w:val="22"/>
        </w:rP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The materials available from sources within a day-trip range of multiple regional sites, however,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rPr>
          <w:rFonts w:ascii="Times New Roman" w:hAnsi="Times New Roman"/>
          <w:color w:val="000000"/>
          <w:sz w:val="22"/>
        </w:rPr>
        <w:t xml:space="preserve">The signaling-specific signature in the exotic record is an asymmetric concentration ratio: When partner-choice is a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describe the active-period flow as strongly asymmetric. The empirical question is therefore not whether outflow exists in principle, but whether the regional concentration ratio is high enough and the asymmetry sufficiently consistent to discriminate among the candidate mechanisms.</w:t>
      </w:r>
    </w:p>
    <w:p>
      <w:pPr>
        <w:pStyle w:val="BodyText"/>
      </w:pPr>
      <w:r>
        <w:rPr>
          <w:rFonts w:ascii="Times New Roman" w:hAnsi="Times New Roman"/>
          <w:color w:val="000000"/>
          <w:sz w:val="22"/>
        </w:rP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rPr>
          <w:rFonts w:ascii="Times New Roman" w:hAnsi="Times New Roman"/>
          <w:color w:val="000000"/>
          <w:sz w:val="22"/>
        </w:rPr>
        <w:t xml:space="preserve">The postive results of coarse asymmetry test (</w:t>
      </w:r>
      <w:r>
        <w:rPr>
          <w:rFonts w:ascii="Times New Roman" w:hAnsi="Times New Roman"/>
          <w:color w:val="000000"/>
          <w:sz w:val="22"/>
        </w:rPr>
        <w:t xml:space="preserve">“is the regional concentration ratio strong enough, and the asymmetry consistent enough, to distinguish hub-accumulation from bidirectional storage-and-redistribution or smooth distance-decay?”</w:t>
      </w:r>
      <w:r>
        <w:rPr>
          <w:rFonts w:ascii="Times New Roman" w:hAnsi="Times New Roman"/>
          <w:color w:val="000000"/>
          <w:sz w:val="22"/>
        </w:rPr>
        <w:t xml:space="preserve">) is supported by Smith (1991) on concentration, by Gibson and Griffing (1994) and Mitch (2023) on the low magnitude of hinterland counts, and by Kidder and Grooms (2025:7) on the strongly asymmetric character of flow during the active period. The finer-grained version of the test (</w:t>
      </w:r>
      <w:r>
        <w:rPr>
          <w:rFonts w:ascii="Times New Roman" w:hAnsi="Times New Roman"/>
          <w:color w:val="000000"/>
          <w:sz w:val="22"/>
        </w:rPr>
        <w:t xml:space="preserve">“is the hinterland-to-hub concentration ratio specifically patterned at sites whose visitor-band status is independently established?”</w:t>
      </w:r>
      <w:r>
        <w:rPr>
          <w:rFonts w:ascii="Times New Roman" w:hAnsi="Times New Roman"/>
          <w:color w:val="000000"/>
          <w:sz w:val="22"/>
        </w:rP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rPr>
          <w:rFonts w:ascii="Times New Roman" w:hAnsi="Times New Roman"/>
          <w:b w:val="0"/>
          <w:i w:val="0"/>
          <w:color w:val="000000"/>
          <w:sz w:val="22"/>
          <w:u w:val="single"/>
        </w:rPr>
        <w:t xml:space="preserve">6.2 Bayesian threshold-proximity under joint uncertainty propagation</w:t>
      </w:r>
    </w:p>
    <w:p>
      <w:pPr>
        <w:pStyle w:val="FirstParagraph"/>
      </w:pPr>
      <w:r>
        <w:rPr>
          <w:rFonts w:ascii="Times New Roman" w:hAnsi="Times New Roman"/>
          <w:color w:val="000000"/>
          <w:sz w:val="22"/>
        </w:rPr>
        <w:t xml:space="preserve">A demanding test of the framework is whether environmental conditions estimated from paleoclimate proxies, with no archaeological data included in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calculation, fall on the model-predicted threshold. The structural reasoning is that if Poverty Point exhibits the archaeological hallmarks of monumental aggregation, and the framework predicts that such aggregation should occur only when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then estimating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independent climate proxies and comparing it to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tests the prediction. If proxy-derived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falls</w:t>
      </w:r>
      <w:r>
        <w:rPr>
          <w:rFonts w:ascii="Times New Roman" w:hAnsi="Times New Roman"/>
          <w:color w:val="000000"/>
          <w:sz w:val="22"/>
        </w:rPr>
        <w:t xml:space="preserve"> </w:t>
      </w:r>
      <w:r>
        <w:rPr>
          <w:rFonts w:ascii="Times New Roman" w:hAnsi="Times New Roman"/>
          <w:i/>
          <w:iCs/>
          <w:color w:val="000000"/>
          <w:sz w:val="22"/>
        </w:rPr>
        <w:t xml:space="preserve">above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prediction holds. If it falls below, the prediction fails.</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color w:val="000000"/>
          <w:sz w:val="22"/>
        </w:rPr>
        <w:t xml:space="preserve">“independence”</w:t>
      </w:r>
      <w:r>
        <w:rPr>
          <w:rFonts w:ascii="Times New Roman" w:hAnsi="Times New Roman"/>
          <w:color w:val="000000"/>
          <w:sz w:val="22"/>
        </w:rPr>
        <w:t xml:space="preserve"> </w:t>
      </w:r>
      <w:r>
        <w:rPr>
          <w:rFonts w:ascii="Times New Roman" w:hAnsi="Times New Roman"/>
          <w:color w:val="000000"/>
          <w:sz w:val="22"/>
        </w:rPr>
        <w:t xml:space="preserve">framing of this test has a caveat: the model’s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not derived independently of Poverty Point. The cost parameters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the within-group reward asserted at</w:t>
      </w:r>
      <w:r>
        <w:rPr>
          <w:rFonts w:ascii="Times New Roman" w:hAnsi="Times New Roman"/>
          <w:color w:val="000000"/>
          <w:sz w:val="22"/>
        </w:rPr>
        <w:t xml:space="preserve"> </w:t>
      </w:r>
      <m:oMath>
        <m:sSub>
          <m:e>
            <m:r>
              <m:t>λ</m:t>
            </m:r>
          </m:e>
          <m:sub>
            <m:r>
              <m:t>W</m:t>
            </m:r>
          </m:sub>
        </m:sSub>
        <m:r>
          <m:rPr>
            <m:sty m:val="p"/>
          </m:rPr>
          <m:t>=</m:t>
        </m:r>
        <m:r>
          <m:t>0.15</m:t>
        </m:r>
      </m:oMath>
      <w:r>
        <w:rPr>
          <w:rFonts w:ascii="Times New Roman" w:hAnsi="Times New Roman"/>
          <w:color w:val="000000"/>
          <w:sz w:val="22"/>
        </w:rPr>
        <w:t xml:space="preserve">, the network-saturation constants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the default ecotone-weighting rubric were all chosen so that the model run at PP-scenario parameters produces a calibrated PP-scale operation. The §S3.1 one-at-a-time sensitivity table shows that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0.225 swing under</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and a 0.154 swing under</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So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conditioned on a parameter set chosen to be consistent with the Poverty Point operation, even though the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independent of the Poverty Point archaeological record. The test below assesses whether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 a model-defined threshold under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as well. We identify this as a priority for empirical work in §7.4.</w:t>
      </w:r>
    </w:p>
    <w:p>
      <w:pPr>
        <w:pStyle w:val="BodyText"/>
      </w:pPr>
      <w:r>
        <w:rPr>
          <w:rFonts w:ascii="Times New Roman" w:hAnsi="Times New Roman"/>
          <w:color w:val="000000"/>
          <w:sz w:val="22"/>
        </w:rPr>
        <w:t xml:space="preserve">Our estimated regional uncertainty for Poverty Point (</w:t>
      </w:r>
      <m:oMath>
        <m:sSub>
          <m:e>
            <m:r>
              <m:t>σ</m:t>
            </m:r>
          </m:e>
          <m:sub>
            <m:r>
              <m:t>L</m:t>
            </m:r>
            <m:r>
              <m:t>M</m:t>
            </m:r>
            <m:r>
              <m:t>V</m:t>
            </m:r>
          </m:sub>
        </m:sSub>
        <m:r>
          <m:rPr>
            <m:sty m:val="p"/>
          </m:rPr>
          <m:t>≈</m:t>
        </m:r>
        <m:r>
          <m:t>0.64</m:t>
        </m:r>
      </m:oMath>
      <w:r>
        <w:rPr>
          <w:rFonts w:ascii="Times New Roman" w:hAnsi="Times New Roman"/>
          <w:color w:val="000000"/>
          <w:sz w:val="22"/>
        </w:rPr>
        <w:t xml:space="preserve">, 95% CI 0.41-0.94) was derived from paleoclimate proxies (§5.5). The central estimate exceeds the model-predicted threshold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given the site’s ecotone advantage;</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t>
      </w:r>
      <w:r>
        <w:rPr>
          <w:rFonts w:ascii="Times New Roman" w:hAnsi="Times New Roman"/>
          <w:color w:val="000000"/>
          <w:sz w:val="22"/>
        </w:rPr>
        <w:t xml:space="preserve">without). However, two sources of uncertainty must be propagated through the comparison: the paleoclimate uncertainty in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and the ecotone-weighting uncertainty in</w:t>
      </w:r>
      <w:r>
        <w:rPr>
          <w:rFonts w:ascii="Times New Roman" w:hAnsi="Times New Roman"/>
          <w:color w:val="000000"/>
          <w:sz w:val="22"/>
        </w:rPr>
        <w:t xml:space="preserve"> </w:t>
      </w:r>
      <m:oMath>
        <m:r>
          <m:t>ε</m:t>
        </m:r>
      </m:oMath>
      <w:r>
        <w:rPr>
          <w:rFonts w:ascii="Times New Roman" w:hAnsi="Times New Roman"/>
          <w:color w:val="000000"/>
          <w:sz w:val="22"/>
        </w:rPr>
        <w:t xml:space="preserve">. Once both are propagated, the inference is more measured than the central estimate alone suggests.</w:t>
      </w:r>
    </w:p>
    <w:p>
      <w:pPr>
        <w:pStyle w:val="BodyText"/>
      </w:pPr>
      <w:r>
        <w:rPr>
          <w:rFonts w:ascii="Times New Roman" w:hAnsi="Times New Roman"/>
          <w:color w:val="000000"/>
          <w:sz w:val="22"/>
        </w:rP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w:r>
        <w:rPr>
          <w:rFonts w:ascii="Times New Roman" w:hAnsi="Times New Roman"/>
          <w:color w:val="000000"/>
          <w:sz w:val="22"/>
        </w:rP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rPr>
          <w:rFonts w:ascii="Times New Roman" w:hAnsi="Times New Roman"/>
          <w:color w:val="000000"/>
          <w:sz w:val="22"/>
        </w:rPr>
        <w:t xml:space="preserve"> </w:t>
      </w:r>
      <w:r>
        <w:rPr>
          <w:rFonts w:ascii="Times New Roman" w:hAnsi="Times New Roman"/>
          <w:color w:val="000000"/>
          <w:sz w:val="22"/>
        </w:rPr>
        <w:t xml:space="preserve">“priors”</w:t>
      </w:r>
      <w:r>
        <w:rPr>
          <w:rFonts w:ascii="Times New Roman" w:hAnsi="Times New Roman"/>
          <w:color w:val="000000"/>
          <w:sz w:val="22"/>
        </w:rPr>
        <w:t xml:space="preserve">), and run the model on each sample. The result is a distribution of outcomes (the</w:t>
      </w:r>
      <w:r>
        <w:rPr>
          <w:rFonts w:ascii="Times New Roman" w:hAnsi="Times New Roman"/>
          <w:color w:val="000000"/>
          <w:sz w:val="22"/>
        </w:rPr>
        <w:t xml:space="preserve"> </w:t>
      </w:r>
      <w:r>
        <w:rPr>
          <w:rFonts w:ascii="Times New Roman" w:hAnsi="Times New Roman"/>
          <w:color w:val="000000"/>
          <w:sz w:val="22"/>
        </w:rPr>
        <w:t xml:space="preserve">“posterior”</w:t>
      </w:r>
      <w:r>
        <w:rPr>
          <w:rFonts w:ascii="Times New Roman" w:hAnsi="Times New Roman"/>
          <w:color w:val="000000"/>
          <w:sz w:val="22"/>
        </w:rPr>
        <w:t xml:space="preserve">) for</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Three different priors on the ecotone parameter test whether the result hinges on a specific operationalization.</w:t>
      </w:r>
      <w:r>
        <w:rPr>
          <w:rFonts w:ascii="Times New Roman" w:hAnsi="Times New Roman"/>
          <w:color w:val="000000"/>
          <w:sz w:val="22"/>
        </w:rPr>
        <w:t xml:space="preserve"> </w:t>
      </w:r>
      <w:r>
        <w:rPr>
          <w:rFonts w:ascii="Times New Roman" w:hAnsi="Times New Roman"/>
          <w:i/>
          <w:iCs/>
          <w:color w:val="000000"/>
          <w:sz w:val="22"/>
        </w:rPr>
        <w:t xml:space="preserve">Prior 1 (rubric):</w:t>
      </w:r>
      <w:r>
        <w:rPr>
          <w:rFonts w:ascii="Times New Roman" w:hAnsi="Times New Roman"/>
          <w:color w:val="000000"/>
          <w:sz w:val="22"/>
        </w:rPr>
        <w:t xml:space="preserve"> </w:t>
      </w:r>
      <w:r>
        <w:rPr>
          <w:rFonts w:ascii="Times New Roman" w:hAnsi="Times New Roman"/>
          <w:color w:val="000000"/>
          <w:sz w:val="22"/>
        </w:rPr>
        <w:t xml:space="preserve">uniform</w:t>
      </w:r>
      <w:r>
        <w:rPr>
          <w:rFonts w:ascii="Times New Roman" w:hAnsi="Times New Roman"/>
          <w:color w:val="000000"/>
          <w:sz w:val="22"/>
        </w:rPr>
        <w:t xml:space="preserve">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on each of the five PP ecotone weights, centered on the qualitative rubric of §S6.</w:t>
      </w:r>
      <w:r>
        <w:rPr>
          <w:rFonts w:ascii="Times New Roman" w:hAnsi="Times New Roman"/>
          <w:color w:val="000000"/>
          <w:sz w:val="22"/>
        </w:rPr>
        <w:t xml:space="preserve"> </w:t>
      </w:r>
      <w:r>
        <w:rPr>
          <w:rFonts w:ascii="Times New Roman" w:hAnsi="Times New Roman"/>
          <w:i/>
          <w:iCs/>
          <w:color w:val="000000"/>
          <w:sz w:val="22"/>
        </w:rPr>
        <w:t xml:space="preserve">Prior 2 (flat):</w:t>
      </w:r>
      <w:r>
        <w:rPr>
          <w:rFonts w:ascii="Times New Roman" w:hAnsi="Times New Roman"/>
          <w:color w:val="000000"/>
          <w:sz w:val="22"/>
        </w:rPr>
        <w:t xml:space="preserve"> </w:t>
      </w:r>
      <m:oMath>
        <m:r>
          <m:t>ε</m:t>
        </m:r>
        <m:r>
          <m:rPr>
            <m:sty m:val="p"/>
          </m:rPr>
          <m:t>∼</m:t>
        </m:r>
        <m:r>
          <m:t>U</m:t>
        </m:r>
        <m:r>
          <m:rPr>
            <m:sty m:val="p"/>
          </m:rPr>
          <m:t>[</m:t>
        </m:r>
        <m:r>
          <m:t>0.10</m:t>
        </m:r>
        <m:r>
          <m:rPr>
            <m:sty m:val="p"/>
          </m:rPr>
          <m:t>,</m:t>
        </m:r>
        <m:r>
          <m:t>0.50</m:t>
        </m:r>
        <m:r>
          <m:rPr>
            <m:sty m:val="p"/>
          </m:rPr>
          <m:t>]</m:t>
        </m:r>
      </m:oMath>
      <w:r>
        <w:rPr>
          <w:rFonts w:ascii="Times New Roman" w:hAnsi="Times New Roman"/>
          <w:color w:val="000000"/>
          <w:sz w:val="22"/>
        </w:rPr>
        <w:t xml:space="preserve">, treating the disagreement among GIS-derived and rubric-based estimates (Saucier-categorical 0.22, EPA L4 0.33, rubric 0.49, phenology 0.50) as genuine uncertainty over the operative quantity.</w:t>
      </w:r>
      <w:r>
        <w:rPr>
          <w:rFonts w:ascii="Times New Roman" w:hAnsi="Times New Roman"/>
          <w:color w:val="000000"/>
          <w:sz w:val="22"/>
        </w:rPr>
        <w:t xml:space="preserve"> </w:t>
      </w:r>
      <w:r>
        <w:rPr>
          <w:rFonts w:ascii="Times New Roman" w:hAnsi="Times New Roman"/>
          <w:i/>
          <w:iCs/>
          <w:color w:val="000000"/>
          <w:sz w:val="22"/>
        </w:rPr>
        <w:t xml:space="preserve">Prior 3 (GIS mixture):</w:t>
      </w:r>
      <w:r>
        <w:rPr>
          <w:rFonts w:ascii="Times New Roman" w:hAnsi="Times New Roman"/>
          <w:color w:val="000000"/>
          <w:sz w:val="22"/>
        </w:rPr>
        <w:t xml:space="preserve"> </w:t>
      </w:r>
      <w:r>
        <w:rPr>
          <w:rFonts w:ascii="Times New Roman" w:hAnsi="Times New Roman"/>
          <w:color w:val="000000"/>
          <w:sz w:val="22"/>
        </w:rPr>
        <w:t xml:space="preserve">draws from the four GIS-derived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estimates with</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jitter. Under the three priors, the average posterior</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0.324, 0.445, and 0.393, and the average posterior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0.357, 0.422, and 0.392. The probability that aggregation is adaptive at Poverty Point,</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is</w:t>
      </w:r>
      <w:r>
        <w:rPr>
          <w:rFonts w:ascii="Times New Roman" w:hAnsi="Times New Roman"/>
          <w:color w:val="000000"/>
          <w:sz w:val="22"/>
        </w:rPr>
        <w:t xml:space="preserve"> </w:t>
      </w:r>
      <w:r>
        <w:rPr>
          <w:rFonts w:ascii="Times New Roman" w:hAnsi="Times New Roman"/>
          <w:b/>
          <w:bCs/>
          <w:color w:val="000000"/>
          <w:sz w:val="22"/>
        </w:rPr>
        <w:t xml:space="preserve">0.36</w:t>
      </w:r>
      <w:r>
        <w:rPr>
          <w:rFonts w:ascii="Times New Roman" w:hAnsi="Times New Roman"/>
          <w:color w:val="000000"/>
          <w:sz w:val="22"/>
        </w:rPr>
        <w:t xml:space="preserve"> </w:t>
      </w:r>
      <w:r>
        <w:rPr>
          <w:rFonts w:ascii="Times New Roman" w:hAnsi="Times New Roman"/>
          <w:color w:val="000000"/>
          <w:sz w:val="22"/>
        </w:rPr>
        <w:t xml:space="preserve">under the rubric prior,</w:t>
      </w:r>
      <w:r>
        <w:rPr>
          <w:rFonts w:ascii="Times New Roman" w:hAnsi="Times New Roman"/>
          <w:color w:val="000000"/>
          <w:sz w:val="22"/>
        </w:rPr>
        <w:t xml:space="preserve"> </w:t>
      </w:r>
      <w:r>
        <w:rPr>
          <w:rFonts w:ascii="Times New Roman" w:hAnsi="Times New Roman"/>
          <w:b/>
          <w:bCs/>
          <w:color w:val="000000"/>
          <w:sz w:val="22"/>
        </w:rPr>
        <w:t xml:space="preserve">0.56</w:t>
      </w:r>
      <w:r>
        <w:rPr>
          <w:rFonts w:ascii="Times New Roman" w:hAnsi="Times New Roman"/>
          <w:color w:val="000000"/>
          <w:sz w:val="22"/>
        </w:rPr>
        <w:t xml:space="preserve"> </w:t>
      </w:r>
      <w:r>
        <w:rPr>
          <w:rFonts w:ascii="Times New Roman" w:hAnsi="Times New Roman"/>
          <w:color w:val="000000"/>
          <w:sz w:val="22"/>
        </w:rPr>
        <w:t xml:space="preserve">under the flat prior, and</w:t>
      </w:r>
      <w:r>
        <w:rPr>
          <w:rFonts w:ascii="Times New Roman" w:hAnsi="Times New Roman"/>
          <w:color w:val="000000"/>
          <w:sz w:val="22"/>
        </w:rPr>
        <w:t xml:space="preserve"> </w:t>
      </w:r>
      <w:r>
        <w:rPr>
          <w:rFonts w:ascii="Times New Roman" w:hAnsi="Times New Roman"/>
          <w:b/>
          <w:bCs/>
          <w:color w:val="000000"/>
          <w:sz w:val="22"/>
        </w:rPr>
        <w:t xml:space="preserve">0.48</w:t>
      </w:r>
      <w:r>
        <w:rPr>
          <w:rFonts w:ascii="Times New Roman" w:hAnsi="Times New Roman"/>
          <w:color w:val="000000"/>
          <w:sz w:val="22"/>
        </w:rPr>
        <w:t xml:space="preserve"> </w:t>
      </w:r>
      <w:r>
        <w:rPr>
          <w:rFonts w:ascii="Times New Roman" w:hAnsi="Times New Roman"/>
          <w:color w:val="000000"/>
          <w:sz w:val="22"/>
        </w:rPr>
        <w:t xml:space="preserve">under the GIS-mixture prior. The probability rises rather than falls under less-informative priors, because lower-</w:t>
      </w:r>
      <m:oMath>
        <m:r>
          <m:t>ε</m:t>
        </m:r>
      </m:oMath>
      <w:r>
        <w:rPr>
          <w:rFonts w:ascii="Times New Roman" w:hAnsi="Times New Roman"/>
          <w:color w:val="000000"/>
          <w:sz w:val="22"/>
        </w:rPr>
        <w:t xml:space="preserve"> </w:t>
      </w:r>
      <w:r>
        <w:rPr>
          <w:rFonts w:ascii="Times New Roman" w:hAnsi="Times New Roman"/>
          <w:color w:val="000000"/>
          <w:sz w:val="22"/>
        </w:rPr>
        <w:t xml:space="preserve">samples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but raise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even faster (since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qualitative conclusion that Poverty Point sits in the threshold zone is robust to the choice of prior. What is not robust is whether the site sits clearly above or below the threshold. The interval</w:t>
      </w:r>
      <w:r>
        <w:rPr>
          <w:rFonts w:ascii="Times New Roman" w:hAnsi="Times New Roman"/>
          <w:color w:val="000000"/>
          <w:sz w:val="22"/>
        </w:rPr>
        <w:t xml:space="preserve"> </w:t>
      </w:r>
      <m:oMath>
        <m:r>
          <m:t>P</m:t>
        </m:r>
        <m:r>
          <m:rPr>
            <m:sty m:val="p"/>
          </m:rPr>
          <m:t>∈</m:t>
        </m:r>
        <m:r>
          <m:rPr>
            <m:sty m:val="p"/>
          </m:rPr>
          <m:t>[</m:t>
        </m:r>
        <m:r>
          <m:t>0.36</m:t>
        </m:r>
        <m:r>
          <m:rPr>
            <m:sty m:val="p"/>
          </m:rPr>
          <m:t>,</m:t>
        </m:r>
        <m:r>
          <m:t>0.56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plausible priors indicates a near tie rather than a confident result. Tightening the input distributions, either by using a narrower LMV-specific paleoclimate reconstruction or by deriving a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from drainage-resolved hydrographs, would further shift the probability. The full sensitivity output is available in the project repository.</w:t>
      </w:r>
    </w:p>
    <w:p>
      <w:pPr>
        <w:pStyle w:val="BodyText"/>
      </w:pPr>
      <w:r>
        <w:rPr>
          <w:rFonts w:ascii="Times New Roman" w:hAnsi="Times New Roman"/>
          <w:color w:val="000000"/>
          <w:sz w:val="22"/>
        </w:rPr>
        <w:t xml:space="preserve">To address the conditioning caveat above, we extend the Bayesian propagation to include uncertainty in the model parameters that determine where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lies. We sample the six parameters that the §S3.1 sensitivity analysis identifies as determining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rubric priors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Across 1,000 joint samples (Figure S2; full output in the project repository), the posterior probability</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is between 0.33 and 0.36 depending on the Monte Carlo seed, comparable to the 0.36 result under the rubric prior alone. The posterior on the gap</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a 95% interval</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substantially straddles zero. The conditioning caveat is therefore real but bounded: the §6.2 result is robust against adding</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uncertainty in the parameters that fix</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rPr>
          <w:rFonts w:ascii="Times New Roman" w:hAnsi="Times New Roman"/>
          <w:b w:val="0"/>
          <w:i w:val="0"/>
          <w:color w:val="000000"/>
          <w:sz w:val="22"/>
          <w:u w:val="single"/>
        </w:rPr>
        <w:t xml:space="preserve">6.3 The Watson Brake near-threshold case</w:t>
      </w:r>
    </w:p>
    <w:p>
      <w:pPr>
        <w:pStyle w:val="FirstParagraph"/>
      </w:pPr>
      <w:r>
        <w:rPr>
          <w:rFonts w:ascii="Times New Roman" w:hAnsi="Times New Roman"/>
          <w:color w:val="000000"/>
          <w:sz w:val="22"/>
        </w:rPr>
        <w:t xml:space="preserve">Watson Brake (16OU175, ca. 5400-4700 cal BP;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the other major LMV monumental site, provides a more demanding test. Running the calibrated model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from mid-Holocene LMV proxies,</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from the smaller monumental footprint) returns</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exceeded by</w:t>
      </w:r>
      <w:r>
        <w:rPr>
          <w:rFonts w:ascii="Times New Roman" w:hAnsi="Times New Roman"/>
          <w:color w:val="000000"/>
          <w:sz w:val="22"/>
        </w:rPr>
        <w:t xml:space="preserve"> </w:t>
      </w:r>
      <m:oMath>
        <m:sSub>
          <m:e>
            <m:r>
              <m:t>σ</m:t>
            </m:r>
          </m:e>
          <m:sub>
            <m:r>
              <m:t>W</m:t>
            </m:r>
            <m:r>
              <m:t>B</m:t>
            </m:r>
          </m:sub>
        </m:sSub>
      </m:oMath>
      <w:r>
        <w:rPr>
          <w:rFonts w:ascii="Times New Roman" w:hAnsi="Times New Roman"/>
          <w:color w:val="000000"/>
          <w:sz w:val="22"/>
        </w:rPr>
        <w:t xml:space="preserve"> </w:t>
      </w:r>
      <w:r>
        <w:rPr>
          <w:rFonts w:ascii="Times New Roman" w:hAnsi="Times New Roman"/>
          <w:color w:val="000000"/>
          <w:sz w:val="22"/>
        </w:rP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rPr>
          <w:rFonts w:ascii="Times New Roman" w:hAnsi="Times New Roman"/>
          <w:color w:val="000000"/>
          <w:sz w:val="22"/>
        </w:rP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rFonts w:ascii="Times New Roman" w:hAnsi="Times New Roman"/>
          <w:i/>
          <w:iCs/>
          <w:color w:val="000000"/>
          <w:sz w:val="22"/>
        </w:rPr>
        <w:t xml:space="preserve">Per-event labor scaling</w:t>
      </w:r>
      <w:r>
        <w:rPr>
          <w:rFonts w:ascii="Times New Roman" w:hAnsi="Times New Roman"/>
          <w:color w:val="000000"/>
          <w:sz w:val="22"/>
        </w:rPr>
        <w:t xml:space="preserve"> </w:t>
      </w:r>
      <w:r>
        <w:rPr>
          <w:rFonts w:ascii="Times New Roman" w:hAnsi="Times New Roman"/>
          <w:color w:val="000000"/>
          <w:sz w:val="22"/>
        </w:rPr>
        <w:t xml:space="preserve">(§S17.2). The conversion factor between simulated</w:t>
      </w:r>
      <w:r>
        <w:rPr>
          <w:rFonts w:ascii="Times New Roman" w:hAnsi="Times New Roman"/>
          <w:color w:val="000000"/>
          <w:sz w:val="22"/>
        </w:rPr>
        <w:t xml:space="preserve"> </w:t>
      </w:r>
      <w:r>
        <w:rPr>
          <w:rFonts w:ascii="Times New Roman" w:hAnsi="Times New Roman"/>
          <w:color w:val="000000"/>
          <w:sz w:val="22"/>
        </w:rPr>
        <w:t xml:space="preserve">“investment units”</w:t>
      </w:r>
      <w:r>
        <w:rPr>
          <w:rFonts w:ascii="Times New Roman" w:hAnsi="Times New Roman"/>
          <w:color w:val="000000"/>
          <w:sz w:val="22"/>
        </w:rPr>
        <w:t xml:space="preserve"> </w:t>
      </w:r>
      <w:r>
        <w:rPr>
          <w:rFonts w:ascii="Times New Roman" w:hAnsi="Times New Roman"/>
          <w:color w:val="000000"/>
          <w:sz w:val="22"/>
        </w:rPr>
        <w:t xml:space="preserve">and physical m³ of fill may vary across sites with different crew sizes. Coordination among many laborers may be more or less productive per worker than coordination among a few. We test two assumptions. With linear scaling (</w:t>
      </w:r>
      <m:oMath>
        <m:r>
          <m:t>α</m:t>
        </m:r>
        <m:r>
          <m:rPr>
            <m:sty m:val="p"/>
          </m:rPr>
          <m:t>=</m:t>
        </m:r>
        <m:r>
          <m:t>1</m:t>
        </m:r>
      </m:oMath>
      <w:r>
        <w:rPr>
          <w:rFonts w:ascii="Times New Roman" w:hAnsi="Times New Roman"/>
          <w:color w:val="000000"/>
          <w:sz w:val="22"/>
        </w:rP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rPr>
          <w:rFonts w:ascii="Times New Roman" w:hAnsi="Times New Roman"/>
          <w:color w:val="000000"/>
          <w:sz w:val="22"/>
        </w:rP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WB gap cleanly, without requiring the regime-switching extension below.</w:t>
      </w:r>
    </w:p>
    <w:p>
      <w:pPr>
        <w:pStyle w:val="BodyText"/>
      </w:pPr>
      <w:r>
        <w:rPr>
          <w:rFonts w:ascii="Times New Roman" w:hAnsi="Times New Roman"/>
          <w:i/>
          <w:iCs/>
          <w:color w:val="000000"/>
          <w:sz w:val="22"/>
        </w:rPr>
        <w:t xml:space="preserve">Regime switching</w:t>
      </w:r>
      <w:r>
        <w:rPr>
          <w:rFonts w:ascii="Times New Roman" w:hAnsi="Times New Roman"/>
          <w:color w:val="000000"/>
          <w:sz w:val="22"/>
        </w:rPr>
        <w:t xml:space="preserve"> </w:t>
      </w:r>
      <w:r>
        <w:rPr>
          <w:rFonts w:ascii="Times New Roman" w:hAnsi="Times New Roman"/>
          <w:color w:val="000000"/>
          <w:sz w:val="22"/>
        </w:rPr>
        <w:t xml:space="preserve">(§S17.1). The continuous-equilibrium reading treats the system as smoothly transitioning from</w:t>
      </w:r>
      <w:r>
        <w:rPr>
          <w:rFonts w:ascii="Times New Roman" w:hAnsi="Times New Roman"/>
          <w:color w:val="000000"/>
          <w:sz w:val="22"/>
        </w:rPr>
        <w:t xml:space="preserve"> </w:t>
      </w:r>
      <w:r>
        <w:rPr>
          <w:rFonts w:ascii="Times New Roman" w:hAnsi="Times New Roman"/>
          <w:color w:val="000000"/>
          <w:sz w:val="22"/>
        </w:rPr>
        <w:t xml:space="preserve">“no construction”</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“full construction”</w:t>
      </w:r>
      <w:r>
        <w:rPr>
          <w:rFonts w:ascii="Times New Roman" w:hAnsi="Times New Roman"/>
          <w:color w:val="000000"/>
          <w:sz w:val="22"/>
        </w:rPr>
        <w:t xml:space="preserve"> </w:t>
      </w:r>
      <w:r>
        <w:rPr>
          <w:rFonts w:ascii="Times New Roman" w:hAnsi="Times New Roman"/>
          <w:color w:val="000000"/>
          <w:sz w:val="22"/>
        </w:rP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consecutive years before the population shifts to the construction regime, capturing the realistic time needed to establish trust and coordinate across bands. With year-to-year variability in</w:t>
      </w:r>
      <w:r>
        <w:rPr>
          <w:rFonts w:ascii="Times New Roman" w:hAnsi="Times New Roman"/>
          <w:color w:val="000000"/>
          <w:sz w:val="22"/>
        </w:rPr>
        <w:t xml:space="preserve"> </w:t>
      </w:r>
      <m:oMath>
        <m:r>
          <m:t>σ</m:t>
        </m:r>
      </m:oMath>
      <w:r>
        <w:rPr>
          <w:rFonts w:ascii="Times New Roman" w:hAnsi="Times New Roman"/>
          <w:color w:val="000000"/>
          <w:sz w:val="22"/>
        </w:rP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s</m:t>
            </m:r>
            <m:r>
              <m:t>d</m:t>
            </m:r>
          </m:sub>
        </m:sSub>
        <m:r>
          <m:rPr>
            <m:sty m:val="p"/>
          </m:rPr>
          <m:t>≈</m:t>
        </m:r>
        <m:r>
          <m:t>0.10</m:t>
        </m:r>
      </m:oMath>
      <w:r>
        <w:rPr>
          <w:rFonts w:ascii="Times New Roman" w:hAnsi="Times New Roman"/>
          <w:color w:val="000000"/>
          <w:sz w:val="22"/>
        </w:rPr>
        <w:t xml:space="preserve">-</w:t>
      </w:r>
      <m:oMath>
        <m:r>
          <m:t>0.125</m:t>
        </m:r>
      </m:oMath>
      <w:r>
        <w:rPr>
          <w:rFonts w:ascii="Times New Roman" w:hAnsi="Times New Roman"/>
          <w:color w:val="000000"/>
          <w:sz w:val="22"/>
        </w:rPr>
        <w:t xml:space="preserve"> </w:t>
      </w:r>
      <w:r>
        <w:rPr>
          <w:rFonts w:ascii="Times New Roman" w:hAnsi="Times New Roman"/>
          <w:color w:val="000000"/>
          <w:sz w:val="22"/>
        </w:rPr>
        <w:t xml:space="preserve">span ~5,400 to ~75,000 m³ (with</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at the upper end overshooting by ~2.4 to 2.8×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at the lower end undershooting by ~3.4 to 5×). The observed 27,065 m³ sits between these and is bracketed by an intermediate</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Because the per-event labor-scaling extension above already closes the WB gap essentially exactly without invoking regime switching, the substantive role of the regime-switching mechanism is now to account for the</w:t>
      </w:r>
      <w:r>
        <w:rPr>
          <w:rFonts w:ascii="Times New Roman" w:hAnsi="Times New Roman"/>
          <w:color w:val="000000"/>
          <w:sz w:val="22"/>
        </w:rPr>
        <w:t xml:space="preserve"> </w:t>
      </w:r>
      <w:r>
        <w:rPr>
          <w:rFonts w:ascii="Times New Roman" w:hAnsi="Times New Roman"/>
          <w:i/>
          <w:iCs/>
          <w:color w:val="000000"/>
          <w:sz w:val="22"/>
        </w:rPr>
        <w:t xml:space="preserve">episodic tempo</w:t>
      </w:r>
      <w:r>
        <w:rPr>
          <w:rFonts w:ascii="Times New Roman" w:hAnsi="Times New Roman"/>
          <w:color w:val="000000"/>
          <w:sz w:val="22"/>
        </w:rPr>
        <w:t xml:space="preserve"> </w:t>
      </w:r>
      <w:r>
        <w:rPr>
          <w:rFonts w:ascii="Times New Roman" w:hAnsi="Times New Roman"/>
          <w:color w:val="000000"/>
          <w:sz w:val="22"/>
        </w:rPr>
        <w:t xml:space="preserve">of WB construction (matching the 200+-year inter-stage gaps documented by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not to bracket the total volume.</w:t>
      </w:r>
    </w:p>
    <w:p>
      <w:pPr>
        <w:pStyle w:val="BodyText"/>
      </w:pPr>
      <w:r>
        <w:rPr>
          <w:rFonts w:ascii="Times New Roman" w:hAnsi="Times New Roman"/>
          <w:color w:val="000000"/>
          <w:sz w:val="22"/>
        </w:rPr>
        <w:t xml:space="preserve">The closure is therefore conditional on</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(ethnographically unsupported) and</w:t>
      </w:r>
      <w:r>
        <w:rPr>
          <w:rFonts w:ascii="Times New Roman" w:hAnsi="Times New Roman"/>
          <w:color w:val="000000"/>
          <w:sz w:val="22"/>
        </w:rPr>
        <w:t xml:space="preserve"> </w:t>
      </w:r>
      <m:oMath>
        <m:sSub>
          <m:e>
            <m:r>
              <m:t>σ</m:t>
            </m:r>
          </m:e>
          <m:sub>
            <m:r>
              <m:t>s</m:t>
            </m:r>
            <m:r>
              <m:t>d</m:t>
            </m:r>
          </m:sub>
        </m:sSub>
        <m:r>
          <m:rPr>
            <m:sty m:val="p"/>
          </m:rPr>
          <m:t>∈</m:t>
        </m:r>
        <m:r>
          <m:rPr>
            <m:sty m:val="p"/>
          </m:rPr>
          <m:t>[</m:t>
        </m:r>
        <m:r>
          <m:t>0.10</m:t>
        </m:r>
        <m:r>
          <m:rPr>
            <m:sty m:val="p"/>
          </m:rPr>
          <m:t>,</m:t>
        </m:r>
        <m:r>
          <m:t>0.125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(paleoclimate-central).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no longer drives the volume closure (it accounts for the episodic tempo), though</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would bracket the LiDAR-derived 27,065 m³ between the</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overshoot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undershoot. It remains a demonstration of consistency conditional on a fitted labor-scaling exponent, not a passed test. The Watson Brake observation could have failed under arbitrary parameter choices. Under the ethnographically defensible</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the closure does not hold, and the framework underpredicts Watson Brake by approximately an order of magnitude (~7.7-fold).</w:t>
      </w:r>
    </w:p>
    <w:p>
      <w:pPr>
        <w:pStyle w:val="BodyText"/>
      </w:pPr>
      <w:r>
        <w:rPr>
          <w:rFonts w:ascii="Times New Roman" w:hAnsi="Times New Roman"/>
          <w:color w:val="000000"/>
          <w:sz w:val="22"/>
        </w:rPr>
        <w:t>Three lines of independent evidence support the bistable reading (see § S10 for our full development). First, the 20-fold smaller monumental footprint at Watson Brake implies a per-event labor force that one to two bands could account for. Second, the 200+-year inter-stage gaps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match the on-again-off-again pattern predicted by the framework in the transition zone, where the system spends intervals in each regime rather than persisting in one. Third, the smaller margin between WB’s environmental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its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places WB within the narrow band of conditions where ordinary year-to-year fluctuations are large enough to flip the regime. In comparison,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2005b).</w:t>
      </w:r>
    </w:p>
    <w:p>
      <w:pPr>
        <w:pStyle w:val="BodyText"/>
      </w:pPr>
      <w:r>
        <w:rPr>
          <w:rFonts w:ascii="Times New Roman" w:hAnsi="Times New Roman"/>
          <w:color w:val="000000"/>
          <w:sz w:val="22"/>
        </w:rPr>
        <w:t xml:space="preserve">We treat this as a</w:t>
      </w:r>
      <w:r>
        <w:rPr>
          <w:rFonts w:ascii="Times New Roman" w:hAnsi="Times New Roman"/>
          <w:color w:val="000000"/>
          <w:sz w:val="22"/>
        </w:rPr>
        <w:t xml:space="preserve"> </w:t>
      </w:r>
      <w:r>
        <w:rPr>
          <w:rFonts w:ascii="Times New Roman" w:hAnsi="Times New Roman"/>
          <w:i/>
          <w:iCs/>
          <w:color w:val="000000"/>
          <w:sz w:val="22"/>
        </w:rPr>
        <w:t xml:space="preserve">consistency demonstration conditional on parameter choices</w:t>
      </w:r>
      <w:r>
        <w:rPr>
          <w:rFonts w:ascii="Times New Roman" w:hAnsi="Times New Roman"/>
          <w:color w:val="000000"/>
          <w:sz w:val="22"/>
        </w:rPr>
        <w:t xml:space="preserve"> </w:t>
      </w:r>
      <w:r>
        <w:rPr>
          <w:rFonts w:ascii="Times New Roman" w:hAnsi="Times New Roman"/>
          <w:color w:val="000000"/>
          <w:sz w:val="22"/>
        </w:rPr>
        <w:t xml:space="preserve">rather than a passed test, because the labor-scaling exponent was not derived from independent ethnographic data:</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was selected to minimize log-overprediction across the eleven-site sample. Under the refined LiDAR-derived 27,065 m³,</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produces a near-exact match (0.91×). At</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it underpredicts by ~7.7-fold.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bracket the volume observation (the labor-scaling extension closes the gap on its own). Its substantive role is to account for the episodic tempo of WB construction (the 200+-year inter-stage gaps), which it does for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WB’s proximity to the threshold. The result demonstrates that the bistable framework reading is</w:t>
      </w:r>
      <w:r>
        <w:rPr>
          <w:rFonts w:ascii="Times New Roman" w:hAnsi="Times New Roman"/>
          <w:color w:val="000000"/>
          <w:sz w:val="22"/>
        </w:rPr>
        <w:t xml:space="preserve"> </w:t>
      </w:r>
      <w:r>
        <w:rPr>
          <w:rFonts w:ascii="Times New Roman" w:hAnsi="Times New Roman"/>
          <w:i/>
          <w:iCs/>
          <w:color w:val="000000"/>
          <w:sz w:val="22"/>
        </w:rPr>
        <w:t xml:space="preserve">consistent with</w:t>
      </w:r>
      <w:r>
        <w:rPr>
          <w:rFonts w:ascii="Times New Roman" w:hAnsi="Times New Roman"/>
          <w:color w:val="000000"/>
          <w:sz w:val="22"/>
        </w:rPr>
        <w:t xml:space="preserve"> </w:t>
      </w:r>
      <w:r>
        <w:rPr>
          <w:rFonts w:ascii="Times New Roman" w:hAnsi="Times New Roman"/>
          <w:color w:val="000000"/>
          <w:sz w:val="22"/>
        </w:rPr>
        <w:t xml:space="preserve">observed WB volume and tempo. It is not a test that the WB observation could have failed under arbitrary parameter choices.</w:t>
      </w:r>
    </w:p>
    <w:bookmarkEnd w:id="66"/>
    <w:bookmarkStart w:id="70" w:name="cross-lmv-regional-analysis"/>
    <w:p>
      <w:pPr>
        <w:pStyle w:val="Heading3"/>
      </w:pPr>
      <w:r>
        <w:rPr>
          <w:rFonts w:ascii="Times New Roman" w:hAnsi="Times New Roman"/>
          <w:b w:val="0"/>
          <w:i w:val="0"/>
          <w:color w:val="000000"/>
          <w:sz w:val="22"/>
          <w:u w:val="single"/>
        </w:rPr>
        <w:t xml:space="preserve">6.4 Cross-LMV regional analysis</w:t>
      </w:r>
    </w:p>
    <w:p>
      <w:pPr>
        <w:pStyle w:val="FirstParagraph"/>
      </w:pPr>
      <w:r>
        <w:rPr>
          <w:rFonts w:ascii="Times New Roman" w:hAnsi="Times New Roman"/>
          <w:color w:val="000000"/>
          <w:sz w:val="22"/>
        </w:rPr>
        <w:t xml:space="preserve">The framework’s necessary condition for sustained aggregation is that the buffered uncertainty at the site,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sits below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To screen LMV sites for this condition, we compute a Shannon diversity index across five resource zones at each site, using zone-access weights derived from published site-catchment descriptions (see the rubric in §S6). The screening sample is drawn from the known LMV monument-builder inventory plus two interior non-mound comparators (Cowpen Slough, J.W. Copes) and the Pearl River coastal pair (Claiborne, Cedarland) as the natural negative case, rather than from a random spatial sample of LMV habitable locations. The result of the screening is therefore a necessity-condition consistency check on sites that did become monumental and on the coastal pair as the natural negative case, not a sufficiency-condition discrimination across the LMV as a whole (we develop this limitation in the closing paragraph of this section). All nine interior sites cluster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0.49</m:t>
        </m:r>
      </m:oMath>
      <w:r>
        <w:rPr>
          <w:rFonts w:ascii="Times New Roman" w:hAnsi="Times New Roman"/>
          <w:color w:val="000000"/>
          <w:sz w:val="22"/>
        </w:rPr>
        <w:t xml:space="preserve">), with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comfortably below the regional</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Only the coastal Pearl River pair falls substantially lower (</w:t>
      </w:r>
      <m:oMath>
        <m:r>
          <m:t>ε</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under the original coding. See corrected coding discussion in the closing paragraph). The static-diversity proxy distinguishes the interior sites from the coastal pair on the threshold dimension (Table 2).</w:t>
      </w:r>
    </w:p>
    <w:p>
      <w:pPr>
        <w:pStyle w:val="BodyText"/>
      </w:pPr>
      <w:r>
        <w:rPr>
          <w:rFonts w:ascii="Times New Roman" w:hAnsi="Times New Roman"/>
          <w:color w:val="000000"/>
          <w:sz w:val="22"/>
        </w:rPr>
        <w:t xml:space="preserve">Under the Kidder et al. (2025) revised chronology, Cedarland predates the Poverty Point active interval by approximately 500 years, while Claiborne is contemporary with PP. For the screening’s coastal-PP-contemporary comparison, the operative test case is therefore Claiborne alone, not the Pearl River pair as a unit. Recomputing the static-diversity screening with Claiborne alone as the coastal-PP-contemporary negative case preserves the result: Claiborne sits at</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on the corrected zone-coding scheme (intersecting coastal marsh and the Coastal Plain Upland; see closing paragraph), against the interior PP-contemporary monument-builders’</w:t>
      </w:r>
      <w:r>
        <w:rPr>
          <w:rFonts w:ascii="Times New Roman" w:hAnsi="Times New Roman"/>
          <w:color w:val="000000"/>
          <w:sz w:val="22"/>
        </w:rPr>
        <w:t xml:space="preserve"> </w:t>
      </w:r>
      <m:oMath>
        <m:r>
          <m:t>ε</m:t>
        </m:r>
        <m:r>
          <m:rPr>
            <m:sty m:val="p"/>
          </m:rPr>
          <m:t>≈</m:t>
        </m:r>
        <m:r>
          <m:t>0.42</m:t>
        </m:r>
      </m:oMath>
      <w:r>
        <w:rPr>
          <w:rFonts w:ascii="Times New Roman" w:hAnsi="Times New Roman"/>
          <w:color w:val="000000"/>
          <w:sz w:val="22"/>
        </w:rPr>
        <w:t xml:space="preserve">-</w:t>
      </w:r>
      <m:oMath>
        <m:r>
          <m:t>0.49</m:t>
        </m:r>
      </m:oMath>
      <w:r>
        <w:rPr>
          <w:rFonts w:ascii="Times New Roman" w:hAnsi="Times New Roman"/>
          <w:color w:val="000000"/>
          <w:sz w:val="22"/>
        </w:rPr>
        <w:t xml:space="preserve"> </w:t>
      </w:r>
      <w:r>
        <w:rPr>
          <w:rFonts w:ascii="Times New Roman" w:hAnsi="Times New Roman"/>
          <w:color w:val="000000"/>
          <w:sz w:val="22"/>
        </w:rPr>
        <w:t xml:space="preserve">band, a smaller gap than the Pearl-River-pair-as-unit treatment suggested but in the same qualitative direction. Sassaman and Brookes’s (2017) reading of the Claiborne soapstone cache as a terminal deposition of legacy material further supports treating Claiborne as a coastal site that did not develop the kind of sustained aggregation the framework links to high-</w:t>
      </w:r>
      <m:oMath>
        <m:r>
          <m:t>ε</m:t>
        </m:r>
      </m:oMath>
      <w:r>
        <w:rPr>
          <w:rFonts w:ascii="Times New Roman" w:hAnsi="Times New Roman"/>
          <w:color w:val="000000"/>
          <w:sz w:val="22"/>
        </w:rPr>
        <w:t xml:space="preserve"> </w:t>
      </w:r>
      <w:r>
        <w:rPr>
          <w:rFonts w:ascii="Times New Roman" w:hAnsi="Times New Roman"/>
          <w:color w:val="000000"/>
          <w:sz w:val="22"/>
        </w:rPr>
        <w:t xml:space="preserve">access, even on the corrected coding. The screening’s qualitative result is robust to the chronological correction.</w:t>
      </w:r>
    </w:p>
    <w:p>
      <w:pPr>
        <w:pStyle w:val="BodyText"/>
      </w:pPr>
      <w:r>
        <w:rPr>
          <w:rFonts w:ascii="Times New Roman" w:hAnsi="Times New Roman"/>
          <w:b/>
          <w:bCs/>
          <w:color w:val="000000"/>
          <w:sz w:val="22"/>
        </w:rPr>
        <w:t xml:space="preserve">Table 2.</w:t>
      </w:r>
      <w:r>
        <w:rPr>
          <w:rFonts w:ascii="Times New Roman" w:hAnsi="Times New Roman"/>
          <w:color w:val="000000"/>
          <w:sz w:val="22"/>
        </w:rPr>
        <w:t xml:space="preserve"> </w:t>
      </w:r>
      <w:r>
        <w:rPr>
          <w:rFonts w:ascii="Times New Roman" w:hAnsi="Times New Roman"/>
          <w:i/>
          <w:iCs/>
          <w:color w:val="000000"/>
          <w:sz w:val="22"/>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rPr>
          <w:rFonts w:ascii="Times New Roman" w:hAnsi="Times New Roman"/>
          <w:color w:val="000000"/>
          <w:sz w:val="22"/>
        </w:rPr>
        <w:t xml:space="preserve"> </w:t>
      </w:r>
      <m:oMath>
        <m:r>
          <m:t>H</m:t>
        </m:r>
        <m:r>
          <m:rPr>
            <m:sty m:val="p"/>
          </m:rPr>
          <m:t>/</m:t>
        </m:r>
        <m:sSub>
          <m:e>
            <m:r>
              <m:t>H</m:t>
            </m:r>
          </m:e>
          <m:sub>
            <m:r>
              <m:rPr>
                <m:sty m:val="p"/>
              </m:rPr>
              <m:t>max</m:t>
            </m:r>
          </m:sub>
        </m:sSub>
      </m:oMath>
      <w:r>
        <w:rPr>
          <w:rFonts w:ascii="Times New Roman" w:hAnsi="Times New Roman"/>
          <w:color w:val="000000"/>
          <w:sz w:val="22"/>
        </w:rPr>
        <w:t xml:space="preserve"> </w:t>
      </w:r>
      <w:r>
        <w:rPr>
          <w:rFonts w:ascii="Times New Roman" w:hAnsi="Times New Roman"/>
          <w:i/>
          <w:iCs/>
          <w:color w:val="000000"/>
          <w:sz w:val="22"/>
        </w:rPr>
        <w:t xml:space="preserve">normalizes by</w:t>
      </w:r>
      <w:r>
        <w:rPr>
          <w:rFonts w:ascii="Times New Roman" w:hAnsi="Times New Roman"/>
          <w:color w:val="000000"/>
          <w:sz w:val="22"/>
        </w:rPr>
        <w:t xml:space="preserve"> </w:t>
      </w:r>
      <m:oMath>
        <m:r>
          <m:rPr>
            <m:sty m:val="p"/>
          </m:rPr>
          <m:t>ln</m:t>
        </m:r>
        <m:r>
          <m:t>5</m:t>
        </m:r>
      </m:oMath>
      <w:r>
        <w:rPr>
          <w:rFonts w:ascii="Times New Roman" w:hAnsi="Times New Roman"/>
          <w:i/>
          <w:iCs/>
          <w:color w:val="000000"/>
          <w:sz w:val="22"/>
        </w:rPr>
        <w:t xml:space="preserve">.</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i/>
          <w:iCs/>
          <w:color w:val="000000"/>
          <w:sz w:val="22"/>
        </w:rPr>
        <w:t xml:space="preserve">maps the normalized fraction onto the model’s ecotone parameter.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i/>
          <w:iCs/>
          <w:color w:val="000000"/>
          <w:sz w:val="22"/>
        </w:rPr>
        <w:t xml:space="preserve">uses</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i/>
          <w:iCs/>
          <w:color w:val="000000"/>
          <w:sz w:val="22"/>
        </w:rPr>
        <w:t xml:space="preserve">. The five zone-access weights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i/>
          <w:iCs/>
          <w:color w:val="000000"/>
          <w:sz w:val="22"/>
        </w:rPr>
        <w:t xml:space="preserve">are for</w:t>
      </w:r>
      <w:r>
        <w:rPr>
          <w:rFonts w:ascii="Times New Roman" w:hAnsi="Times New Roman"/>
          <w:i/>
          <w:iCs/>
          <w:color w:val="000000"/>
          <w:sz w:val="22"/>
        </w:rPr>
        <w:t xml:space="preserve"> </w:t>
      </w:r>
      <w:r>
        <w:rPr>
          <w:rFonts w:ascii="Times New Roman" w:hAnsi="Times New Roman"/>
          <w:b/>
          <w:bCs/>
          <w:i/>
          <w:iCs/>
          <w:color w:val="000000"/>
          <w:sz w:val="22"/>
        </w:rPr>
        <w:t xml:space="preserve">a</w:t>
      </w:r>
      <w:r>
        <w:rPr>
          <w:rFonts w:ascii="Times New Roman" w:hAnsi="Times New Roman"/>
          <w:i/>
          <w:iCs/>
          <w:color w:val="000000"/>
          <w:sz w:val="22"/>
        </w:rPr>
        <w:t xml:space="preserve">quatic,</w:t>
      </w:r>
      <w:r>
        <w:rPr>
          <w:rFonts w:ascii="Times New Roman" w:hAnsi="Times New Roman"/>
          <w:i/>
          <w:iCs/>
          <w:color w:val="000000"/>
          <w:sz w:val="22"/>
        </w:rPr>
        <w:t xml:space="preserve"> </w:t>
      </w:r>
      <w:r>
        <w:rPr>
          <w:rFonts w:ascii="Times New Roman" w:hAnsi="Times New Roman"/>
          <w:b/>
          <w:bCs/>
          <w:i/>
          <w:iCs/>
          <w:color w:val="000000"/>
          <w:sz w:val="22"/>
        </w:rPr>
        <w:t xml:space="preserve">u</w:t>
      </w:r>
      <w:r>
        <w:rPr>
          <w:rFonts w:ascii="Times New Roman" w:hAnsi="Times New Roman"/>
          <w:i/>
          <w:iCs/>
          <w:color w:val="000000"/>
          <w:sz w:val="22"/>
        </w:rPr>
        <w:t xml:space="preserve">pland,</w:t>
      </w:r>
      <w:r>
        <w:rPr>
          <w:rFonts w:ascii="Times New Roman" w:hAnsi="Times New Roman"/>
          <w:i/>
          <w:iCs/>
          <w:color w:val="000000"/>
          <w:sz w:val="22"/>
        </w:rPr>
        <w:t xml:space="preserve"> </w:t>
      </w:r>
      <w:r>
        <w:rPr>
          <w:rFonts w:ascii="Times New Roman" w:hAnsi="Times New Roman"/>
          <w:b/>
          <w:bCs/>
          <w:i/>
          <w:iCs/>
          <w:color w:val="000000"/>
          <w:sz w:val="22"/>
        </w:rPr>
        <w:t xml:space="preserve">d</w:t>
      </w:r>
      <w:r>
        <w:rPr>
          <w:rFonts w:ascii="Times New Roman" w:hAnsi="Times New Roman"/>
          <w:i/>
          <w:iCs/>
          <w:color w:val="000000"/>
          <w:sz w:val="22"/>
        </w:rPr>
        <w:t xml:space="preserve">rainage,</w:t>
      </w:r>
      <w:r>
        <w:rPr>
          <w:rFonts w:ascii="Times New Roman" w:hAnsi="Times New Roman"/>
          <w:i/>
          <w:iCs/>
          <w:color w:val="000000"/>
          <w:sz w:val="22"/>
        </w:rPr>
        <w:t xml:space="preserve"> </w:t>
      </w:r>
      <w:r>
        <w:rPr>
          <w:rFonts w:ascii="Times New Roman" w:hAnsi="Times New Roman"/>
          <w:b/>
          <w:bCs/>
          <w:i/>
          <w:iCs/>
          <w:color w:val="000000"/>
          <w:sz w:val="22"/>
        </w:rPr>
        <w:t xml:space="preserve">m</w:t>
      </w:r>
      <w:r>
        <w:rPr>
          <w:rFonts w:ascii="Times New Roman" w:hAnsi="Times New Roman"/>
          <w:i/>
          <w:iCs/>
          <w:color w:val="000000"/>
          <w:sz w:val="22"/>
        </w:rPr>
        <w:t xml:space="preserve">ast, and</w:t>
      </w:r>
      <w:r>
        <w:rPr>
          <w:rFonts w:ascii="Times New Roman" w:hAnsi="Times New Roman"/>
          <w:i/>
          <w:iCs/>
          <w:color w:val="000000"/>
          <w:sz w:val="22"/>
        </w:rPr>
        <w:t xml:space="preserve"> </w:t>
      </w:r>
      <w:r>
        <w:rPr>
          <w:rFonts w:ascii="Times New Roman" w:hAnsi="Times New Roman"/>
          <w:b/>
          <w:bCs/>
          <w:i/>
          <w:iCs/>
          <w:color w:val="000000"/>
          <w:sz w:val="22"/>
        </w:rPr>
        <w:t xml:space="preserve">p</w:t>
      </w:r>
      <w:r>
        <w:rPr>
          <w:rFonts w:ascii="Times New Roman" w:hAnsi="Times New Roman"/>
          <w:i/>
          <w:iCs/>
          <w:color w:val="000000"/>
          <w:sz w:val="22"/>
        </w:rPr>
        <w:t xml:space="preserve">rairie zones. Observed monument scale (rightmost column) is ordinal: very large = type-site PP, mid = WB-scale (5+ mounds), small = 1-2 mounds, minimal = no monument or single-component construction.</w:t>
      </w:r>
    </w:p>
    <w:tbl>
      <w:tblPr>
        <w:tblStyle w:val="Table"/>
        <w:tblW w:type="pct" w:w="5000"/>
        <w:tblLayout w:type="fixed"/>
        <w:tblLook w:firstRow="1" w:lastRow="0" w:firstColumn="0" w:lastColumn="0" w:noHBand="0" w:noVBand="0" w:val="0020"/>
      </w:tblPr>
      <w:tblGrid>
        <w:gridCol w:w="814"/>
        <w:gridCol w:w="954"/>
        <w:gridCol w:w="477"/>
        <w:gridCol w:w="1488"/>
        <w:gridCol w:w="758"/>
        <w:gridCol w:w="1320"/>
        <w:gridCol w:w="2106"/>
      </w:tblGrid>
      <w:tr>
        <w:trPr>
          <w:tblHeader w:val="on"/>
        </w:trPr>
        <w:tc>
          <w:tcPr/>
          <w:p>
            <w:pPr>
              <w:pStyle w:val="Compact"/>
              <w:jc w:val="center"/>
            </w:pPr>
            <w:r>
              <w:rPr>
                <w:b/>
                <w:bCs/>
              </w:rPr>
              <w:t xml:space="preserve">Site</w:t>
            </w:r>
          </w:p>
        </w:tc>
        <w:tc>
          <w:tcPr/>
          <w:p>
            <w:pPr>
              <w:pStyle w:val="Compact"/>
              <w:jc w:val="right"/>
            </w:pPr>
            <w:r>
              <w:rPr>
                <w:b/>
                <w:bCs/>
              </w:rPr>
              <w:t xml:space="preserve">Zones (aq, up, dr, mst, pr)</w:t>
            </w:r>
          </w:p>
        </w:tc>
        <w:tc>
          <w:tcPr/>
          <w:p>
            <w:pPr>
              <w:pStyle w:val="Compact"/>
              <w:jc w:val="right"/>
            </w:pPr>
            <m:oMathPara>
              <m:oMathParaPr>
                <m:jc m:val="center"/>
              </m:oMathParaPr>
              <m:oMath>
                <m:r>
                  <m:rPr>
                    <m:sty m:val="bi"/>
                  </m:rPr>
                  <m:t>H</m:t>
                </m:r>
              </m:oMath>
            </m:oMathPara>
          </w:p>
        </w:tc>
        <w:tc>
          <w:tcPr/>
          <w:p>
            <w:pPr>
              <w:pStyle w:val="Compact"/>
              <w:jc w:val="righ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right"/>
            </w:pPr>
            <m:oMathPara>
              <m:oMathParaPr>
                <m:jc m:val="center"/>
              </m:oMathParaPr>
              <m:oMath>
                <m:r>
                  <m:rPr>
                    <m:sty m:val="bi"/>
                  </m:rPr>
                  <m:t>ε</m:t>
                </m:r>
              </m:oMath>
            </m:oMathPara>
          </w:p>
        </w:tc>
        <w:tc>
          <w:tcPr/>
          <w:p>
            <w:pPr>
              <w:pStyle w:val="Compact"/>
              <w:jc w:val="right"/>
            </w:pPr>
            <w:r>
              <w:rPr>
                <w:b/>
                <w:bCs/>
              </w:rPr>
              <w:t xml:space="preserve">Predicted</w:t>
            </w:r>
            <w:r>
              <w:t xml:space="preserve"> </w:t>
            </w:r>
            <m:oMath>
              <m:sSup>
                <m:e>
                  <m:r>
                    <m:rPr>
                      <m:sty m:val="bi"/>
                    </m:rPr>
                    <m:t>σ</m:t>
                  </m:r>
                </m:e>
                <m:sup>
                  <m:r>
                    <m:rPr>
                      <m:sty m:val="b"/>
                    </m:rPr>
                    <m:t>*</m:t>
                  </m:r>
                </m:sup>
              </m:sSup>
            </m:oMath>
          </w:p>
        </w:tc>
        <w:tc>
          <w:tcPr/>
          <w:p>
            <w:pPr>
              <w:pStyle w:val="Compact"/>
              <w:jc w:val="center"/>
            </w:pPr>
            <w:r>
              <w:rPr>
                <w:b/>
                <w:bCs/>
              </w:rPr>
              <w:t xml:space="preserve">Observed monuments</w:t>
            </w:r>
          </w:p>
        </w:tc>
      </w:tr>
      <w:tr>
        <w:tc>
          <w:tcPr/>
          <w:p>
            <w:pPr>
              <w:pStyle w:val="Compact"/>
              <w:jc w:val="center"/>
            </w:pPr>
            <w:r>
              <w:t xml:space="preserve">Poverty Point (16WC5)</w:t>
            </w:r>
          </w:p>
        </w:tc>
        <w:tc>
          <w:tcPr/>
          <w:p>
            <w:pPr>
              <w:pStyle w:val="Compact"/>
              <w:jc w:val="right"/>
            </w:pPr>
            <w:r>
              <w:t xml:space="preserve">(1.0, 1.0, 1.0, 1.0, 0.5)</w:t>
            </w:r>
          </w:p>
        </w:tc>
        <w:tc>
          <w:tcPr/>
          <w:p>
            <w:pPr>
              <w:pStyle w:val="Compact"/>
              <w:jc w:val="right"/>
            </w:pPr>
            <w:r>
              <w:t xml:space="preserve">1.58</w:t>
            </w:r>
          </w:p>
        </w:tc>
        <w:tc>
          <w:tcPr/>
          <w:p>
            <w:pPr>
              <w:pStyle w:val="Compact"/>
              <w:jc w:val="right"/>
            </w:pPr>
            <w:r>
              <w:t xml:space="preserve">0.98</w:t>
            </w:r>
          </w:p>
        </w:tc>
        <w:tc>
          <w:tcPr/>
          <w:p>
            <w:pPr>
              <w:pStyle w:val="Compact"/>
              <w:jc w:val="right"/>
            </w:pPr>
            <w:r>
              <w:t xml:space="preserve">0.49</w:t>
            </w:r>
          </w:p>
        </w:tc>
        <w:tc>
          <w:tcPr/>
          <w:p>
            <w:pPr>
              <w:pStyle w:val="Compact"/>
              <w:jc w:val="right"/>
            </w:pPr>
            <w:r>
              <w:t xml:space="preserve">0.36</w:t>
            </w:r>
          </w:p>
        </w:tc>
        <w:tc>
          <w:tcPr/>
          <w:p>
            <w:pPr>
              <w:pStyle w:val="Compact"/>
              <w:jc w:val="center"/>
            </w:pPr>
            <w:r>
              <w:t xml:space="preserve">very large (~750k m³, ~140 ha core)</w:t>
            </w:r>
          </w:p>
        </w:tc>
      </w:tr>
      <w:tr>
        <w:tc>
          <w:tcPr/>
          <w:p>
            <w:pPr>
              <w:pStyle w:val="Compact"/>
              <w:jc w:val="center"/>
            </w:pPr>
            <w:r>
              <w:t xml:space="preserve">Lower Jackson (16WC10)</w:t>
            </w:r>
          </w:p>
        </w:tc>
        <w:tc>
          <w:tcPr/>
          <w:p>
            <w:pPr>
              <w:pStyle w:val="Compact"/>
              <w:jc w:val="right"/>
            </w:pPr>
            <w:r>
              <w:t xml:space="preserve">(1.0, 0.9, 0.9, 1.0, 0.3)</w:t>
            </w:r>
          </w:p>
        </w:tc>
        <w:tc>
          <w:tcPr/>
          <w:p>
            <w:pPr>
              <w:pStyle w:val="Compact"/>
              <w:jc w:val="right"/>
            </w:pPr>
            <w:r>
              <w:t xml:space="preserve">1.55</w:t>
            </w:r>
          </w:p>
        </w:tc>
        <w:tc>
          <w:tcPr/>
          <w:p>
            <w:pPr>
              <w:pStyle w:val="Compact"/>
              <w:jc w:val="right"/>
            </w:pPr>
            <w:r>
              <w:t xml:space="preserve">0.96</w:t>
            </w:r>
          </w:p>
        </w:tc>
        <w:tc>
          <w:tcPr/>
          <w:p>
            <w:pPr>
              <w:pStyle w:val="Compact"/>
              <w:jc w:val="right"/>
            </w:pPr>
            <w:r>
              <w:t xml:space="preserve">0.48</w:t>
            </w:r>
          </w:p>
        </w:tc>
        <w:tc>
          <w:tcPr/>
          <w:p>
            <w:pPr>
              <w:pStyle w:val="Compact"/>
              <w:jc w:val="right"/>
            </w:pPr>
            <w:r>
              <w:t xml:space="preserve">0.36</w:t>
            </w:r>
          </w:p>
        </w:tc>
        <w:tc>
          <w:tcPr/>
          <w:p>
            <w:pPr>
              <w:pStyle w:val="Compact"/>
              <w:jc w:val="center"/>
            </w:pPr>
            <w:r>
              <w:t xml:space="preserve">minimal (single mound, ~5500 cal BP)</w:t>
            </w:r>
          </w:p>
        </w:tc>
      </w:tr>
      <w:tr>
        <w:tc>
          <w:tcPr/>
          <w:p>
            <w:pPr>
              <w:pStyle w:val="Compact"/>
              <w:jc w:val="center"/>
            </w:pPr>
            <w:r>
              <w:t xml:space="preserve">Watson Brake (16OU175)</w:t>
            </w:r>
          </w:p>
        </w:tc>
        <w:tc>
          <w:tcPr/>
          <w:p>
            <w:pPr>
              <w:pStyle w:val="Compact"/>
              <w:jc w:val="right"/>
            </w:pPr>
            <w:r>
              <w:t xml:space="preserve">(0.8, 0.7, 0.7, 0.8, 0.0)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0.37</w:t>
            </w:r>
          </w:p>
        </w:tc>
        <w:tc>
          <w:tcPr/>
          <w:p>
            <w:pPr>
              <w:pStyle w:val="Compact"/>
              <w:jc w:val="center"/>
            </w:pPr>
            <w:r>
              <w:t xml:space="preserve">mid (27,065 m³ per-mound, 11 mounds)</w:t>
            </w:r>
          </w:p>
        </w:tc>
      </w:tr>
      <w:tr>
        <w:tc>
          <w:tcPr/>
          <w:p>
            <w:pPr>
              <w:pStyle w:val="Compact"/>
              <w:jc w:val="center"/>
            </w:pPr>
            <w:r>
              <w:t xml:space="preserve">Caney (16CT5)</w:t>
            </w:r>
          </w:p>
        </w:tc>
        <w:tc>
          <w:tcPr/>
          <w:p>
            <w:pPr>
              <w:pStyle w:val="Compact"/>
              <w:jc w:val="right"/>
            </w:pPr>
            <w:r>
              <w:t xml:space="preserve">(0.9, 0.6, 0.8, 0.8, 0.0)</w:t>
            </w:r>
          </w:p>
        </w:tc>
        <w:tc>
          <w:tcPr/>
          <w:p>
            <w:pPr>
              <w:pStyle w:val="Compact"/>
              <w:jc w:val="right"/>
            </w:pPr>
            <w:r>
              <w:t xml:space="preserve">1.38</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(Middle Archaic; ~1.2× WB)</w:t>
            </w:r>
          </w:p>
        </w:tc>
      </w:tr>
      <w:tr>
        <w:tc>
          <w:tcPr/>
          <w:p>
            <w:pPr>
              <w:pStyle w:val="Compact"/>
              <w:jc w:val="center"/>
            </w:pPr>
            <w:r>
              <w:t xml:space="preserve">Frenchman’s Bend (16OU259)</w:t>
            </w:r>
          </w:p>
        </w:tc>
        <w:tc>
          <w:tcPr/>
          <w:p>
            <w:pPr>
              <w:pStyle w:val="Compact"/>
              <w:jc w:val="right"/>
            </w:pPr>
            <w:r>
              <w:t xml:space="preserve">(0.7, 0.5, 0.7, 0.7, 0.0)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(5 mounds)</w:t>
            </w:r>
          </w:p>
        </w:tc>
      </w:tr>
      <w:tr>
        <w:tc>
          <w:tcPr/>
          <w:p>
            <w:pPr>
              <w:pStyle w:val="Compact"/>
              <w:jc w:val="center"/>
            </w:pPr>
            <w:r>
              <w:t xml:space="preserve">Insley (16FR3)</w:t>
            </w:r>
          </w:p>
        </w:tc>
        <w:tc>
          <w:tcPr/>
          <w:p>
            <w:pPr>
              <w:pStyle w:val="Compact"/>
              <w:jc w:val="right"/>
            </w:pPr>
            <w:r>
              <w:t xml:space="preserve">(0.9, 0.6, 0.8, 0.9, 0.0)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w:t>
            </w:r>
          </w:p>
        </w:tc>
      </w:tr>
      <w:tr>
        <w:tc>
          <w:tcPr/>
          <w:p>
            <w:pPr>
              <w:pStyle w:val="Compact"/>
              <w:jc w:val="center"/>
            </w:pPr>
            <w:r>
              <w:t xml:space="preserve">J.W. Copes (16MA47)</w:t>
            </w:r>
          </w:p>
        </w:tc>
        <w:tc>
          <w:tcPr/>
          <w:p>
            <w:pPr>
              <w:pStyle w:val="Compact"/>
              <w:jc w:val="right"/>
            </w:pPr>
            <w:r>
              <w:t xml:space="preserve">(0.5, 0.6, 0.4, 0.7, 0.0)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 (PP-period satellite)</w:t>
            </w:r>
          </w:p>
        </w:tc>
      </w:tr>
      <w:tr>
        <w:tc>
          <w:tcPr/>
          <w:p>
            <w:pPr>
              <w:pStyle w:val="Compact"/>
              <w:jc w:val="center"/>
            </w:pPr>
            <w:r>
              <w:t xml:space="preserve">Cowpen Slough (16CT147)</w:t>
            </w:r>
          </w:p>
        </w:tc>
        <w:tc>
          <w:tcPr/>
          <w:p>
            <w:pPr>
              <w:pStyle w:val="Compact"/>
              <w:jc w:val="right"/>
            </w:pPr>
            <w:r>
              <w:t xml:space="preserve">(0.9, 0.5, 0.8, 0.7, 0.0)</w:t>
            </w:r>
          </w:p>
        </w:tc>
        <w:tc>
          <w:tcPr/>
          <w:p>
            <w:pPr>
              <w:pStyle w:val="Compact"/>
              <w:jc w:val="right"/>
            </w:pPr>
            <w:r>
              <w:t xml:space="preserve">1.36</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w:t>
            </w:r>
          </w:p>
        </w:tc>
      </w:tr>
      <w:tr>
        <w:tc>
          <w:tcPr/>
          <w:p>
            <w:pPr>
              <w:pStyle w:val="Compact"/>
              <w:jc w:val="center"/>
            </w:pPr>
            <w:r>
              <w:t xml:space="preserve">Jaketown (22HU505)</w:t>
            </w:r>
          </w:p>
        </w:tc>
        <w:tc>
          <w:tcPr/>
          <w:p>
            <w:pPr>
              <w:pStyle w:val="Compact"/>
              <w:jc w:val="right"/>
            </w:pPr>
            <w:r>
              <w:t xml:space="preserve">(1.0, 0.3, 0.8, 0.5, 0.0)</w:t>
            </w:r>
          </w:p>
        </w:tc>
        <w:tc>
          <w:tcPr/>
          <w:p>
            <w:pPr>
              <w:pStyle w:val="Compact"/>
              <w:jc w:val="right"/>
            </w:pPr>
            <w:r>
              <w:t xml:space="preserve">1.30</w:t>
            </w:r>
          </w:p>
        </w:tc>
        <w:tc>
          <w:tcPr/>
          <w:p>
            <w:pPr>
              <w:pStyle w:val="Compact"/>
              <w:jc w:val="right"/>
            </w:pPr>
            <w:r>
              <w:t xml:space="preserve">0.81</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small (3 PP-period mounds)</w:t>
            </w:r>
          </w:p>
        </w:tc>
      </w:tr>
      <w:tr>
        <w:tc>
          <w:tcPr/>
          <w:p>
            <w:pPr>
              <w:pStyle w:val="Compact"/>
              <w:jc w:val="center"/>
            </w:pPr>
            <w:r>
              <w:t xml:space="preserve">Claiborne (22HA501)</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 ring; single-component construction, possible sand mound)</w:t>
            </w:r>
          </w:p>
        </w:tc>
      </w:tr>
      <w:tr>
        <w:tc>
          <w:tcPr/>
          <w:p>
            <w:pPr>
              <w:pStyle w:val="Compact"/>
              <w:jc w:val="center"/>
            </w:pPr>
            <w:r>
              <w:t xml:space="preserve">Cedarland (22HA506)</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(shell/earth midden; non-mound construction)</w:t>
            </w:r>
          </w:p>
        </w:tc>
      </w:tr>
    </w:tbl>
    <w:p>
      <w:pPr>
        <w:pStyle w:val="BodyText"/>
      </w:pPr>
      <w:r>
        <w:rPr>
          <w:rFonts w:ascii="Times New Roman" w:hAnsi="Times New Roman"/>
          <w:color w:val="000000"/>
          <w:sz w:val="22"/>
        </w:rP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rPr>
          <w:rFonts w:ascii="Times New Roman" w:hAnsi="Times New Roman"/>
          <w:color w:val="000000"/>
          <w:sz w:val="22"/>
        </w:rP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is therefore not evidence that mound-building was confined to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across the LMV. It is a description of the catchment geomorphology of the LMV interior, where </w:t>
      </w:r>
      <w:r>
        <w:rPr>
          <w:rFonts w:ascii="Times New Roman" w:hAnsi="Times New Roman"/>
          <w:color w:val="000000"/>
          <w:sz w:val="22"/>
          <w:highlight w:val="yellow"/>
        </w:rPr>
        <w:t xml:space="preserve">upland terrace</w:t>
      </w:r>
      <w:r>
        <w:rPr>
          <w:rFonts w:ascii="Times New Roman" w:hAnsi="Times New Roman"/>
          <w:color w:val="000000"/>
          <w:sz w:val="22"/>
        </w:rPr>
        <w:t xml:space="preserve">, together with adjacent floodplain and backswamp settings, gives every habitable interior location a high-zone-count buffer. The two interior non-mound comparators have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values similar to those of the mound-building sites without themselves becoming monumental, consistent with high-</w:t>
      </w:r>
      <m:oMath>
        <m:r>
          <m:t>ε</m:t>
        </m:r>
      </m:oMath>
      <w:r>
        <w:rPr>
          <w:rFonts w:ascii="Times New Roman" w:hAnsi="Times New Roman"/>
          <w:color w:val="000000"/>
          <w:sz w:val="22"/>
        </w:rPr>
        <w:t xml:space="preserve"> </w:t>
      </w:r>
      <w:r>
        <w:rPr>
          <w:rFonts w:ascii="Times New Roman" w:hAnsi="Times New Roman"/>
          <w:color w:val="000000"/>
          <w:sz w:val="22"/>
        </w:rP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predicted</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effectively the same threshold as Jaketown. What Table 2 still shows is that the coastal pair ranks lowest on static diversity (H = 1.29), though only marginally below the interior minimum (Jaketown, H = 1.30). The §6.5 multi-drainage analysis does not separate them more sharply either: the coastal pair integrates two independent shortfall regimes, the same count as Watson Brake, Frenchman’s Bend, Caney, Insley, and J.W. Copes, with only Poverty Point and Lower Jackson (four) and Jaketown (three) ranking higher. The coast is therefore not quantitatively set apart from the interior comparators on any single static metric. We treat it as the natural negative case on structural grounds. It is the only site in a distinct estuarine ecoregion, where a single riverine input (the Pearl) feeds covarying estuarine and marsh zones under a shared storm- and salinity-driven shortfall, rather than the separate, low-covariance river systems plus an independent mast-forest upland that the interior sites combine, and it ranks lowest on both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static diversity. The deeper point is that the screening is a necessity test, and the coast meets it about as well as the interior non-mound comparators (Cowpen Slough, J.W. Copes). What separates monumental Poverty Point from the coast and from those interior comparators alike is the attained aggregation size set by convergence dynamics (§6.6), not</w:t>
      </w:r>
      <w:r>
        <w:rPr>
          <w:rFonts w:ascii="Times New Roman" w:hAnsi="Times New Roman"/>
          <w:color w:val="000000"/>
          <w:sz w:val="22"/>
        </w:rPr>
        <w:t xml:space="preserve"> </w:t>
      </w:r>
      <m:oMath>
        <m:r>
          <m:t>ε</m:t>
        </m:r>
      </m:oMath>
      <w:r>
        <w:rPr>
          <w:rFonts w:ascii="Times New Roman" w:hAnsi="Times New Roman"/>
          <w:color w:val="000000"/>
          <w:sz w:val="22"/>
        </w:rPr>
        <w:t xml:space="preserve">. The coastal pair is thus best understood as one of several sites where the necessary condition is met but monumentality did not follow, not as a site categorically excluded by low</w:t>
      </w:r>
      <w:r>
        <w:rPr>
          <w:rFonts w:ascii="Times New Roman" w:hAnsi="Times New Roman"/>
          <w:color w:val="000000"/>
          <w:sz w:val="22"/>
        </w:rPr>
        <w:t xml:space="preserve"> </w:t>
      </w:r>
      <m:oMath>
        <m:r>
          <m:t>ε</m:t>
        </m:r>
      </m:oMath>
      <w:r>
        <w:rPr>
          <w:rFonts w:ascii="Times New Roman" w:hAnsi="Times New Roman"/>
          <w:color w:val="000000"/>
          <w:sz w:val="22"/>
        </w:rPr>
        <w:t xml:space="preserve">. Beyond this, Table 2 does not test the framework’s magnitude prediction. The static zone count is not the operative quantity, as we discuss in §6.6.</w:t>
      </w:r>
    </w:p>
    <w:p>
      <w:pPr>
        <w:pStyle w:val="BodyText"/>
      </w:pPr>
      <w:r>
        <w:rPr>
          <w:rFonts w:ascii="Times New Roman" w:hAnsi="Times New Roman"/>
          <w:color w:val="000000"/>
          <w:sz w:val="22"/>
        </w:rPr>
        <w:drawing>
          <wp:inline>
            <wp:extent cx="5486400" cy="6263025"/>
            <wp:effectExtent b="0" l="0" r="0" t="0"/>
            <wp:docPr descr="" title="" id="68" name="Picture"/>
            <a:graphic>
              <a:graphicData uri="http://schemas.openxmlformats.org/drawingml/2006/picture">
                <pic:pic>
                  <pic:nvPicPr>
                    <pic:cNvPr descr="/Users/clipo/PycharmProjects/poverty-point-signaling/figures/manuscript/figure_13_gis_ecoregions.png" id="69" name="Picture"/>
                    <pic:cNvPicPr>
                      <a:picLocks noChangeArrowheads="1" noChangeAspect="1"/>
                    </pic:cNvPicPr>
                  </pic:nvPicPr>
                  <pic:blipFill>
                    <a:blip r:embed="rId67"/>
                    <a:stretch>
                      <a:fillRect/>
                    </a:stretch>
                  </pic:blipFill>
                  <pic:spPr bwMode="auto">
                    <a:xfrm>
                      <a:off x="0" y="0"/>
                      <a:ext cx="5486400" cy="6263025"/>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13. Lower Mississippi Valley sites overlaid on EPA Level IV ecoregions: the static-diversity baseline.</w:t>
      </w:r>
      <w:r>
        <w:rPr>
          <w:rFonts w:ascii="Times New Roman" w:hAnsi="Times New Roman"/>
          <w:color w:val="000000"/>
          <w:sz w:val="20"/>
        </w:rPr>
        <w:t xml:space="preserve"> </w:t>
      </w:r>
      <w:r>
        <w:rPr>
          <w:rFonts w:ascii="Times New Roman" w:hAnsi="Times New Roman"/>
          <w:i/>
          <w:iCs/>
          <w:color w:val="000000"/>
          <w:sz w:val="20"/>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rPr>
          <w:rFonts w:ascii="Times New Roman" w:hAnsi="Times New Roman"/>
          <w:color w:val="000000"/>
          <w:sz w:val="20"/>
        </w:rPr>
        <w:t xml:space="preserve"> </w:t>
      </w:r>
      <w:r>
        <w:rPr>
          <w:rFonts w:ascii="Times New Roman" w:hAnsi="Times New Roman"/>
          <w:i/>
          <w:iCs/>
          <w:color w:val="000000"/>
          <w:sz w:val="20"/>
        </w:rPr>
        <w:t xml:space="preserve">Caney’s buffer</w:t>
      </w:r>
      <w:r>
        <w:rPr>
          <w:rFonts w:ascii="Times New Roman" w:hAnsi="Times New Roman"/>
          <w:color w:val="000000"/>
          <w:sz w:val="20"/>
        </w:rPr>
        <w:t xml:space="preserve"> </w:t>
      </w:r>
      <w:r>
        <w:rPr>
          <w:rFonts w:ascii="Times New Roman" w:hAnsi="Times New Roman"/>
          <w:i/>
          <w:iCs/>
          <w:color w:val="000000"/>
          <w:sz w:val="20"/>
        </w:rPr>
      </w:r>
      <w:r>
        <w:rPr>
          <w:rFonts w:ascii="Times New Roman" w:hAnsi="Times New Roman"/>
          <w:i/>
          <w:iCs/>
          <w:color w:val="000000"/>
          <w:sz w:val="20"/>
          <w:highlight w:val="yellow"/>
        </w:rPr>
        <w:t xml:space="preserve">crosses the highest count of distinct Level IV polygons (9) of any LMV site, with Cowpen Slough (8) and Watson Brake (7) next.</w:t>
      </w:r>
      <w:r>
        <w:rPr>
          <w:rFonts w:ascii="Times New Roman" w:hAnsi="Times New Roman"/>
          <w:i/>
          <w:iCs/>
          <w:color w:val="000000"/>
          <w:sz w:val="20"/>
        </w:rPr>
        <w:t xml:space="preserve"> Polygon coloring is categorical and arbitrary, and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rPr>
          <w:rFonts w:ascii="Times New Roman" w:hAnsi="Times New Roman"/>
          <w:b w:val="0"/>
          <w:i w:val="0"/>
          <w:color w:val="000000"/>
          <w:sz w:val="22"/>
          <w:u w:val="single"/>
        </w:rPr>
        <w:t xml:space="preserve">6.5 Multi-drainage shortfall buffering: USGS gauge analysis</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At the same time, Bayou Maçon and the Tensas-Boeuf system are local-precipitation-driven sub-basins of Macon Ridge geomorphology. The Yazoo Basin is structured by separate Loess Hills runoff and backwater flooding from the main Mississippi (Saucier 1994).</w:t>
      </w:r>
    </w:p>
    <w:p>
      <w:pPr>
        <w:pStyle w:val="BodyText"/>
      </w:pPr>
      <w:r>
        <w:rPr>
          <w:rFonts w:ascii="Times New Roman" w:hAnsi="Times New Roman"/>
          <w:color w:val="000000"/>
          <w:sz w:val="22"/>
        </w:rPr>
        <w:t xml:space="preserve">Modern USGS gauge records establish that PP’s catchment integrates</w:t>
      </w:r>
      <w:r>
        <w:rPr>
          <w:rFonts w:ascii="Times New Roman" w:hAnsi="Times New Roman"/>
          <w:color w:val="000000"/>
          <w:sz w:val="22"/>
        </w:rPr>
        <w:t xml:space="preserve"> </w:t>
      </w:r>
      <w:r>
        <w:rPr>
          <w:rFonts w:ascii="Times New Roman" w:hAnsi="Times New Roman"/>
          <w:b/>
          <w:bCs/>
          <w:color w:val="000000"/>
          <w:sz w:val="22"/>
        </w:rPr>
        <w:t xml:space="preserve">three substantively independent drainage signals</w:t>
      </w:r>
      <w:r>
        <w:rPr>
          <w:rFonts w:ascii="Times New Roman" w:hAnsi="Times New Roman"/>
          <w:color w:val="000000"/>
          <w:sz w:val="22"/>
        </w:rPr>
        <w:t xml:space="preserve"> </w:t>
      </w:r>
      <w:r>
        <w:rPr>
          <w:rFonts w:ascii="Times New Roman" w:hAnsi="Times New Roman"/>
          <w:color w:val="000000"/>
          <w:sz w:val="22"/>
        </w:rPr>
        <w:t xml:space="preserve">rather than four: Bayou Maçon and the Tensas River are highly correlated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on log-monthly anomalies, n = 93), reflecting their shared Macon-Ridge geomorphology, and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The genuinely independent regimes are the Macon Ridge system, the Yazoo Basin (uncorrelated with the Mississippi at</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and the Mississippi mainstem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r>
        <w:rPr>
          <w:rFonts w:ascii="Times New Roman" w:hAnsi="Times New Roman"/>
          <w:color w:val="000000"/>
          <w:sz w:val="22"/>
        </w:rPr>
        <w:t xml:space="preserve"> </w:t>
      </w:r>
      <w:r>
        <w:rPr>
          <w:rFonts w:ascii="Times New Roman" w:hAnsi="Times New Roman"/>
          <w:color w:val="000000"/>
          <w:sz w:val="22"/>
        </w:rPr>
        <w:t xml:space="preserve">Full pairwise correlation analysis in §S15.</w:t>
      </w:r>
    </w:p>
    <w:p>
      <w:pPr>
        <w:pStyle w:val="BodyText"/>
      </w:pPr>
      <w:r>
        <w:rPr>
          <w:rFonts w:ascii="Times New Roman" w:hAnsi="Times New Roman"/>
          <w:color w:val="000000"/>
          <w:sz w:val="22"/>
        </w:rPr>
        <w:t xml:space="preserve">One assumption deserves explicit treatment. We use modern hydrograph data as a first-order proxy for Late Archaic drainage independence, and the LMV catchment in the relevant window was substantially less constrained than the modern record reflects. The Vicksburg gauge post-dates the Mississippi River levee system, the Atchafalaya diversion, the Old River Control Structure, and the Yazoo Basin pumping program. The Bayou Maçon record is from a window (1985-1992) that does not even overlap with the Mississippi gauge’s record period. The aspects of the late-Holocene Mississippi-Yazoo system most relevant for the framework’s drainage-independence claim, on the other hand, are well documented in the geomorphological literature: Saucier (1994) reviews the LMV avulsion chronology and shows that the Stage 2 Mississippi (the configuration during PP’s active interval) ran east of its modern course and was hydrologically connected to the Yazoo Basin through frequent crevasse splays and overbank events. Aslan, Autin, and Blum (2005) analyze the Holocene meander-belt sequence and document substantial pre-modern backwater connectivity between the Mississippi mainstem and the eastern tributaries (Yazoo and Tensas) via unconstrained flood-pulse dynamics. The implication is that the pre-modern unmanaged Mississippi-Yazoo correlation was plausibly higher than the modern record’s</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How much higher is not directly measurable, but the geomorphological literature is consistent with shifts in</w:t>
      </w:r>
      <w:r>
        <w:rPr>
          <w:rFonts w:ascii="Times New Roman" w:hAnsi="Times New Roman"/>
          <w:color w:val="000000"/>
          <w:sz w:val="22"/>
        </w:rPr>
        <w:t xml:space="preserve"> </w:t>
      </w:r>
      <m:oMath>
        <m:r>
          <m:rPr>
            <m:sty m:val="p"/>
          </m:rPr>
          <m:t>Δ</m:t>
        </m:r>
        <m:r>
          <m:t>r</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rPr>
            <m:sty m:val="p"/>
          </m:rPr>
          <m:t>+</m:t>
        </m:r>
        <m:r>
          <m:t>0.20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during periods of active eastern meander-belt activity. To bound the sensitivity of the three-regime claim under plausible Late Archaic conditions, we consider three cases: (i) modern correlation structure holds (</w:t>
      </w:r>
      <m:oMath>
        <m:r>
          <m:t>r</m:t>
        </m:r>
        <m:r>
          <m:rPr>
            <m:sty m:val="p"/>
          </m:rPr>
          <m:t>=</m:t>
        </m:r>
        <m:r>
          <m:t>0.11</m:t>
        </m:r>
      </m:oMath>
      <w:r>
        <w:rPr>
          <w:rFonts w:ascii="Times New Roman" w:hAnsi="Times New Roman"/>
          <w:color w:val="000000"/>
          <w:sz w:val="22"/>
        </w:rPr>
        <w:t xml:space="preserve">), Poverty Point integrates three independent regimes (Macon Ridge system, Yazoo Basin, Mississippi mainstem); (ii) a</w:t>
      </w:r>
      <w:r>
        <w:rPr>
          <w:rFonts w:ascii="Times New Roman" w:hAnsi="Times New Roman"/>
          <w:color w:val="000000"/>
          <w:sz w:val="22"/>
        </w:rPr>
        <w:t xml:space="preserve"> </w:t>
      </w:r>
      <m:oMath>
        <m:r>
          <m:rPr>
            <m:sty m:val="p"/>
          </m:rPr>
          <m:t>Δ</m:t>
        </m:r>
        <m:r>
          <m:t>r</m:t>
        </m:r>
        <m:r>
          <m:rPr>
            <m:sty m:val="p"/>
          </m:rPr>
          <m:t>=</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0.41</m:t>
        </m:r>
      </m:oMath>
      <w:r>
        <w:rPr>
          <w:rFonts w:ascii="Times New Roman" w:hAnsi="Times New Roman"/>
          <w:color w:val="000000"/>
          <w:sz w:val="22"/>
        </w:rPr>
        <w:t xml:space="preserve">), Yazoo and Mississippi remain substantively independent under any standard threshold (</w:t>
      </w:r>
      <m:oMath>
        <m:r>
          <m:t>r</m:t>
        </m:r>
        <m:r>
          <m:rPr>
            <m:sty m:val="p"/>
          </m:rPr>
          <m:t>&lt;</m:t>
        </m:r>
        <m:r>
          <m:t>0.50</m:t>
        </m:r>
      </m:oMath>
      <w:r>
        <w:rPr>
          <w:rFonts w:ascii="Times New Roman" w:hAnsi="Times New Roman"/>
          <w:color w:val="000000"/>
          <w:sz w:val="22"/>
        </w:rPr>
        <w:t xml:space="preserve">), and Poverty Point’s three-regime claim survives; (iii) a</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0.61</m:t>
        </m:r>
      </m:oMath>
      <w:r>
        <w:rPr>
          <w:rFonts w:ascii="Times New Roman" w:hAnsi="Times New Roman"/>
          <w:color w:val="000000"/>
          <w:sz w:val="22"/>
        </w:rPr>
        <w:t xml:space="preserve">), the Yazoo collapses into the Mississippi regime as a single integrated system, reducing Poverty Point from three to two independent regimes. The</w:t>
      </w:r>
      <w:r>
        <w:rPr>
          <w:rFonts w:ascii="Times New Roman" w:hAnsi="Times New Roman"/>
          <w:color w:val="000000"/>
          <w:sz w:val="22"/>
        </w:rPr>
        <w:t xml:space="preserve"> </w:t>
      </w:r>
      <w:r>
        <w:rPr>
          <w:rFonts w:ascii="Times New Roman" w:hAnsi="Times New Roman"/>
          <w:color w:val="000000"/>
          <w:sz w:val="22"/>
        </w:rPr>
        <w:t xml:space="preserve">“unique multi-regime outlier”</w:t>
      </w:r>
      <w:r>
        <w:rPr>
          <w:rFonts w:ascii="Times New Roman" w:hAnsi="Times New Roman"/>
          <w:color w:val="000000"/>
          <w:sz w:val="22"/>
        </w:rPr>
        <w:t xml:space="preserve"> </w:t>
      </w:r>
      <w:r>
        <w:rPr>
          <w:rFonts w:ascii="Times New Roman" w:hAnsi="Times New Roman"/>
          <w:color w:val="000000"/>
          <w:sz w:val="22"/>
        </w:rPr>
        <w:t xml:space="preserve">framing among LMV mound sites (in which every other interior site accesses one regime) persists as long as PP retains at least two independent regimes. That claim, therefore, holds under shifts up to</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Under the most adverse plausible scenario (case iii), Poverty Point’s advantage reduces from</w:t>
      </w:r>
      <w:r>
        <w:rPr>
          <w:rFonts w:ascii="Times New Roman" w:hAnsi="Times New Roman"/>
          <w:color w:val="000000"/>
          <w:sz w:val="22"/>
        </w:rPr>
        <w:t xml:space="preserve"> </w:t>
      </w:r>
      <w:r>
        <w:rPr>
          <w:rFonts w:ascii="Times New Roman" w:hAnsi="Times New Roman"/>
          <w:color w:val="000000"/>
          <w:sz w:val="22"/>
        </w:rPr>
        <w:t xml:space="preserve">“three-vs-one”</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“two-vs-one,”</w:t>
      </w:r>
      <w:r>
        <w:rPr>
          <w:rFonts w:ascii="Times New Roman" w:hAnsi="Times New Roman"/>
          <w:color w:val="000000"/>
          <w:sz w:val="22"/>
        </w:rPr>
        <w:t xml:space="preserve"> </w:t>
      </w:r>
      <w:r>
        <w:rPr>
          <w:rFonts w:ascii="Times New Roman" w:hAnsi="Times New Roman"/>
          <w:color w:val="000000"/>
          <w:sz w:val="22"/>
        </w:rPr>
        <w:t xml:space="preserve">still in the framework-predicted direction but with reduced quantitative magnitude. The qualitative multi-regime vs. single-regime contrast is robust to proxy uncertainty across the geomorphologically plausible range. The specific three-regime claim is conditional on the modern correlation structure approximately holding, a condition that the LMV avulsion literature has yet to settle.</w:t>
      </w:r>
    </w:p>
    <w:p>
      <w:pPr>
        <w:pStyle w:val="BodyText"/>
      </w:pPr>
      <w:r>
        <w:rPr>
          <w:rFonts w:ascii="Times New Roman" w:hAnsi="Times New Roman"/>
          <w:color w:val="000000"/>
          <w:sz w:val="22"/>
        </w:rP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between Bayou Maçon and Upland;</w:t>
      </w:r>
      <w:r>
        <w:rPr>
          <w:rFonts w:ascii="Times New Roman" w:hAnsi="Times New Roman"/>
          <w:color w:val="000000"/>
          <w:sz w:val="22"/>
        </w:rPr>
        <w:t xml:space="preserve"> </w:t>
      </w:r>
      <m:oMath>
        <m:r>
          <m:t>r</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between Mississippi and Upland), well below the</w:t>
      </w:r>
      <w:r>
        <w:rPr>
          <w:rFonts w:ascii="Times New Roman" w:hAnsi="Times New Roman"/>
          <w:color w:val="000000"/>
          <w:sz w:val="22"/>
        </w:rPr>
        <w:t xml:space="preserve"> </w:t>
      </w:r>
      <m:oMath>
        <m:r>
          <m:t>ρ</m:t>
        </m:r>
        <m:r>
          <m:rPr>
            <m:sty m:val="p"/>
          </m:rPr>
          <m:t>≥</m:t>
        </m:r>
        <m:r>
          <m:t>0.6</m:t>
        </m:r>
      </m:oMath>
      <w:r>
        <w:rPr>
          <w:rFonts w:ascii="Times New Roman" w:hAnsi="Times New Roman"/>
          <w:color w:val="000000"/>
          <w:sz w:val="22"/>
        </w:rPr>
        <w:t xml:space="preserve"> </w:t>
      </w:r>
      <w:r>
        <w:rPr>
          <w:rFonts w:ascii="Times New Roman" w:hAnsi="Times New Roman"/>
          <w:color w:val="000000"/>
          <w:sz w:val="22"/>
        </w:rPr>
        <w:t xml:space="preserve">threshold for treating two regimes as the same shortfall channel. We therefore count the Macon Ridge (or other) upland as an independent regime wherever a site has direct canoe-day access at weight</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 Under this count, Poverty Point and Lower Jackson each integrate four independent regimes (Bayou Maçon clustered with Tensas at</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as one Macon-Ridge-bottom regime; Mississippi mainstem; Yazoo Basin; Macon Ridge upland); Insley (Macon Ridge, Franklin Parish) and J.W. Copes (Tensas Basin, Madison Parish) integrate two each (one local interior drainage plus upland access within the foraging buffer);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with only marginal upland in its foraging buffer, coded conservatively as a single regime); the coastal Pearl River pair (Claiborne, Cedarland) integrates two (Pearl-River-estuarine/marsh system plus the Coastal Plain Upland Gulf Flatwoods, both structurally distinct from the LMV interior). Lower Jackson reaches the same four regimes as Poverty Point, although from ~3 km south of the confluence its access to the three aquatic regimes is partial rather than full (§6.7). The regime count here records only that both sites reach all four regimes, not that they reach them equally. That near-PP regime access, despite minimal construction (under the conventional chronology; see §5.1), is one of several anchors for the §6.6 point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necessary but not sufficient for large-scale monument accumulation. The same point is demonstrated at the Insley and J.W. Copes sites, whose chronological assignments are not contested. Among LMV mound sites with substantial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Poverty Point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color w:val="000000"/>
          <w:sz w:val="22"/>
        </w:rPr>
        <w:drawing>
          <wp:inline>
            <wp:extent cx="5486400" cy="2655417"/>
            <wp:effectExtent b="0" l="0" r="0" t="0"/>
            <wp:docPr descr="" title="" id="72" name="Picture"/>
            <a:graphic>
              <a:graphicData uri="http://schemas.openxmlformats.org/drawingml/2006/picture">
                <pic:pic>
                  <pic:nvPicPr>
                    <pic:cNvPr descr="/Users/clipo/PycharmProjects/poverty-point-signaling/figures/manuscript/figure_14_multi_drainage.png" id="73" name="Picture"/>
                    <pic:cNvPicPr>
                      <a:picLocks noChangeArrowheads="1" noChangeAspect="1"/>
                    </pic:cNvPicPr>
                  </pic:nvPicPr>
                  <pic:blipFill>
                    <a:blip r:embed="rId71"/>
                    <a:stretch>
                      <a:fillRect/>
                    </a:stretch>
                  </pic:blipFill>
                  <pic:spPr bwMode="auto">
                    <a:xfrm>
                      <a:off x="0" y="0"/>
                      <a:ext cx="5486400" cy="265541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14. Multi-drainage shortfall buffering across LMV mound-building sites.</w:t>
      </w:r>
      <w:r>
        <w:rPr>
          <w:rFonts w:ascii="Times New Roman" w:hAnsi="Times New Roman"/>
          <w:color w:val="000000"/>
          <w:sz w:val="20"/>
        </w:rPr>
        <w:t xml:space="preserve"> </w:t>
      </w:r>
      <w:r>
        <w:rPr>
          <w:rFonts w:ascii="Times New Roman" w:hAnsi="Times New Roman"/>
          <w:i/>
          <w:iCs/>
          <w:color w:val="000000"/>
          <w:sz w:val="20"/>
        </w:rPr>
        <w:t xml:space="preserve">(A) Shannon diversity index</w:t>
      </w:r>
      <w:r>
        <w:rPr>
          <w:rFonts w:ascii="Times New Roman" w:hAnsi="Times New Roman"/>
          <w:color w:val="000000"/>
          <w:sz w:val="20"/>
        </w:rPr>
        <w:t xml:space="preserve"> </w:t>
      </w:r>
      <m:oMath>
        <m:r>
          <m:t>H</m:t>
        </m:r>
      </m:oMath>
      <w:r>
        <w:rPr>
          <w:rFonts w:ascii="Times New Roman" w:hAnsi="Times New Roman"/>
          <w:color w:val="000000"/>
          <w:sz w:val="20"/>
        </w:rPr>
        <w:t xml:space="preserve"> </w:t>
      </w:r>
      <w:r>
        <w:rPr>
          <w:rFonts w:ascii="Times New Roman" w:hAnsi="Times New Roman"/>
          <w:i/>
          <w:iCs/>
          <w:color w:val="000000"/>
          <w:sz w:val="20"/>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rFonts w:ascii="Times New Roman" w:hAnsi="Times New Roman"/>
          <w:i/>
          <w:iCs/>
          <w:color w:val="000000"/>
          <w:sz w:val="20"/>
        </w:rPr>
        <w:t xml:space="preserve">). The interior sites span the</w:t>
      </w:r>
      <w:r>
        <w:rPr>
          <w:rFonts w:ascii="Times New Roman" w:hAnsi="Times New Roman"/>
          <w:color w:val="000000"/>
          <w:sz w:val="20"/>
        </w:rPr>
        <w:t xml:space="preserve"> </w:t>
      </w:r>
      <m:oMath>
        <m:r>
          <m:t>H</m:t>
        </m:r>
        <m:r>
          <m:rPr>
            <m:sty m:val="p"/>
          </m:rPr>
          <m:t>≈</m:t>
        </m:r>
        <m:r>
          <m:t>1.30</m:t>
        </m:r>
        <m:r>
          <m:rPr>
            <m:nor/>
            <m:sty m:val="p"/>
          </m:rPr>
          <m:t>-</m:t>
        </m:r>
        <m:r>
          <m:t>1.58</m:t>
        </m:r>
      </m:oMath>
      <w:r>
        <w:rPr>
          <w:rFonts w:ascii="Times New Roman" w:hAnsi="Times New Roman"/>
          <w:color w:val="000000"/>
          <w:sz w:val="20"/>
        </w:rPr>
        <w:t xml:space="preserve"> </w:t>
      </w:r>
      <w:r>
        <w:rPr>
          <w:rFonts w:ascii="Times New Roman" w:hAnsi="Times New Roman"/>
          <w:i/>
          <w:iCs/>
          <w:color w:val="000000"/>
          <w:sz w:val="20"/>
        </w:rPr>
        <w:t xml:space="preserve">band (Jaketown lowest, at 1.30); the coastal Pearl River pair is only marginally lower, at 1.29. (B) Number of substantively independent shortfall regimes per site, derived from the modern USGS gauge correlation matrix (§S15) via</w:t>
      </w:r>
      <w:r>
        <w:rPr>
          <w:rFonts w:ascii="Times New Roman" w:hAnsi="Times New Roman"/>
          <w:color w:val="000000"/>
          <w:sz w:val="20"/>
        </w:rPr>
        <w:t xml:space="preserve"> </w:t>
      </w:r>
      <m:oMath>
        <m:r>
          <m:t>ρ</m:t>
        </m:r>
        <m:r>
          <m:rPr>
            <m:sty m:val="p"/>
          </m:rPr>
          <m:t>≥</m:t>
        </m:r>
        <m:r>
          <m:t>0.6</m:t>
        </m:r>
      </m:oMath>
      <w:r>
        <w:rPr>
          <w:rFonts w:ascii="Times New Roman" w:hAnsi="Times New Roman"/>
          <w:color w:val="000000"/>
          <w:sz w:val="20"/>
        </w:rPr>
        <w:t xml:space="preserve"> </w:t>
      </w:r>
      <w:r>
        <w:rPr>
          <w:rFonts w:ascii="Times New Roman" w:hAnsi="Times New Roman"/>
          <w:i/>
          <w:iCs/>
          <w:color w:val="000000"/>
          <w:sz w:val="20"/>
        </w:rPr>
        <w:t xml:space="preserve">clustering at access</w:t>
      </w:r>
      <w:r>
        <w:rPr>
          <w:rFonts w:ascii="Times New Roman" w:hAnsi="Times New Roman"/>
          <w:color w:val="000000"/>
          <w:sz w:val="20"/>
        </w:rPr>
        <w:t xml:space="preserve"> </w:t>
      </w:r>
      <m:oMath>
        <m:r>
          <m:rPr>
            <m:sty m:val="p"/>
          </m:rPr>
          <m:t>≥</m:t>
        </m:r>
        <m:r>
          <m:t>0.5</m:t>
        </m:r>
      </m:oMath>
      <w:r>
        <w:rPr>
          <w:rFonts w:ascii="Times New Roman" w:hAnsi="Times New Roman"/>
          <w:i/>
          <w:iCs/>
          <w:color w:val="000000"/>
          <w:sz w:val="20"/>
        </w:rPr>
        <w:t xml:space="preserve">. Poverty Point and Lower Jackson each integrate four independent regimes (Bayou Maçon + Tensas at</w:t>
      </w:r>
      <w:r>
        <w:rPr>
          <w:rFonts w:ascii="Times New Roman" w:hAnsi="Times New Roman"/>
          <w:color w:val="000000"/>
          <w:sz w:val="20"/>
        </w:rPr>
        <w:t xml:space="preserve"> </w:t>
      </w:r>
      <m:oMath>
        <m:r>
          <m:t>r</m:t>
        </m:r>
        <m:r>
          <m:rPr>
            <m:sty m:val="p"/>
          </m:rPr>
          <m:t>=</m:t>
        </m:r>
        <m:r>
          <m:t>0.90</m:t>
        </m:r>
      </m:oMath>
      <w:r>
        <w:rPr>
          <w:rFonts w:ascii="Times New Roman" w:hAnsi="Times New Roman"/>
          <w:color w:val="000000"/>
          <w:sz w:val="20"/>
        </w:rPr>
        <w:t xml:space="preserve"> </w:t>
      </w:r>
      <w:r>
        <w:rPr>
          <w:rFonts w:ascii="Times New Roman" w:hAnsi="Times New Roman"/>
          <w:i/>
          <w:iCs/>
          <w:color w:val="000000"/>
          <w:sz w:val="20"/>
        </w:rPr>
        <w:t xml:space="preserve">clustered as one Macon-Ridge-bottom regime; Mississippi mainstem; Yazoo Basin; Macon Ridge upland, where the upland mast-forest shortfall regime is ecologically distinct from the river-bottom flooding regimes). Jaketown integrates three. Watson Brake, Frenchman’s Bend, and most other interior sites integrate two, while Cowpen Slough integrates one. The coastal Pearl River pair also integrates two (a single Pearl River drainage feeding a covarying estuarine and coastal-marsh system, plus the adjacent Gulf Flatwoods upland), so the regime count alone does not set the coast apart from the interior comparators; what distinguishes it is the structurally distinct estuarine setting and its lowest Shannon diversity (Panel A), as developed in §6.4. Lower Jackson’s PP-comparable regime access, combined with single-band, single-event construction, is the case §6.6 develops. PP is the unique outlier on the joint</w:t>
      </w:r>
      <w:r>
        <w:rPr>
          <w:rFonts w:ascii="Times New Roman" w:hAnsi="Times New Roman"/>
          <w:color w:val="000000"/>
          <w:sz w:val="20"/>
        </w:rPr>
        <w:t xml:space="preserve"> </w:t>
      </w:r>
      <m:oMath>
        <m:r>
          <m:t>ε</m:t>
        </m:r>
        <m:r>
          <m:rPr>
            <m:sty m:val="p"/>
          </m:rPr>
          <m:t>×</m:t>
        </m:r>
        <m:sSub>
          <m:e>
            <m:r>
              <m:t>n</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surface rather than on</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w:t>
      </w:r>
    </w:p>
    <w:p>
      <w:pPr>
        <w:pStyle w:val="BodyText"/>
      </w:pPr>
      <w:r>
        <w:rPr>
          <w:rFonts w:ascii="Times New Roman" w:hAnsi="Times New Roman"/>
          <w:color w:val="000000"/>
          <w:sz w:val="22"/>
        </w:rP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rPr>
          <w:rFonts w:ascii="Times New Roman" w:hAnsi="Times New Roman"/>
          <w:b w:val="0"/>
          <w:i w:val="0"/>
          <w:color w:val="000000"/>
          <w:sz w:val="22"/>
          <w:u w:val="single"/>
        </w:rPr>
        <w:t xml:space="preserve">6.6 Convergence dynamics and the magnitude limit</w:t>
      </w:r>
    </w:p>
    <w:p>
      <w:pPr>
        <w:pStyle w:val="FirstParagraph"/>
      </w:pPr>
      <w:r>
        <w:rPr>
          <w:rFonts w:ascii="Times New Roman" w:hAnsi="Times New Roman"/>
          <w:color w:val="000000"/>
          <w:sz w:val="22"/>
        </w:rPr>
        <w:t xml:space="preserve">The framework takes the attained crowd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as an external input set by regional convergence dynamics rather than deriving it from first principles. It therefore predicts</w:t>
      </w:r>
      <w:r>
        <w:rPr>
          <w:rFonts w:ascii="Times New Roman" w:hAnsi="Times New Roman"/>
          <w:color w:val="000000"/>
          <w:sz w:val="22"/>
        </w:rPr>
        <w:t xml:space="preserve"> </w:t>
      </w:r>
      <w:r>
        <w:rPr>
          <w:rFonts w:ascii="Times New Roman" w:hAnsi="Times New Roman"/>
          <w:i/>
          <w:iCs/>
          <w:color w:val="000000"/>
          <w:sz w:val="22"/>
        </w:rPr>
        <w:t xml:space="preserve">which regime</w:t>
      </w:r>
      <w:r>
        <w:rPr>
          <w:rFonts w:ascii="Times New Roman" w:hAnsi="Times New Roman"/>
          <w:color w:val="000000"/>
          <w:sz w:val="22"/>
        </w:rPr>
        <w:t xml:space="preserve"> </w:t>
      </w:r>
      <w:r>
        <w:rPr>
          <w:rFonts w:ascii="Times New Roman" w:hAnsi="Times New Roman"/>
          <w:color w:val="000000"/>
          <w:sz w:val="22"/>
        </w:rPr>
        <w:t xml:space="preserve">a site occupies (aggregator-dominated or not) but not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monument investment a site ultimately attains. Magnitude variation among the high-</w:t>
      </w:r>
      <m:oMath>
        <m:r>
          <m:t>ε</m:t>
        </m:r>
      </m:oMath>
      <w:r>
        <w:rPr>
          <w:rFonts w:ascii="Times New Roman" w:hAnsi="Times New Roman"/>
          <w:color w:val="000000"/>
          <w:sz w:val="22"/>
        </w:rPr>
        <w:t xml:space="preserve"> </w:t>
      </w:r>
      <w:r>
        <w:rPr>
          <w:rFonts w:ascii="Times New Roman" w:hAnsi="Times New Roman"/>
          <w:color w:val="000000"/>
          <w:sz w:val="22"/>
        </w:rPr>
        <w:t xml:space="preserve">sites is set by two factors the static rubric does not measure: differential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(multi-drainage shortfall buffering, addressed in §6.5), and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convergence dynamics. The convergence dimension is itself substantive. Lower Jackson, with the second-highest static</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but never achieved comparable scale. Poverty Point’s primacy follows from the combination of confluence-based shortfall buffering with a uniquely large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driven by the convergence of multiple cultural traditions documented by Grooms et al. (2023) and Kidder and Grooms (2024). Of the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Poverty Point is the one that drew bands from across the midcontinent. The others operated at much smaller</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the framework predicts produces correspondingly smaller fitness differentials and equilibrium monument stocks.</w:t>
      </w:r>
    </w:p>
    <w:p>
      <w:pPr>
        <w:pStyle w:val="BodyText"/>
      </w:pPr>
      <w:r>
        <w:rPr>
          <w:rFonts w:ascii="Times New Roman" w:hAnsi="Times New Roman"/>
          <w:color w:val="000000"/>
          <w:sz w:val="22"/>
        </w:rPr>
        <w:t xml:space="preserve">The framework’s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formula (§2.4) lets us compute the predicted equilibrium monument stock at each Table 2 site using each site’s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 from the static rubric and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10</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Lower Jackson, Caney, Insley, Frenchman’s Bend, J.W. Copes, Cowpen Slough</w:t>
      </w:r>
      <w:r>
        <w:rPr>
          <w:rFonts w:ascii="Times New Roman" w:hAnsi="Times New Roman"/>
          <w:color w:val="000000"/>
          <w:sz w:val="22"/>
        </w:rPr>
        <w:t xml:space="preserve"> </w:t>
      </w:r>
      <m:oMath>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5</m:t>
        </m:r>
      </m:oMath>
      <w:r>
        <w:rPr>
          <w:rFonts w:ascii="Times New Roman" w:hAnsi="Times New Roman"/>
          <w:color w:val="000000"/>
          <w:sz w:val="22"/>
        </w:rPr>
        <w:t xml:space="preserve">; Pearl River pair</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8</m:t>
        </m:r>
      </m:oMath>
      <w:r>
        <w:rPr>
          <w:rFonts w:ascii="Times New Roman" w:hAnsi="Times New Roman"/>
          <w:color w:val="000000"/>
          <w:sz w:val="22"/>
        </w:rPr>
        <w:t xml:space="preserve"> </w:t>
      </w:r>
      <w:r>
        <w:rPr>
          <w:rFonts w:ascii="Times New Roman" w:hAnsi="Times New Roman"/>
          <w:color w:val="000000"/>
          <w:sz w:val="22"/>
        </w:rPr>
        <w:t xml:space="preserve">pre-shell-ring). The rank correlation between predicted and observed scale across the eleven sites is high, with</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ranging from</w:t>
      </w:r>
      <w:r>
        <w:rPr>
          <w:rFonts w:ascii="Times New Roman" w:hAnsi="Times New Roman"/>
          <w:color w:val="000000"/>
          <w:sz w:val="22"/>
        </w:rPr>
        <w:t xml:space="preserve"> </w:t>
      </w:r>
      <m:oMath>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(depending on whether the observed scale is treated as an ordinal class or an absolute volume).</w:t>
      </w:r>
    </w:p>
    <w:p>
      <w:pPr>
        <w:pStyle w:val="BodyText"/>
      </w:pPr>
      <w:r>
        <w:rPr>
          <w:rFonts w:ascii="Times New Roman" w:hAnsi="Times New Roman"/>
          <w:color w:val="000000"/>
          <w:sz w:val="22"/>
        </w:rPr>
        <w:t xml:space="preserve">While this result appears to be a strong magnitude prediction, it is not. The two predictors that go into</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imported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are not independent contributors to the joint correlation. We need to ask how much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adds</w:t>
      </w:r>
      <w:r>
        <w:rPr>
          <w:rFonts w:ascii="Times New Roman" w:hAnsi="Times New Roman"/>
          <w:color w:val="000000"/>
          <w:sz w:val="22"/>
        </w:rPr>
        <w:t xml:space="preserve"> </w:t>
      </w:r>
      <w:r>
        <w:rPr>
          <w:rFonts w:ascii="Times New Roman" w:hAnsi="Times New Roman"/>
          <w:i/>
          <w:iCs/>
          <w:color w:val="000000"/>
          <w:sz w:val="22"/>
        </w:rPr>
        <w:t xml:space="preserve">given that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standard statistical tool for this is partial correlation, which measures the association between two variables after accounting for the effect of a third variable. If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alone is doing all the predictive work, then knowing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top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add nothing, and the partial correlation between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scale (holding</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constant) should be near zero.</w:t>
      </w:r>
    </w:p>
    <w:p>
      <w:pPr>
        <w:pStyle w:val="BodyText"/>
      </w:pPr>
      <w:r>
        <w:rPr>
          <w:rFonts w:ascii="Times New Roman" w:hAnsi="Times New Roman"/>
          <w:color w:val="000000"/>
          <w:sz w:val="22"/>
        </w:rPr>
        <w:t xml:space="preserve">This result is what the analysis returns.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essentially no additional predictive power once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known. The joint correlation is driven by</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 is imported from the convergence-model literature rather than deriving from first principles. Full analysis is in the project repository.</w:t>
      </w:r>
    </w:p>
    <w:p>
      <w:pPr>
        <w:pStyle w:val="BodyText"/>
      </w:pPr>
      <w:r>
        <w:rPr>
          <w:rFonts w:ascii="Times New Roman" w:hAnsi="Times New Roman"/>
          <w:b/>
          <w:bCs/>
          <w:color w:val="000000"/>
          <w:sz w:val="22"/>
        </w:rPr>
        <w:t xml:space="preserve">Table 3.</w:t>
      </w:r>
      <w:r>
        <w:rPr>
          <w:rFonts w:ascii="Times New Roman" w:hAnsi="Times New Roman"/>
          <w:color w:val="000000"/>
          <w:sz w:val="22"/>
        </w:rPr>
        <w:t xml:space="preserve"> </w:t>
      </w:r>
      <w:r>
        <w:rPr>
          <w:rFonts w:ascii="Times New Roman" w:hAnsi="Times New Roman"/>
          <w:i/>
          <w:iCs/>
          <w:color w:val="000000"/>
          <w:sz w:val="22"/>
        </w:rPr>
        <w:t xml:space="preserve">Partial-correlation decomposition of the §6.6 joint magnitude result.</w:t>
      </w:r>
      <w:r>
        <w:rPr>
          <w:rFonts w:ascii="Times New Roman" w:hAnsi="Times New Roman"/>
          <w:color w:val="000000"/>
          <w:sz w:val="22"/>
        </w:rPr>
        <w:t xml:space="preserve"> </w:t>
      </w:r>
      <w:r>
        <w:rPr>
          <w:rFonts w:ascii="Times New Roman" w:hAnsi="Times New Roman"/>
          <w:i/>
          <w:iCs/>
          <w:color w:val="000000"/>
          <w:sz w:val="22"/>
        </w:rPr>
        <w:t xml:space="preserve">Zero-order correlations are computed against observed monument scale (ordinal: minimal/small/mid/very-large) and observed monument volume (m³, log scale). Partial correlations control for the indicated covariate. The marginal contribution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i/>
          <w:iCs/>
          <w:color w:val="000000"/>
          <w:sz w:val="22"/>
        </w:rPr>
        <w:t xml:space="preserve">is at most</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i/>
          <w:iCs/>
          <w:color w:val="000000"/>
          <w:sz w:val="22"/>
        </w:rPr>
        <w:t xml:space="preserve">across all three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operationalizations.</w:t>
      </w:r>
    </w:p>
    <w:tbl>
      <w:tblPr>
        <w:tblStyle w:val="Table"/>
        <w:tblW w:type="pct" w:w="5000"/>
        <w:tblLayout w:type="fixed"/>
        <w:tblLook w:firstRow="1" w:lastRow="0" w:firstColumn="0" w:lastColumn="0" w:noHBand="0" w:noVBand="0" w:val="0020"/>
      </w:tblPr>
      <w:tblGrid>
        <w:gridCol w:w="1449"/>
        <w:gridCol w:w="1190"/>
        <w:gridCol w:w="1216"/>
        <w:gridCol w:w="2018"/>
        <w:gridCol w:w="2044"/>
      </w:tblGrid>
      <w:tr>
        <w:trPr>
          <w:tblHeader w:val="on"/>
        </w:trPr>
        <w:tc>
          <w:tcPr/>
          <w:p>
            <w:pPr>
              <w:pStyle w:val="Compact"/>
              <w:jc w:val="center"/>
            </w:pPr>
            <w:r>
              <w:rPr>
                <w:b/>
                <w:bCs/>
              </w:rPr>
              <w:t xml:space="preserve">Predictor</w:t>
            </w:r>
          </w:p>
        </w:tc>
        <w:tc>
          <w:tcPr/>
          <w:p>
            <w:pPr>
              <w:pStyle w:val="Compact"/>
              <w:jc w:val="right"/>
            </w:pPr>
            <w:r>
              <w:rPr>
                <w:b/>
                <w:bCs/>
              </w:rPr>
              <w:t xml:space="preserve">Zero-order</w:t>
            </w:r>
            <w:r>
              <w:t xml:space="preserve"> </w:t>
            </w:r>
            <m:oMath>
              <m:r>
                <m:rPr>
                  <m:sty m:val="bi"/>
                </m:rPr>
                <m:t>ρ</m:t>
              </m:r>
            </m:oMath>
            <w:r>
              <w:t xml:space="preserve"> </w:t>
            </w:r>
            <w:r>
              <w:rPr>
                <w:b/>
                <w:bCs/>
              </w:rPr>
              <w:t xml:space="preserve">vs scale</w:t>
            </w:r>
          </w:p>
        </w:tc>
        <w:tc>
          <w:tcPr/>
          <w:p>
            <w:pPr>
              <w:pStyle w:val="Compact"/>
              <w:jc w:val="right"/>
            </w:pPr>
            <w:r>
              <w:rPr>
                <w:b/>
                <w:bCs/>
              </w:rPr>
              <w:t xml:space="preserve">Zero-order</w:t>
            </w:r>
            <w:r>
              <w:t xml:space="preserve"> </w:t>
            </w:r>
            <m:oMath>
              <m:r>
                <m:rPr>
                  <m:sty m:val="bi"/>
                </m:rPr>
                <m:t>ρ</m:t>
              </m:r>
            </m:oMath>
            <w:r>
              <w:t xml:space="preserve"> </w:t>
            </w:r>
            <w:r>
              <w:rPr>
                <w:b/>
                <w:bCs/>
              </w:rPr>
              <w:t xml:space="preserve">vs volume</w:t>
            </w:r>
          </w:p>
        </w:tc>
        <w:tc>
          <w:tcPr/>
          <w:p>
            <w:pPr>
              <w:pStyle w:val="Compact"/>
              <w:jc w:val="right"/>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right"/>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center"/>
            </w:pPr>
            <m:oMath>
              <m:sSub>
                <m:e>
                  <m:r>
                    <m:t>n</m:t>
                  </m:r>
                </m:e>
                <m:sub>
                  <m:r>
                    <m:t>a</m:t>
                  </m:r>
                  <m:r>
                    <m:t>g</m:t>
                  </m:r>
                  <m:r>
                    <m:t>g</m:t>
                  </m:r>
                </m:sub>
              </m:sSub>
            </m:oMath>
            <w:r>
              <w:t xml:space="preserve"> </w:t>
            </w:r>
            <w:r>
              <w:t xml:space="preserve">alone (convergence model)</w:t>
            </w:r>
          </w:p>
        </w:tc>
        <w:tc>
          <w:tcPr/>
          <w:p>
            <w:pPr>
              <w:pStyle w:val="Compact"/>
              <w:jc w:val="right"/>
            </w:pPr>
            <m:oMathPara>
              <m:oMathParaPr>
                <m:jc m:val="center"/>
              </m:oMathParaPr>
              <m:oMath>
                <m:r>
                  <m:rPr>
                    <m:sty m:val="p"/>
                  </m:rPr>
                  <m:t>+</m:t>
                </m:r>
                <m:r>
                  <m:t>0.87</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r>
        <w:tc>
          <w:tcPr/>
          <w:p>
            <w:pPr>
              <w:pStyle w:val="Compact"/>
              <w:jc w:val="center"/>
            </w:pPr>
            <m:oMath>
              <m:r>
                <m:t>ε</m:t>
              </m:r>
            </m:oMath>
            <w:r>
              <w:t xml:space="preserve"> </w:t>
            </w:r>
            <w:r>
              <w:t xml:space="preserve">(Shannon-rubric, §S6)</w:t>
            </w:r>
          </w:p>
        </w:tc>
        <w:tc>
          <w:tcPr/>
          <w:p>
            <w:pPr>
              <w:pStyle w:val="Compact"/>
              <w:jc w:val="right"/>
            </w:pPr>
            <m:oMathPara>
              <m:oMathParaPr>
                <m:jc m:val="center"/>
              </m:oMathParaPr>
              <m:oMath>
                <m:r>
                  <m:rPr>
                    <m:sty m:val="p"/>
                  </m:rPr>
                  <m:t>+</m:t>
                </m:r>
                <m:r>
                  <m:t>0.39</m:t>
                </m:r>
              </m:oMath>
            </m:oMathPara>
          </w:p>
        </w:tc>
        <w:tc>
          <w:tcPr/>
          <w:p>
            <w:pPr>
              <w:pStyle w:val="Compact"/>
              <w:jc w:val="right"/>
            </w:pPr>
            <m:oMathPara>
              <m:oMathParaPr>
                <m:jc m:val="center"/>
              </m:oMathParaPr>
              <m:oMath>
                <m:r>
                  <m:rPr>
                    <m:sty m:val="p"/>
                  </m:rPr>
                  <m:t>+</m:t>
                </m:r>
                <m:r>
                  <m:t>0.44</m:t>
                </m:r>
              </m:oMath>
            </m:oMathPara>
          </w:p>
        </w:tc>
        <w:tc>
          <w:tcPr/>
          <w:p>
            <w:pPr>
              <w:pStyle w:val="Compact"/>
              <w:jc w:val="right"/>
            </w:pPr>
            <m:oMathPara>
              <m:oMathParaPr>
                <m:jc m:val="center"/>
              </m:oMathParaPr>
              <m:oMath>
                <m:r>
                  <m:rPr>
                    <m:sty m:val="p"/>
                  </m:rPr>
                  <m:t>−</m:t>
                </m:r>
                <m:r>
                  <m:t>0.009</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m:oMath>
              <m:r>
                <m:t>ε</m:t>
              </m:r>
            </m:oMath>
            <w:r>
              <w:t xml:space="preserve"> </w:t>
            </w:r>
            <w:r>
              <w:t xml:space="preserve">(EPA Level IV, §S12)</w:t>
            </w:r>
          </w:p>
        </w:tc>
        <w:tc>
          <w:tcPr/>
          <w:p>
            <w:pPr>
              <w:pStyle w:val="Compact"/>
              <w:jc w:val="right"/>
            </w:pPr>
            <m:oMathPara>
              <m:oMathParaPr>
                <m:jc m:val="center"/>
              </m:oMathParaPr>
              <m:oMath>
                <m:r>
                  <m:rPr>
                    <m:sty m:val="p"/>
                  </m:rPr>
                  <m:t>−</m:t>
                </m:r>
                <m:r>
                  <m:t>0.01</m:t>
                </m:r>
              </m:oMath>
            </m:oMathPara>
          </w:p>
        </w:tc>
        <w:tc>
          <w:tcPr/>
          <w:p>
            <w:pPr>
              <w:pStyle w:val="Compact"/>
              <w:jc w:val="right"/>
            </w:pPr>
            <m:oMathPara>
              <m:oMathParaPr>
                <m:jc m:val="center"/>
              </m:oMathParaPr>
              <m:oMath>
                <m:r>
                  <m:rPr>
                    <m:sty m:val="p"/>
                  </m:rPr>
                  <m:t>−</m:t>
                </m:r>
                <m:r>
                  <m:t>0.19</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0.010</m:t>
                </m:r>
              </m:oMath>
            </m:oMathPara>
          </w:p>
        </w:tc>
      </w:tr>
      <w:tr>
        <w:tc>
          <w:tcPr/>
          <w:p>
            <w:pPr>
              <w:pStyle w:val="Compact"/>
              <w:jc w:val="center"/>
            </w:pPr>
            <m:oMath>
              <m:r>
                <m:t>ε</m:t>
              </m:r>
            </m:oMath>
            <w:r>
              <w:t xml:space="preserve"> </w:t>
            </w:r>
            <w:r>
              <w:t xml:space="preserve">(phenology, §S16)</w:t>
            </w:r>
          </w:p>
        </w:tc>
        <w:tc>
          <w:tcPr/>
          <w:p>
            <w:pPr>
              <w:pStyle w:val="Compact"/>
              <w:jc w:val="right"/>
            </w:pPr>
            <m:oMathPara>
              <m:oMathParaPr>
                <m:jc m:val="center"/>
              </m:oMathParaPr>
              <m:oMath>
                <m:r>
                  <m:rPr>
                    <m:sty m:val="p"/>
                  </m:rPr>
                  <m:t>−</m:t>
                </m:r>
                <m:r>
                  <m:t>0.21</m:t>
                </m:r>
              </m:oMath>
            </m:oMathPara>
          </w:p>
        </w:tc>
        <w:tc>
          <w:tcPr/>
          <w:p>
            <w:pPr>
              <w:pStyle w:val="Compact"/>
              <w:jc w:val="right"/>
            </w:pPr>
            <m:oMathPara>
              <m:oMathParaPr>
                <m:jc m:val="center"/>
              </m:oMathParaPr>
              <m:oMath>
                <m:r>
                  <m:rPr>
                    <m:sty m:val="p"/>
                  </m:rPr>
                  <m:t>−</m:t>
                </m:r>
                <m:r>
                  <m:t>0.05</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right"/>
            </w:pPr>
            <m:oMathPara>
              <m:oMathParaPr>
                <m:jc m:val="center"/>
              </m:oMathParaPr>
              <m:oMath>
                <m:r>
                  <m:rPr>
                    <m:sty m:val="p"/>
                  </m:rPr>
                  <m:t>+</m:t>
                </m:r>
                <m:r>
                  <m:t>0.85</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bl>
    <w:p>
      <w:pPr>
        <w:pStyle w:val="BodyText"/>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therefore, does not predict cross-site magnitude in any substantive sense. The convergence-model literature is. The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result is a</w:t>
      </w:r>
      <w:r>
        <w:rPr>
          <w:rFonts w:ascii="Times New Roman" w:hAnsi="Times New Roman"/>
          <w:color w:val="000000"/>
          <w:sz w:val="22"/>
        </w:rPr>
        <w:t xml:space="preserve"> </w:t>
      </w:r>
      <w:r>
        <w:rPr>
          <w:rFonts w:ascii="Times New Roman" w:hAnsi="Times New Roman"/>
          <w:i/>
          <w:iCs/>
          <w:color w:val="000000"/>
          <w:sz w:val="22"/>
        </w:rPr>
        <w:t xml:space="preserve">within-model consistency demonstration</w:t>
      </w:r>
      <w:r>
        <w:rPr>
          <w:rFonts w:ascii="Times New Roman" w:hAnsi="Times New Roman"/>
          <w:color w:val="000000"/>
          <w:sz w:val="22"/>
        </w:rPr>
        <w:t xml:space="preserve"> </w:t>
      </w:r>
      <w:r>
        <w:rPr>
          <w:rFonts w:ascii="Times New Roman" w:hAnsi="Times New Roman"/>
          <w:color w:val="000000"/>
          <w:sz w:val="22"/>
        </w:rPr>
        <w:t xml:space="preserve">that the framework’s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It is not an independent prediction of cross-site magnitude by the framework.</w:t>
      </w:r>
    </w:p>
    <w:p>
      <w:pPr>
        <w:pStyle w:val="BodyText"/>
      </w:pPr>
      <w:r>
        <w:rPr>
          <w:rFonts w:ascii="Times New Roman" w:hAnsi="Times New Roman"/>
          <w:color w:val="000000"/>
          <w:sz w:val="22"/>
        </w:rPr>
        <w:t xml:space="preserve">This finding makes a central concession: the framework predicts the necessity and tempo of threshold crossing, not cross-site magnitude.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that organizes this finding parallels Sassaman’s (2005) structure-event-process framework: both readings agree that the necessary structural conditions are met across multiple LMV sites and that contingent convergence dynamics set the historically realized concentration at Poverty Point. The two readings disagree about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w:t>
      </w:r>
      <w:r>
        <w:rPr>
          <w:rFonts w:ascii="Times New Roman" w:hAnsi="Times New Roman"/>
          <w:color w:val="000000"/>
          <w:sz w:val="22"/>
        </w:rP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rPr>
          <w:rFonts w:ascii="Times New Roman" w:hAnsi="Times New Roman"/>
          <w:b w:val="0"/>
          <w:i w:val="0"/>
          <w:color w:val="000000"/>
          <w:sz w:val="22"/>
          <w:u w:val="single"/>
        </w:rPr>
        <w:t xml:space="preserve">6.7 Within-year aggregation timing (plausibility check, not independent test)</w:t>
      </w:r>
    </w:p>
    <w:p>
      <w:pPr>
        <w:pStyle w:val="FirstParagraph"/>
      </w:pPr>
      <w:r>
        <w:rPr>
          <w:rFonts w:ascii="Times New Roman" w:hAnsi="Times New Roman"/>
          <w:color w:val="000000"/>
          <w:sz w:val="22"/>
        </w:rP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based on which they inferred band dispersal during spring and possibly until late summer. Jackson did not analyze faunal material from the type-site itself. At the J.W. Copes site, his statements range from a possible mid-winter abandonment to year-round occupation (Jackson 1986). More recent macrobotanical analyses from the type site itself recover early-summer-ripening native cultigens </w:t>
      </w:r>
      <w:r>
        <w:rPr>
          <w:rFonts w:ascii="Times New Roman" w:hAnsi="Times New Roman"/>
          <w:color w:val="000000"/>
          <w:sz w:val="22"/>
          <w:highlight w:val="yellow"/>
        </w:rPr>
        <w:t xml:space="preserve">(maygrass and little barley)</w:t>
      </w:r>
      <w:r>
        <w:rPr>
          <w:rFonts w:ascii="Times New Roman" w:hAnsi="Times New Roman"/>
          <w:color w:val="000000"/>
          <w:sz w:val="22"/>
        </w:rPr>
        <w:t xml:space="preserve"> alongside fall-ripening nuts and fruits, documenting plant use that extends from late spring and early summer through fall at the monumental core (Leone 2014, 2020). The early-summer cultigen counts are modest, and because the seeds are storable their presence does not by itself fix the season of deposition; but they are direct type-site evidence against the earlier inference, drawn from peripheral assemblages, of no spring or early-summer plant use. The published evidence base therefore no longer supports a clean fall-winter-only signal with spring dispersal. It indicates fall-dominated nut and fruit use with a documented late-spring and early-summer cultigen component at the monumental core, the direction the framework’s multi-peak prediction anticipates. The remaining path to direct constraint on aggregation timing runs through non-faunal seasonality proxies rather than reanalysis of bone.</w:t>
      </w:r>
    </w:p>
    <w:p>
      <w:pPr>
        <w:pStyle w:val="BodyText"/>
      </w:pPr>
      <w:r>
        <w:rPr>
          <w:rFonts w:ascii="Times New Roman" w:hAnsi="Times New Roman"/>
          <w:color w:val="000000"/>
          <w:sz w:val="22"/>
        </w:rP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rPr>
          <w:rFonts w:ascii="Times New Roman" w:hAnsi="Times New Roman"/>
          <w:color w:val="000000"/>
          <w:sz w:val="22"/>
        </w:rPr>
        <w:t xml:space="preserve"> </w:t>
      </w:r>
      <w:r>
        <w:rPr>
          <w:rFonts w:ascii="Times New Roman" w:hAnsi="Times New Roman"/>
          <w:i/>
          <w:i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peak windows it integrates: peaks driven by different mechanisms tend not to fail in the same year, which is what produces the negative covariance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w:t>
      </w:r>
    </w:p>
    <w:p>
      <w:pPr>
        <w:pStyle w:val="BodyText"/>
      </w:pPr>
      <w:r>
        <w:rPr>
          <w:rFonts w:ascii="Times New Roman" w:hAnsi="Times New Roman"/>
          <w:color w:val="000000"/>
          <w:sz w:val="22"/>
        </w:rP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It produces a hierarchy that places PP alone at the top and grades the remaining sites by how much of the regional peak-access profile they integrate. The discrimination operative for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a single drainage contributes the same peak window. Lower Jackson’s intermediate weighted-sum value (3.5), for a site only ~3 km from Poverty Point, comes entirely from its aquatic access. It reaches the same four resource regimes as PP (the identical §6.5 regime count), and its terrestrial access matches PP’s: full access to the Macon Ridge hardwood mast and to migratory waterfowl. The three aquatic peak windows are where the two diverge. Poverty Point sits at the multi-drainage confluence and draws the spring fish spawn, summer aquatic, and falling-water concentration peaks each from several independent channels (full access, 1.0), whereas Lower Jackson, ~3 km south of the junction, reaches them through a single, less direct drainage approach (partial access, 0.5; per-window coding in §S16). The §6.5 regime count records that both sites reach all four regimes; the phenology weighting additionally registers that Lower Jackson’s access to the aquatic peaks is partial rather than full, reflecting its slightly greater distance from the active floodplain at the confluence. Combined with its single-band, single-event construction, this reinforces the §6.6 finding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is necessary but not sufficient for sustained large-scale aggregation. PP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Full per-site coding and analysis are in §S16.</w:t>
      </w:r>
    </w:p>
    <w:p>
      <w:pPr>
        <w:pStyle w:val="BodyText"/>
      </w:pPr>
      <w:r>
        <w:rPr>
          <w:rFonts w:ascii="Times New Roman" w:hAnsi="Times New Roman"/>
          <w:color w:val="000000"/>
          <w:sz w:val="22"/>
        </w:rP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the extension’s top-3 months (October, September, November) and the published fall-winter interpretation reflects the same calendar rather than an independent test. The minimal extension serves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on the framework’s logic rather than an independent prediction of the seasonal pattern. The macrobotanical evidence of Leone (2014, 2020) is, by contrast, independent of the Webb and Jackson sources that define the calendar: its early-summer cultigens and fall nuts and fruits come from new type-site flotation rather than from the same publications, and so provide a partly non-circular check that points in the multi-season direction.</w:t>
      </w:r>
    </w:p>
    <w:p>
      <w:pPr>
        <w:pStyle w:val="BodyText"/>
      </w:pPr>
      <w:r>
        <w:rPr>
          <w:rFonts w:ascii="Times New Roman" w:hAnsi="Times New Roman"/>
          <w:color w:val="000000"/>
          <w:sz w:val="22"/>
        </w:rPr>
        <w:t xml:space="preserve">The seasonally resolved component (§S17.6) generates one falsifiable prediction. The framework’s broader-window output shows a substantial aggregation share in spring fish spawning (Mar-May) and summer aquatic months (Jun-Aug). This was in tension with the older peripheral-site inference of spring dispersal (Thomas and Campbell 1978), but recent type-site macrobotanical work recovering early-summer-ripening cultigens (Leone 2014, 2020) is consistent with the predicted late-spring and summer plant use.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be at odds with the framework’s predicted multi-peak aggregation. A multi-peak signal across mast, fish-spawning, and summer aquatic months, however, would be consistent with it. We identify this as a falsifiable test (§7.4) that requires new fieldwork and analysis using non-faunal methods rather than reanalysis of existing faunal collections.</w:t>
      </w:r>
    </w:p>
    <w:p>
      <w:pPr>
        <w:pStyle w:val="BodyText"/>
      </w:pPr>
      <w:r>
        <w:rPr>
          <w:rFonts w:ascii="Times New Roman" w:hAnsi="Times New Roman"/>
          <w:color w:val="000000"/>
          <w:sz w:val="22"/>
        </w:rPr>
        <w:drawing>
          <wp:inline>
            <wp:extent cx="5486400" cy="4060942"/>
            <wp:effectExtent b="0" l="0" r="0" t="0"/>
            <wp:docPr descr="" title="" id="77" name="Picture"/>
            <a:graphic>
              <a:graphicData uri="http://schemas.openxmlformats.org/drawingml/2006/picture">
                <pic:pic>
                  <pic:nvPicPr>
                    <pic:cNvPr descr="/Users/clipo/PycharmProjects/poverty-point-signaling/figures/manuscript/figure_15_seasonal_phenology.png" id="78" name="Picture"/>
                    <pic:cNvPicPr>
                      <a:picLocks noChangeArrowheads="1" noChangeAspect="1"/>
                    </pic:cNvPicPr>
                  </pic:nvPicPr>
                  <pic:blipFill>
                    <a:blip r:embed="rId76"/>
                    <a:stretch>
                      <a:fillRect/>
                    </a:stretch>
                  </pic:blipFill>
                  <pic:spPr bwMode="auto">
                    <a:xfrm>
                      <a:off x="0" y="0"/>
                      <a:ext cx="5486400" cy="406094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15. Seasonal phenology of LMV resource peaks and site-level access.</w:t>
      </w:r>
      <w:r>
        <w:rPr>
          <w:rFonts w:ascii="Times New Roman" w:hAnsi="Times New Roman"/>
          <w:color w:val="000000"/>
          <w:sz w:val="20"/>
        </w:rPr>
        <w:t xml:space="preserve"> </w:t>
      </w:r>
      <w:r>
        <w:rPr>
          <w:rFonts w:ascii="Times New Roman" w:hAnsi="Times New Roman"/>
          <w:i/>
          <w:iCs/>
          <w:color w:val="000000"/>
          <w:sz w:val="20"/>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with Monte Carlo</w:t>
      </w:r>
      <w:r>
        <w:rPr>
          <w:rFonts w:ascii="Times New Roman" w:hAnsi="Times New Roman"/>
          <w:i/>
          <w:iCs/>
          <w:color w:val="000000"/>
          <w:sz w:val="20"/>
        </w:rPr>
        <w:t xml:space="preserve"> </w:t>
      </w:r>
      <m:oMath>
        <m:r>
          <m:rPr>
            <m:sty m:val="p"/>
          </m:rPr>
          <m:t>±</m:t>
        </m:r>
        <m:r>
          <m:t>1</m:t>
        </m:r>
      </m:oMath>
      <w:r>
        <w:rPr>
          <w:rFonts w:ascii="Times New Roman" w:hAnsi="Times New Roman"/>
          <w:i/>
          <w:iCs/>
          <w:color w:val="000000"/>
          <w:sz w:val="20"/>
        </w:rPr>
        <w:t xml:space="preserve"> </w:t>
      </w:r>
      <w:r>
        <w:rPr>
          <w:rFonts w:ascii="Times New Roman" w:hAnsi="Times New Roman"/>
          <w:i/>
          <w:iCs/>
          <w:color w:val="000000"/>
          <w:sz w:val="20"/>
        </w:rPr>
        <w:t xml:space="preserve">SD error bars (each of the five peak windows contributes 1.0 for full access, 0.5 for partial single-drainage access; maximum 5.0). Error bars come from 1,000 MC draws that perturb each non-zero access flag by</w:t>
      </w:r>
      <w:r>
        <w:rPr>
          <w:rFonts w:ascii="Times New Roman" w:hAnsi="Times New Roman"/>
          <w:i/>
          <w:iCs/>
          <w:color w:val="000000"/>
          <w:sz w:val="20"/>
        </w:rPr>
        <w:t xml:space="preserve"> </w:t>
      </w:r>
      <m:oMath>
        <m:r>
          <m:t>N</m:t>
        </m:r>
        <m:r>
          <m:rPr>
            <m:sty m:val="p"/>
          </m:rPr>
          <m:t>(</m:t>
        </m:r>
        <m:r>
          <m:t>0</m:t>
        </m:r>
        <m:r>
          <m:rPr>
            <m:sty m:val="p"/>
          </m:rPr>
          <m:t>,</m:t>
        </m:r>
        <m:r>
          <m:t>0.10</m:t>
        </m:r>
        <m:r>
          <m:rPr>
            <m:sty m:val="p"/>
          </m:rPr>
          <m:t>)</m:t>
        </m:r>
      </m:oMath>
      <w:r>
        <w:rPr>
          <w:rFonts w:ascii="Times New Roman" w:hAnsi="Times New Roman"/>
          <w:i/>
          <w:iCs/>
          <w:color w:val="000000"/>
          <w:sz w:val="20"/>
        </w:rPr>
        <w:t xml:space="preserve">, truncated to</w:t>
      </w:r>
      <w:r>
        <w:rPr>
          <w:rFonts w:ascii="Times New Roman" w:hAnsi="Times New Roman"/>
          <w:i/>
          <w:iCs/>
          <w:color w:val="000000"/>
          <w:sz w:val="20"/>
        </w:rPr>
        <w:t xml:space="preserve"> </w:t>
      </w:r>
      <m:oMath>
        <m:r>
          <m:rPr>
            <m:sty m:val="p"/>
          </m:rPr>
          <m:t>[</m:t>
        </m:r>
        <m:r>
          <m:t>0</m:t>
        </m:r>
        <m:r>
          <m:rPr>
            <m:sty m:val="p"/>
          </m:rPr>
          <m:t>,</m:t>
        </m:r>
        <m:r>
          <m:t>1</m:t>
        </m:r>
        <m:r>
          <m:rPr>
            <m:sty m:val="p"/>
          </m:rPr>
          <m:t>]</m:t>
        </m:r>
      </m:oMath>
      <w:r>
        <w:rPr>
          <w:rFonts w:ascii="Times New Roman" w:hAnsi="Times New Roman"/>
          <w:i/>
          <w:iCs/>
          <w:color w:val="000000"/>
          <w:sz w:val="20"/>
        </w:rPr>
        <w:t xml:space="preserve">, to bracket rank-order sensitivity to subjective coding choices. Point estimates: Poverty Point alone at 5.0; J.W. Copes and Jaketown at 4.0; Lower Jackson at 3.5; Watson Brake and Cowpen Slough at 3.0; Frenchman’s Bend and Insley at 2.5; Caney, Claiborne, and Cedarland at 2.0. The PP hierarchy at the top of the ranking is robust to the MC perturbation (PP ranks first in more than 95% of draws). The interior ordering of the middle band is less stable under perturbation. The weighted sum of graduates’ partial-access codings that a binary count collapses into, producing a hierarchy that combines peak breadth (how many peak types the site reaches) and access depth (full vs. partial). Discrimination operative for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combines this peak-breadth signal with the multi-drainage redundancy visible in Panel B (PP’s row is uniformly warmer because multiple independent drainages contribute to each peak window) and with the regime-count hierarchy of §6.5 (Figure 14B).</w:t>
      </w:r>
    </w:p>
    <w:bookmarkEnd w:id="79"/>
    <w:bookmarkStart w:id="80" w:name="Xa756ed1fef5c80faf329c8dd44dba8f3e8775e5"/>
    <w:p>
      <w:pPr>
        <w:pStyle w:val="Heading3"/>
      </w:pPr>
      <w:r>
        <w:rPr>
          <w:rFonts w:ascii="Times New Roman" w:hAnsi="Times New Roman"/>
          <w:b w:val="0"/>
          <w:i w:val="0"/>
          <w:color w:val="000000"/>
          <w:sz w:val="22"/>
          <w:u w:val="single"/>
        </w:rPr>
        <w:t xml:space="preserve">6.8 Construction tempo and pulsed accumulation</w:t>
      </w:r>
    </w:p>
    <w:p>
      <w:pPr>
        <w:pStyle w:val="FirstParagraph"/>
      </w:pPr>
      <w:r>
        <w:rPr>
          <w:rFonts w:ascii="Times New Roman" w:hAnsi="Times New Roman"/>
          <w:color w:val="000000"/>
          <w:sz w:val="22"/>
        </w:rP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rPr>
          <w:rFonts w:ascii="Times New Roman" w:hAnsi="Times New Roman"/>
          <w:color w:val="000000"/>
          <w:sz w:val="22"/>
        </w:rP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rPr>
          <w:rFonts w:ascii="Times New Roman" w:hAnsi="Times New Roman"/>
          <w:color w:val="000000"/>
          <w:sz w:val="22"/>
        </w:rPr>
        <w:t xml:space="preserve"> </w:t>
      </w:r>
      <w:r>
        <w:rPr>
          <w:rFonts w:ascii="Times New Roman" w:hAnsi="Times New Roman"/>
          <w:color w:val="000000"/>
          <w:sz w:val="22"/>
        </w:rPr>
        <w:t xml:space="preserve">“the physical remnant of several abandoned projects”</w:t>
      </w:r>
      <w:r>
        <w:rPr>
          <w:rFonts w:ascii="Times New Roman" w:hAnsi="Times New Roman"/>
          <w:color w:val="000000"/>
          <w:sz w:val="22"/>
        </w:rPr>
        <w:t xml:space="preserve"> </w:t>
      </w:r>
      <w:r>
        <w:rPr>
          <w:rFonts w:ascii="Times New Roman" w:hAnsi="Times New Roman"/>
          <w:color w:val="000000"/>
          <w:sz w:val="22"/>
        </w:rPr>
        <w:t xml:space="preserve">rather than a master plan. The framework resolves the apparent tension between rapid individual episodes and the multi-component site. Each seasonal gathering produced a rapid construction episode, and the cumulative result of many such episodes over the ~75-year active window made the site archaeologically visible. The pulsed-construction pattern fits both the seasonal-aggregation cycle and the signal-half-life reading, and contemporary geoarchaeology converges on this pattern across different theoretical framings.</w:t>
      </w:r>
    </w:p>
    <w:p>
      <w:pPr>
        <w:pStyle w:val="BodyText"/>
      </w:pPr>
      <w:r>
        <w:rPr>
          <w:rFonts w:ascii="Times New Roman" w:hAnsi="Times New Roman"/>
          <w:color w:val="000000"/>
          <w:sz w:val="22"/>
        </w:rPr>
        <w:t xml:space="preserve">The signal-half-life argument also generates a quantitative prediction that the existing PP and WB records can test. The reasoning runs as follows. If finished earthwork loses its value as a signal of current cooperative capacity as the bands that built it disperse or are replaced, then a community-at-large accumulated stock has to spend a rising share of its labor just keeping that signal current. New construction adds to the stock. Renewal and maintenance keep the existing stock signaling in place.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In contrast, the young-system regime produces fewer larger initial-construction events with long gaps between them.</w:t>
      </w:r>
    </w:p>
    <w:p>
      <w:pPr>
        <w:pStyle w:val="BodyText"/>
      </w:pPr>
      <w:r>
        <w:rPr>
          <w:rFonts w:ascii="Times New Roman" w:hAnsi="Times New Roman"/>
          <w:color w:val="000000"/>
          <w:sz w:val="22"/>
        </w:rPr>
        <w:t xml:space="preserve">Formally, the framework treats the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follows: the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where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is the per-year decay rate of the signal value and</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each year’s investment flow. Each year’s labor splits into a part that offsets decay,</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and a part that adds net new stock,</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Their ratio</w:t>
      </w:r>
      <w:r>
        <w:rPr>
          <w:rFonts w:ascii="Times New Roman" w:hAnsi="Times New Roman"/>
          <w:color w:val="000000"/>
          <w:sz w:val="22"/>
        </w:rP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starts at zero (when the system is young) and rises without bound as the stock approaches its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(when the system is fully mature and every unit of labor is going to maintenance). Run at PP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model predicts a steady-state stock of about 130 units, reached within about 50 years (the decay timescale is</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operating in the documented episodic pattern of four short construction bursts separated by 200+ year hiatuses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each new burst begins from a stock that has decayed substantially during the gap, so each burst looks more like initial construction than like maintenance.</w:t>
      </w:r>
    </w:p>
    <w:p>
      <w:pPr>
        <w:pStyle w:val="BodyText"/>
      </w:pPr>
      <w:r>
        <w:rPr>
          <w:rFonts w:ascii="Times New Roman" w:hAnsi="Times New Roman"/>
          <w:color w:val="000000"/>
          <w:sz w:val="22"/>
        </w:rP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w:t>
      </w:r>
    </w:p>
    <w:p>
      <w:pPr>
        <w:pStyle w:val="BodyText"/>
      </w:pPr>
      <w:r>
        <w:rPr>
          <w:rFonts w:ascii="Times New Roman" w:hAnsi="Times New Roman"/>
          <w:color w:val="000000"/>
          <w:sz w:val="22"/>
        </w:rPr>
        <w:t xml:space="preserve">Several caveats are worth flagging. The model treats</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constant from year to year, which does not capture the concentrated labor bursts documented for Mound A, which was raised in fewer than 90 days within the active interval rather than at a steady annual rate (Ortmann and Kidder 2013). This approximation leaves the cumulative maintenance-vs-new split unaffected, though the year-by-year ratio is approximate. Published event counts include both maintenance/renewal events and new-construction events, with no clean separator in the field record. The decay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taken from the weathering-rate range in Table S2 rather than from a site-specific decay study.</w:t>
      </w:r>
    </w:p>
    <w:p>
      <w:pPr>
        <w:pStyle w:val="BodyText"/>
      </w:pPr>
      <w:r>
        <w:rPr>
          <w:rFonts w:ascii="Times New Roman" w:hAnsi="Times New Roman"/>
          <w:color w:val="000000"/>
          <w:sz w:val="22"/>
        </w:rPr>
        <w:t xml:space="preserve">Most importantly,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at the two sites are not directly commensurable: PP events include post-circle rebuild cycles, prepared surfaces beneath mound caps, and ridge components recovered through magnetic gradient survey (mixed maintenance and construction events documented through different lines of evidence), while WB events are mound stages from Saunders et al. (2005b). The order-of-magnitude contrast (PP-to-WB ratio in the predicted direction) is robust to unit-conversion uncertainty, because no plausible re-classification of WB stages or PP components would move the contrast by more than a factor of two or three, well within the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headline ratio. The precise ratio is not robust: depending on how PP events are aggregated and how WB stages are subdivided, the headline could plausibly be re-stated in the 30-100</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range. The prediction is therefore structural (the direction and order of magnitude of the PP-vs-WB contrast) rather than precise (R values and the headline ratio are not labor-unit-resolved). A sharper version of the test would require a single event-coding protocol applied to both sites with explicit treatment of which events are documented through which lines of evidence (gradiometry vs core stratigraphy vs surface mapping).</w:t>
      </w:r>
    </w:p>
    <w:bookmarkEnd w:id="80"/>
    <w:bookmarkEnd w:id="81"/>
    <w:bookmarkStart w:id="87" w:name="discussion"/>
    <w:p>
      <w:pPr>
        <w:pStyle w:val="Heading2"/>
      </w:pPr>
      <w:r>
        <w:rPr>
          <w:rFonts w:ascii="Times New Roman" w:hAnsi="Times New Roman"/>
          <w:b w:val="0"/>
          <w:i/>
          <w:color w:val="000000"/>
          <w:sz w:val="24"/>
          <w:u w:val="none"/>
        </w:rPr>
        <w:t xml:space="preserve">7. Discussion</w:t>
      </w:r>
    </w:p>
    <w:bookmarkStart w:id="82" w:name="X59f7eff7fd3aab5814fbe55a4e03a43e13667d9"/>
    <w:p>
      <w:pPr>
        <w:pStyle w:val="Heading3"/>
      </w:pPr>
      <w:r>
        <w:rPr>
          <w:rFonts w:ascii="Times New Roman" w:hAnsi="Times New Roman"/>
          <w:b w:val="0"/>
          <w:i w:val="0"/>
          <w:color w:val="000000"/>
          <w:sz w:val="22"/>
          <w:u w:val="single"/>
        </w:rPr>
        <w:t xml:space="preserve">7.1 What the framework predicts and what it does not</w:t>
      </w:r>
    </w:p>
    <w:p>
      <w:pPr>
        <w:pStyle w:val="FirstParagraph"/>
      </w:pPr>
      <w:r>
        <w:rPr>
          <w:rFonts w:ascii="Times New Roman" w:hAnsi="Times New Roman"/>
          <w:color w:val="000000"/>
          <w:sz w:val="22"/>
        </w:rPr>
        <w:t xml:space="preserve">The framework predicts threshold-crossing locations and aggregation tempo. It does not predict the magnitude of cross-site monument volume. This finding is not a limitation we have only just discovered. It is a structural property of the model. Magnitude depends on the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is taken as exogenous (set by the contingent regional convergence dynamics documented by Grooms et al. 2023 and Kidder and Grooms 2024) rather than derived from first principles. Because the framework also does not fix the form signaling takes, a site that invested less in monuments but more in other honest signals (exotic acquisition, lapidary production, feasting) is consistent with the framework rather than a counterexample to it.</w:t>
      </w:r>
    </w:p>
    <w:p>
      <w:pPr>
        <w:pStyle w:val="BodyText"/>
      </w:pPr>
      <w:r>
        <w:rPr>
          <w:rFonts w:ascii="Times New Roman" w:hAnsi="Times New Roman"/>
          <w:color w:val="000000"/>
          <w:sz w:val="22"/>
        </w:rPr>
        <w:t xml:space="preserve">The framework commits the model to five structural claims about the LMV record. First, threshold-crossing necessity: sustained monumental construction by mobile foragers should occur only at sites where regional environmental uncertainty exceeds the model-derived threshold, with independent foraging dominating below it. Second, a pulsed construction tempo. Because the signal value of any completed feature has a half-life on the social timescale of band turnover, construction should proceed episodically rather than steadily, with each episode renewing the signal on the timescale relevant to current partner choice and cumulative volume recording many individually honest signals stacked over the active interval. Third, a distance-decay shape in exotic acquisition: the acquisition function generates a monotonic decay of relative frequency with source distance, whose shape depends on the characteristic length-scale parameter. Fourth, a sharp phase transition, concentrated in a narrow range of conditions (</w:t>
      </w:r>
      <m:oMath>
        <m:r>
          <m:t>σ</m:t>
        </m:r>
      </m:oMath>
      <w:r>
        <w:rPr>
          <w:rFonts w:ascii="Times New Roman" w:hAnsi="Times New Roman"/>
          <w:color w:val="000000"/>
          <w:sz w:val="22"/>
        </w:rPr>
        <w:t xml:space="preserve"> </w:t>
      </w:r>
      <w:r>
        <w:rPr>
          <w:rFonts w:ascii="Times New Roman" w:hAnsi="Times New Roman"/>
          <w:color w:val="000000"/>
          <w:sz w:val="22"/>
        </w:rPr>
        <w:t xml:space="preserve">within</w:t>
      </w:r>
      <w:r>
        <w:rPr>
          <w:rFonts w:ascii="Times New Roman" w:hAnsi="Times New Roman"/>
          <w:color w:val="000000"/>
          <w:sz w:val="22"/>
        </w:rPr>
        <w:t xml:space="preserve"> </w:t>
      </w:r>
      <m:oMath>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our parameterization) rather than tracking environmental stress continuously. Fifth, an asymmetric flow signature: exotic goods in an aggregation-centered signaling system should flow toward the gathering rather than from it. That asymmetry should itself be patterned. Signal-bearing markers appear at sites whose bands attended the aggregation as visitor-source partners, where the signal does its social work, and are absent at peripheral sites whose bands did not attend, where it would have no audience.</w:t>
      </w:r>
    </w:p>
    <w:p>
      <w:pPr>
        <w:pStyle w:val="BodyText"/>
      </w:pPr>
      <w:r>
        <w:rPr>
          <w:rFonts w:ascii="Times New Roman" w:hAnsi="Times New Roman"/>
          <w:color w:val="000000"/>
          <w:sz w:val="22"/>
        </w:rPr>
        <w:t xml:space="preserve">There are three claims the framework explicitly does not make. It does not predict the magnitude of cross-site monument volume. Three independent magnitude tests across LMV sites confirm this limit: the Table 2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ordinal observed monument scale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0.24</m:t>
        </m:r>
      </m:oMath>
      <w:r>
        <w:rPr>
          <w:rFonts w:ascii="Times New Roman" w:hAnsi="Times New Roman"/>
          <w:color w:val="000000"/>
          <w:sz w:val="22"/>
        </w:rPr>
        <w:t xml:space="preserve">); the §S12 EPA Level IV ecoregion-derived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not at all (</w:t>
      </w:r>
      <m:oMath>
        <m:r>
          <m:t>ρ</m:t>
        </m:r>
        <m:r>
          <m:rPr>
            <m:sty m:val="p"/>
          </m:rPr>
          <m:t>=</m:t>
        </m:r>
        <m:r>
          <m:t>0.07</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0.85</m:t>
        </m:r>
      </m:oMath>
      <w:r>
        <w:rPr>
          <w:rFonts w:ascii="Times New Roman" w:hAnsi="Times New Roman"/>
          <w:color w:val="000000"/>
          <w:sz w:val="22"/>
        </w:rPr>
        <w:t xml:space="preserve">); and the §S16 phenology-derived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returns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All three are statistically null.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result of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against observed scale and volume. The partial-correlation decomposition, however, shows that this is essentially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at most</w:t>
      </w:r>
      <w:r>
        <w:rPr>
          <w:rFonts w:ascii="Times New Roman" w:hAnsi="Times New Roman"/>
          <w:color w:val="000000"/>
          <w:sz w:val="22"/>
        </w:rPr>
        <w:t xml:space="preserve"> </w:t>
      </w:r>
      <m:oMath>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to the joint correlation.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However,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The framework, however, does not predict which above-threshold site will become the regional center, because the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depends on convergence dynamics that the framework imports rather than derives.</w:t>
      </w:r>
    </w:p>
    <w:p>
      <w:pPr>
        <w:pStyle w:val="BodyText"/>
      </w:pPr>
      <w:r>
        <w:rPr>
          <w:rFonts w:ascii="Times New Roman" w:hAnsi="Times New Roman"/>
          <w:color w:val="000000"/>
          <w:sz w:val="22"/>
        </w:rPr>
        <w:t xml:space="preserve">The Watson Brake comparison shows the same property in reverse: the equilibrium calculation overshoots the LiDAR-derived WB volume of 27,065 m³ (§5.1) by approximately 9× (§6.3), and that overshoot is closed cleanly by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(predicted ~25,000 m³ vs observed 27,065 m³, ratio 0.91×), not by adjusting</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rPr>
          <w:rFonts w:ascii="Times New Roman" w:hAnsi="Times New Roman"/>
          <w:color w:val="000000"/>
          <w:sz w:val="22"/>
        </w:rPr>
        <w:t xml:space="preserve">Five sources of magnitude variation the model does not track (enumerated in §S11) are spatial network topology and water-route accessibility, gathering-site carrying capacity, path dependence and first-mover advantage, temporal heterogeneity in regional</w:t>
      </w:r>
      <w:r>
        <w:rPr>
          <w:rFonts w:ascii="Times New Roman" w:hAnsi="Times New Roman"/>
          <w:color w:val="000000"/>
          <w:sz w:val="22"/>
        </w:rPr>
        <w:t xml:space="preserve"> </w:t>
      </w:r>
      <m:oMath>
        <m:r>
          <m:t>σ</m:t>
        </m:r>
      </m:oMath>
      <w:r>
        <w:rPr>
          <w:rFonts w:ascii="Times New Roman" w:hAnsi="Times New Roman"/>
          <w:color w:val="000000"/>
          <w:sz w:val="22"/>
        </w:rPr>
        <w:t xml:space="preserve">, and the reduction of multi-zone structure to a single Shannon number. Closing the magnitude prediction would require a regional spatially explicit ABM that endogenizes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through hydrographic routing and across-site selection.</w:t>
      </w:r>
    </w:p>
    <w:bookmarkEnd w:id="82"/>
    <w:bookmarkStart w:id="83" w:name="cultural-historical-alternatives"/>
    <w:p>
      <w:pPr>
        <w:pStyle w:val="Heading3"/>
      </w:pPr>
      <w:r>
        <w:rPr>
          <w:rFonts w:ascii="Times New Roman" w:hAnsi="Times New Roman"/>
          <w:b w:val="0"/>
          <w:i w:val="0"/>
          <w:color w:val="000000"/>
          <w:sz w:val="22"/>
          <w:u w:val="single"/>
        </w:rPr>
        <w:t xml:space="preserve">7.2 Cultural-historical alternatives</w:t>
      </w:r>
    </w:p>
    <w:p>
      <w:pPr>
        <w:pStyle w:val="FirstParagraph"/>
      </w:pPr>
      <w:r>
        <w:rPr>
          <w:rFonts w:ascii="Times New Roman" w:hAnsi="Times New Roman"/>
          <w:color w:val="000000"/>
          <w:sz w:val="22"/>
        </w:rPr>
        <w:t xml:space="preserve">The framework is not in competition with the recent culturally rich accounts of Poverty Point. It operates in a different register, and the most useful question is how the registers relate. Our account is</w:t>
      </w:r>
      <w:r>
        <w:rPr>
          <w:rFonts w:ascii="Times New Roman" w:hAnsi="Times New Roman"/>
          <w:color w:val="000000"/>
          <w:sz w:val="22"/>
        </w:rPr>
        <w:t xml:space="preserve"> </w:t>
      </w:r>
      <w:r>
        <w:rPr>
          <w:rFonts w:ascii="Times New Roman" w:hAnsi="Times New Roman"/>
          <w:i/>
          <w:iCs/>
          <w:color w:val="000000"/>
          <w:sz w:val="22"/>
        </w:rPr>
        <w:t xml:space="preserve">structural</w:t>
      </w:r>
      <w:r>
        <w:rPr>
          <w:rFonts w:ascii="Times New Roman" w:hAnsi="Times New Roman"/>
          <w:color w:val="000000"/>
          <w:sz w:val="22"/>
        </w:rP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The cultural-historical accounts are</w:t>
      </w:r>
      <w:r>
        <w:rPr>
          <w:rFonts w:ascii="Times New Roman" w:hAnsi="Times New Roman"/>
          <w:color w:val="000000"/>
          <w:sz w:val="22"/>
        </w:rPr>
        <w:t xml:space="preserve"> </w:t>
      </w:r>
      <w:r>
        <w:rPr>
          <w:rFonts w:ascii="Times New Roman" w:hAnsi="Times New Roman"/>
          <w:i/>
          <w:iCs/>
          <w:color w:val="000000"/>
          <w:sz w:val="22"/>
        </w:rPr>
        <w:t xml:space="preserve">organizational</w:t>
      </w:r>
      <w:r>
        <w:rPr>
          <w:rFonts w:ascii="Times New Roman" w:hAnsi="Times New Roman"/>
          <w:color w:val="000000"/>
          <w:sz w:val="22"/>
        </w:rPr>
        <w:t xml:space="preserve">: they specify the institutional forms, symbolic content, and motivational logics through which the investment is actually carried out. Both registers are needed.</w:t>
      </w:r>
    </w:p>
    <w:p>
      <w:pPr>
        <w:pStyle w:val="BodyText"/>
      </w:pPr>
      <w:r>
        <w:rPr>
          <w:rFonts w:ascii="Times New Roman" w:hAnsi="Times New Roman"/>
          <w:i/>
          <w:iCs/>
          <w:color w:val="000000"/>
          <w:sz w:val="22"/>
        </w:rPr>
        <w:t xml:space="preserve">Kidder and Grooms’s (2025) revitalization-movement framework</w:t>
      </w:r>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reason-giving</w:t>
      </w:r>
      <w:r>
        <w:rPr>
          <w:rFonts w:ascii="Times New Roman" w:hAnsi="Times New Roman"/>
          <w:color w:val="000000"/>
          <w:sz w:val="22"/>
        </w:rPr>
        <w:t xml:space="preserve"> </w:t>
      </w:r>
      <w:r>
        <w:rPr>
          <w:rFonts w:ascii="Times New Roman" w:hAnsi="Times New Roman"/>
          <w:color w:val="000000"/>
          <w:sz w:val="22"/>
        </w:rP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an arbitrary cultural convention. The two operate simultaneously: signaling theory explains why collective investment is adaptive, revitalization dynamics describe the cultural forms it takes.</w:t>
      </w:r>
    </w:p>
    <w:p>
      <w:pPr>
        <w:pStyle w:val="BodyText"/>
      </w:pPr>
      <w:r>
        <w:rPr>
          <w:rFonts w:ascii="Times New Roman" w:hAnsi="Times New Roman"/>
          <w:i/>
          <w:iCs/>
          <w:color w:val="000000"/>
          <w:sz w:val="22"/>
        </w:rPr>
        <w:t xml:space="preserve">Grooms’s (2022) relational-performative critique</w:t>
      </w:r>
      <w:r>
        <w:rPr>
          <w:rFonts w:ascii="Times New Roman" w:hAnsi="Times New Roman"/>
          <w:color w:val="000000"/>
          <w:sz w:val="22"/>
        </w:rPr>
        <w:t xml:space="preserve"> </w:t>
      </w:r>
      <w:r>
        <w:rPr>
          <w:rFonts w:ascii="Times New Roman" w:hAnsi="Times New Roman"/>
          <w:color w:val="000000"/>
          <w:sz w:val="22"/>
        </w:rP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rPr>
          <w:rFonts w:ascii="Times New Roman" w:hAnsi="Times New Roman"/>
          <w:color w:val="000000"/>
          <w:sz w:val="22"/>
        </w:rPr>
        <w:t xml:space="preserve"> </w:t>
      </w:r>
      <w:r>
        <w:rPr>
          <w:rFonts w:ascii="Times New Roman" w:hAnsi="Times New Roman"/>
          <w:color w:val="000000"/>
          <w:sz w:val="22"/>
        </w:rPr>
        <w:t xml:space="preserve">“communal performance meant to restore balance to relations [participants] perceived to be in flux”</w:t>
      </w:r>
      <w:r>
        <w:rPr>
          <w:rFonts w:ascii="Times New Roman" w:hAnsi="Times New Roman"/>
          <w:color w:val="000000"/>
          <w:sz w:val="22"/>
        </w:rPr>
        <w:t xml:space="preserve"> </w:t>
      </w:r>
      <w:r>
        <w:rPr>
          <w:rFonts w:ascii="Times New Roman" w:hAnsi="Times New Roman"/>
          <w:color w:val="000000"/>
          <w:sz w:val="22"/>
        </w:rPr>
        <w:t xml:space="preserve">(Grooms 2022:108), and that signaling-intergroup-cooperation accounts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 arguably representing universal human motives”</w:t>
      </w:r>
      <w:r>
        <w:rPr>
          <w:rFonts w:ascii="Times New Roman" w:hAnsi="Times New Roman"/>
          <w:color w:val="000000"/>
          <w:sz w:val="22"/>
        </w:rPr>
        <w:t xml:space="preserve"> </w:t>
      </w:r>
      <w:r>
        <w:rPr>
          <w:rFonts w:ascii="Times New Roman" w:hAnsi="Times New Roman"/>
          <w:color w:val="000000"/>
          <w:sz w:val="22"/>
        </w:rP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costumes atop an underlying material calculation. It has less force against the framework developed here for two reasons.</w:t>
      </w:r>
    </w:p>
    <w:p>
      <w:pPr>
        <w:pStyle w:val="BodyText"/>
      </w:pPr>
      <w:r>
        <w:rPr>
          <w:rFonts w:ascii="Times New Roman" w:hAnsi="Times New Roman"/>
          <w:color w:val="000000"/>
          <w:sz w:val="22"/>
        </w:rPr>
        <w:t xml:space="preserve">First, the framework is explicit that its predictions are structural, not interpretive. The model is silent on the symbolic content, motivational logic, and ritual form of the cultural apparatus by design (§1, §7.1). When we say the framework predicts that</w:t>
      </w:r>
      <w:r>
        <w:rPr>
          <w:rFonts w:ascii="Times New Roman" w:hAnsi="Times New Roman"/>
          <w:color w:val="000000"/>
          <w:sz w:val="22"/>
        </w:rPr>
        <w:t xml:space="preserve"> </w:t>
      </w:r>
      <w:r>
        <w:rPr>
          <w:rFonts w:ascii="Times New Roman" w:hAnsi="Times New Roman"/>
          <w:i/>
          <w:iCs/>
          <w:color w:val="000000"/>
          <w:sz w:val="22"/>
        </w:rPr>
        <w:t xml:space="preserve">some</w:t>
      </w:r>
      <w:r>
        <w:rPr>
          <w:rFonts w:ascii="Times New Roman" w:hAnsi="Times New Roman"/>
          <w:color w:val="000000"/>
          <w:sz w:val="22"/>
        </w:rPr>
        <w:t xml:space="preserve"> </w:t>
      </w:r>
      <w:r>
        <w:rPr>
          <w:rFonts w:ascii="Times New Roman" w:hAnsi="Times New Roman"/>
          <w:color w:val="000000"/>
          <w:sz w:val="22"/>
        </w:rP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about the same record: Grooms asks what mound-building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rPr>
          <w:rFonts w:ascii="Times New Roman" w:hAnsi="Times New Roman"/>
          <w:color w:val="000000"/>
          <w:sz w:val="22"/>
        </w:rP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rFonts w:ascii="Times New Roman" w:hAnsi="Times New Roman"/>
          <w:i/>
          <w:iCs/>
          <w:color w:val="000000"/>
          <w:sz w:val="22"/>
        </w:rPr>
        <w:t xml:space="preserve">Sanger’s (2023, 2024) institutional-flexibility/containment framework</w:t>
      </w:r>
      <w:r>
        <w:rPr>
          <w:rFonts w:ascii="Times New Roman" w:hAnsi="Times New Roman"/>
          <w:color w:val="000000"/>
          <w:sz w:val="22"/>
        </w:rPr>
        <w:t xml:space="preserve"> </w:t>
      </w:r>
      <w:r>
        <w:rPr>
          <w:rFonts w:ascii="Times New Roman" w:hAnsi="Times New Roman"/>
          <w:color w:val="000000"/>
          <w:sz w:val="22"/>
        </w:rPr>
        <w:t xml:space="preserve">deserves more careful engagement because his strongest claim is in productive tension with the framework’s signaling logic rather than aligned with it. Sanger argues that the cyclical aggregate-disperse rhythm of LMV monumental sites is itself an</w:t>
      </w:r>
      <w:r>
        <w:rPr>
          <w:rFonts w:ascii="Times New Roman" w:hAnsi="Times New Roman"/>
          <w:color w:val="000000"/>
          <w:sz w:val="22"/>
        </w:rPr>
        <w:t xml:space="preserve"> </w:t>
      </w:r>
      <w:r>
        <w:rPr>
          <w:rFonts w:ascii="Times New Roman" w:hAnsi="Times New Roman"/>
          <w:i/>
          <w:iCs/>
          <w:color w:val="000000"/>
          <w:sz w:val="22"/>
        </w:rPr>
        <w:t xml:space="preserve">intentional institution of containment</w:t>
      </w:r>
      <w:r>
        <w:rPr>
          <w:rFonts w:ascii="Times New Roman" w:hAnsi="Times New Roman"/>
          <w:color w:val="000000"/>
          <w:sz w:val="22"/>
        </w:rPr>
        <w:t xml:space="preserve">: groups deliberately structured their gatherings to prevent the consolidation of authority, and cyclicity was the mechanism by which they did so. The tension with our framework is that the signaling apparatus, taken on its own, would predict that high-display bands should accumulate partner-choice premium and that the cooperation network reward should, over time, generate persistent rank differences between bands. Sanger’s reading says that LMV groups went out of their way to prevent this from happening, and that the cyclical dispersal-aggregation rhythm is the active institutional response. Two things follow. First, the framework’s compatibility with Sanger’s reading is not that it predicts the same thing across different observables. Sanger’s containment institution is the cultural-historical apparatus that</w:t>
      </w:r>
      <w:r>
        <w:rPr>
          <w:rFonts w:ascii="Times New Roman" w:hAnsi="Times New Roman"/>
          <w:color w:val="000000"/>
          <w:sz w:val="22"/>
        </w:rPr>
        <w:t xml:space="preserve"> </w:t>
      </w:r>
      <w:r>
        <w:rPr>
          <w:rFonts w:ascii="Times New Roman" w:hAnsi="Times New Roman"/>
          <w:i/>
          <w:iCs/>
          <w:color w:val="000000"/>
          <w:sz w:val="22"/>
        </w:rPr>
        <w:t xml:space="preserve">must</w:t>
      </w:r>
      <w:r>
        <w:rPr>
          <w:rFonts w:ascii="Times New Roman" w:hAnsi="Times New Roman"/>
          <w:color w:val="000000"/>
          <w:sz w:val="22"/>
        </w:rPr>
        <w:t xml:space="preserve"> </w:t>
      </w:r>
      <w:r>
        <w:rPr>
          <w:rFonts w:ascii="Times New Roman" w:hAnsi="Times New Roman"/>
          <w:color w:val="000000"/>
          <w:sz w:val="22"/>
        </w:rPr>
        <w:t xml:space="preserve">develop to make a signaling-mediated cooperation system sustainable at the LMV scale,</w:t>
      </w:r>
      <w:r>
        <w:rPr>
          <w:rFonts w:ascii="Times New Roman" w:hAnsi="Times New Roman"/>
          <w:color w:val="000000"/>
          <w:sz w:val="22"/>
        </w:rPr>
        <w:t xml:space="preserve"> </w:t>
      </w:r>
      <w:r>
        <w:rPr>
          <w:rFonts w:ascii="Times New Roman" w:hAnsi="Times New Roman"/>
          <w:i/>
          <w:iCs/>
          <w:color w:val="000000"/>
          <w:sz w:val="22"/>
        </w:rPr>
        <w:t xml:space="preserve">because</w:t>
      </w:r>
      <w:r>
        <w:rPr>
          <w:rFonts w:ascii="Times New Roman" w:hAnsi="Times New Roman"/>
          <w:color w:val="000000"/>
          <w:sz w:val="22"/>
        </w:rPr>
        <w:t xml:space="preserve"> </w:t>
      </w:r>
      <w:r>
        <w:rPr>
          <w:rFonts w:ascii="Times New Roman" w:hAnsi="Times New Roman"/>
          <w:color w:val="000000"/>
          <w:sz w:val="22"/>
        </w:rPr>
        <w:t xml:space="preserve">the partner-choice premium would otherwise generate the inequality that the record does not show. The framework’s signaling apparatus is the explanans for the existence of cooperation. Sanger’s containment apparatus is the explanans for why cooperation persisted without consolidating into a hierarchy. Second, the seasonal aggregate-disperse rhythm Sanger describes, with Mandan-Hidatsa parallels, matches the cycle predicted by the present framework. The framework’s predicted cycle, though, is set by aggregation cost-benefit dynamics, whereas participants’ active institutional preference sets the cycle in Sanger’s reading. The two readings are observationally indistinguishable on cycle existence. They predict different responses to perturbation. If the aggregation cost drops, the framework predicts longer aggregation windows. Sanger’s reading predicts that the cyclical containment institution should reassert itself. The LMV record does not currently resolve this contrast, but it is a discriminating prediction that the framework owes to Sanger’s containment thesis rather than to the cultural-historical record as a whole.</w:t>
      </w:r>
    </w:p>
    <w:p>
      <w:pPr>
        <w:pStyle w:val="BodyText"/>
      </w:pP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Discriminating index-signaling from CRED at PP.</w:t>
      </w:r>
      <w:r>
        <w:rPr>
          <w:rFonts w:ascii="Times New Roman" w:hAnsi="Times New Roman"/>
          <w:color w:val="000000"/>
          <w:sz w:val="22"/>
        </w:rPr>
        <w:t xml:space="preserve"> </w:t>
      </w:r>
      <w:r>
        <w:rPr>
          <w:rFonts w:ascii="Times New Roman" w:hAnsi="Times New Roman"/>
          <w:color w:val="000000"/>
          <w:sz w:val="22"/>
        </w:rPr>
        <w:t xml:space="preserve">The framework’s index-signaling channel (a band’s monument labor and exotic possessions are unfakeable correlates of cooperative capacity, used by other bands to choose partners) and the CRED channel of Henrich (2009) (a costly display witnessed by cultural learners reduces their credence in alternatives to the practice’s underlying belief, propagating commitment via transmission) often converge during active maintenance because both predict that visible costly investment should accumulate at the gathering site. They decouple in two places. First, in the temporal sequence after abandonment: under the index-signal reading, the signal value of the standing monument decays on the timescale of band turnover (the §2.2 half-life argument), while under the CRED reading, the persistent monument continues to encode the credibility-enhancing display for cultural learners as long as the physical structure remains legible. Second, in the relationship between display intensity and partner choice across familiar versus unfamiliar partners, the index-signal reading predicts that the partner-choice premium scales similarly across kin-affiliated and visitor-band pairs because the signal carries the same information in both cases. The CRED reading predicts that within-tradition learners derive more benefit from the display than visitor-band participants because cultural transmission is more efficient within an established tradition. The §6.1 asymmetric concentration signature is consistent with both readings. It does not discriminate between them. The LMV record at current resolution does not include the temporal-sequence data (which would require sub-decadal terminal-occupation chronology) or the kin-vs-visitor partner-choice data (which would require independently identified kin-affiliated vs visitor-band sites with controlled provenience analysis of PP-style material) needed to discriminate. We treat index-signaling and CRED as complementary channels that likely both operated at PP, and identify the discriminating tests as a priority for empirical work in §7.4.</w:t>
      </w:r>
    </w:p>
    <w:p>
      <w:pPr>
        <w:pStyle w:val="BodyText"/>
      </w:pPr>
      <w:r>
        <w:rPr>
          <w:rFonts w:ascii="Times New Roman" w:hAnsi="Times New Roman"/>
          <w:i/>
          <w:iCs/>
          <w:color w:val="000000"/>
          <w:sz w:val="22"/>
        </w:rPr>
        <w:t xml:space="preserve">Is the framework strict-signaling or cooperative-display?</w:t>
      </w:r>
      <w:r>
        <w:rPr>
          <w:rFonts w:ascii="Times New Roman" w:hAnsi="Times New Roman"/>
          <w:color w:val="000000"/>
          <w:sz w:val="22"/>
        </w:rPr>
        <w:t xml:space="preserve"> </w:t>
      </w:r>
      <w:r>
        <w:rPr>
          <w:rFonts w:ascii="Times New Roman" w:hAnsi="Times New Roman"/>
          <w:color w:val="000000"/>
          <w:sz w:val="22"/>
        </w:rPr>
        <w:t xml:space="preserve">A reader familiar with the Codding and Jones (2007) critique of costly-signaling-in-archaeology will note that the framework’s index signals (monument labor; exotic possession) are themselves the cooperative acts they advertise, rather than costly correlates of an underlying unobserved trait. Strict-signaling theory (Spence, Grafen, Bliege Bird, and Smith) requires that the signal carry information the receiver could not otherwise infer. If the receiver observes the contribution directly, the contribution does not need to be a signal of anything. It is itself the cooperative act, and the apparatus reduces to direct-observation partner choice plus network cooperation. We take Codding and Jones’s critique seriously. The honest answer is that the framework here is closer to a cooperative-display-plus-partner-choice model than to strict signaling in the Spence sense, and we do not think this weakens it. The framework’s discriminating empirical content (the §6.1 spatial-flow signature) does not require that monument labor signal anything beyond itself. It requires only that bands preferentially form cooperative ties with bands that have visibly contributed, that those ties carry shortfall-buffering value, and that the partner-choice premium generates the observed asymmetric accumulation. The</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framing carries some legacy weight from Zahavi (1975) that the framework does not need. The</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framing (Penn and Szamadó 2020; Bliege Bird and Smith 2005) is what we actually use, and unfakeability is the architectural commitment that does the work. If a future reader prefers to call this</w:t>
      </w:r>
      <w:r>
        <w:rPr>
          <w:rFonts w:ascii="Times New Roman" w:hAnsi="Times New Roman"/>
          <w:color w:val="000000"/>
          <w:sz w:val="22"/>
        </w:rPr>
        <w:t xml:space="preserve"> </w:t>
      </w:r>
      <w:r>
        <w:rPr>
          <w:rFonts w:ascii="Times New Roman" w:hAnsi="Times New Roman"/>
          <w:color w:val="000000"/>
          <w:sz w:val="22"/>
        </w:rPr>
        <w:t xml:space="preserve">“cooperative-display partner-choice”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the framework’s predictions are unchanged. What survives the Codding-Jones critique is the signed-prediction architecture itself. What does not survive, and we do not invoke, is the claim that monument labor is a wasteful display whose function is to be costly.</w:t>
      </w:r>
      <w:r>
        <w:rPr>
          <w:rFonts w:ascii="Times New Roman" w:hAnsi="Times New Roman"/>
          <w:color w:val="000000"/>
          <w:sz w:val="22"/>
        </w:rPr>
        <w:t xml:space="preserve"> </w:t>
      </w: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The evolutionary family is one multilevel process.</w:t>
      </w:r>
      <w:r>
        <w:rPr>
          <w:rFonts w:ascii="Times New Roman" w:hAnsi="Times New Roman"/>
          <w:color w:val="000000"/>
          <w:sz w:val="22"/>
        </w:rPr>
        <w:t xml:space="preserve"> </w:t>
      </w:r>
      <w:r>
        <w:rPr>
          <w:rFonts w:ascii="Times New Roman" w:hAnsi="Times New Roman"/>
          <w:color w:val="000000"/>
          <w:sz w:val="22"/>
        </w:rPr>
        <w:t xml:space="preserve">The framework developed here is best read not as an alternative to the earlier evolutionary accounts of monumentality but as the apparatus that unifies them. Three strands of that literature each captured one component of a single multilevel-selection process. Dunnell’s (1989) waste concept identified the explanandum, a costly nonreproductive investment whose persistence demands a fitness account rather than a complexity narrative, with the specific form treated as historically contingent (Dunnell and Greenlee 1999). The bet-hedging strand (Hamilton 1999; Madsen, Lipo, and Cannon 1999; Peacock and Rafferty 2013) identified the between-group benefit. Under environmental variability, groups carrying the costly trait achieve higher geometric-mean fitness because the trait buffers the bad years that govern long-run growth. Neiman’s (1997) wasteful-advertising model identified the individual-level channel, in which conspicuous consumption is an honest signal of competitive ability because it cannot be faked. In the Price decomposition of §2.1 (Figure 3), these are not rival claims but separate terms. The between-group term carries the bet-hedging advantage. The within-group term reflects the cost Neiman’s signalers incur and the reward partner choice confers. The net direction of selection depends on environmental uncertainty relative to the threshold, which the framework makes explicit.</w:t>
      </w:r>
    </w:p>
    <w:p>
      <w:pPr>
        <w:pStyle w:val="BodyText"/>
      </w:pPr>
      <w:r>
        <w:rPr>
          <w:rFonts w:ascii="Times New Roman" w:hAnsi="Times New Roman"/>
          <w:color w:val="000000"/>
          <w:sz w:val="22"/>
        </w:rPr>
        <w:t xml:space="preserve">This decomposition resolves an apparent contradiction in the modeling literature. Carleton et al. (2019) report that an agent-based model drives the propensity to waste toward zero regardless of environmental variability and read this as casting doubt on the adaptive-waste hypothesis. Their model represents only individual-level selection, where the cost of the trait is selected against, and it omits the between-group term by construction, so it cannot recover the bet-hedging advantage that Madsen, Lipo, and Cannon (1999) demonstrated and that Carleton et al. could not reproduce. Their result is, in fact, consistent with ours. Within-group selection opposes the costly trait, exactly as the framework states, because in any aggregation, non-contributors out-reproduce contributors (§2.1). Between-group selection favors the trait when uncertainty exceeds the threshold that a single-level model cannot represent. A model that holds only the within-group term will always find waste maladaptive. The disagreement is about the level of selection, not about whether costly investment can be adaptive.</w:t>
      </w:r>
    </w:p>
    <w:p>
      <w:pPr>
        <w:pStyle w:val="BodyText"/>
      </w:pPr>
      <w:r>
        <w:rPr>
          <w:rFonts w:ascii="Times New Roman" w:hAnsi="Times New Roman"/>
          <w:color w:val="000000"/>
          <w:sz w:val="22"/>
        </w:rPr>
        <w:t xml:space="preserve">Read this way, the framework sharpens the bet-hedging family’s central claim rather than replacing it. Peacock and Rafferty (2013) predict that investment concentrates where environmental variability is greatest and occurs during stable intervals within a generally variable regime. The framework here agrees but predicts a step function rather than continuous scaling, and Watson Brake’s punctuated construction fits the step function more naturally. The threshold framing also addresses the standing objection that bet-hedging and costly-signaling explanations of monumental investment risk are unfalsifiable, post hoc rationalizations (Codding and Jones 2007; Quinn 2019). It generates signed predictions about location, tempo, distance decay, and collapse sequence (§7.4) that are evaluated against the LMV record. The model code is publicly available, allowing the predictions to be tested at independent sites.</w:t>
      </w:r>
    </w:p>
    <w:p>
      <w:pPr>
        <w:pStyle w:val="BodyText"/>
      </w:pPr>
      <w:r>
        <w:rPr>
          <w:rFonts w:ascii="Times New Roman" w:hAnsi="Times New Roman"/>
          <w:color w:val="000000"/>
          <w:sz w:val="22"/>
        </w:rP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rPr>
          <w:rFonts w:ascii="Times New Roman" w:hAnsi="Times New Roman"/>
          <w:color w:val="000000"/>
          <w:sz w:val="22"/>
        </w:rPr>
        <w:t xml:space="preserve"> </w:t>
      </w:r>
      <w:r>
        <w:rPr>
          <w:rFonts w:ascii="Times New Roman" w:hAnsi="Times New Roman"/>
          <w:i/>
          <w:iCs/>
          <w:color w:val="000000"/>
          <w:sz w:val="22"/>
        </w:rPr>
        <w:t xml:space="preserve">predicted</w:t>
      </w:r>
      <w:r>
        <w:rPr>
          <w:rFonts w:ascii="Times New Roman" w:hAnsi="Times New Roman"/>
          <w:color w:val="000000"/>
          <w:sz w:val="22"/>
        </w:rPr>
        <w:t xml:space="preserve"> </w:t>
      </w:r>
      <w:r>
        <w:rPr>
          <w:rFonts w:ascii="Times New Roman" w:hAnsi="Times New Roman"/>
          <w:color w:val="000000"/>
          <w:sz w:val="22"/>
        </w:rPr>
        <w:t xml:space="preserve">by an aggregation system at the LMV scale. The classical accounts go wrong by promoting one phenomenon to the role of explanation and treating the others as ancillary.</w:t>
      </w:r>
    </w:p>
    <w:p>
      <w:pPr>
        <w:pStyle w:val="BodyText"/>
      </w:pPr>
      <w:r>
        <w:rPr>
          <w:rFonts w:ascii="Times New Roman" w:hAnsi="Times New Roman"/>
          <w:i/>
          <w:iCs/>
          <w:color w:val="000000"/>
          <w:sz w:val="22"/>
        </w:rPr>
        <w:t xml:space="preserve">Sassaman’s (2005) structure-event-process framing</w:t>
      </w:r>
      <w:r>
        <w:rPr>
          <w:rFonts w:ascii="Times New Roman" w:hAnsi="Times New Roman"/>
          <w:color w:val="000000"/>
          <w:sz w:val="22"/>
        </w:rPr>
        <w:t xml:space="preserve">. The framework and Sassaman agree on the</w:t>
      </w:r>
      <w:r>
        <w:rPr>
          <w:rFonts w:ascii="Times New Roman" w:hAnsi="Times New Roman"/>
          <w:color w:val="000000"/>
          <w:sz w:val="22"/>
        </w:rPr>
        <w:t xml:space="preserve"> </w:t>
      </w:r>
      <w:r>
        <w:rPr>
          <w:rFonts w:ascii="Times New Roman" w:hAnsi="Times New Roman"/>
          <w:i/>
          <w:iCs/>
          <w:color w:val="000000"/>
          <w:sz w:val="22"/>
        </w:rPr>
        <w:t xml:space="preserve">decomposition</w:t>
      </w:r>
      <w:r>
        <w:rPr>
          <w:rFonts w:ascii="Times New Roman" w:hAnsi="Times New Roman"/>
          <w:color w:val="000000"/>
          <w:sz w:val="22"/>
        </w:rPr>
        <w:t xml:space="preserve"> </w:t>
      </w:r>
      <w:r>
        <w:rPr>
          <w:rFonts w:ascii="Times New Roman" w:hAnsi="Times New Roman"/>
          <w:color w:val="000000"/>
          <w:sz w:val="22"/>
        </w:rPr>
        <w:t xml:space="preserve">(i.e., necessary structural conditions and the contingent realized sequence; §6.6, §7.1) but disagree on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rPr>
          <w:rFonts w:ascii="Times New Roman" w:hAnsi="Times New Roman"/>
          <w:color w:val="000000"/>
          <w:sz w:val="22"/>
        </w:rPr>
        <w:t xml:space="preserve"> </w:t>
      </w:r>
      <w:r>
        <w:rPr>
          <w:rFonts w:ascii="Times New Roman" w:hAnsi="Times New Roman"/>
          <w:color w:val="000000"/>
          <w:sz w:val="22"/>
        </w:rP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rPr>
          <w:rFonts w:ascii="Times New Roman" w:hAnsi="Times New Roman"/>
          <w:color w:val="000000"/>
          <w:sz w:val="22"/>
        </w:rPr>
        <w:t xml:space="preserve">Where the readings make different predictions: the Late Archaic-Early Woodland transition, the structural reading (as developed in §7.3) reads the post-3300 cal BP collapse as ε-degradation following the Stage 2-to-Stage 1 fluvial reorganization at the gathering hub. The structure-event-process reading predicts that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p>
      <w:pPr>
        <w:pStyle w:val="BodyText"/>
      </w:pPr>
      <w:r>
        <w:rPr>
          <w:rFonts w:ascii="Times New Roman" w:hAnsi="Times New Roman"/>
          <w:i/>
          <w:iCs/>
          <w:color w:val="000000"/>
          <w:sz w:val="22"/>
        </w:rPr>
        <w:t xml:space="preserve">Summary of which signed predictions discriminate the framework from cultural-historical alternatives.</w:t>
      </w:r>
      <w:r>
        <w:rPr>
          <w:rFonts w:ascii="Times New Roman" w:hAnsi="Times New Roman"/>
          <w:color w:val="000000"/>
          <w:sz w:val="22"/>
        </w:rPr>
        <w:t xml:space="preserve"> </w:t>
      </w:r>
      <w:r>
        <w:rPr>
          <w:rFonts w:ascii="Times New Roman" w:hAnsi="Times New Roman"/>
          <w:color w:val="000000"/>
          <w:sz w:val="22"/>
        </w:rPr>
        <w:t xml:space="preserve">The structural framework and the cultural-historical accounts (revitalization, containment, relational-performative, structure-event-process) overlap on many predictions (cyclical aggregation, asymmetric material concentration, pulsed tempo, post-3300 BP collapse). To earn inferential weight beyond these accounts, the framework needs to make at least one prediction that the alternatives do not also make. Three predictions do this work.</w:t>
      </w:r>
      <w:r>
        <w:rPr>
          <w:rFonts w:ascii="Times New Roman" w:hAnsi="Times New Roman"/>
          <w:color w:val="000000"/>
          <w:sz w:val="22"/>
        </w:rPr>
        <w:t xml:space="preserve"> </w:t>
      </w:r>
      <w:r>
        <w:rPr>
          <w:rFonts w:ascii="Times New Roman" w:hAnsi="Times New Roman"/>
          <w:i/>
          <w:iCs/>
          <w:color w:val="000000"/>
          <w:sz w:val="22"/>
        </w:rPr>
        <w:t xml:space="preserve">First</w:t>
      </w:r>
      <w:r>
        <w:rPr>
          <w:rFonts w:ascii="Times New Roman" w:hAnsi="Times New Roman"/>
          <w:color w:val="000000"/>
          <w:sz w:val="22"/>
        </w:rPr>
        <w:t xml:space="preserve">, the framework predicts a</w:t>
      </w:r>
      <w:r>
        <w:rPr>
          <w:rFonts w:ascii="Times New Roman" w:hAnsi="Times New Roman"/>
          <w:color w:val="000000"/>
          <w:sz w:val="22"/>
        </w:rPr>
        <w:t xml:space="preserve"> </w:t>
      </w:r>
      <w:r>
        <w:rPr>
          <w:rFonts w:ascii="Times New Roman" w:hAnsi="Times New Roman"/>
          <w:i/>
          <w:iCs/>
          <w:color w:val="000000"/>
          <w:sz w:val="22"/>
        </w:rPr>
        <w:t xml:space="preserve">signed ordering</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during collapse (§7.3, §7.4(d)):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monuments first.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exotics first. None of the cultural-historical accounts specifies this ordering.</w:t>
      </w:r>
      <w:r>
        <w:rPr>
          <w:rFonts w:ascii="Times New Roman" w:hAnsi="Times New Roman"/>
          <w:color w:val="000000"/>
          <w:sz w:val="22"/>
        </w:rPr>
        <w:t xml:space="preserve"> </w:t>
      </w:r>
      <w:r>
        <w:rPr>
          <w:rFonts w:ascii="Times New Roman" w:hAnsi="Times New Roman"/>
          <w:i/>
          <w:iCs/>
          <w:color w:val="000000"/>
          <w:sz w:val="22"/>
        </w:rPr>
        <w:t xml:space="preserve">Second</w:t>
      </w:r>
      <w:r>
        <w:rPr>
          <w:rFonts w:ascii="Times New Roman" w:hAnsi="Times New Roman"/>
          <w:color w:val="000000"/>
          <w:sz w:val="22"/>
        </w:rPr>
        <w:t xml:space="preserve">, the framework predicts the PP-vs-WB</w:t>
      </w:r>
      <w:r>
        <w:rPr>
          <w:rFonts w:ascii="Times New Roman" w:hAnsi="Times New Roman"/>
          <w:color w:val="000000"/>
          <w:sz w:val="22"/>
        </w:rPr>
        <w:t xml:space="preserve"> </w:t>
      </w:r>
      <w:r>
        <w:rPr>
          <w:rFonts w:ascii="Times New Roman" w:hAnsi="Times New Roman"/>
          <w:i/>
          <w:iCs/>
          <w:color w:val="000000"/>
          <w:sz w:val="22"/>
        </w:rPr>
        <w:t xml:space="preserve">event-density ratio</w:t>
      </w:r>
      <w:r>
        <w:rPr>
          <w:rFonts w:ascii="Times New Roman" w:hAnsi="Times New Roman"/>
          <w:color w:val="000000"/>
          <w:sz w:val="22"/>
        </w:rPr>
        <w:t xml:space="preserve"> </w:t>
      </w:r>
      <w:r>
        <w:rPr>
          <w:rFonts w:ascii="Times New Roman" w:hAnsi="Times New Roman"/>
          <w:color w:val="000000"/>
          <w:sz w:val="22"/>
        </w:rPr>
        <w:t xml:space="preserve">(§6.8, §7.4(h)): a community holding its accumulated stock near saturation should show many small renewal events per active year, while a community operating in short bursts should show few. The order-of-magnitude contrast observed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on existing data, robust to event-unit incommensurability) is in the framework-predicted direction. None of the cultural-historical accounts derives the magnitude or direction of this ratio from first principles.</w:t>
      </w:r>
      <w:r>
        <w:rPr>
          <w:rFonts w:ascii="Times New Roman" w:hAnsi="Times New Roman"/>
          <w:color w:val="000000"/>
          <w:sz w:val="22"/>
        </w:rPr>
        <w:t xml:space="preserve"> </w:t>
      </w:r>
      <w:r>
        <w:rPr>
          <w:rFonts w:ascii="Times New Roman" w:hAnsi="Times New Roman"/>
          <w:i/>
          <w:iCs/>
          <w:color w:val="000000"/>
          <w:sz w:val="22"/>
        </w:rPr>
        <w:t xml:space="preserve">Third</w:t>
      </w:r>
      <w:r>
        <w:rPr>
          <w:rFonts w:ascii="Times New Roman" w:hAnsi="Times New Roman"/>
          <w:color w:val="000000"/>
          <w:sz w:val="22"/>
        </w:rPr>
        <w:t xml:space="preserve">, the framework predicts a quantitative</w:t>
      </w:r>
      <w:r>
        <w:rPr>
          <w:rFonts w:ascii="Times New Roman" w:hAnsi="Times New Roman"/>
          <w:color w:val="000000"/>
          <w:sz w:val="22"/>
        </w:rPr>
        <w:t xml:space="preserve"> </w:t>
      </w:r>
      <w:r>
        <w:rPr>
          <w:rFonts w:ascii="Times New Roman" w:hAnsi="Times New Roman"/>
          <w:i/>
          <w:iCs/>
          <w:color w:val="000000"/>
          <w:sz w:val="22"/>
        </w:rPr>
        <w:t xml:space="preserve">fine-grained asymmetry pattern</w:t>
      </w:r>
      <w:r>
        <w:rPr>
          <w:rFonts w:ascii="Times New Roman" w:hAnsi="Times New Roman"/>
          <w:color w:val="000000"/>
          <w:sz w:val="22"/>
        </w:rPr>
        <w:t xml:space="preserve"> </w:t>
      </w:r>
      <w:r>
        <w:rPr>
          <w:rFonts w:ascii="Times New Roman" w:hAnsi="Times New Roman"/>
          <w:color w:val="000000"/>
          <w:sz w:val="22"/>
        </w:rPr>
        <w:t xml:space="preserve">in exotic distribution across visitor-band sites (§7.4(f) sharpening study): under partner-choice premium, the asymmetry should hold specifically at sites whose participation is independently established as visitor-band rather than as random hinterland occupation. This test is not currently performed, but would distinguish signaling via partner choice from generic transport-cost or social-storage readings. These three signed predictions are the framework’s distinctive contribution. The remaining empirical evaluations are consistency demonstrations or anchors, important for showing the framework’s internal coherence but not for differentiating it from the cultural-historical alternatives.</w:t>
      </w:r>
    </w:p>
    <w:bookmarkEnd w:id="83"/>
    <w:bookmarkStart w:id="84" w:name="system-collapse"/>
    <w:p>
      <w:pPr>
        <w:pStyle w:val="Heading3"/>
      </w:pPr>
      <w:r>
        <w:rPr>
          <w:rFonts w:ascii="Times New Roman" w:hAnsi="Times New Roman"/>
          <w:b w:val="0"/>
          <w:i w:val="0"/>
          <w:color w:val="000000"/>
          <w:sz w:val="22"/>
          <w:u w:val="single"/>
        </w:rPr>
        <w:t xml:space="preserve">7.3 System collapse</w:t>
      </w:r>
    </w:p>
    <w:p>
      <w:pPr>
        <w:pStyle w:val="FirstParagraph"/>
      </w:pPr>
      <w:r>
        <w:rPr>
          <w:rFonts w:ascii="Times New Roman" w:hAnsi="Times New Roman"/>
          <w:color w:val="000000"/>
          <w:sz w:val="22"/>
        </w:rPr>
        <w:t xml:space="preserve">The framework allows two pathways through which collapse can occur, and the LMV record currently supports one of them more clearly than the other.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operates through geomorphic change: channel migration, sedimentation, and flooding alter the mosaic of zones, reducing local ecotone access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through the threshold relation</w:t>
      </w:r>
      <w:r>
        <w:rPr>
          <w:rFonts w:ascii="Times New Roman" w:hAnsi="Times New Roman"/>
          <w:color w:val="000000"/>
          <w:sz w:val="22"/>
        </w:rPr>
        <w:t xml:space="preserve"> </w:t>
      </w:r>
      <m:oMath>
        <m:sSup>
          <m:e>
            <m:r>
              <m:t>σ</m:t>
            </m:r>
          </m:e>
          <m:sup>
            <m:r>
              <m:rPr>
                <m:sty m:val="p"/>
              </m:rPr>
              <m:t>*</m:t>
            </m:r>
          </m:sup>
        </m:sSup>
        <m:r>
          <m:rPr>
            <m:sty m:val="p"/>
          </m:rPr>
          <m:t>=</m:t>
        </m:r>
        <m:r>
          <m:t>f</m:t>
        </m:r>
        <m:r>
          <m:rPr>
            <m:sty m:val="p"/>
          </m:rPr>
          <m:t>(</m:t>
        </m:r>
        <m:r>
          <m:t>ε</m:t>
        </m:r>
        <m:r>
          <m:rPr>
            <m:sty m:val="p"/>
          </m:rPr>
          <m:t>)</m:t>
        </m:r>
      </m:oMath>
      <w:r>
        <w:rPr>
          <w:rFonts w:ascii="Times New Roman" w:hAnsi="Times New Roman"/>
          <w:color w:val="000000"/>
          <w:sz w:val="22"/>
        </w:rPr>
        <w:t xml:space="preserve">, raising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above the regional</w:t>
      </w:r>
      <w:r>
        <w:rPr>
          <w:rFonts w:ascii="Times New Roman" w:hAnsi="Times New Roman"/>
          <w:color w:val="000000"/>
          <w:sz w:val="22"/>
        </w:rPr>
        <w:t xml:space="preserve"> </w:t>
      </w:r>
      <m:oMath>
        <m:r>
          <m:t>σ</m:t>
        </m:r>
      </m:oMath>
      <w:r>
        <w:rPr>
          <w:rFonts w:ascii="Times New Roman" w:hAnsi="Times New Roman"/>
          <w:color w:val="000000"/>
          <w:sz w:val="22"/>
        </w:rPr>
        <w:t xml:space="preserve">. A drop from</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ε</m:t>
        </m:r>
        <m:r>
          <m:rPr>
            <m:sty m:val="p"/>
          </m:rPr>
          <m:t>=</m:t>
        </m:r>
        <m:r>
          <m:t>0.15</m:t>
        </m:r>
      </m:oMath>
      <w:r>
        <w:rPr>
          <w:rFonts w:ascii="Times New Roman" w:hAnsi="Times New Roman"/>
          <w:color w:val="000000"/>
          <w:sz w:val="22"/>
        </w:rPr>
        <w:t xml:space="preserve"> </w:t>
      </w:r>
      <w:r>
        <w:rPr>
          <w:rFonts w:ascii="Times New Roman" w:hAnsi="Times New Roman"/>
          <w:color w:val="000000"/>
          <w:sz w:val="22"/>
        </w:rPr>
        <w:t xml:space="preserve">would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~0.40 to ~0.50, potentially pushing conditions below the viability boundary even without any change in regional environmental variance. The</w:t>
      </w:r>
      <w:r>
        <w:rPr>
          <w:rFonts w:ascii="Times New Roman" w:hAnsi="Times New Roman"/>
          <w:color w:val="000000"/>
          <w:sz w:val="22"/>
        </w:rPr>
        <w:t xml:space="preserve"> </w:t>
      </w:r>
      <m:oMath>
        <m:r>
          <m:t>σ</m:t>
        </m:r>
      </m:oMath>
      <w:r>
        <w:rPr>
          <w:rFonts w:ascii="Times New Roman" w:hAnsi="Times New Roman"/>
          <w:color w:val="000000"/>
          <w:sz w:val="22"/>
        </w:rPr>
        <w:t xml:space="preserve">-pathway operates through reduction in regional environmental uncertainty. If the post-3300 cal BP regime had measurably lower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the same composite uncertainty index used during the active interval, conditions would fall below the unchanged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boundary on the</w:t>
      </w:r>
      <w:r>
        <w:rPr>
          <w:rFonts w:ascii="Times New Roman" w:hAnsi="Times New Roman"/>
          <w:color w:val="000000"/>
          <w:sz w:val="22"/>
        </w:rPr>
        <w:t xml:space="preserve"> </w:t>
      </w:r>
      <m:oMath>
        <m:r>
          <m:t>σ</m:t>
        </m:r>
      </m:oMath>
      <w:r>
        <w:rPr>
          <w:rFonts w:ascii="Times New Roman" w:hAnsi="Times New Roman"/>
          <w:color w:val="000000"/>
          <w:sz w:val="22"/>
        </w:rPr>
        <w:t xml:space="preserve">-axis directly.</w:t>
      </w:r>
    </w:p>
    <w:p>
      <w:pPr>
        <w:pStyle w:val="BodyText"/>
      </w:pPr>
      <w:r>
        <w:rPr>
          <w:rFonts w:ascii="Times New Roman" w:hAnsi="Times New Roman"/>
          <w:color w:val="000000"/>
          <w:sz w:val="22"/>
        </w:rPr>
        <w:t xml:space="preserve">On the currently available LMV record,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is the supported one.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This is direct ecotone degradation: the gathering location was physically removed by an avulsion event, and the surrounding ecotone access at Jaketown was reorganized in a single depositional sequence. The resulting regional abandonment at Jaketown lasted ~530 years. Across the LMV more broadly, the post-3300 cal BP Stage 2-to-Stage 1 transition involved increased flood frequency and substantial floodplain reorganization (Kidder 2006; Kidder et al. 2018). The proximate driver of the system’s collapse, as documented at the only LMV site where the terminal-occupation stratigraphy has been examined in detail, is therefore the</w:t>
      </w:r>
      <w:r>
        <w:rPr>
          <w:rFonts w:ascii="Times New Roman" w:hAnsi="Times New Roman"/>
          <w:color w:val="000000"/>
          <w:sz w:val="22"/>
        </w:rPr>
        <w:t xml:space="preserve"> </w:t>
      </w:r>
      <m:oMath>
        <m:r>
          <m:t>ε</m:t>
        </m:r>
      </m:oMath>
      <w:r>
        <w:rPr>
          <w:rFonts w:ascii="Times New Roman" w:hAnsi="Times New Roman"/>
          <w:color w:val="000000"/>
          <w:sz w:val="22"/>
        </w:rPr>
        <w:t xml:space="preserve">-pathway, not the</w:t>
      </w:r>
      <w:r>
        <w:rPr>
          <w:rFonts w:ascii="Times New Roman" w:hAnsi="Times New Roman"/>
          <w:color w:val="000000"/>
          <w:sz w:val="22"/>
        </w:rPr>
        <w:t xml:space="preserve"> </w:t>
      </w:r>
      <m:oMath>
        <m:r>
          <m:t>σ</m:t>
        </m:r>
      </m:oMath>
      <w:r>
        <w:rPr>
          <w:rFonts w:ascii="Times New Roman" w:hAnsi="Times New Roman"/>
          <w:color w:val="000000"/>
          <w:sz w:val="22"/>
        </w:rPr>
        <w:t xml:space="preserve">-pathway. On the LMV-interior paleoclimate proxies currently available, we do not have direct evidence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a consistent composite index is lower than during the active interval. Some proxies (paleotempestology, the increased flood-frequency record itself) point in the opposite direction.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prediction that once any pathway pushes conditions across the viability boundary, the positive feedback that sustained aggregation reverses rapidly.</w:t>
      </w:r>
    </w:p>
    <w:p>
      <w:pPr>
        <w:pStyle w:val="BodyText"/>
      </w:pPr>
      <w:r>
        <w:rPr>
          <w:rFonts w:ascii="Times New Roman" w:hAnsi="Times New Roman"/>
          <w:color w:val="000000"/>
          <w:sz w:val="22"/>
        </w:rPr>
        <w:t xml:space="preserve">Three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not falsified by the current evidence. Rather, it is unsupported.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(drawing on Lake Tulane pollen, Avery Island salt-dome records, Pigmy Basin Mg/Ca SSTs, or Mississippi Delta sediment-supply records) could, in principle, show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was lower than during the active interval and revive the</w:t>
      </w:r>
      <w:r>
        <w:rPr>
          <w:rFonts w:ascii="Times New Roman" w:hAnsi="Times New Roman"/>
          <w:color w:val="000000"/>
          <w:sz w:val="22"/>
        </w:rPr>
        <w:t xml:space="preserve"> </w:t>
      </w:r>
      <m:oMath>
        <m:r>
          <m:t>σ</m:t>
        </m:r>
      </m:oMath>
      <w:r>
        <w:rPr>
          <w:rFonts w:ascii="Times New Roman" w:hAnsi="Times New Roman"/>
          <w:color w:val="000000"/>
          <w:sz w:val="22"/>
        </w:rPr>
        <w:t xml:space="preserve">-pathway reading. On the proxies currently engaged in §5.5 (which are dominated by extra-LMV records),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neither supported nor refuted, and we treat it as a parallel hypothesis that the existing record does not discriminate. Third, the two pathways yield temporally distinct predictions about which signal-channel attributes the LMV record could, in principle, distinguish. A</w:t>
      </w:r>
      <w:r>
        <w:rPr>
          <w:rFonts w:ascii="Times New Roman" w:hAnsi="Times New Roman"/>
          <w:color w:val="000000"/>
          <w:sz w:val="22"/>
        </w:rPr>
        <w:t xml:space="preserve"> </w:t>
      </w:r>
      <m:oMath>
        <m:r>
          <m:t>σ</m:t>
        </m:r>
      </m:oMath>
      <w:r>
        <w:rPr>
          <w:rFonts w:ascii="Times New Roman" w:hAnsi="Times New Roman"/>
          <w:color w:val="000000"/>
          <w:sz w:val="22"/>
        </w:rPr>
        <w:t xml:space="preserve">-pathway collapse predicts that the</w:t>
      </w:r>
      <w:r>
        <w:rPr>
          <w:rFonts w:ascii="Times New Roman" w:hAnsi="Times New Roman"/>
          <w:color w:val="000000"/>
          <w:sz w:val="22"/>
        </w:rPr>
        <w:t xml:space="preserve"> </w:t>
      </w:r>
      <w:r>
        <w:rPr>
          <w:rFonts w:ascii="Times New Roman" w:hAnsi="Times New Roman"/>
          <w:i/>
          <w:iCs/>
          <w:color w:val="000000"/>
          <w:sz w:val="22"/>
        </w:rPr>
        <w:t xml:space="preserve">signaling indicators</w:t>
      </w:r>
      <w:r>
        <w:rPr>
          <w:rFonts w:ascii="Times New Roman" w:hAnsi="Times New Roman"/>
          <w:color w:val="000000"/>
          <w:sz w:val="22"/>
        </w:rPr>
        <w:t xml:space="preserve"> </w:t>
      </w:r>
      <w:r>
        <w:rPr>
          <w:rFonts w:ascii="Times New Roman" w:hAnsi="Times New Roman"/>
          <w:color w:val="000000"/>
          <w:sz w:val="22"/>
        </w:rPr>
        <w:t xml:space="preserve">(long-distance exotic acquisition, lapidary production) should weaken before or simultaneously with monument abandonment, because the supporting cooperation network must thin before the signals it sustains become uneconomic. An</w:t>
      </w:r>
      <w:r>
        <w:rPr>
          <w:rFonts w:ascii="Times New Roman" w:hAnsi="Times New Roman"/>
          <w:color w:val="000000"/>
          <w:sz w:val="22"/>
        </w:rPr>
        <w:t xml:space="preserve"> </w:t>
      </w:r>
      <m:oMath>
        <m:r>
          <m:t>ε</m:t>
        </m:r>
      </m:oMath>
      <w:r>
        <w:rPr>
          <w:rFonts w:ascii="Times New Roman" w:hAnsi="Times New Roman"/>
          <w:color w:val="000000"/>
          <w:sz w:val="22"/>
        </w:rPr>
        <w:t xml:space="preserve">-pathway collapse predicts that monument abandonment should</w:t>
      </w:r>
      <w:r>
        <w:rPr>
          <w:rFonts w:ascii="Times New Roman" w:hAnsi="Times New Roman"/>
          <w:color w:val="000000"/>
          <w:sz w:val="22"/>
        </w:rPr>
        <w:t xml:space="preserve"> </w:t>
      </w:r>
      <w:r>
        <w:rPr>
          <w:rFonts w:ascii="Times New Roman" w:hAnsi="Times New Roman"/>
          <w:i/>
          <w:iCs/>
          <w:color w:val="000000"/>
          <w:sz w:val="22"/>
        </w:rPr>
        <w:t xml:space="preserve">precede</w:t>
      </w:r>
      <w:r>
        <w:rPr>
          <w:rFonts w:ascii="Times New Roman" w:hAnsi="Times New Roman"/>
          <w:color w:val="000000"/>
          <w:sz w:val="22"/>
        </w:rPr>
        <w:t xml:space="preserve"> </w:t>
      </w:r>
      <w:r>
        <w:rPr>
          <w:rFonts w:ascii="Times New Roman" w:hAnsi="Times New Roman"/>
          <w:color w:val="000000"/>
          <w:sz w:val="22"/>
        </w:rPr>
        <w:t xml:space="preserve">exotic-network attrition, because the immediate driver is the loss of the gathering site rather than the loss of the network. The current LMV chronology lacks the temporal resolution to discriminate this outcome. High-resolution Bayesian modeling of terminal-occupation deposits, in parallel with Kidder and Grooms (2024) for the active interval, would provide a sharper test of which pathway dominates.</w:t>
      </w:r>
    </w:p>
    <w:p>
      <w:pPr>
        <w:pStyle w:val="BodyText"/>
      </w:pPr>
      <w:r>
        <w:rPr>
          <w:rFonts w:ascii="Times New Roman" w:hAnsi="Times New Roman"/>
          <w:color w:val="000000"/>
          <w:sz w:val="22"/>
        </w:rPr>
        <w:t xml:space="preserve">The collapse provides insight into the underlying mechanism even without that finer test. If the LMV system had been organized through inherited institutions or chiefly authority, we would expect partial reorganization rather than near-total cessation. The framework predicts that crossing below the viability boundary on either pathway simultaneously removes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rPr>
          <w:rFonts w:ascii="Times New Roman" w:hAnsi="Times New Roman"/>
          <w:b w:val="0"/>
          <w:i w:val="0"/>
          <w:color w:val="000000"/>
          <w:sz w:val="22"/>
          <w:u w:val="single"/>
        </w:rPr>
        <w:t xml:space="preserve">7.4 Falsifiable predictions and priority empirical work</w:t>
      </w:r>
    </w:p>
    <w:p>
      <w:pPr>
        <w:pStyle w:val="FirstParagraph"/>
      </w:pPr>
      <w:r>
        <w:rPr>
          <w:rFonts w:ascii="Times New Roman" w:hAnsi="Times New Roman"/>
          <w:color w:val="000000"/>
          <w:sz w:val="22"/>
        </w:rPr>
        <w:t xml:space="preserve">We separate predictions into those that carry independent inferential weight against the framework and those that carry only consistency weight conditional on inputs we have not derived.</w:t>
      </w:r>
    </w:p>
    <w:p>
      <w:pPr>
        <w:pStyle w:val="BodyText"/>
      </w:pPr>
      <w:r>
        <w:rPr>
          <w:rFonts w:ascii="Times New Roman" w:hAnsi="Times New Roman"/>
          <w:b/>
          <w:bCs/>
          <w:color w:val="000000"/>
          <w:sz w:val="22"/>
        </w:rPr>
        <w:t xml:space="preserve">Signed discriminating predictions against cultural-historical alternatives.</w:t>
      </w:r>
      <w:r>
        <w:rPr>
          <w:rFonts w:ascii="Times New Roman" w:hAnsi="Times New Roman"/>
          <w:color w:val="000000"/>
          <w:sz w:val="22"/>
        </w:rPr>
        <w:t xml:space="preserve"> </w:t>
      </w:r>
      <w:r>
        <w:rPr>
          <w:rFonts w:ascii="Times New Roman" w:hAnsi="Times New Roman"/>
          <w:color w:val="000000"/>
          <w:sz w:val="22"/>
        </w:rPr>
        <w:t xml:space="preserve">These are the framework’s distinctive contributions: predictions whose direction the LMV record could, in principle, reverse and whose reversal would substantially weaken the framework’s reading relative to revitalization, containment, or relational-performative alternatives.</w:t>
      </w:r>
    </w:p>
    <w:p>
      <w:pPr>
        <w:numPr>
          <w:ilvl w:val="0"/>
          <w:numId w:val="1002"/>
        </w:numPr>
      </w:pPr>
      <w:r>
        <w:rPr>
          <w:rFonts w:ascii="Times New Roman" w:hAnsi="Times New Roman"/>
          <w:i/>
          <w:iCs/>
          <w:color w:val="000000"/>
          <w:sz w:val="22"/>
        </w:rPr>
        <w:t xml:space="preserve">Concentration-ratio asymmetry.</w:t>
      </w:r>
      <w:r>
        <w:rPr>
          <w:rFonts w:ascii="Times New Roman" w:hAnsi="Times New Roman"/>
          <w:color w:val="000000"/>
          <w:sz w:val="22"/>
        </w:rPr>
        <w:t xml:space="preserve"> </w:t>
      </w:r>
      <w:r>
        <w:rPr>
          <w:rFonts w:ascii="Times New Roman" w:hAnsi="Times New Roman"/>
          <w:color w:val="000000"/>
          <w:sz w:val="22"/>
        </w:rPr>
        <w:t xml:space="preserve">The model predicts a high concentration ratio at the gathering hub, with low-magnitude personal-effects leakage to visitor-band home territories, rather than the negligible durable-exotic flow predicted by pure risk-pooling,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strongly asymmetric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(the sharpening study identified below) would tighten the test from coarse concentration-ratio asymmetry to fine-grained per-site asymmetry patterning.</w:t>
      </w:r>
    </w:p>
    <w:p>
      <w:pPr>
        <w:numPr>
          <w:ilvl w:val="0"/>
          <w:numId w:val="1002"/>
        </w:numPr>
      </w:pPr>
      <m:oMath>
        <m:r>
          <m:t>ε</m:t>
        </m:r>
      </m:oMath>
      <w:r>
        <w:rPr>
          <w:rFonts w:ascii="Times New Roman" w:hAnsi="Times New Roman"/>
          <w:i/>
          <w:iCs/>
          <w:color w:val="000000"/>
          <w:sz w:val="22"/>
        </w:rPr>
        <w:t xml:space="preserve">-pathway versus</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-pathway collapse.</w:t>
      </w:r>
      <w:r>
        <w:rPr>
          <w:rFonts w:ascii="Times New Roman" w:hAnsi="Times New Roman"/>
          <w:color w:val="000000"/>
          <w:sz w:val="22"/>
        </w:rPr>
        <w:t xml:space="preserve"> </w:t>
      </w:r>
      <w:r>
        <w:rPr>
          <w:rFonts w:ascii="Times New Roman" w:hAnsi="Times New Roman"/>
          <w:color w:val="000000"/>
          <w:sz w:val="22"/>
        </w:rPr>
        <w:t xml:space="preserve">The framework’s two collapse pathways (§7.3) predict opposite</w:t>
      </w:r>
      <w:r>
        <w:rPr>
          <w:rFonts w:ascii="Times New Roman" w:hAnsi="Times New Roman"/>
          <w:color w:val="000000"/>
          <w:sz w:val="22"/>
        </w:rPr>
        <w:t xml:space="preserve"> </w:t>
      </w:r>
      <w:r>
        <w:rPr>
          <w:rFonts w:ascii="Times New Roman" w:hAnsi="Times New Roman"/>
          <w:i/>
          <w:iCs/>
          <w:color w:val="000000"/>
          <w:sz w:val="22"/>
        </w:rPr>
        <w:t xml:space="preserve">orderings</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first (because the immediate driver is loss of the gathering location).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exotic-network attrition first or simultaneously (because the supporting cooperation network must thin before the signals it sustains become uneconomic). Sanger’s containment, Kidder and Grooms’s revitalization, and Grooms’s relational-performative accounts do not specify this ordering. The structural framework, however, does. High-resolution Bayesian dating of terminal-occupation deposits, comparable to Kidder and Grooms (2024) for the active interval, would discriminate. The data at the required resolution does not currently exist.</w:t>
      </w:r>
    </w:p>
    <w:p>
      <w:pPr>
        <w:numPr>
          <w:ilvl w:val="0"/>
          <w:numId w:val="1002"/>
        </w:numPr>
      </w:pPr>
      <w:r>
        <w:rPr>
          <w:rFonts w:ascii="Times New Roman" w:hAnsi="Times New Roman"/>
          <w:i/>
          <w:iCs/>
          <w:color w:val="000000"/>
          <w:sz w:val="22"/>
        </w:rPr>
        <w:t xml:space="preserve">Construction event density at PP versus WB.</w:t>
      </w:r>
      <w:r>
        <w:rPr>
          <w:rFonts w:ascii="Times New Roman" w:hAnsi="Times New Roman"/>
          <w:color w:val="000000"/>
          <w:sz w:val="22"/>
        </w:rPr>
        <w:t xml:space="preserve"> </w:t>
      </w:r>
      <w:r>
        <w:rPr>
          <w:rFonts w:ascii="Times New Roman" w:hAnsi="Times New Roman"/>
          <w:color w:val="000000"/>
          <w:sz w:val="22"/>
        </w:rPr>
        <w:t>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about 0.02-0.03 events per year. The ratio is 47-85</w:t>
      </w:r>
      <m:oMath>
        <m:r>
          <m:rPr>
            <m:sty m:val="p"/>
          </m:rPr>
          <m:t>×</m:t>
        </m:r>
      </m:oMath>
      <w:r>
        <w:rPr>
          <w:rFonts w:ascii="Times New Roman" w:hAnsi="Times New Roman"/>
          <w:color w:val="000000"/>
          <w:sz w:val="22"/>
        </w:rPr>
        <w:t xml:space="preserve">, in the direction predicted by the framework.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are not directly comparable across the two sites: PP events include post-circle rebuild cycles, prepared surfaces, and ridge components recovered through magnetic gradient surveys, whereas WB events are mound stages from Saunders et al. (2005b). The order-of-magnitude contrast is robust to unit-conversion uncertainty. However, the precise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ratio is not. A labor-resolved chronology of either site that reversed the order of magnitude would substantially weaken the signal-half-life mechanism. A sharper version of the test would extend the event-density comparison to additional LMV sites and use a site-specific estimate of the decay rate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earthwork-weathering studies.</w:t>
      </w:r>
    </w:p>
    <w:p>
      <w:pPr>
        <w:pStyle w:val="FirstParagraph"/>
      </w:pPr>
      <w:r>
        <w:rPr>
          <w:rFonts w:ascii="Times New Roman" w:hAnsi="Times New Roman"/>
          <w:b/>
          <w:bCs/>
          <w:color w:val="000000"/>
          <w:sz w:val="22"/>
        </w:rPr>
        <w:t xml:space="preserve">Necessity-condition test (carries weaker falsifying weight because aggregation is known to have occurred).</w:t>
      </w:r>
    </w:p>
    <w:p>
      <w:pPr>
        <w:pStyle w:val="Compact"/>
        <w:numPr>
          <w:ilvl w:val="0"/>
          <w:numId w:val="1003"/>
        </w:numPr>
      </w:pPr>
      <w:r>
        <w:rPr>
          <w:rFonts w:ascii="Times New Roman" w:hAnsi="Times New Roman"/>
          <w:i/>
          <w:iCs/>
          <w:color w:val="000000"/>
          <w:sz w:val="22"/>
        </w:rPr>
        <w:t xml:space="preserve">Paleoclimate-threshold proximity.</w:t>
      </w:r>
      <w:r>
        <w:rPr>
          <w:rFonts w:ascii="Times New Roman" w:hAnsi="Times New Roman"/>
          <w:color w:val="000000"/>
          <w:sz w:val="22"/>
        </w:rPr>
        <w:t xml:space="preserve"> </w:t>
      </w:r>
      <w:r>
        <w:rPr>
          <w:rFonts w:ascii="Times New Roman" w:hAnsi="Times New Roman"/>
          <w:color w:val="000000"/>
          <w:sz w:val="22"/>
        </w:rPr>
        <w:t xml:space="preserve">If a more rigorous paleo-discharge-resolved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produced a posterior probability of above-threshold operation below 0.20, the structural-conditions claim would be substantially weakened. The current posterior under §6.2 Bayesian uncertainty propagation is</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 priors. We report this as a near-tie rather than a confirmed pass: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inputs place the active interval within the threshold zone, but the binary above-versus-below question is unresolved on the proxies currently engaged.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(§5.5, §7.3) would tighten the test. We treat this as a necessity-condition test because we know aggregation occurred. The test asks whether the framework’s identified necessary conditions are consistent with that fact, not whether the framework is uniquely correct.</w:t>
      </w:r>
    </w:p>
    <w:p>
      <w:pPr>
        <w:pStyle w:val="FirstParagraph"/>
      </w:pPr>
      <w:r>
        <w:rPr>
          <w:rFonts w:ascii="Times New Roman" w:hAnsi="Times New Roman"/>
          <w:b/>
          <w:bCs/>
          <w:color w:val="000000"/>
          <w:sz w:val="22"/>
        </w:rPr>
        <w:t xml:space="preserve">Out-of-sample test not yet performed.</w:t>
      </w:r>
    </w:p>
    <w:p>
      <w:pPr>
        <w:pStyle w:val="Compact"/>
        <w:numPr>
          <w:ilvl w:val="0"/>
          <w:numId w:val="1004"/>
        </w:numPr>
      </w:pPr>
      <w:r>
        <w:rPr>
          <w:rFonts w:ascii="Times New Roman" w:hAnsi="Times New Roman"/>
          <w:i/>
          <w:iCs/>
          <w:color w:val="000000"/>
          <w:sz w:val="22"/>
        </w:rPr>
        <w:t xml:space="preserve">Out-of-sample placement.</w:t>
      </w:r>
      <w:r>
        <w:rPr>
          <w:rFonts w:ascii="Times New Roman" w:hAnsi="Times New Roman"/>
          <w:color w:val="000000"/>
          <w:sz w:val="22"/>
        </w:rPr>
        <w:t xml:space="preserve"> </w:t>
      </w:r>
      <w:r>
        <w:rPr>
          <w:rFonts w:ascii="Times New Roman" w:hAnsi="Times New Roman"/>
          <w:color w:val="000000"/>
          <w:sz w:val="22"/>
        </w:rPr>
        <w:t xml:space="preserve">An out-of-sample test of additional earthwork locations, 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are derived independently, and the joint prediction fails to bracket the observed monument scale, would carry strong independent weight against the framework. This test is not currently performed. Candidates outside the LMV (Stallings Island, Green River shell mounds, Mulberry Creek) are identified in §7.5 as the next empirical frontier.</w:t>
      </w:r>
    </w:p>
    <w:p>
      <w:pPr>
        <w:pStyle w:val="FirstParagraph"/>
      </w:pPr>
      <w:r>
        <w:rPr>
          <w:rFonts w:ascii="Times New Roman" w:hAnsi="Times New Roman"/>
          <w:b/>
          <w:bCs/>
          <w:color w:val="000000"/>
          <w:sz w:val="22"/>
        </w:rPr>
        <w:t xml:space="preserve">Consistency demonstrations conditional on inputs.</w:t>
      </w:r>
      <w:r>
        <w:rPr>
          <w:rFonts w:ascii="Times New Roman" w:hAnsi="Times New Roman"/>
          <w:color w:val="000000"/>
          <w:sz w:val="22"/>
        </w:rPr>
        <w:t xml:space="preserve"> </w:t>
      </w:r>
      <w:r>
        <w:rPr>
          <w:rFonts w:ascii="Times New Roman" w:hAnsi="Times New Roman"/>
          <w:color w:val="000000"/>
          <w:sz w:val="22"/>
        </w:rPr>
        <w:t xml:space="preserve">These results are consistent with the framework but do not put it at risk relative to the LMV record, either because the underlying mechanism does not uniquely predict the observed pattern or because the test is applied to a non-random sample. Failures here would weaken the framework, but do not carry the same independent inferential weight as the signed predictions above.</w:t>
      </w:r>
    </w:p>
    <w:p>
      <w:pPr>
        <w:numPr>
          <w:ilvl w:val="0"/>
          <w:numId w:val="1005"/>
        </w:numPr>
      </w:pPr>
      <w:r>
        <w:rPr>
          <w:rFonts w:ascii="Times New Roman" w:hAnsi="Times New Roman"/>
          <w:i/>
          <w:iCs/>
          <w:color w:val="000000"/>
          <w:sz w:val="22"/>
        </w:rPr>
        <w:t xml:space="preserve">Binary interior-vs-coastal screening (consistency).</w:t>
      </w:r>
      <w:r>
        <w:rPr>
          <w:rFonts w:ascii="Times New Roman" w:hAnsi="Times New Roman"/>
          <w:color w:val="000000"/>
          <w:sz w:val="22"/>
        </w:rPr>
        <w:t xml:space="preserve"> </w:t>
      </w:r>
      <w:r>
        <w:rPr>
          <w:rFonts w:ascii="Times New Roman" w:hAnsi="Times New Roman"/>
          <w:color w:val="000000"/>
          <w:sz w:val="22"/>
        </w:rPr>
        <w:t xml:space="preserve">The screening operates on a sample drawn from known LMV monument-builders plus the Pearl River coastal pair as the natural negative case. Our conclusion that</w:t>
      </w:r>
      <w:r>
        <w:rPr>
          <w:rFonts w:ascii="Times New Roman" w:hAnsi="Times New Roman"/>
          <w:color w:val="000000"/>
          <w:sz w:val="22"/>
        </w:rPr>
        <w:t xml:space="preserve"> </w:t>
      </w:r>
      <w:r>
        <w:rPr>
          <w:rFonts w:ascii="Times New Roman" w:hAnsi="Times New Roman"/>
          <w:color w:val="000000"/>
          <w:sz w:val="22"/>
        </w:rPr>
        <w:t xml:space="preserve">“9 of 9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w:t>
      </w:r>
      <w:r>
        <w:rPr>
          <w:rFonts w:ascii="Times New Roman" w:hAnsi="Times New Roman"/>
          <w:color w:val="000000"/>
          <w:sz w:val="22"/>
        </w:rPr>
        <w:t xml:space="preserve"> </w:t>
      </w:r>
      <w:r>
        <w:rPr>
          <w:rFonts w:ascii="Times New Roman" w:hAnsi="Times New Roman"/>
          <w:color w:val="000000"/>
          <w:sz w:val="22"/>
        </w:rPr>
        <w:t xml:space="preserve">result is therefore not independent of how the sample was assembled. The screening is consistent with the framework’s necessity-condition prediction but does not test it against a randomly drawn LMV spatial sample. A sharper version would draw candidate sites from the LMV without reference to known monumental status and ask whether the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identified by the framework’s ε-rubric coincide with the documented mound-building locations at better-than-chance frequency, with a quantitative magnitude-discrepancy threshold below which the screening claim would be weakened.</w:t>
      </w:r>
    </w:p>
    <w:p>
      <w:pPr>
        <w:numPr>
          <w:ilvl w:val="0"/>
          <w:numId w:val="1005"/>
        </w:numPr>
      </w:pPr>
      <w:r>
        <w:rPr>
          <w:rFonts w:ascii="Times New Roman" w:hAnsi="Times New Roman"/>
          <w:i/>
          <w:iCs/>
          <w:color w:val="000000"/>
          <w:sz w:val="22"/>
        </w:rPr>
        <w:t xml:space="preserve">Distance-decay rank correlation (consistency).</w:t>
      </w:r>
      <w:r>
        <w:rPr>
          <w:rFonts w:ascii="Times New Roman" w:hAnsi="Times New Roman"/>
          <w:color w:val="000000"/>
          <w:sz w:val="22"/>
        </w:rPr>
        <w:t xml:space="preserve"> </w:t>
      </w:r>
      <w:r>
        <w:rPr>
          <w:rFonts w:ascii="Times New Roman" w:hAnsi="Times New Roman"/>
          <w:color w:val="000000"/>
          <w:sz w:val="22"/>
        </w:rPr>
        <w:t xml:space="preserve">The Spearman ranking of exotic-material frequency by source distance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 generic transport-cost or down-the-line exchange model would produce the same</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ranking. The result is consistent with the costly-signaling acquisition mechanism but does not discriminate it from generic transport-cost alternatives. Distance decay is therefore reported only as a demonstration of consistency. The discriminating exchange-side test is (f) above.</w:t>
      </w:r>
    </w:p>
    <w:p>
      <w:pPr>
        <w:numPr>
          <w:ilvl w:val="0"/>
          <w:numId w:val="1005"/>
        </w:numPr>
      </w:pPr>
      <w:r>
        <w:rPr>
          <w:rFonts w:ascii="Times New Roman" w:hAnsi="Times New Roman"/>
          <w:i/>
          <w:iCs/>
          <w:color w:val="000000"/>
          <w:sz w:val="22"/>
        </w:rPr>
        <w:t xml:space="preserve">Phenology test (consistency, partly circular at PP).</w:t>
      </w:r>
      <w:r>
        <w:rPr>
          <w:rFonts w:ascii="Times New Roman" w:hAnsi="Times New Roman"/>
          <w:color w:val="000000"/>
          <w:sz w:val="22"/>
        </w:rPr>
        <w:t xml:space="preserve"> </w:t>
      </w:r>
      <w:r>
        <w:rPr>
          <w:rFonts w:ascii="Times New Roman" w:hAnsi="Times New Roman"/>
          <w:color w:val="000000"/>
          <w:sz w:val="22"/>
        </w:rPr>
        <w:t xml:space="preserve">The available seasonality evidence does not directly constrain the type-site core: faunal bone preservation at Poverty Point is poor due to soil acidity, and the earliest macrobotanical reports came from peripheral Poverty Point-period sites (Thomas and Campbell 1978), where plant remains were read as fall-winter occupation with no clear spring signal. Macrobotanical analysis of samples from the type site itself has since recovered early-summer-ripening cultigens </w:t>
      </w:r>
      <w:r>
        <w:rPr>
          <w:rFonts w:ascii="Times New Roman" w:hAnsi="Times New Roman"/>
          <w:color w:val="000000"/>
          <w:sz w:val="22"/>
          <w:highlight w:val="yellow"/>
        </w:rPr>
        <w:t xml:space="preserve">(maygrass and little barley)</w:t>
      </w:r>
      <w:r>
        <w:rPr>
          <w:rFonts w:ascii="Times New Roman" w:hAnsi="Times New Roman"/>
          <w:color w:val="000000"/>
          <w:sz w:val="22"/>
        </w:rPr>
        <w:t xml:space="preserve"> together with fall nuts and fruits (Leone 2014, 2020), a multi-season pattern consistent with the framework’s broader-window prediction (substantial aggregation share in spring fish spawning and summer aquatic months, in addition to fall-winter mast). The faunal component of that prediction still cannot be tested against existing PP faunal material because the relevant bone has not survived. A falsifiable form of the test requires non-faunal seasonality proxies recoverable from the monumental core (macrobotanical assemblages from new excavations, phytolith and pollen records, stable-isotope sequencing of preserved tooth or shell, ZooMS protein analyses, microbotanical residues). An exclusively fall-winter signal across multiple such proxies would be at odds with the predicted multi-peak aggregation. A multi-peak signal across mast, fish-spawning, and summer aquatic months would be consistent with it.</w:t>
      </w:r>
    </w:p>
    <w:p>
      <w:pPr>
        <w:numPr>
          <w:ilvl w:val="0"/>
          <w:numId w:val="1005"/>
        </w:numPr>
      </w:pPr>
      <w:r>
        <w:rPr>
          <w:rFonts w:ascii="Times New Roman" w:hAnsi="Times New Roman"/>
          <w:color w:val="000000"/>
          <w:sz w:val="22"/>
        </w:rPr>
        <w:t xml:space="preserve">The cross-site magnitude correlation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is dominated by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factors drawn from the convergence-model literature.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The magnitude prediction is therefore conditional on input data that the framework does not derive, and the correlation cannot be read as independent support for the framework.</w:t>
      </w:r>
    </w:p>
    <w:p>
      <w:pPr>
        <w:pStyle w:val="Compact"/>
        <w:numPr>
          <w:ilvl w:val="0"/>
          <w:numId w:val="1006"/>
        </w:numPr>
      </w:pPr>
      <w:r>
        <w:rPr>
          <w:rFonts w:ascii="Times New Roman" w:hAnsi="Times New Roman"/>
          <w:color w:val="000000"/>
          <w:sz w:val="22"/>
        </w:rPr>
        <w:t xml:space="preserve">The Watson Brake closure (§6.3), under the refined LiDAR-derived per-mound volume of 27,065 m³ (§5.1), now rests primarily on the per-event labor-scaling extension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which gives a predicted WB volume of ~25,000 m³ that matches the LiDAR observation within ~9% (ratio 0.91×) without further parameter tuning.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close the gap. Regime switching now plays the substantive role of accounting for episodic construction tempo rather than total volume. The remaining post-hoc element is</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itself, which exceeds the additive-labor baseline (</w:t>
      </w:r>
      <m:oMath>
        <m:r>
          <m:t>α</m:t>
        </m:r>
        <m:r>
          <m:rPr>
            <m:sty m:val="p"/>
          </m:rPr>
          <m:t>=</m:t>
        </m:r>
        <m:r>
          <m:t>1</m:t>
        </m:r>
      </m:oMath>
      <w:r>
        <w:rPr>
          <w:rFonts w:ascii="Times New Roman" w:hAnsi="Times New Roman"/>
          <w:color w:val="000000"/>
          <w:sz w:val="22"/>
        </w:rPr>
        <w:t xml:space="preserve">) of Erasmus (1965) and is calibrated to minimize log-overprediction across the eleven-site sample rather than derived from independent ethnographic data.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produces a WB prediction of ~3,500 m³, well below the LiDAR-derived 27,065 m³. The closure is therefore conditional on superadditive labor scaling at the WB-vs-PP crew-size contrast.</w:t>
      </w:r>
    </w:p>
    <w:p>
      <w:pPr>
        <w:pStyle w:val="FirstParagraph"/>
      </w:pPr>
      <w:r>
        <w:rPr>
          <w:rFonts w:ascii="Times New Roman" w:hAnsi="Times New Roman"/>
          <w:color w:val="000000"/>
          <w:sz w:val="22"/>
        </w:rPr>
        <w:t xml:space="preserve">We can partially derive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(linear scaling in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used in §6.3 instead requires superadditive scaling, meaning that larger crews achieve more m³ per person than smaller crews due to specialization or coordination economies. The Late Archaic literature does not establish whether such economies operated at the crew sizes relevant for Watson Brake versus Poverty Point, so the §6.3 closure should be read as consistent only under a fitted</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which would leave the framework underpredicting the 27,065 m³ by approximately 7.7-fold rather than the post-hoc-fitted 0.93-fold (near-exact match) achieved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w:t>
      </w:r>
    </w:p>
    <w:p>
      <w:pPr>
        <w:pStyle w:val="Compact"/>
        <w:numPr>
          <w:ilvl w:val="0"/>
          <w:numId w:val="1007"/>
        </w:numPr>
      </w:pPr>
      <w:r>
        <w:rPr>
          <w:rFonts w:ascii="Times New Roman" w:hAnsi="Times New Roman"/>
          <w:color w:val="000000"/>
          <w:sz w:val="22"/>
        </w:rP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rPr>
          <w:rFonts w:ascii="Times New Roman" w:hAnsi="Times New Roman"/>
          <w:color w:val="000000"/>
          <w:sz w:val="22"/>
        </w:rPr>
        <w:t xml:space="preserve">We highlight these limits to provide readers with a clear accounting of the framework’s empirical commitments. The framework’s distinctive contribution, beyond the cultural-historical alternatives, is the set of signed, discriminating predictions (f), (d), and (h): spatial-flow asymmetry, collapse-pathway ordering, and PP-vs-WB event-density ratio. Test (b) is a necessity-condition consistency test (a near-tie on the current proxies). The framework does not independently predict cross-site monument-volume magnitude independent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as (i) makes explicit.</w:t>
      </w:r>
    </w:p>
    <w:p>
      <w:pPr>
        <w:pStyle w:val="BodyText"/>
      </w:pPr>
      <w:r>
        <w:rPr>
          <w:rFonts w:ascii="Times New Roman" w:hAnsi="Times New Roman"/>
          <w:color w:val="000000"/>
          <w:sz w:val="22"/>
        </w:rP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rPr>
          <w:rFonts w:ascii="Times New Roman" w:hAnsi="Times New Roman"/>
          <w:color w:val="000000"/>
          <w:sz w:val="22"/>
        </w:rP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rPr>
          <w:rFonts w:ascii="Times New Roman" w:hAnsi="Times New Roman"/>
          <w:color w:val="000000"/>
          <w:sz w:val="22"/>
        </w:rPr>
        <w:t xml:space="preserve">Existing data support the demonstrations of calibration, distance decay, paleoclimate, chronology, and consistency with Watson Brake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yet to develop.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rPr>
          <w:rFonts w:ascii="Times New Roman" w:hAnsi="Times New Roman"/>
          <w:color w:val="000000"/>
          <w:sz w:val="22"/>
        </w:rP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rather than treat it as exogenous. We have implemented a minimal version (band allocation among 11 candidate LMV sites, including canoe-day travel costs) for verification purposes. The full version remains future work. A within-month time-step model with species-resolved subsistence dynamics and a phenology calendar built from independent regional ecological data (modern fish, game, and plant phenology for the region) rather than from the archaeological seasonality interpretations the test evaluates would assess the framework’s seasonality prediction non-circularly. A paleo-discharge-resolved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the focal-site scale would replace the modern hydrograph-as-proxy treatment used in our preliminary regional analysis.</w:t>
      </w:r>
    </w:p>
    <w:p>
      <w:pPr>
        <w:pStyle w:val="BodyText"/>
      </w:pPr>
      <w:r>
        <w:rPr>
          <w:rFonts w:ascii="Times New Roman" w:hAnsi="Times New Roman"/>
          <w:color w:val="000000"/>
          <w:sz w:val="22"/>
        </w:rP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rPr>
          <w:rFonts w:ascii="Times New Roman" w:hAnsi="Times New Roman"/>
          <w:b w:val="0"/>
          <w:i w:val="0"/>
          <w:color w:val="000000"/>
          <w:sz w:val="22"/>
          <w:u w:val="single"/>
        </w:rPr>
        <w:t xml:space="preserve">7.5 Implications for hunter-gatherer archaeology more broadly</w:t>
      </w:r>
    </w:p>
    <w:p>
      <w:pPr>
        <w:pStyle w:val="FirstParagraph"/>
      </w:pPr>
      <w:r>
        <w:rPr>
          <w:rFonts w:ascii="Times New Roman" w:hAnsi="Times New Roman"/>
          <w:color w:val="000000"/>
          <w:sz w:val="22"/>
        </w:rP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a lack of capacity for cooperation or symbolic life.</w:t>
      </w:r>
    </w:p>
    <w:p>
      <w:pPr>
        <w:pStyle w:val="BodyText"/>
      </w:pPr>
      <w:r>
        <w:rPr>
          <w:rFonts w:ascii="Times New Roman" w:hAnsi="Times New Roman"/>
          <w:color w:val="000000"/>
          <w:sz w:val="22"/>
        </w:rPr>
        <w:t xml:space="preserve">The framework’s predictions for adjacent eastern Archaic traditions are worth naming concretely to identify where it should and should not place sites above the threshold. None is a tested prediction. All are conditional placements that we report so the framework’s operational specificity is visible to the reader, with the explicit caveat that we have not applied the static rubric or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to any of them. Three traditions matter most for the comparison.</w:t>
      </w:r>
    </w:p>
    <w:p>
      <w:pPr>
        <w:pStyle w:val="BodyText"/>
      </w:pPr>
      <w:r>
        <w:rPr>
          <w:rFonts w:ascii="Times New Roman" w:hAnsi="Times New Roman"/>
          <w:i/>
          <w:iCs/>
          <w:color w:val="000000"/>
          <w:sz w:val="22"/>
        </w:rPr>
        <w:t xml:space="preserve">Stallings Island and the interior Stallings shell-mound tradition</w:t>
      </w:r>
      <w:r>
        <w:rPr>
          <w:rFonts w:ascii="Times New Roman" w:hAnsi="Times New Roman"/>
          <w:color w:val="000000"/>
          <w:sz w:val="22"/>
        </w:rPr>
        <w:t xml:space="preserve"> </w:t>
      </w:r>
      <w:r>
        <w:rPr>
          <w:rFonts w:ascii="Times New Roman" w:hAnsi="Times New Roman"/>
          <w:color w:val="000000"/>
          <w:sz w:val="22"/>
        </w:rPr>
        <w:t xml:space="preserve">on the Savannah River (4500-3500 cal BP; Sassaman 2006). These are interior shell mounds at the Fall Line, not the coastal shell-ring tradition (St. Catherines, Sapelo, Skidaway) that some readings confuse them with. Stallings Island integrates riverine aquatic resources, oak-hickory uplands, and Piedmont edge ecotones. The framework would place it in a moderately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band.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Stallings, with its documented multi-tradition assembly (Stallings, Awendaw, Thom’s Creek) on the Savannah, is more comparable to early Jaketown than to PP. The framework would predict above-threshold operation at WB-scale magnitude rather than PP-scale.</w:t>
      </w:r>
    </w:p>
    <w:p>
      <w:pPr>
        <w:pStyle w:val="BodyText"/>
      </w:pPr>
      <w:r>
        <w:rPr>
          <w:rFonts w:ascii="Times New Roman" w:hAnsi="Times New Roman"/>
          <w:i/>
          <w:iCs/>
          <w:color w:val="000000"/>
          <w:sz w:val="22"/>
        </w:rPr>
        <w:t xml:space="preserve">Green River shell mound complex</w:t>
      </w:r>
      <w:r>
        <w:rPr>
          <w:rFonts w:ascii="Times New Roman" w:hAnsi="Times New Roman"/>
          <w:color w:val="000000"/>
          <w:sz w:val="22"/>
        </w:rPr>
        <w:t xml:space="preserve"> </w:t>
      </w:r>
      <w:r>
        <w:rPr>
          <w:rFonts w:ascii="Times New Roman" w:hAnsi="Times New Roman"/>
          <w:color w:val="000000"/>
          <w:sz w:val="22"/>
        </w:rPr>
        <w:t xml:space="preserve">in Kentucky (5800-4000 cal BP; Marquardt and Watson 2005). The high-</w:t>
      </w:r>
      <m:oMath>
        <m:r>
          <m:t>ε</m:t>
        </m:r>
      </m:oMath>
      <w:r>
        <w:rPr>
          <w:rFonts w:ascii="Times New Roman" w:hAnsi="Times New Roman"/>
          <w:color w:val="000000"/>
          <w:sz w:val="22"/>
        </w:rPr>
        <w:t xml:space="preserve"> </w:t>
      </w:r>
      <w:r>
        <w:rPr>
          <w:rFonts w:ascii="Times New Roman" w:hAnsi="Times New Roman"/>
          <w:color w:val="000000"/>
          <w:sz w:val="22"/>
        </w:rPr>
        <w:t xml:space="preserve">reading the framework supports comes from integration of riverine, terrace, oak-hickory upland, and bottomland zones at Indian Knoll, Carlston Annis, and adjacent sites. The catchment scale is comparable to interior LMV sites. The Indian Knoll case is particularly relevant to the framework’s signaling reading on independent grounds: 1,000+ burials with differential grave-good distributions, including Marine Shell at distances comparable to LMV exotic-source distances, place this complex within the same long-distance exchange network that the LMV monument-builders participated in. Indian Knoll is therefore the cleanest external comparator for the framework’s exchange-side claims. In contrast, the absence of monumental architecture at Green River sites (despite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documented long-distance exchange) makes it a useful test of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 the framework predicts a sites with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but small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not produce monumental architecture, only the exchange-side correlates. The Green River case is consistent with this prediction.</w:t>
      </w:r>
    </w:p>
    <w:p>
      <w:pPr>
        <w:pStyle w:val="BodyText"/>
      </w:pPr>
      <w:r>
        <w:rPr>
          <w:rFonts w:ascii="Times New Roman" w:hAnsi="Times New Roman"/>
          <w:i/>
          <w:iCs/>
          <w:color w:val="000000"/>
          <w:sz w:val="22"/>
        </w:rPr>
        <w:t xml:space="preserve">Mulberry Creek and the Tennessee Valley shell-mound tradition</w:t>
      </w:r>
      <w:r>
        <w:rPr>
          <w:rFonts w:ascii="Times New Roman" w:hAnsi="Times New Roman"/>
          <w:color w:val="000000"/>
          <w:sz w:val="22"/>
        </w:rPr>
        <w:t xml:space="preserve"> </w:t>
      </w:r>
      <w:r>
        <w:rPr>
          <w:rFonts w:ascii="Times New Roman" w:hAnsi="Times New Roman"/>
          <w:color w:val="000000"/>
          <w:sz w:val="22"/>
        </w:rPr>
        <w:t xml:space="preserve">(Eva, Mulberry Creek, Little Bear Creek; ca. 6000-4000 cal BP; Webb 1939; Sassaman 2010). The Tennessee Valley tradition is closer in date to the Middle Archaic Watson Brake horizon than to the Late Archaic Poverty Point horizon. The framework’s relevant external comparison for these sites is therefore to WB rather than to PP. Tennessee River aquatic resources, mast-forest uplands, and limestone-derived soils give Mulberry Creek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The framework would predict shell-mound investment (which is documented) at a WB-scale magnitude rather than at a PP-scale.</w:t>
      </w:r>
    </w:p>
    <w:p>
      <w:pPr>
        <w:pStyle w:val="BodyText"/>
      </w:pPr>
      <w:r>
        <w:rPr>
          <w:rFonts w:ascii="Times New Roman" w:hAnsi="Times New Roman"/>
          <w:color w:val="000000"/>
          <w:sz w:val="22"/>
        </w:rPr>
        <w:t xml:space="preserve">The Western Eastern Woodlands prairie settings of comparable date are the relevant negative case: the framework would not predict monument-scale investment, because the prairie ecotone configuration reduces zone count and removes the multi-drainage covariance buffering that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have. Determining whether each of these placements matches the documented record requires applying the rubric and the convergence 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which we have not done here. The Green River / Indian Knoll comparison is the cleanest external test the framework currently supports, particularly for the exchange-side spatial-flow signature. The Stallings and Mulberry Creek cases would generalize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w:t>
      </w:r>
    </w:p>
    <w:p>
      <w:pPr>
        <w:pStyle w:val="BodyText"/>
      </w:pPr>
      <w:r>
        <w:rPr>
          <w:rFonts w:ascii="Times New Roman" w:hAnsi="Times New Roman"/>
          <w:color w:val="000000"/>
          <w:sz w:val="22"/>
        </w:rPr>
        <w:t xml:space="preserve">None of these is a tested prediction. Instead,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rPr>
          <w:rFonts w:ascii="Times New Roman" w:hAnsi="Times New Roman"/>
          <w:b w:val="0"/>
          <w:i/>
          <w:color w:val="000000"/>
          <w:sz w:val="24"/>
          <w:u w:val="none"/>
        </w:rPr>
        <w:t xml:space="preserve">8. Conclusions</w:t>
      </w:r>
    </w:p>
    <w:p>
      <w:pPr>
        <w:pStyle w:val="FirstParagraph"/>
      </w:pPr>
      <w:r>
        <w:rPr>
          <w:rFonts w:ascii="Times New Roman" w:hAnsi="Times New Roman"/>
          <w:color w:val="000000"/>
          <w:sz w:val="22"/>
        </w:rP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rPr>
          <w:rFonts w:ascii="Times New Roman" w:hAnsi="Times New Roman"/>
          <w:color w:val="000000"/>
          <w:sz w:val="22"/>
        </w:rPr>
        <w:t xml:space="preserve">We evaluate the framework against the LMV record through eight separate tests. The inferential ledger, separating tests that discriminate the framework from cultural-historical alternatives from tests that demonstrate internal consistency or check necessary conditions, is as follows:</w:t>
      </w:r>
    </w:p>
    <w:p>
      <w:pPr>
        <w:pStyle w:val="BodyText"/>
      </w:pPr>
      <w:r>
        <w:rPr>
          <w:rFonts w:ascii="Times New Roman" w:hAnsi="Times New Roman"/>
          <w:i/>
          <w:iCs/>
          <w:color w:val="000000"/>
          <w:sz w:val="22"/>
        </w:rPr>
        <w:t xml:space="preserve">Signed discriminating predictions against cultural-historical alternatives (three tests).</w:t>
      </w:r>
      <w:r>
        <w:rPr>
          <w:rFonts w:ascii="Times New Roman" w:hAnsi="Times New Roman"/>
          <w:color w:val="000000"/>
          <w:sz w:val="22"/>
        </w:rPr>
        <w:t xml:space="preserve"> </w:t>
      </w:r>
      <w:r>
        <w:rPr>
          <w:rFonts w:ascii="Times New Roman" w:hAnsi="Times New Roman"/>
          <w:color w:val="000000"/>
          <w:sz w:val="22"/>
        </w:rPr>
        <w:t xml:space="preserve">The concentration-ratio asymmetry signature of §6.1 is the framework’s primary discriminating empirical claim: under a partner-choice premium at the gathering, exotic material should accumulate disproportionately at the hub with only low-magnitude personal-effects leakage to visitor-band home territories. The LMV record matches (Smith 1991; Gibson and Griffing 1994; Mitch 2023; Kidder and Grooms 2025:7), and the observed concentration pattern is what the framework predicts, but not what generic transport-cost, social-storage risk-pooling, and pure-risk-pooling-with-archaeologically-invisible-media alternatives predict. The collapse-pathway ordering prediction of §7.3 and §7.4(d) is the second discriminating test: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before exotic-network attrition, while its</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the reverse. Cultural-historical accounts do not specify this ordering. The data at the resolution required to perform the test does not currently exist. The PP-vs-WB event-density contrast of §6.8 and §7.4(h) is the third discriminating test: the signal-half-life logic predicts an order-of-magnitude higher event density at PP than at WB, the existing record shows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in the predicted direction (robust to event-unit incommensurability between the two sites), and the cultural-historical alternatives do not derive this ratio from first principles.</w:t>
      </w:r>
    </w:p>
    <w:p>
      <w:pPr>
        <w:pStyle w:val="BodyText"/>
      </w:pPr>
      <w:r>
        <w:rPr>
          <w:rFonts w:ascii="Times New Roman" w:hAnsi="Times New Roman"/>
          <w:i/>
          <w:iCs/>
          <w:color w:val="000000"/>
          <w:sz w:val="22"/>
        </w:rPr>
        <w:t xml:space="preserve">Necessity-condition test (one test, near-tie on current proxies).</w:t>
      </w:r>
      <w:r>
        <w:rPr>
          <w:rFonts w:ascii="Times New Roman" w:hAnsi="Times New Roman"/>
          <w:color w:val="000000"/>
          <w:sz w:val="22"/>
        </w:rPr>
        <w:t xml:space="preserve"> </w:t>
      </w:r>
      <w:r>
        <w:rPr>
          <w:rFonts w:ascii="Times New Roman" w:hAnsi="Times New Roman"/>
          <w:color w:val="000000"/>
          <w:sz w:val="22"/>
        </w:rPr>
        <w:t xml:space="preserve">The paleoclimate threshold-proximity test (§6.2), conditioned on the calibrated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lands at posterior probability</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priors. The width of this range reflects uncertainty in both the paleoclimate inputs and the model parameters. Poverty Point sits within the threshold zone, but the above-versus-below binary remains unresolved with the proxies currently in use. We treat this as a necessity-condition test because we know aggregation occurred at PP. The test asks whether the framework’s identified necessary conditions are consistent with that fact.</w:t>
      </w:r>
    </w:p>
    <w:p>
      <w:pPr>
        <w:pStyle w:val="BodyText"/>
      </w:pPr>
      <w:r>
        <w:rPr>
          <w:rFonts w:ascii="Times New Roman" w:hAnsi="Times New Roman"/>
          <w:i/>
          <w:iCs/>
          <w:color w:val="000000"/>
          <w:sz w:val="22"/>
        </w:rPr>
        <w:t xml:space="preserve">Consistency demonstrations conditional on inputs (four tests).</w:t>
      </w:r>
      <w:r>
        <w:rPr>
          <w:rFonts w:ascii="Times New Roman" w:hAnsi="Times New Roman"/>
          <w:color w:val="000000"/>
          <w:sz w:val="22"/>
        </w:rPr>
        <w:t xml:space="preserve"> </w:t>
      </w:r>
      <w:r>
        <w:rPr>
          <w:rFonts w:ascii="Times New Roman" w:hAnsi="Times New Roman"/>
          <w:color w:val="000000"/>
          <w:sz w:val="22"/>
        </w:rPr>
        <w:t xml:space="preserve">The volume calibration (§6.1) is, by definition, fit to the PP target. The interior-vs-coastal screening (§6.4) distinguishes the high-</w:t>
      </w:r>
      <m:oMath>
        <m:r>
          <m:t>ε</m:t>
        </m:r>
      </m:oMath>
      <w:r>
        <w:rPr>
          <w:rFonts w:ascii="Times New Roman" w:hAnsi="Times New Roman"/>
          <w:color w:val="000000"/>
          <w:sz w:val="22"/>
        </w:rPr>
        <w:t xml:space="preserve"> </w:t>
      </w:r>
      <w:r>
        <w:rPr>
          <w:rFonts w:ascii="Times New Roman" w:hAnsi="Times New Roman"/>
          <w:color w:val="000000"/>
          <w:sz w:val="22"/>
        </w:rPr>
        <w:t xml:space="preserve">interior monument-building sites from the low-</w:t>
      </w:r>
      <m:oMath>
        <m:r>
          <m:t>ε</m:t>
        </m:r>
      </m:oMath>
      <w:r>
        <w:rPr>
          <w:rFonts w:ascii="Times New Roman" w:hAnsi="Times New Roman"/>
          <w:color w:val="000000"/>
          <w:sz w:val="22"/>
        </w:rPr>
        <w:t xml:space="preserve"> </w:t>
      </w:r>
      <w:r>
        <w:rPr>
          <w:rFonts w:ascii="Times New Roman" w:hAnsi="Times New Roman"/>
          <w:color w:val="000000"/>
          <w:sz w:val="22"/>
        </w:rPr>
        <w:t xml:space="preserve">Pearl River coastal pair. Its sample is drawn from the known LMV monument-builder inventory plus the natural coastal negative case. As a consequence, the</w:t>
      </w:r>
      <w:r>
        <w:rPr>
          <w:rFonts w:ascii="Times New Roman" w:hAnsi="Times New Roman"/>
          <w:color w:val="000000"/>
          <w:sz w:val="22"/>
        </w:rPr>
        <w:t xml:space="preserve"> </w:t>
      </w:r>
      <w:r>
        <w:rPr>
          <w:rFonts w:ascii="Times New Roman" w:hAnsi="Times New Roman"/>
          <w:color w:val="000000"/>
          <w:sz w:val="22"/>
        </w:rPr>
        <w:t xml:space="preserve">“9 of 9 interior sites pass”</w:t>
      </w:r>
      <w:r>
        <w:rPr>
          <w:rFonts w:ascii="Times New Roman" w:hAnsi="Times New Roman"/>
          <w:color w:val="000000"/>
          <w:sz w:val="22"/>
        </w:rPr>
        <w:t xml:space="preserve"> </w:t>
      </w:r>
      <w:r>
        <w:rPr>
          <w:rFonts w:ascii="Times New Roman" w:hAnsi="Times New Roman"/>
          <w:color w:val="000000"/>
          <w:sz w:val="22"/>
        </w:rPr>
        <w:t xml:space="preserve">result is conditional on how the sample was assembled rather than a discriminating test against a random spatial frame. The Watson Brake closure (§6.3) requires per-event labor-scaling and regime-switching parameters chosen to bracket the WB observation. This result is consistent with the observed scale rather than a passed test. The cross-site magnitude correlation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but the partial-correlation decomposition shows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once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conditioned. Magnitude, therefore, is not a framework claim. The within-year aggregation-timing test (§6.7) is partly tautological because the phenology calendar comes from the same Webb (1982) and Jackson (1986) sources that inform the published seasonal interpretation. The distance-decay rank correlation (§6.1) returns</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across four materials. It does not discriminate the signaling-mediated acquisition mechanism from a generic transport-cost or down-the-line exchange model that would produce the same monotonic ordering. We report this result here for completeness as a consistency demonstration rather than a discriminating result.</w:t>
      </w:r>
    </w:p>
    <w:p>
      <w:pPr>
        <w:pStyle w:val="BodyText"/>
      </w:pPr>
      <w:r>
        <w:rPr>
          <w:rFonts w:ascii="Times New Roman" w:hAnsi="Times New Roman"/>
          <w:color w:val="000000"/>
          <w:sz w:val="22"/>
        </w:rPr>
        <w:t xml:space="preserve">The framework’s distinctive empirical content lies in the three signed discriminating predictions enumerated above, not in the consistency demonstrations, nor in the threshold location (which the §4.3 ablation showed does not adjudicate between signaling and network-cooperation accounts that share the buffering mechanism). The §7.4(f) sharpening study (controlled provenience analysis at sites whose visitor-band participation is independently established) would tighten the spatial-flow test from coarse asymmetry to fine-grained asymmetry patterning. High-resolution Bayesian dating of terminal-occupation deposits (§7.4(d)) would discriminate the collapse pathways. The §7.4(h) extension of event-density comparison to additional LMV sites would generalize the third discriminating test. Its empirical agenda is organized around these three signed predictions plus the necessity-condition refinements identified in §7.4 and §7.5.</w:t>
      </w:r>
    </w:p>
    <w:p>
      <w:pPr>
        <w:pStyle w:val="BodyText"/>
      </w:pPr>
      <w:r>
        <w:rPr>
          <w:rFonts w:ascii="Times New Roman" w:hAnsi="Times New Roman"/>
          <w:color w:val="000000"/>
          <w:sz w:val="22"/>
        </w:rP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rPr>
          <w:rFonts w:ascii="Times New Roman" w:hAnsi="Times New Roman"/>
          <w:color w:val="000000"/>
          <w:sz w:val="22"/>
        </w:rPr>
        <w:t xml:space="preserve">The framework’s eight independently weighted, falsifiable predictions (§7.4), along with the heavier model extensions and data-collection priorities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rPr>
          <w:rFonts w:ascii="Times New Roman" w:hAnsi="Times New Roman"/>
          <w:b w:val="0"/>
          <w:i/>
          <w:color w:val="000000"/>
          <w:sz w:val="24"/>
          <w:u w:val="none"/>
        </w:rPr>
        <w:t xml:space="preserve">Acknowledgments</w:t>
      </w:r>
    </w:p>
    <w:p>
      <w:pPr>
        <w:pStyle w:val="FirstParagraph"/>
      </w:pPr>
      <w:r>
        <w:rPr>
          <w:rFonts w:ascii="Times New Roman" w:hAnsi="Times New Roman"/>
          <w:color w:val="000000"/>
          <w:sz w:val="22"/>
        </w:rP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rPr>
          <w:rFonts w:ascii="Times New Roman" w:hAnsi="Times New Roman"/>
          <w:b w:val="0"/>
          <w:i/>
          <w:color w:val="000000"/>
          <w:sz w:val="24"/>
          <w:u w:val="none"/>
        </w:rPr>
        <w:t xml:space="preserve">Data Availability</w:t>
      </w:r>
    </w:p>
    <w:p>
      <w:pPr>
        <w:pStyle w:val="FirstParagraph"/>
      </w:pPr>
      <w:r>
        <w:rPr>
          <w:rFonts w:ascii="Times New Roman" w:hAnsi="Times New Roman"/>
          <w:color w:val="000000"/>
          <w:sz w:val="22"/>
        </w:rP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of the code release will be archived on Zenodo with a DOI before publication.</w:t>
      </w:r>
    </w:p>
    <w:bookmarkEnd w:id="90"/>
    <w:bookmarkStart w:id="91" w:name="references-cited"/>
    <w:p>
      <w:pPr>
        <w:pStyle w:val="Heading2"/>
      </w:pPr>
      <w:r>
        <w:rPr>
          <w:rFonts w:ascii="Times New Roman" w:hAnsi="Times New Roman"/>
          <w:b w:val="0"/>
          <w:i/>
          <w:color w:val="000000"/>
          <w:sz w:val="24"/>
          <w:u w:val="none"/>
        </w:rPr>
        <w:t xml:space="preserve">References Cited</w:t>
      </w:r>
    </w:p>
    <w:p>
      <w:pPr>
        <w:pStyle w:val="FirstParagraph"/>
      </w:pPr>
      <w:r>
        <w:rPr>
          <w:rFonts w:ascii="Times New Roman" w:hAnsi="Times New Roman"/>
          <w:color w:val="000000"/>
          <w:sz w:val="22"/>
        </w:rPr>
        <w:t xml:space="preserve">Aslan, Andres, Whitney J. Autin, and Michael D. Blum. 2005. Causes of River Avulsion: Insights from the Late Holocene Avulsion History of the Mississippi River, U.S.A.</w:t>
      </w:r>
      <w:r>
        <w:rPr>
          <w:rFonts w:ascii="Times New Roman" w:hAnsi="Times New Roman"/>
          <w:color w:val="000000"/>
          <w:sz w:val="22"/>
        </w:rPr>
        <w:t xml:space="preserve"> </w:t>
      </w:r>
      <w:r>
        <w:rPr>
          <w:rFonts w:ascii="Times New Roman" w:hAnsi="Times New Roman"/>
          <w:i/>
          <w:iCs/>
          <w:color w:val="000000"/>
          <w:sz w:val="22"/>
        </w:rPr>
        <w:t xml:space="preserve">Journal of Sedimentary Research</w:t>
      </w:r>
      <w:r>
        <w:rPr>
          <w:rFonts w:ascii="Times New Roman" w:hAnsi="Times New Roman"/>
          <w:color w:val="000000"/>
          <w:sz w:val="22"/>
        </w:rPr>
        <w:t xml:space="preserve"> </w:t>
      </w:r>
      <w:r>
        <w:rPr>
          <w:rFonts w:ascii="Times New Roman" w:hAnsi="Times New Roman"/>
          <w:color w:val="000000"/>
          <w:sz w:val="22"/>
        </w:rPr>
        <w:t xml:space="preserve">75:650-664.</w:t>
      </w:r>
    </w:p>
    <w:p>
      <w:pPr>
        <w:pStyle w:val="BodyText"/>
      </w:pPr>
      <w:r>
        <w:rPr>
          <w:rFonts w:ascii="Times New Roman" w:hAnsi="Times New Roman"/>
          <w:color w:val="000000"/>
          <w:sz w:val="22"/>
        </w:rPr>
        <w:t xml:space="preserve">Baumgartel, Olivia C. 2024.</w:t>
      </w:r>
      <w:r>
        <w:rPr>
          <w:rFonts w:ascii="Times New Roman" w:hAnsi="Times New Roman"/>
          <w:color w:val="000000"/>
          <w:sz w:val="22"/>
        </w:rPr>
        <w:t xml:space="preserve"> </w:t>
      </w:r>
      <w:r>
        <w:rPr>
          <w:rFonts w:ascii="Times New Roman" w:hAnsi="Times New Roman"/>
          <w:i/>
          <w:iCs/>
          <w:color w:val="000000"/>
          <w:sz w:val="22"/>
        </w:rPr>
        <w:t xml:space="preserve">Creating a Chronology of Claiborne (22HA501): Revisiting and Revising Radiocarbon Assays of a Poverty Point Site</w:t>
      </w:r>
      <w:r>
        <w:rPr>
          <w:rFonts w:ascii="Times New Roman" w:hAnsi="Times New Roman"/>
          <w:color w:val="000000"/>
          <w:sz w:val="22"/>
        </w:rPr>
        <w:t xml:space="preserve">. M.A. thesis, Department of Anthropology and Middle Eastern Cultures, Mississippi State University, Mississippi State, Mississippi.</w:t>
      </w:r>
    </w:p>
    <w:p>
      <w:pPr>
        <w:pStyle w:val="BodyText"/>
      </w:pPr>
      <w:r>
        <w:rPr>
          <w:rFonts w:ascii="Times New Roman" w:hAnsi="Times New Roman"/>
          <w:color w:val="000000"/>
          <w:sz w:val="22"/>
        </w:rPr>
        <w:t xml:space="preserve">Bliege Bird, Rebecca, and Eric A. Smith. 2005. Signaling Theory, Strategic Interaction, and Symbolic Capital.</w:t>
      </w:r>
      <w:r>
        <w:rPr>
          <w:rFonts w:ascii="Times New Roman" w:hAnsi="Times New Roman"/>
          <w:color w:val="000000"/>
          <w:sz w:val="22"/>
        </w:rPr>
        <w:t xml:space="preserve"> </w:t>
      </w:r>
      <w:r>
        <w:rPr>
          <w:rFonts w:ascii="Times New Roman" w:hAnsi="Times New Roman"/>
          <w:i/>
          <w:iCs/>
          <w:color w:val="000000"/>
          <w:sz w:val="22"/>
        </w:rPr>
        <w:t xml:space="preserve">Current Anthropology</w:t>
      </w:r>
      <w:r>
        <w:rPr>
          <w:rFonts w:ascii="Times New Roman" w:hAnsi="Times New Roman"/>
          <w:color w:val="000000"/>
          <w:sz w:val="22"/>
        </w:rPr>
        <w:t xml:space="preserve"> </w:t>
      </w:r>
      <w:r>
        <w:rPr>
          <w:rFonts w:ascii="Times New Roman" w:hAnsi="Times New Roman"/>
          <w:color w:val="000000"/>
          <w:sz w:val="22"/>
        </w:rPr>
        <w:t xml:space="preserve">46:221-248.</w:t>
      </w:r>
    </w:p>
    <w:p>
      <w:pPr>
        <w:pStyle w:val="BodyText"/>
      </w:pPr>
      <w:r>
        <w:rPr>
          <w:rFonts w:ascii="Times New Roman" w:hAnsi="Times New Roman"/>
          <w:color w:val="000000"/>
          <w:sz w:val="22"/>
        </w:rPr>
        <w:t xml:space="preserve">Blurton Jones, Nicholas G., Kristen Hawkes, and James F. O’Connell. 1997. Why Do Hadza Children Forage? In</w:t>
      </w:r>
      <w:r>
        <w:rPr>
          <w:rFonts w:ascii="Times New Roman" w:hAnsi="Times New Roman"/>
          <w:color w:val="000000"/>
          <w:sz w:val="22"/>
        </w:rPr>
        <w:t xml:space="preserve"> </w:t>
      </w:r>
      <w:r>
        <w:rPr>
          <w:rFonts w:ascii="Times New Roman" w:hAnsi="Times New Roman"/>
          <w:i/>
          <w:iCs/>
          <w:color w:val="000000"/>
          <w:sz w:val="22"/>
        </w:rPr>
        <w:t xml:space="preserve">Uniting Psychology and Biology: Integrative Perspectives on Human Development</w:t>
      </w:r>
      <w:r>
        <w:rPr>
          <w:rFonts w:ascii="Times New Roman" w:hAnsi="Times New Roman"/>
          <w:color w:val="000000"/>
          <w:sz w:val="22"/>
        </w:rPr>
        <w:t xml:space="preserve">, edited by Nancy L. Segal, Glenn E. Weisfeld, and Carol C. Weisfeld, pp. 279-313. American Psychological Association, Washington, D.C.</w:t>
      </w:r>
    </w:p>
    <w:p>
      <w:pPr>
        <w:pStyle w:val="BodyText"/>
      </w:pPr>
      <w:r>
        <w:rPr>
          <w:rFonts w:ascii="Times New Roman" w:hAnsi="Times New Roman"/>
          <w:color w:val="000000"/>
          <w:sz w:val="22"/>
        </w:rPr>
        <w:t xml:space="preserve">Boudreaux, Edmond A., III. 2015.</w:t>
      </w:r>
      <w:r>
        <w:rPr>
          <w:rFonts w:ascii="Times New Roman" w:hAnsi="Times New Roman"/>
          <w:color w:val="000000"/>
          <w:sz w:val="22"/>
        </w:rPr>
        <w:t xml:space="preserve"> </w:t>
      </w:r>
      <w:r>
        <w:rPr>
          <w:rFonts w:ascii="Times New Roman" w:hAnsi="Times New Roman"/>
          <w:i/>
          <w:iCs/>
          <w:color w:val="000000"/>
          <w:sz w:val="22"/>
        </w:rPr>
        <w:t xml:space="preserve">Archaeological Investigations at Jackson Landing: An Early Late Woodland Mound and Earthwork Site in Coastal Mississippi</w:t>
      </w:r>
      <w:r>
        <w:rPr>
          <w:rFonts w:ascii="Times New Roman" w:hAnsi="Times New Roman"/>
          <w:color w:val="000000"/>
          <w:sz w:val="22"/>
        </w:rPr>
        <w:t xml:space="preserve">. Archaeological Report No. 36. Mississippi Department of Archives and History, Jackson.</w:t>
      </w:r>
    </w:p>
    <w:p>
      <w:pPr>
        <w:pStyle w:val="BodyText"/>
      </w:pPr>
      <w:r>
        <w:rPr>
          <w:rFonts w:ascii="Times New Roman" w:hAnsi="Times New Roman"/>
          <w:color w:val="000000"/>
          <w:sz w:val="22"/>
        </w:rPr>
        <w:t xml:space="preserve">Brent, Richard P. 1973.</w:t>
      </w:r>
      <w:r>
        <w:rPr>
          <w:rFonts w:ascii="Times New Roman" w:hAnsi="Times New Roman"/>
          <w:color w:val="000000"/>
          <w:sz w:val="22"/>
        </w:rPr>
        <w:t xml:space="preserve"> </w:t>
      </w:r>
      <w:r>
        <w:rPr>
          <w:rFonts w:ascii="Times New Roman" w:hAnsi="Times New Roman"/>
          <w:i/>
          <w:iCs/>
          <w:color w:val="000000"/>
          <w:sz w:val="22"/>
        </w:rPr>
        <w:t xml:space="preserve">Algorithms for Minimization without Derivatives</w:t>
      </w:r>
      <w:r>
        <w:rPr>
          <w:rFonts w:ascii="Times New Roman" w:hAnsi="Times New Roman"/>
          <w:color w:val="000000"/>
          <w:sz w:val="22"/>
        </w:rPr>
        <w:t xml:space="preserve">. Prentice-Hall, Englewood Cliffs, New Jersey.</w:t>
      </w:r>
    </w:p>
    <w:p>
      <w:pPr>
        <w:pStyle w:val="BodyText"/>
      </w:pPr>
      <w:r>
        <w:rPr>
          <w:rFonts w:ascii="Times New Roman" w:hAnsi="Times New Roman"/>
          <w:color w:val="000000"/>
          <w:sz w:val="22"/>
        </w:rPr>
        <w:t xml:space="preserve">Brusse, Carl, Toby Handfield, and Kevin J. S. Zollman. 2022. Explaining Costly Religious Practices: Credibility Enhancing Displays and Signaling Theories.</w:t>
      </w:r>
      <w:r>
        <w:rPr>
          <w:rFonts w:ascii="Times New Roman" w:hAnsi="Times New Roman"/>
          <w:color w:val="000000"/>
          <w:sz w:val="22"/>
        </w:rPr>
        <w:t xml:space="preserve"> </w:t>
      </w:r>
      <w:r>
        <w:rPr>
          <w:rFonts w:ascii="Times New Roman" w:hAnsi="Times New Roman"/>
          <w:i/>
          <w:iCs/>
          <w:color w:val="000000"/>
          <w:sz w:val="22"/>
        </w:rPr>
        <w:t xml:space="preserve">Synthese</w:t>
      </w:r>
      <w:r>
        <w:rPr>
          <w:rFonts w:ascii="Times New Roman" w:hAnsi="Times New Roman"/>
          <w:color w:val="000000"/>
          <w:sz w:val="22"/>
        </w:rPr>
        <w:t xml:space="preserve"> </w:t>
      </w:r>
      <w:r>
        <w:rPr>
          <w:rFonts w:ascii="Times New Roman" w:hAnsi="Times New Roman"/>
          <w:color w:val="000000"/>
          <w:sz w:val="22"/>
        </w:rPr>
        <w:t xml:space="preserve">200(3):249. https://doi.org/10.1007/s11229-022-03742-7</w:t>
      </w:r>
    </w:p>
    <w:p>
      <w:pPr>
        <w:pStyle w:val="BodyText"/>
      </w:pPr>
      <w:r>
        <w:rPr>
          <w:rFonts w:ascii="Times New Roman" w:hAnsi="Times New Roman"/>
          <w:color w:val="000000"/>
          <w:sz w:val="22"/>
        </w:rPr>
        <w:t xml:space="preserve">Cajete, Gregory. 2000.</w:t>
      </w:r>
      <w:r>
        <w:rPr>
          <w:rFonts w:ascii="Times New Roman" w:hAnsi="Times New Roman"/>
          <w:color w:val="000000"/>
          <w:sz w:val="22"/>
        </w:rPr>
        <w:t xml:space="preserve"> </w:t>
      </w:r>
      <w:r>
        <w:rPr>
          <w:rFonts w:ascii="Times New Roman" w:hAnsi="Times New Roman"/>
          <w:i/>
          <w:iCs/>
          <w:color w:val="000000"/>
          <w:sz w:val="22"/>
        </w:rPr>
        <w:t xml:space="preserve">Native Science: Natural Laws of Interdependence</w:t>
      </w:r>
      <w:r>
        <w:rPr>
          <w:rFonts w:ascii="Times New Roman" w:hAnsi="Times New Roman"/>
          <w:color w:val="000000"/>
          <w:sz w:val="22"/>
        </w:rPr>
        <w:t xml:space="preserve">. Clear Light Publishers, Santa Fe.</w:t>
      </w:r>
    </w:p>
    <w:p>
      <w:pPr>
        <w:pStyle w:val="BodyText"/>
      </w:pPr>
      <w:r>
        <w:rPr>
          <w:rFonts w:ascii="Times New Roman" w:hAnsi="Times New Roman"/>
          <w:color w:val="000000"/>
          <w:sz w:val="22"/>
        </w:rPr>
        <w:t xml:space="preserve">Carballo, David M. (editor). 2013.</w:t>
      </w:r>
      <w:r>
        <w:rPr>
          <w:rFonts w:ascii="Times New Roman" w:hAnsi="Times New Roman"/>
          <w:color w:val="000000"/>
          <w:sz w:val="22"/>
        </w:rPr>
        <w:t xml:space="preserve"> </w:t>
      </w:r>
      <w:r>
        <w:rPr>
          <w:rFonts w:ascii="Times New Roman" w:hAnsi="Times New Roman"/>
          <w:i/>
          <w:iCs/>
          <w:color w:val="000000"/>
          <w:sz w:val="22"/>
        </w:rPr>
        <w:t xml:space="preserve">Cooperation and Collective Action: Archaeological Perspectives</w:t>
      </w:r>
      <w:r>
        <w:rPr>
          <w:rFonts w:ascii="Times New Roman" w:hAnsi="Times New Roman"/>
          <w:color w:val="000000"/>
          <w:sz w:val="22"/>
        </w:rPr>
        <w:t xml:space="preserve">. University Press of Colorado, Boulder.</w:t>
      </w:r>
    </w:p>
    <w:p>
      <w:pPr>
        <w:pStyle w:val="BodyText"/>
      </w:pPr>
      <w:r>
        <w:rPr>
          <w:rFonts w:ascii="Times New Roman" w:hAnsi="Times New Roman"/>
          <w:color w:val="000000"/>
          <w:sz w:val="22"/>
        </w:rPr>
        <w:t xml:space="preserve">Carleton, W. Christopher, Brea McCauley, André Costopoulos, and Mark Collard. 2019. Agent-Based Model Experiments Cast Doubt on Dunnell’s Adaptive Waste Explanation for Cultural Elaboration.</w:t>
      </w:r>
      <w:r>
        <w:rPr>
          <w:rFonts w:ascii="Times New Roman" w:hAnsi="Times New Roman"/>
          <w:color w:val="000000"/>
          <w:sz w:val="22"/>
        </w:rPr>
        <w:t xml:space="preserve"> </w:t>
      </w:r>
      <w:r>
        <w:rPr>
          <w:rFonts w:ascii="Times New Roman" w:hAnsi="Times New Roman"/>
          <w:i/>
          <w:iCs/>
          <w:color w:val="000000"/>
          <w:sz w:val="22"/>
        </w:rPr>
        <w:t xml:space="preserve">STAR: Science &amp; Technology of Archaeological Research</w:t>
      </w:r>
      <w:r>
        <w:rPr>
          <w:rFonts w:ascii="Times New Roman" w:hAnsi="Times New Roman"/>
          <w:color w:val="000000"/>
          <w:sz w:val="22"/>
        </w:rPr>
        <w:t xml:space="preserve"> </w:t>
      </w:r>
      <w:r>
        <w:rPr>
          <w:rFonts w:ascii="Times New Roman" w:hAnsi="Times New Roman"/>
          <w:color w:val="000000"/>
          <w:sz w:val="22"/>
        </w:rPr>
        <w:t xml:space="preserve">5(1):1-17. https://doi.org/10.1080/20548923.2019.1647648</w:t>
      </w:r>
    </w:p>
    <w:p>
      <w:pPr>
        <w:pStyle w:val="BodyText"/>
      </w:pPr>
      <w:r>
        <w:rPr>
          <w:rFonts w:ascii="Times New Roman" w:hAnsi="Times New Roman"/>
          <w:color w:val="000000"/>
          <w:sz w:val="22"/>
        </w:rPr>
        <w:t xml:space="preserve">Clay, R. Berle. 2023. Two Types of Ritual Space at the Poverty Point Site 16WC5.</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88:187-206.</w:t>
      </w:r>
    </w:p>
    <w:p>
      <w:pPr>
        <w:pStyle w:val="BodyText"/>
      </w:pPr>
      <w:r>
        <w:rPr>
          <w:rFonts w:ascii="Times New Roman" w:hAnsi="Times New Roman"/>
          <w:color w:val="000000"/>
          <w:sz w:val="22"/>
        </w:rPr>
        <w:t xml:space="preserve">Codding, Brian F., and Terry L. Jones. 2007. Man the Showoff? Or the Ascendance of a Just-So Story: A Comment on Recent Applications of Costly Signaling Theory in American Archaeology.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72:349-357.</w:t>
      </w:r>
    </w:p>
    <w:p>
      <w:pPr>
        <w:pStyle w:val="BodyText"/>
      </w:pPr>
      <w:r>
        <w:rPr>
          <w:rFonts w:ascii="Times New Roman" w:hAnsi="Times New Roman"/>
          <w:color w:val="000000"/>
          <w:sz w:val="22"/>
        </w:rPr>
        <w:t xml:space="preserve">Cordova, V. F. 2007.</w:t>
      </w:r>
      <w:r>
        <w:rPr>
          <w:rFonts w:ascii="Times New Roman" w:hAnsi="Times New Roman"/>
          <w:color w:val="000000"/>
          <w:sz w:val="22"/>
        </w:rPr>
        <w:t xml:space="preserve"> </w:t>
      </w:r>
      <w:r>
        <w:rPr>
          <w:rFonts w:ascii="Times New Roman" w:hAnsi="Times New Roman"/>
          <w:i/>
          <w:iCs/>
          <w:color w:val="000000"/>
          <w:sz w:val="22"/>
        </w:rPr>
        <w:t xml:space="preserve">How It Is: The Native American Philosophy of V. F. Cordova</w:t>
      </w:r>
      <w:r>
        <w:rPr>
          <w:rFonts w:ascii="Times New Roman" w:hAnsi="Times New Roman"/>
          <w:color w:val="000000"/>
          <w:sz w:val="22"/>
        </w:rPr>
        <w:t xml:space="preserve">, edited by Kathleen Dean Moore, Kurt Peters, Ted Jojola, and Amber Lacy. University of Arizona Press, Tucson.</w:t>
      </w:r>
    </w:p>
    <w:p>
      <w:pPr>
        <w:pStyle w:val="BodyText"/>
      </w:pPr>
      <w:r>
        <w:rPr>
          <w:rFonts w:ascii="Times New Roman" w:hAnsi="Times New Roman"/>
          <w:color w:val="000000"/>
          <w:sz w:val="22"/>
        </w:rPr>
        <w:t xml:space="preserve">Deloria, Vine, Jr. 2003.</w:t>
      </w:r>
      <w:r>
        <w:rPr>
          <w:rFonts w:ascii="Times New Roman" w:hAnsi="Times New Roman"/>
          <w:color w:val="000000"/>
          <w:sz w:val="22"/>
        </w:rPr>
        <w:t xml:space="preserve"> </w:t>
      </w:r>
      <w:r>
        <w:rPr>
          <w:rFonts w:ascii="Times New Roman" w:hAnsi="Times New Roman"/>
          <w:i/>
          <w:iCs/>
          <w:color w:val="000000"/>
          <w:sz w:val="22"/>
        </w:rPr>
        <w:t xml:space="preserve">God Is Red: A Native View of Religion</w:t>
      </w:r>
      <w:r>
        <w:rPr>
          <w:rFonts w:ascii="Times New Roman" w:hAnsi="Times New Roman"/>
          <w:color w:val="000000"/>
          <w:sz w:val="22"/>
        </w:rPr>
        <w:t xml:space="preserve">, 30th anniversary edition. Fulcrum Publishing, Golden, Colorado.</w:t>
      </w:r>
    </w:p>
    <w:p>
      <w:pPr>
        <w:pStyle w:val="BodyText"/>
      </w:pPr>
      <w:r>
        <w:rPr>
          <w:rFonts w:ascii="Times New Roman" w:hAnsi="Times New Roman"/>
          <w:color w:val="000000"/>
          <w:sz w:val="22"/>
        </w:rPr>
        <w:t xml:space="preserve">Dunnell, Robert C. 1989. Aspects of the Application of Evolutionary Theory in Archaeology. In</w:t>
      </w:r>
      <w:r>
        <w:rPr>
          <w:rFonts w:ascii="Times New Roman" w:hAnsi="Times New Roman"/>
          <w:color w:val="000000"/>
          <w:sz w:val="22"/>
        </w:rPr>
        <w:t xml:space="preserve"> </w:t>
      </w:r>
      <w:r>
        <w:rPr>
          <w:rFonts w:ascii="Times New Roman" w:hAnsi="Times New Roman"/>
          <w:i/>
          <w:iCs/>
          <w:color w:val="000000"/>
          <w:sz w:val="22"/>
        </w:rPr>
        <w:t xml:space="preserve">Archaeological Thought in America</w:t>
      </w:r>
      <w:r>
        <w:rPr>
          <w:rFonts w:ascii="Times New Roman" w:hAnsi="Times New Roman"/>
          <w:color w:val="000000"/>
          <w:sz w:val="22"/>
        </w:rPr>
        <w:t xml:space="preserve">, edited by C. C. Lamberg-Karlovsky, pp. 35-49. Cambridge University Press, Cambridge.</w:t>
      </w:r>
    </w:p>
    <w:p>
      <w:pPr>
        <w:pStyle w:val="BodyText"/>
      </w:pPr>
      <w:r>
        <w:rPr>
          <w:rFonts w:ascii="Times New Roman" w:hAnsi="Times New Roman"/>
          <w:color w:val="000000"/>
          <w:sz w:val="22"/>
        </w:rPr>
        <w:t xml:space="preserve">Dunnell, Robert C., and Diana M. Greenlee. 1999. Late Woodland Period</w:t>
      </w:r>
      <w:r>
        <w:rPr>
          <w:rFonts w:ascii="Times New Roman" w:hAnsi="Times New Roman"/>
          <w:color w:val="000000"/>
          <w:sz w:val="22"/>
        </w:rPr>
        <w:t xml:space="preserve"> </w:t>
      </w:r>
      <w:r>
        <w:rPr>
          <w:rFonts w:ascii="Times New Roman" w:hAnsi="Times New Roman"/>
          <w:color w:val="000000"/>
          <w:sz w:val="22"/>
        </w:rPr>
        <w:t xml:space="preserve">“Waste”</w:t>
      </w:r>
      <w:r>
        <w:rPr>
          <w:rFonts w:ascii="Times New Roman" w:hAnsi="Times New Roman"/>
          <w:color w:val="000000"/>
          <w:sz w:val="22"/>
        </w:rPr>
        <w:t xml:space="preserve"> </w:t>
      </w:r>
      <w:r>
        <w:rPr>
          <w:rFonts w:ascii="Times New Roman" w:hAnsi="Times New Roman"/>
          <w:color w:val="000000"/>
          <w:sz w:val="22"/>
        </w:rPr>
        <w:t xml:space="preserve">Reduction in the Ohio River Valley.</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18:376-395.</w:t>
      </w:r>
    </w:p>
    <w:p>
      <w:pPr>
        <w:pStyle w:val="BodyText"/>
      </w:pPr>
      <w:r>
        <w:rPr>
          <w:rFonts w:ascii="Times New Roman" w:hAnsi="Times New Roman"/>
          <w:color w:val="000000"/>
          <w:sz w:val="22"/>
        </w:rPr>
        <w:t xml:space="preserve">Earle, Timothy. 1997.</w:t>
      </w:r>
      <w:r>
        <w:rPr>
          <w:rFonts w:ascii="Times New Roman" w:hAnsi="Times New Roman"/>
          <w:color w:val="000000"/>
          <w:sz w:val="22"/>
        </w:rPr>
        <w:t xml:space="preserve"> </w:t>
      </w:r>
      <w:r>
        <w:rPr>
          <w:rFonts w:ascii="Times New Roman" w:hAnsi="Times New Roman"/>
          <w:i/>
          <w:iCs/>
          <w:color w:val="000000"/>
          <w:sz w:val="22"/>
        </w:rPr>
        <w:t xml:space="preserve">How Chiefs Come to Power: The Political Economy in Prehistory</w:t>
      </w:r>
      <w:r>
        <w:rPr>
          <w:rFonts w:ascii="Times New Roman" w:hAnsi="Times New Roman"/>
          <w:color w:val="000000"/>
          <w:sz w:val="22"/>
        </w:rPr>
        <w:t xml:space="preserve">. Stanford University Press, Stanford.</w:t>
      </w:r>
    </w:p>
    <w:p>
      <w:pPr>
        <w:pStyle w:val="BodyText"/>
      </w:pPr>
      <w:r>
        <w:rPr>
          <w:rFonts w:ascii="Times New Roman" w:hAnsi="Times New Roman"/>
          <w:color w:val="000000"/>
          <w:sz w:val="22"/>
        </w:rPr>
        <w:t xml:space="preserve">Enquist, M., and O. Leimar. 1983. Evolution of Fighting Behavior: Decision Rules and Assessment of Relative Strength.</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102:387-410.</w:t>
      </w:r>
    </w:p>
    <w:p>
      <w:pPr>
        <w:pStyle w:val="BodyText"/>
      </w:pPr>
      <w:r>
        <w:rPr>
          <w:rFonts w:ascii="Times New Roman" w:hAnsi="Times New Roman"/>
          <w:color w:val="000000"/>
          <w:sz w:val="22"/>
        </w:rPr>
        <w:t xml:space="preserve">Erasmus, Charles J. 1965. Monument Building: Some Field Experiments.</w:t>
      </w:r>
      <w:r>
        <w:rPr>
          <w:rFonts w:ascii="Times New Roman" w:hAnsi="Times New Roman"/>
          <w:color w:val="000000"/>
          <w:sz w:val="22"/>
        </w:rPr>
        <w:t xml:space="preserve"> </w:t>
      </w:r>
      <w:r>
        <w:rPr>
          <w:rFonts w:ascii="Times New Roman" w:hAnsi="Times New Roman"/>
          <w:i/>
          <w:iCs/>
          <w:color w:val="000000"/>
          <w:sz w:val="22"/>
        </w:rPr>
        <w:t xml:space="preserve">Southwestern Journal of Anthropology</w:t>
      </w:r>
      <w:r>
        <w:rPr>
          <w:rFonts w:ascii="Times New Roman" w:hAnsi="Times New Roman"/>
          <w:color w:val="000000"/>
          <w:sz w:val="22"/>
        </w:rPr>
        <w:t xml:space="preserve"> </w:t>
      </w:r>
      <w:r>
        <w:rPr>
          <w:rFonts w:ascii="Times New Roman" w:hAnsi="Times New Roman"/>
          <w:color w:val="000000"/>
          <w:sz w:val="22"/>
        </w:rPr>
        <w:t xml:space="preserve">21:277-301.</w:t>
      </w:r>
    </w:p>
    <w:p>
      <w:pPr>
        <w:pStyle w:val="BodyText"/>
      </w:pPr>
      <w:r>
        <w:rPr>
          <w:rFonts w:ascii="Times New Roman" w:hAnsi="Times New Roman"/>
          <w:color w:val="000000"/>
          <w:sz w:val="22"/>
        </w:rPr>
        <w:t xml:space="preserve">Ford, James A. 1955. The Puzzle of Poverty Point.</w:t>
      </w:r>
      <w:r>
        <w:rPr>
          <w:rFonts w:ascii="Times New Roman" w:hAnsi="Times New Roman"/>
          <w:color w:val="000000"/>
          <w:sz w:val="22"/>
        </w:rPr>
        <w:t xml:space="preserve"> </w:t>
      </w:r>
      <w:r>
        <w:rPr>
          <w:rFonts w:ascii="Times New Roman" w:hAnsi="Times New Roman"/>
          <w:i/>
          <w:iCs/>
          <w:color w:val="000000"/>
          <w:sz w:val="22"/>
        </w:rPr>
        <w:t xml:space="preserve">Natural History</w:t>
      </w:r>
      <w:r>
        <w:rPr>
          <w:rFonts w:ascii="Times New Roman" w:hAnsi="Times New Roman"/>
          <w:color w:val="000000"/>
          <w:sz w:val="22"/>
        </w:rPr>
        <w:t xml:space="preserve"> </w:t>
      </w:r>
      <w:r>
        <w:rPr>
          <w:rFonts w:ascii="Times New Roman" w:hAnsi="Times New Roman"/>
          <w:color w:val="000000"/>
          <w:sz w:val="22"/>
        </w:rPr>
        <w:t xml:space="preserve">64:466-472.</w:t>
      </w:r>
    </w:p>
    <w:p>
      <w:pPr>
        <w:pStyle w:val="BodyText"/>
      </w:pPr>
      <w:r>
        <w:rPr>
          <w:rFonts w:ascii="Times New Roman" w:hAnsi="Times New Roman"/>
          <w:color w:val="000000"/>
          <w:sz w:val="22"/>
        </w:rPr>
        <w:t xml:space="preserve">Ford, James A., and Clarence H. Webb. 1956.</w:t>
      </w:r>
      <w:r>
        <w:rPr>
          <w:rFonts w:ascii="Times New Roman" w:hAnsi="Times New Roman"/>
          <w:color w:val="000000"/>
          <w:sz w:val="22"/>
        </w:rPr>
        <w:t xml:space="preserve"> </w:t>
      </w:r>
      <w:r>
        <w:rPr>
          <w:rFonts w:ascii="Times New Roman" w:hAnsi="Times New Roman"/>
          <w:i/>
          <w:iCs/>
          <w:color w:val="000000"/>
          <w:sz w:val="22"/>
        </w:rPr>
        <w:t xml:space="preserve">Poverty Point: A Late Archaic Site in Louisiana</w:t>
      </w:r>
      <w:r>
        <w:rPr>
          <w:rFonts w:ascii="Times New Roman" w:hAnsi="Times New Roman"/>
          <w:color w:val="000000"/>
          <w:sz w:val="22"/>
        </w:rPr>
        <w:t xml:space="preserve">. Anthropological Papers Vol. 46(1). American Museum of Natural History, New York.</w:t>
      </w:r>
    </w:p>
    <w:p>
      <w:pPr>
        <w:pStyle w:val="BodyText"/>
      </w:pPr>
      <w:r>
        <w:rPr>
          <w:rFonts w:ascii="Times New Roman" w:hAnsi="Times New Roman"/>
          <w:color w:val="000000"/>
          <w:sz w:val="22"/>
        </w:rPr>
        <w:t xml:space="preserve">Gagliano, Sherwood M., and Clarence H. Webb. 1975. Archaic-Poverty Point Transition at the Pearl River Mouth. In</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edited by Bettye J. Broyles and Clarence H. Webb, pp. 47-72. Bulletin No. 12, Southeastern Archaeological Conference, Morgantown, West Virginia.</w:t>
      </w:r>
    </w:p>
    <w:p>
      <w:pPr>
        <w:pStyle w:val="BodyText"/>
      </w:pPr>
      <w:r>
        <w:rPr>
          <w:rFonts w:ascii="Times New Roman" w:hAnsi="Times New Roman"/>
          <w:color w:val="000000"/>
          <w:sz w:val="22"/>
        </w:rPr>
        <w:t xml:space="preserve">Gibson, Jon L. 1973.</w:t>
      </w:r>
      <w:r>
        <w:rPr>
          <w:rFonts w:ascii="Times New Roman" w:hAnsi="Times New Roman"/>
          <w:color w:val="000000"/>
          <w:sz w:val="22"/>
        </w:rPr>
        <w:t xml:space="preserve"> </w:t>
      </w:r>
      <w:r>
        <w:rPr>
          <w:rFonts w:ascii="Times New Roman" w:hAnsi="Times New Roman"/>
          <w:i/>
          <w:iCs/>
          <w:color w:val="000000"/>
          <w:sz w:val="22"/>
        </w:rPr>
        <w:t xml:space="preserve">Social Systems at Poverty Point: An Analysis of Intersite and Intrasite Variability</w:t>
      </w:r>
      <w:r>
        <w:rPr>
          <w:rFonts w:ascii="Times New Roman" w:hAnsi="Times New Roman"/>
          <w:color w:val="000000"/>
          <w:sz w:val="22"/>
        </w:rPr>
        <w:t xml:space="preserve">. Ph.D. dissertation, Southern Methodist University, Dallas.</w:t>
      </w:r>
    </w:p>
    <w:p>
      <w:pPr>
        <w:pStyle w:val="BodyText"/>
      </w:pPr>
      <w:r>
        <w:rPr>
          <w:rFonts w:ascii="Times New Roman" w:hAnsi="Times New Roman"/>
          <w:color w:val="000000"/>
          <w:sz w:val="22"/>
        </w:rPr>
        <w:t xml:space="preserve">Gibson, Jon L. 1984. Empirical Characterization of Exchange Systems in Lower Mississippi Valley Prehistory. In</w:t>
      </w:r>
      <w:r>
        <w:rPr>
          <w:rFonts w:ascii="Times New Roman" w:hAnsi="Times New Roman"/>
          <w:color w:val="000000"/>
          <w:sz w:val="22"/>
        </w:rPr>
        <w:t xml:space="preserve"> </w:t>
      </w:r>
      <w:r>
        <w:rPr>
          <w:rFonts w:ascii="Times New Roman" w:hAnsi="Times New Roman"/>
          <w:i/>
          <w:iCs/>
          <w:color w:val="000000"/>
          <w:sz w:val="22"/>
        </w:rPr>
        <w:t xml:space="preserve">Prehistoric Exchange Systems in North America</w:t>
      </w:r>
      <w:r>
        <w:rPr>
          <w:rFonts w:ascii="Times New Roman" w:hAnsi="Times New Roman"/>
          <w:color w:val="000000"/>
          <w:sz w:val="22"/>
        </w:rPr>
        <w:t xml:space="preserve">, edited by Timothy G. Baugh and Jonathon E. Ericson, pp. 127-175. Plenum, New York.</w:t>
      </w:r>
    </w:p>
    <w:p>
      <w:pPr>
        <w:pStyle w:val="BodyText"/>
      </w:pPr>
      <w:r>
        <w:rPr>
          <w:rFonts w:ascii="Times New Roman" w:hAnsi="Times New Roman"/>
          <w:color w:val="000000"/>
          <w:sz w:val="22"/>
        </w:rPr>
        <w:t xml:space="preserve">Gibson, Jon L. 1994. Before Their Time? Early Mounds in the Lower Mississippi Valley.</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13(2):162-186.</w:t>
      </w:r>
    </w:p>
    <w:p>
      <w:pPr>
        <w:pStyle w:val="BodyText"/>
      </w:pPr>
      <w:r>
        <w:rPr>
          <w:rFonts w:ascii="Times New Roman" w:hAnsi="Times New Roman"/>
          <w:color w:val="000000"/>
          <w:sz w:val="22"/>
        </w:rPr>
        <w:t xml:space="preserve">Gibson, Jon L. 1998. Elements and Organization of Poverty Point Political Economy: High-Water Fish, Exotic Rocks, and Sacred Earth.</w:t>
      </w:r>
      <w:r>
        <w:rPr>
          <w:rFonts w:ascii="Times New Roman" w:hAnsi="Times New Roman"/>
          <w:color w:val="000000"/>
          <w:sz w:val="22"/>
        </w:rPr>
        <w:t xml:space="preserve"> </w:t>
      </w:r>
      <w:r>
        <w:rPr>
          <w:rFonts w:ascii="Times New Roman" w:hAnsi="Times New Roman"/>
          <w:i/>
          <w:iCs/>
          <w:color w:val="000000"/>
          <w:sz w:val="22"/>
        </w:rPr>
        <w:t xml:space="preserve">Research in Economic Anthropology</w:t>
      </w:r>
      <w:r>
        <w:rPr>
          <w:rFonts w:ascii="Times New Roman" w:hAnsi="Times New Roman"/>
          <w:color w:val="000000"/>
          <w:sz w:val="22"/>
        </w:rPr>
        <w:t xml:space="preserve"> </w:t>
      </w:r>
      <w:r>
        <w:rPr>
          <w:rFonts w:ascii="Times New Roman" w:hAnsi="Times New Roman"/>
          <w:color w:val="000000"/>
          <w:sz w:val="22"/>
        </w:rPr>
        <w:t xml:space="preserve">19:291-340.</w:t>
      </w:r>
    </w:p>
    <w:p>
      <w:pPr>
        <w:pStyle w:val="BodyText"/>
      </w:pPr>
      <w:r>
        <w:rPr>
          <w:rFonts w:ascii="Times New Roman" w:hAnsi="Times New Roman"/>
          <w:color w:val="000000"/>
          <w:sz w:val="22"/>
        </w:rPr>
        <w:t xml:space="preserve">Gibson, Jon L. 1999. Swamp Exchange and the Walled Mart: Poverty Point’s Rock Business. In</w:t>
      </w:r>
      <w:r>
        <w:rPr>
          <w:rFonts w:ascii="Times New Roman" w:hAnsi="Times New Roman"/>
          <w:color w:val="000000"/>
          <w:sz w:val="22"/>
        </w:rPr>
        <w:t xml:space="preserve"> </w:t>
      </w:r>
      <w:r>
        <w:rPr>
          <w:rFonts w:ascii="Times New Roman" w:hAnsi="Times New Roman"/>
          <w:i/>
          <w:iCs/>
          <w:color w:val="000000"/>
          <w:sz w:val="22"/>
        </w:rPr>
        <w:t xml:space="preserve">Raw Materials and Exchange in the Mid-South</w:t>
      </w:r>
      <w:r>
        <w:rPr>
          <w:rFonts w:ascii="Times New Roman" w:hAnsi="Times New Roman"/>
          <w:color w:val="000000"/>
          <w:sz w:val="22"/>
        </w:rPr>
        <w:t xml:space="preserve">, edited by Evan Peacock and Samuel O. Brookes, pp. 57-64. Archaeological Report 29. Mississippi Department of Archives and History, Jackson.</w:t>
      </w:r>
    </w:p>
    <w:p>
      <w:pPr>
        <w:pStyle w:val="BodyText"/>
      </w:pPr>
      <w:r>
        <w:rPr>
          <w:rFonts w:ascii="Times New Roman" w:hAnsi="Times New Roman"/>
          <w:color w:val="000000"/>
          <w:sz w:val="22"/>
        </w:rPr>
        <w:t xml:space="preserve">Gibson, Jon L. 2000.</w:t>
      </w:r>
      <w:r>
        <w:rPr>
          <w:rFonts w:ascii="Times New Roman" w:hAnsi="Times New Roman"/>
          <w:color w:val="000000"/>
          <w:sz w:val="22"/>
        </w:rPr>
        <w:t xml:space="preserve"> </w:t>
      </w:r>
      <w:r>
        <w:rPr>
          <w:rFonts w:ascii="Times New Roman" w:hAnsi="Times New Roman"/>
          <w:i/>
          <w:iCs/>
          <w:color w:val="000000"/>
          <w:sz w:val="22"/>
        </w:rPr>
        <w:t xml:space="preserve">The Ancient Mounds of Poverty Point: Place of Rings</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Gibson, Jon L., and David L. Griffing. 1994. Only a Stone’s Throw Away: Exchange in the Poverty Point Hinterland.</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17(1990):207-250.</w:t>
      </w:r>
    </w:p>
    <w:p>
      <w:pPr>
        <w:pStyle w:val="BodyText"/>
      </w:pPr>
      <w:r>
        <w:rPr>
          <w:rFonts w:ascii="Times New Roman" w:hAnsi="Times New Roman"/>
          <w:color w:val="000000"/>
          <w:sz w:val="22"/>
        </w:rPr>
        <w:t xml:space="preserve">Graeber, David, and David Wengrow. 2021.</w:t>
      </w:r>
      <w:r>
        <w:rPr>
          <w:rFonts w:ascii="Times New Roman" w:hAnsi="Times New Roman"/>
          <w:color w:val="000000"/>
          <w:sz w:val="22"/>
        </w:rPr>
        <w:t xml:space="preserve"> </w:t>
      </w:r>
      <w:r>
        <w:rPr>
          <w:rFonts w:ascii="Times New Roman" w:hAnsi="Times New Roman"/>
          <w:i/>
          <w:iCs/>
          <w:color w:val="000000"/>
          <w:sz w:val="22"/>
        </w:rPr>
        <w:t xml:space="preserve">The Dawn of Everything: A New History of Humanity</w:t>
      </w:r>
      <w:r>
        <w:rPr>
          <w:rFonts w:ascii="Times New Roman" w:hAnsi="Times New Roman"/>
          <w:color w:val="000000"/>
          <w:sz w:val="22"/>
        </w:rPr>
        <w:t xml:space="preserve">. Farrar, Straus and Giroux, New York.</w:t>
      </w:r>
    </w:p>
    <w:p>
      <w:pPr>
        <w:pStyle w:val="BodyText"/>
      </w:pPr>
      <w:r>
        <w:rPr>
          <w:rFonts w:ascii="Times New Roman" w:hAnsi="Times New Roman"/>
          <w:color w:val="000000"/>
          <w:sz w:val="22"/>
        </w:rPr>
        <w:t xml:space="preserve">Griffing, David L. 1990. Surface Surveys of the Insley Site, Franklin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12(1985):219-240</w:t>
      </w:r>
    </w:p>
    <w:p>
      <w:pPr>
        <w:pStyle w:val="BodyText"/>
      </w:pPr>
      <w:r>
        <w:rPr>
          <w:rFonts w:ascii="Times New Roman" w:hAnsi="Times New Roman"/>
          <w:color w:val="000000"/>
          <w:sz w:val="22"/>
        </w:rPr>
        <w:t xml:space="preserve">Grimm, Volker, Uta Berger, Donald L. DeAngelis, J. Gary Polhill, Jarl Giske, and Steven F. Railsback. 2010. The ODD Protocol: A Review and First Update.</w:t>
      </w:r>
      <w:r>
        <w:rPr>
          <w:rFonts w:ascii="Times New Roman" w:hAnsi="Times New Roman"/>
          <w:color w:val="000000"/>
          <w:sz w:val="22"/>
        </w:rPr>
        <w:t xml:space="preserve"> </w:t>
      </w:r>
      <w:r>
        <w:rPr>
          <w:rFonts w:ascii="Times New Roman" w:hAnsi="Times New Roman"/>
          <w:i/>
          <w:iCs/>
          <w:color w:val="000000"/>
          <w:sz w:val="22"/>
        </w:rPr>
        <w:t xml:space="preserve">Ecological Modelling</w:t>
      </w:r>
      <w:r>
        <w:rPr>
          <w:rFonts w:ascii="Times New Roman" w:hAnsi="Times New Roman"/>
          <w:color w:val="000000"/>
          <w:sz w:val="22"/>
        </w:rPr>
        <w:t xml:space="preserve"> </w:t>
      </w:r>
      <w:r>
        <w:rPr>
          <w:rFonts w:ascii="Times New Roman" w:hAnsi="Times New Roman"/>
          <w:color w:val="000000"/>
          <w:sz w:val="22"/>
        </w:rPr>
        <w:t xml:space="preserve">221:2760-2768.</w:t>
      </w:r>
    </w:p>
    <w:p>
      <w:pPr>
        <w:pStyle w:val="BodyText"/>
      </w:pPr>
      <w:r>
        <w:rPr>
          <w:rFonts w:ascii="Times New Roman" w:hAnsi="Times New Roman"/>
          <w:color w:val="000000"/>
          <w:sz w:val="22"/>
        </w:rPr>
        <w:t xml:space="preserve">Grooms, Seth B. 2022.</w:t>
      </w:r>
      <w:r>
        <w:rPr>
          <w:rFonts w:ascii="Times New Roman" w:hAnsi="Times New Roman"/>
          <w:color w:val="000000"/>
          <w:sz w:val="22"/>
        </w:rPr>
        <w:t xml:space="preserve"> </w:t>
      </w:r>
      <w:r>
        <w:rPr>
          <w:rFonts w:ascii="Times New Roman" w:hAnsi="Times New Roman"/>
          <w:i/>
          <w:iCs/>
          <w:color w:val="000000"/>
          <w:sz w:val="22"/>
        </w:rPr>
        <w:t xml:space="preserve">Reassessing the History of the Poverty Point Phenomenon: A Case Study from the Jaketown Site, Mississippi, USA</w:t>
      </w:r>
      <w:r>
        <w:rPr>
          <w:rFonts w:ascii="Times New Roman" w:hAnsi="Times New Roman"/>
          <w:color w:val="000000"/>
          <w:sz w:val="22"/>
        </w:rPr>
        <w:t xml:space="preserve">. PhD dissertation, Department of Anthropology, Washington University in St. Louis, St. Louis.</w:t>
      </w:r>
    </w:p>
    <w:p>
      <w:pPr>
        <w:pStyle w:val="BodyText"/>
      </w:pPr>
      <w:r>
        <w:rPr>
          <w:rFonts w:ascii="Times New Roman" w:hAnsi="Times New Roman"/>
          <w:color w:val="000000"/>
          <w:sz w:val="22"/>
        </w:rPr>
        <w:t xml:space="preserve">Grooms, Seth B., Grace M. V. Ward, and Tristram R. Kidder. 2023. Convergence at Poverty Point: A Revised Chronology of the Late Archaic Lower Mississippi Valley.</w:t>
      </w:r>
      <w:r>
        <w:rPr>
          <w:rFonts w:ascii="Times New Roman" w:hAnsi="Times New Roman"/>
          <w:color w:val="000000"/>
          <w:sz w:val="22"/>
        </w:rPr>
        <w:t xml:space="preserve"> </w:t>
      </w:r>
      <w:r>
        <w:rPr>
          <w:rFonts w:ascii="Times New Roman" w:hAnsi="Times New Roman"/>
          <w:i/>
          <w:iCs/>
          <w:color w:val="000000"/>
          <w:sz w:val="22"/>
        </w:rPr>
        <w:t xml:space="preserve">Antiquity</w:t>
      </w:r>
      <w:r>
        <w:rPr>
          <w:rFonts w:ascii="Times New Roman" w:hAnsi="Times New Roman"/>
          <w:color w:val="000000"/>
          <w:sz w:val="22"/>
        </w:rPr>
        <w:t xml:space="preserve"> </w:t>
      </w:r>
      <w:r>
        <w:rPr>
          <w:rFonts w:ascii="Times New Roman" w:hAnsi="Times New Roman"/>
          <w:color w:val="000000"/>
          <w:sz w:val="22"/>
        </w:rPr>
        <w:t xml:space="preserve">97:1453-1469.</w:t>
      </w:r>
    </w:p>
    <w:p>
      <w:pPr>
        <w:pStyle w:val="BodyText"/>
      </w:pPr>
      <w:r>
        <w:rPr>
          <w:rFonts w:ascii="Times New Roman" w:hAnsi="Times New Roman"/>
          <w:color w:val="000000"/>
          <w:sz w:val="22"/>
        </w:rPr>
        <w:t xml:space="preserve">Halstead, Paul, and John O’Shea (editors). 1989.</w:t>
      </w:r>
      <w:r>
        <w:rPr>
          <w:rFonts w:ascii="Times New Roman" w:hAnsi="Times New Roman"/>
          <w:color w:val="000000"/>
          <w:sz w:val="22"/>
        </w:rPr>
        <w:t xml:space="preserve"> </w:t>
      </w:r>
      <w:r>
        <w:rPr>
          <w:rFonts w:ascii="Times New Roman" w:hAnsi="Times New Roman"/>
          <w:i/>
          <w:iCs/>
          <w:color w:val="000000"/>
          <w:sz w:val="22"/>
        </w:rPr>
        <w:t xml:space="preserve">Bad Year Economics: Cultural Responses to Risk and Uncertainty</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Hamilton, Fran E. 1999. Southeastern Archaic Mounds: Examples of Elaboration in a Temporally Fluctuating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18:344-355.</w:t>
      </w:r>
    </w:p>
    <w:p>
      <w:pPr>
        <w:pStyle w:val="BodyText"/>
      </w:pPr>
      <w:r>
        <w:rPr>
          <w:rFonts w:ascii="Times New Roman" w:hAnsi="Times New Roman"/>
          <w:color w:val="000000"/>
          <w:sz w:val="22"/>
        </w:rPr>
        <w:t xml:space="preserve">Hargrave, Michael L., R. Berle Clay, Rinita A. Dalan, and Diana M. Greenlee. 2021. The Complex Construction History of Poverty Point’s Timber Circles and Concentric Ridges.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40:192-211.</w:t>
      </w:r>
    </w:p>
    <w:p>
      <w:pPr>
        <w:pStyle w:val="BodyText"/>
      </w:pPr>
      <w:r>
        <w:rPr>
          <w:rFonts w:ascii="Times New Roman" w:hAnsi="Times New Roman"/>
          <w:color w:val="000000"/>
          <w:sz w:val="22"/>
        </w:rPr>
        <w:t xml:space="preserve">Hawkes, Kristen. 2000. Hunting and the Evolution of Egalitarian Societies: Lessons from the Hadza. In</w:t>
      </w:r>
      <w:r>
        <w:rPr>
          <w:rFonts w:ascii="Times New Roman" w:hAnsi="Times New Roman"/>
          <w:color w:val="000000"/>
          <w:sz w:val="22"/>
        </w:rPr>
        <w:t xml:space="preserve"> </w:t>
      </w:r>
      <w:r>
        <w:rPr>
          <w:rFonts w:ascii="Times New Roman" w:hAnsi="Times New Roman"/>
          <w:i/>
          <w:iCs/>
          <w:color w:val="000000"/>
          <w:sz w:val="22"/>
        </w:rPr>
        <w:t xml:space="preserve">Hierarchies in Action: Cui Bono?</w:t>
      </w:r>
      <w:r>
        <w:rPr>
          <w:rFonts w:ascii="Times New Roman" w:hAnsi="Times New Roman"/>
          <w:color w:val="000000"/>
          <w:sz w:val="22"/>
        </w:rPr>
        <w:t xml:space="preserve">, edited by Michael W. Diehl, pp. 59-83. Center for Archaeological Investigations Occasional Paper No. 27. Southern Illinois University, Carbondale.</w:t>
      </w:r>
    </w:p>
    <w:p>
      <w:pPr>
        <w:pStyle w:val="BodyText"/>
      </w:pPr>
      <w:r>
        <w:rPr>
          <w:rFonts w:ascii="Times New Roman" w:hAnsi="Times New Roman"/>
          <w:color w:val="000000"/>
          <w:sz w:val="22"/>
        </w:rPr>
        <w:t xml:space="preserve">Hawkes, Kristen, and Rebecca Bliege Bird. 2002. Showing Off, Handicap Signaling, and the Evolution of Men’s Work.</w:t>
      </w:r>
      <w:r>
        <w:rPr>
          <w:rFonts w:ascii="Times New Roman" w:hAnsi="Times New Roman"/>
          <w:color w:val="000000"/>
          <w:sz w:val="22"/>
        </w:rPr>
        <w:t xml:space="preserve"> </w:t>
      </w:r>
      <w:r>
        <w:rPr>
          <w:rFonts w:ascii="Times New Roman" w:hAnsi="Times New Roman"/>
          <w:i/>
          <w:iCs/>
          <w:color w:val="000000"/>
          <w:sz w:val="22"/>
        </w:rPr>
        <w:t xml:space="preserve">Evolutionary Anthropology</w:t>
      </w:r>
      <w:r>
        <w:rPr>
          <w:rFonts w:ascii="Times New Roman" w:hAnsi="Times New Roman"/>
          <w:color w:val="000000"/>
          <w:sz w:val="22"/>
        </w:rPr>
        <w:t xml:space="preserve"> </w:t>
      </w:r>
      <w:r>
        <w:rPr>
          <w:rFonts w:ascii="Times New Roman" w:hAnsi="Times New Roman"/>
          <w:color w:val="000000"/>
          <w:sz w:val="22"/>
        </w:rPr>
        <w:t xml:space="preserve">11:58-67.</w:t>
      </w:r>
    </w:p>
    <w:p>
      <w:pPr>
        <w:pStyle w:val="BodyText"/>
      </w:pPr>
      <w:r>
        <w:rPr>
          <w:rFonts w:ascii="Times New Roman" w:hAnsi="Times New Roman"/>
          <w:color w:val="000000"/>
          <w:sz w:val="22"/>
        </w:rPr>
        <w:t xml:space="preserve">Hays, Christopher T. 2019. Feasting at Poverty Point with Poverty Point Objects.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38:193-207.</w:t>
      </w:r>
    </w:p>
    <w:p>
      <w:pPr>
        <w:pStyle w:val="BodyText"/>
      </w:pPr>
      <w:r>
        <w:rPr>
          <w:rFonts w:ascii="Times New Roman" w:hAnsi="Times New Roman"/>
          <w:color w:val="000000"/>
          <w:sz w:val="22"/>
        </w:rPr>
        <w:t xml:space="preserve">Henrich, Joseph. 2009. The Evolution of Costly Displays, Cooperation and Religion: Credibility Enhancing Displays and Their Implications for Cultural Evolution.</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30(4):244-260. https://doi.org/10.1016/j.evolhumbehav.2009.03.005</w:t>
      </w:r>
    </w:p>
    <w:p>
      <w:pPr>
        <w:pStyle w:val="BodyText"/>
      </w:pPr>
      <w:r>
        <w:rPr>
          <w:rFonts w:ascii="Times New Roman" w:hAnsi="Times New Roman"/>
          <w:color w:val="000000"/>
          <w:sz w:val="22"/>
        </w:rPr>
        <w:t xml:space="preserve">Hill, Mark A., Diana M. Greenlee, and Hector Neff. 2016. Assessing the Provenance of Poverty Point Copper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6:351-360.</w:t>
      </w:r>
    </w:p>
    <w:p>
      <w:pPr>
        <w:pStyle w:val="BodyText"/>
      </w:pPr>
      <w:r>
        <w:rPr>
          <w:rFonts w:ascii="Times New Roman" w:hAnsi="Times New Roman"/>
          <w:color w:val="000000"/>
          <w:sz w:val="22"/>
        </w:rPr>
      </w:r>
      <w:r>
        <w:rPr>
          <w:rFonts w:ascii="Times New Roman" w:hAnsi="Times New Roman"/>
          <w:color w:val="000000"/>
          <w:sz w:val="22"/>
          <w:highlight w:val="yellow"/>
        </w:rPr>
        <w:t xml:space="preserve">Jackson, H. Edwin. 1982.</w:t>
      </w:r>
      <w:r>
        <w:rPr>
          <w:rFonts w:ascii="Times New Roman" w:hAnsi="Times New Roman"/>
          <w:color w:val="000000"/>
          <w:sz w:val="22"/>
        </w:rPr>
        <w:t xml:space="preserve"> Recent Research on Poverty Point Period Subsistence and Settlement Systems: Test Excavations at the J.W. Copes Site in Northeast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8:73-86.</w:t>
      </w:r>
    </w:p>
    <w:p>
      <w:pPr>
        <w:pStyle w:val="BodyText"/>
      </w:pPr>
      <w:r>
        <w:rPr>
          <w:rFonts w:ascii="Times New Roman" w:hAnsi="Times New Roman"/>
          <w:color w:val="000000"/>
          <w:sz w:val="22"/>
        </w:rPr>
        <w:t xml:space="preserve">Jackson, H. Edwin. 1986.</w:t>
      </w:r>
      <w:r>
        <w:rPr>
          <w:rFonts w:ascii="Times New Roman" w:hAnsi="Times New Roman"/>
          <w:color w:val="000000"/>
          <w:sz w:val="22"/>
        </w:rPr>
        <w:t xml:space="preserve"> </w:t>
      </w:r>
      <w:r>
        <w:rPr>
          <w:rFonts w:ascii="Times New Roman" w:hAnsi="Times New Roman"/>
          <w:i/>
          <w:iCs/>
          <w:color w:val="000000"/>
          <w:sz w:val="22"/>
        </w:rPr>
        <w:t xml:space="preserve">Sedentism and Hunter-Gatherer Adaptations in the Lower Mississippi Valley: Subsistence Strategies During the Poverty Point Period</w:t>
      </w:r>
      <w:r>
        <w:rPr>
          <w:rFonts w:ascii="Times New Roman" w:hAnsi="Times New Roman"/>
          <w:color w:val="000000"/>
          <w:sz w:val="22"/>
        </w:rPr>
        <w:t xml:space="preserve">. PhD dissertation, University of Michigan. University Microfilms, Ann Arbor.</w:t>
      </w:r>
    </w:p>
    <w:p>
      <w:pPr>
        <w:pStyle w:val="BodyText"/>
      </w:pPr>
      <w:r>
        <w:rPr>
          <w:rFonts w:ascii="Times New Roman" w:hAnsi="Times New Roman"/>
          <w:color w:val="000000"/>
          <w:sz w:val="22"/>
        </w:rPr>
        <w:t xml:space="preserve">Jackson, H. Edwin. 1989. Poverty Point Adaptive Systems in the Lower Mississippi Valley: Subsistence Remains from the J.W. Copes Site.</w:t>
      </w:r>
      <w:r>
        <w:rPr>
          <w:rFonts w:ascii="Times New Roman" w:hAnsi="Times New Roman"/>
          <w:color w:val="000000"/>
          <w:sz w:val="22"/>
        </w:rPr>
        <w:t xml:space="preserve"> </w:t>
      </w:r>
      <w:r>
        <w:rPr>
          <w:rFonts w:ascii="Times New Roman" w:hAnsi="Times New Roman"/>
          <w:i/>
          <w:iCs/>
          <w:color w:val="000000"/>
          <w:sz w:val="22"/>
        </w:rPr>
        <w:t xml:space="preserve">North American Archaeologist</w:t>
      </w:r>
      <w:r>
        <w:rPr>
          <w:rFonts w:ascii="Times New Roman" w:hAnsi="Times New Roman"/>
          <w:color w:val="000000"/>
          <w:sz w:val="22"/>
        </w:rPr>
        <w:t xml:space="preserve"> </w:t>
      </w:r>
      <w:r>
        <w:rPr>
          <w:rFonts w:ascii="Times New Roman" w:hAnsi="Times New Roman"/>
          <w:color w:val="000000"/>
          <w:sz w:val="22"/>
        </w:rPr>
        <w:t xml:space="preserve">10:173-204.</w:t>
      </w:r>
    </w:p>
    <w:p>
      <w:pPr>
        <w:pStyle w:val="BodyText"/>
      </w:pPr>
      <w:r>
        <w:rPr>
          <w:rFonts w:ascii="Times New Roman" w:hAnsi="Times New Roman"/>
          <w:color w:val="000000"/>
          <w:sz w:val="22"/>
        </w:rPr>
        <w:t xml:space="preserve">Jackson, H. Edwin. 1991. The Trade Fair in Hunter-Gatherer Interaction: The Role of Intersocietal Trade in the Evolution of Poverty Point Culture. In</w:t>
      </w:r>
      <w:r>
        <w:rPr>
          <w:rFonts w:ascii="Times New Roman" w:hAnsi="Times New Roman"/>
          <w:color w:val="000000"/>
          <w:sz w:val="22"/>
        </w:rPr>
        <w:t xml:space="preserve"> </w:t>
      </w:r>
      <w:r>
        <w:rPr>
          <w:rFonts w:ascii="Times New Roman" w:hAnsi="Times New Roman"/>
          <w:i/>
          <w:iCs/>
          <w:color w:val="000000"/>
          <w:sz w:val="22"/>
        </w:rPr>
        <w:t xml:space="preserve">Between Bands and States</w:t>
      </w:r>
      <w:r>
        <w:rPr>
          <w:rFonts w:ascii="Times New Roman" w:hAnsi="Times New Roman"/>
          <w:color w:val="000000"/>
          <w:sz w:val="22"/>
        </w:rPr>
        <w:t xml:space="preserve">, edited by Susan A. Gregg, pp. 265-286. Center for Archaeological Investigations Occasional Paper No. 9. Southern Illinois University, Carbondale.</w:t>
      </w:r>
    </w:p>
    <w:p>
      <w:pPr>
        <w:pStyle w:val="BodyText"/>
      </w:pPr>
      <w:r>
        <w:rPr>
          <w:rFonts w:ascii="Times New Roman" w:hAnsi="Times New Roman"/>
          <w:color w:val="000000"/>
          <w:sz w:val="22"/>
        </w:rPr>
        <w:t xml:space="preserve">Johnson, Gregory A. 1982. Organizational Structure and Scalar Stress. In</w:t>
      </w:r>
      <w:r>
        <w:rPr>
          <w:rFonts w:ascii="Times New Roman" w:hAnsi="Times New Roman"/>
          <w:color w:val="000000"/>
          <w:sz w:val="22"/>
        </w:rPr>
        <w:t xml:space="preserve"> </w:t>
      </w:r>
      <w:r>
        <w:rPr>
          <w:rFonts w:ascii="Times New Roman" w:hAnsi="Times New Roman"/>
          <w:i/>
          <w:iCs/>
          <w:color w:val="000000"/>
          <w:sz w:val="22"/>
        </w:rPr>
        <w:t xml:space="preserve">Theory and Explanation in Archaeology</w:t>
      </w:r>
      <w:r>
        <w:rPr>
          <w:rFonts w:ascii="Times New Roman" w:hAnsi="Times New Roman"/>
          <w:color w:val="000000"/>
          <w:sz w:val="22"/>
        </w:rPr>
        <w:t xml:space="preserve">, edited by Colin Renfrew, Michael J. Rowlands, and Barbara A. Segraves, pp. 389-421. Academic Press, New York.</w:t>
      </w:r>
    </w:p>
    <w:p>
      <w:pPr>
        <w:pStyle w:val="BodyText"/>
      </w:pPr>
      <w:r>
        <w:rPr>
          <w:rFonts w:ascii="Times New Roman" w:hAnsi="Times New Roman"/>
          <w:color w:val="000000"/>
          <w:sz w:val="22"/>
        </w:rPr>
        <w:t xml:space="preserve">Jones, Dennis, and Samuel O. Brookes. 2019. Gone But Surely Not Forgotten: Implications of the Monte Sano Site (16EBR17).</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44(2017):105-120.</w:t>
      </w:r>
    </w:p>
    <w:p>
      <w:pPr>
        <w:pStyle w:val="BodyText"/>
      </w:pPr>
      <w:r>
        <w:rPr>
          <w:rFonts w:ascii="Times New Roman" w:hAnsi="Times New Roman"/>
          <w:color w:val="000000"/>
          <w:sz w:val="22"/>
        </w:rPr>
        <w:t xml:space="preserve">Kaufman, Darrell, Nicholas McKay, Cody Routson, Michael Erb, Christoph Datwyler, Philipp S. Sommer, Oliver Heiri, and Basil Davis. 2020. A Global Database of Holocene Paleotemperature Records.</w:t>
      </w:r>
      <w:r>
        <w:rPr>
          <w:rFonts w:ascii="Times New Roman" w:hAnsi="Times New Roman"/>
          <w:color w:val="000000"/>
          <w:sz w:val="22"/>
        </w:rPr>
        <w:t xml:space="preserve"> </w:t>
      </w:r>
      <w:r>
        <w:rPr>
          <w:rFonts w:ascii="Times New Roman" w:hAnsi="Times New Roman"/>
          <w:i/>
          <w:iCs/>
          <w:color w:val="000000"/>
          <w:sz w:val="22"/>
        </w:rPr>
        <w:t xml:space="preserve">Scientific Data</w:t>
      </w:r>
      <w:r>
        <w:rPr>
          <w:rFonts w:ascii="Times New Roman" w:hAnsi="Times New Roman"/>
          <w:color w:val="000000"/>
          <w:sz w:val="22"/>
        </w:rPr>
        <w:t xml:space="preserve"> </w:t>
      </w:r>
      <w:r>
        <w:rPr>
          <w:rFonts w:ascii="Times New Roman" w:hAnsi="Times New Roman"/>
          <w:color w:val="000000"/>
          <w:sz w:val="22"/>
        </w:rPr>
        <w:t xml:space="preserve">7:115.</w:t>
      </w:r>
    </w:p>
    <w:p>
      <w:pPr>
        <w:pStyle w:val="BodyText"/>
      </w:pPr>
      <w:r>
        <w:rPr>
          <w:rFonts w:ascii="Times New Roman" w:hAnsi="Times New Roman"/>
          <w:color w:val="000000"/>
          <w:sz w:val="22"/>
        </w:rPr>
        <w:t xml:space="preserve">Kelly, Robert L. 2013.</w:t>
      </w:r>
      <w:r>
        <w:rPr>
          <w:rFonts w:ascii="Times New Roman" w:hAnsi="Times New Roman"/>
          <w:color w:val="000000"/>
          <w:sz w:val="22"/>
        </w:rPr>
        <w:t xml:space="preserve"> </w:t>
      </w:r>
      <w:r>
        <w:rPr>
          <w:rFonts w:ascii="Times New Roman" w:hAnsi="Times New Roman"/>
          <w:i/>
          <w:iCs/>
          <w:color w:val="000000"/>
          <w:sz w:val="22"/>
        </w:rPr>
        <w:t xml:space="preserve">The Lifeways of Hunter-Gatherers: The Foraging Spectrum</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Kidder, Tristram R. 2002. Mapping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67:89-101.</w:t>
      </w:r>
    </w:p>
    <w:p>
      <w:pPr>
        <w:pStyle w:val="BodyText"/>
      </w:pPr>
      <w:r>
        <w:rPr>
          <w:rFonts w:ascii="Times New Roman" w:hAnsi="Times New Roman"/>
          <w:color w:val="000000"/>
          <w:sz w:val="22"/>
        </w:rPr>
        <w:t xml:space="preserve">Kidder, Tristram R. 2006. Climate Change and the Archaic to Woodland Transition (3000-2500 cal B.P.) in the Mississippi River Basin.</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71:195-231.</w:t>
      </w:r>
    </w:p>
    <w:p>
      <w:pPr>
        <w:pStyle w:val="BodyText"/>
      </w:pPr>
      <w:r>
        <w:rPr>
          <w:rFonts w:ascii="Times New Roman" w:hAnsi="Times New Roman"/>
          <w:color w:val="000000"/>
          <w:sz w:val="22"/>
        </w:rPr>
        <w:t xml:space="preserve">Kidder, Tristram R., Olivia C. Baumgartel, and James E. Bruseth. 2025. High-resolution Dating of Legacy Collections from the Cedarland and Claiborne Sites, Southwest Mississippi.</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44:1-20.</w:t>
      </w:r>
    </w:p>
    <w:p>
      <w:pPr>
        <w:pStyle w:val="BodyText"/>
      </w:pPr>
      <w:r>
        <w:rPr>
          <w:rFonts w:ascii="Times New Roman" w:hAnsi="Times New Roman"/>
          <w:color w:val="000000"/>
          <w:sz w:val="22"/>
        </w:rPr>
        <w:t xml:space="preserve">Kidder, Tristram R., and Kelly M. Ervin. 2018. Hunter-Gatherer Surplus Accumulation and Monumental Construction at Poverty Point, Mississippi Valley. In</w:t>
      </w:r>
      <w:r>
        <w:rPr>
          <w:rFonts w:ascii="Times New Roman" w:hAnsi="Times New Roman"/>
          <w:color w:val="000000"/>
          <w:sz w:val="22"/>
        </w:rPr>
        <w:t xml:space="preserve"> </w:t>
      </w:r>
      <w:r>
        <w:rPr>
          <w:rFonts w:ascii="Times New Roman" w:hAnsi="Times New Roman"/>
          <w:i/>
          <w:iCs/>
          <w:color w:val="000000"/>
          <w:sz w:val="22"/>
        </w:rPr>
        <w:t xml:space="preserve">Surplus without the State: Political Forms in Prehistory</w:t>
      </w:r>
      <w:r>
        <w:rPr>
          <w:rFonts w:ascii="Times New Roman" w:hAnsi="Times New Roman"/>
          <w:color w:val="000000"/>
          <w:sz w:val="22"/>
        </w:rPr>
        <w:t xml:space="preserve">, edited by Harald Meller, Detlef Gronenborn, and Roberto Risch, pp. 517-531. Landesamt für Denkmalpflege und Archäologie Sachsen-Anhalt, Halle (Saale).</w:t>
      </w:r>
    </w:p>
    <w:p>
      <w:pPr>
        <w:pStyle w:val="BodyText"/>
      </w:pPr>
      <w:r>
        <w:rPr>
          <w:rFonts w:ascii="Times New Roman" w:hAnsi="Times New Roman"/>
          <w:color w:val="000000"/>
          <w:sz w:val="22"/>
        </w:rPr>
        <w:t xml:space="preserve">Kidder, Tristram R., and Seth B. Grooms. 2024. Chronological Hygiene and Bayesian Modeling of Poverty Point Sites in the Lower Mississippi Valley, Circa 4200 to 3200 cal BP.</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89:98-118.</w:t>
      </w:r>
    </w:p>
    <w:p>
      <w:pPr>
        <w:pStyle w:val="BodyText"/>
      </w:pPr>
      <w:r>
        <w:rPr>
          <w:rFonts w:ascii="Times New Roman" w:hAnsi="Times New Roman"/>
          <w:color w:val="000000"/>
          <w:sz w:val="22"/>
        </w:rPr>
        <w:t xml:space="preserve">Kidder, Tristram R., and Seth B. Grooms. 2025. Performance, Ritual, and Revitalization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44:171-186.</w:t>
      </w:r>
    </w:p>
    <w:p>
      <w:pPr>
        <w:pStyle w:val="BodyText"/>
      </w:pPr>
      <w:r>
        <w:rPr>
          <w:rFonts w:ascii="Times New Roman" w:hAnsi="Times New Roman"/>
          <w:color w:val="000000"/>
          <w:sz w:val="22"/>
        </w:rPr>
        <w:t xml:space="preserve">Kidder, Tristram R., Edward R. Henry, and Lee J. Arco. 2018. Rapid Climate Change-Induced Collapse of Hunter-Gatherer Societies in the Lower Mississippi River Valley between ca. 3300 and 2780 cal yr BP.</w:t>
      </w:r>
      <w:r>
        <w:rPr>
          <w:rFonts w:ascii="Times New Roman" w:hAnsi="Times New Roman"/>
          <w:color w:val="000000"/>
          <w:sz w:val="22"/>
        </w:rPr>
        <w:t xml:space="preserve"> </w:t>
      </w:r>
      <w:r>
        <w:rPr>
          <w:rFonts w:ascii="Times New Roman" w:hAnsi="Times New Roman"/>
          <w:i/>
          <w:iCs/>
          <w:color w:val="000000"/>
          <w:sz w:val="22"/>
        </w:rPr>
        <w:t xml:space="preserve">Science China Earth Sciences</w:t>
      </w:r>
      <w:r>
        <w:rPr>
          <w:rFonts w:ascii="Times New Roman" w:hAnsi="Times New Roman"/>
          <w:color w:val="000000"/>
          <w:sz w:val="22"/>
        </w:rPr>
        <w:t xml:space="preserve"> </w:t>
      </w:r>
      <w:r>
        <w:rPr>
          <w:rFonts w:ascii="Times New Roman" w:hAnsi="Times New Roman"/>
          <w:color w:val="000000"/>
          <w:sz w:val="22"/>
        </w:rPr>
        <w:t xml:space="preserve">61:178-189.</w:t>
      </w:r>
    </w:p>
    <w:p>
      <w:pPr>
        <w:pStyle w:val="BodyText"/>
      </w:pPr>
      <w:r>
        <w:rPr>
          <w:rFonts w:ascii="Times New Roman" w:hAnsi="Times New Roman"/>
          <w:color w:val="000000"/>
          <w:sz w:val="22"/>
        </w:rPr>
        <w:t xml:space="preserve">Kidder, Tristram R., </w:t>
      </w:r>
      <w:r>
        <w:rPr>
          <w:rFonts w:ascii="Times New Roman" w:hAnsi="Times New Roman"/>
          <w:color w:val="000000"/>
          <w:sz w:val="22"/>
          <w:highlight w:val="yellow"/>
        </w:rPr>
        <w:t xml:space="preserve">Su Kai</w:t>
      </w:r>
      <w:r>
        <w:rPr>
          <w:rFonts w:ascii="Times New Roman" w:hAnsi="Times New Roman"/>
          <w:color w:val="000000"/>
          <w:sz w:val="22"/>
        </w:rPr>
        <w:t xml:space="preserve">, Edward R. Henry, Seth B. Grooms, and Kelly M. Ervin. 2021. Multi-Method Geoarchaeological Analyses Demonstrate Exceptionally Rapid Construction of Ridge West 3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40:212-227.</w:t>
      </w:r>
    </w:p>
    <w:p>
      <w:pPr>
        <w:pStyle w:val="BodyText"/>
      </w:pPr>
      <w:r>
        <w:rPr>
          <w:rFonts w:ascii="Times New Roman" w:hAnsi="Times New Roman"/>
          <w:color w:val="000000"/>
          <w:sz w:val="22"/>
        </w:rPr>
        <w:t xml:space="preserve">Kidder, Tristram R., Lee J. Arco, Anthony L. Ortmann, Timothy Schilling, Caroline Boeke, Rachel Beilitz, and Katherine A. Adelsberger. 2009.</w:t>
      </w:r>
      <w:r>
        <w:rPr>
          <w:rFonts w:ascii="Times New Roman" w:hAnsi="Times New Roman"/>
          <w:color w:val="000000"/>
          <w:sz w:val="22"/>
        </w:rPr>
        <w:t xml:space="preserve"> </w:t>
      </w:r>
      <w:r>
        <w:rPr>
          <w:rFonts w:ascii="Times New Roman" w:hAnsi="Times New Roman"/>
          <w:i/>
          <w:iCs/>
          <w:color w:val="000000"/>
          <w:sz w:val="22"/>
        </w:rPr>
        <w:t xml:space="preserve">Poverty Point Mound A: Final Report of the 2005 and 2006 Field Seasons</w:t>
      </w:r>
      <w:r>
        <w:rPr>
          <w:rFonts w:ascii="Times New Roman" w:hAnsi="Times New Roman"/>
          <w:color w:val="000000"/>
          <w:sz w:val="22"/>
        </w:rPr>
        <w:t xml:space="preserve">. Report submitted to the Louisiana Archaeological Survey and Antiquities Commission, Baton Rouge.</w:t>
      </w:r>
    </w:p>
    <w:p>
      <w:pPr>
        <w:pStyle w:val="BodyText"/>
      </w:pPr>
      <w:r>
        <w:rPr>
          <w:rFonts w:ascii="Times New Roman" w:hAnsi="Times New Roman"/>
          <w:color w:val="000000"/>
          <w:sz w:val="22"/>
        </w:rP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https://doi.org/10.1016/j.jasrep.2023.104366</w:t>
      </w:r>
    </w:p>
    <w:p>
      <w:pPr>
        <w:pStyle w:val="BodyText"/>
      </w:pPr>
      <w:r>
        <w:rPr>
          <w:rFonts w:ascii="Times New Roman" w:hAnsi="Times New Roman"/>
          <w:color w:val="000000"/>
          <w:sz w:val="22"/>
        </w:rPr>
        <w:t xml:space="preserve">Lanman, Jonathan A., and Michael D. Buhrmester. 2017. Religious Actions Speak Louder than Words: Exposure to Credibility-Enhancing Displays Predicts Theism.</w:t>
      </w:r>
      <w:r>
        <w:rPr>
          <w:rFonts w:ascii="Times New Roman" w:hAnsi="Times New Roman"/>
          <w:color w:val="000000"/>
          <w:sz w:val="22"/>
        </w:rPr>
        <w:t xml:space="preserve"> </w:t>
      </w:r>
      <w:r>
        <w:rPr>
          <w:rFonts w:ascii="Times New Roman" w:hAnsi="Times New Roman"/>
          <w:i/>
          <w:iCs/>
          <w:color w:val="000000"/>
          <w:sz w:val="22"/>
        </w:rPr>
        <w:t xml:space="preserve">Religion, Brain &amp; Behavior</w:t>
      </w:r>
      <w:r>
        <w:rPr>
          <w:rFonts w:ascii="Times New Roman" w:hAnsi="Times New Roman"/>
          <w:color w:val="000000"/>
          <w:sz w:val="22"/>
        </w:rPr>
        <w:t xml:space="preserve"> </w:t>
      </w:r>
      <w:r>
        <w:rPr>
          <w:rFonts w:ascii="Times New Roman" w:hAnsi="Times New Roman"/>
          <w:color w:val="000000"/>
          <w:sz w:val="22"/>
        </w:rPr>
        <w:t xml:space="preserve">7(1):3-16. https://doi.org/10.1080/2153599X.2015.1117011</w:t>
      </w:r>
    </w:p>
    <w:p>
      <w:pPr>
        <w:pStyle w:val="BodyText"/>
      </w:pPr>
      <w:r>
        <w:rPr>
          <w:rFonts w:ascii="Times New Roman" w:hAnsi="Times New Roman"/>
          <w:color w:val="000000"/>
          <w:sz w:val="22"/>
        </w:rPr>
        <w:t xml:space="preserve">Lehmann, Geoffrey R. 1982.</w:t>
      </w:r>
      <w:r>
        <w:rPr>
          <w:rFonts w:ascii="Times New Roman" w:hAnsi="Times New Roman"/>
          <w:color w:val="000000"/>
          <w:sz w:val="22"/>
        </w:rPr>
        <w:t xml:space="preserve"> </w:t>
      </w:r>
      <w:r>
        <w:rPr>
          <w:rFonts w:ascii="Times New Roman" w:hAnsi="Times New Roman"/>
          <w:i/>
          <w:iCs/>
          <w:color w:val="000000"/>
          <w:sz w:val="22"/>
        </w:rPr>
        <w:t xml:space="preserve">The Jaketown Site: Surface Collections from a Poverty Point Regional Center in the Yazoo Basin</w:t>
      </w:r>
      <w:r>
        <w:rPr>
          <w:rFonts w:ascii="Times New Roman" w:hAnsi="Times New Roman"/>
          <w:color w:val="000000"/>
          <w:sz w:val="22"/>
        </w:rPr>
        <w:t xml:space="preserve">. Archaeological Report No. 9, Mississippi Department of Archives and History, Jackson.</w:t>
      </w:r>
    </w:p>
    <w:p>
      <w:pPr>
        <w:pStyle w:val="BodyText"/>
      </w:pPr>
      <w:r>
        <w:rPr>
          <w:rFonts w:ascii="Times New Roman" w:hAnsi="Times New Roman"/>
          <w:color w:val="000000"/>
          <w:sz w:val="22"/>
        </w:rPr>
        <w:t xml:space="preserve">Leone, Karen L. 2014.</w:t>
      </w:r>
      <w:r>
        <w:rPr>
          <w:rFonts w:ascii="Times New Roman" w:hAnsi="Times New Roman"/>
          <w:color w:val="000000"/>
          <w:sz w:val="22"/>
        </w:rPr>
        <w:t xml:space="preserve"> </w:t>
      </w:r>
      <w:r>
        <w:rPr>
          <w:rFonts w:ascii="Times New Roman" w:hAnsi="Times New Roman"/>
          <w:i/>
          <w:iCs/>
          <w:color w:val="000000"/>
          <w:sz w:val="22"/>
        </w:rPr>
        <w:t xml:space="preserve">Paleoethnobotanical Analysis of Samples from Poverty Point (16WC5), Project 1/09, in West Carroll Parish, Louisiana</w:t>
      </w:r>
      <w:r>
        <w:rPr>
          <w:rFonts w:ascii="Times New Roman" w:hAnsi="Times New Roman"/>
          <w:color w:val="000000"/>
          <w:sz w:val="22"/>
        </w:rPr>
        <w:t xml:space="preserve">. Report prepared for the Poverty Point Station Archaeology Program, Poverty Point State Historic Site, Pioneer, Louisiana. Gray &amp; Pape, Inc., Cincinnati, Ohio.</w:t>
      </w:r>
    </w:p>
    <w:p>
      <w:pPr>
        <w:pStyle w:val="BodyText"/>
      </w:pPr>
      <w:r>
        <w:rPr>
          <w:rFonts w:ascii="Times New Roman" w:hAnsi="Times New Roman"/>
          <w:color w:val="000000"/>
          <w:sz w:val="22"/>
        </w:rPr>
        <w:t xml:space="preserve">Leone, Karen L. 2020.</w:t>
      </w:r>
      <w:r>
        <w:rPr>
          <w:rFonts w:ascii="Times New Roman" w:hAnsi="Times New Roman"/>
          <w:color w:val="000000"/>
          <w:sz w:val="22"/>
        </w:rPr>
        <w:t xml:space="preserve"> </w:t>
      </w:r>
      <w:r>
        <w:rPr>
          <w:rFonts w:ascii="Times New Roman" w:hAnsi="Times New Roman"/>
          <w:i/>
          <w:iCs/>
          <w:color w:val="000000"/>
          <w:sz w:val="22"/>
        </w:rPr>
        <w:t xml:space="preserve">Macrobotanical Analysis, Project 1/19, Poverty Point (16WC5), West Carroll Parish, Louisiana</w:t>
      </w:r>
      <w:r>
        <w:rPr>
          <w:rFonts w:ascii="Times New Roman" w:hAnsi="Times New Roman"/>
          <w:color w:val="000000"/>
          <w:sz w:val="22"/>
        </w:rPr>
        <w:t xml:space="preserve">. Report prepared for the Poverty Point Station Archaeology Program, Poverty Point State Historic Site, Pioneer, Louisiana.</w:t>
      </w:r>
    </w:p>
    <w:p>
      <w:pPr>
        <w:pStyle w:val="BodyText"/>
      </w:pPr>
      <w:r>
        <w:rPr>
          <w:rFonts w:ascii="Times New Roman" w:hAnsi="Times New Roman"/>
          <w:color w:val="000000"/>
          <w:sz w:val="22"/>
        </w:rPr>
        <w:t xml:space="preserve">Lewontin, Richard C. 1974.</w:t>
      </w:r>
      <w:r>
        <w:rPr>
          <w:rFonts w:ascii="Times New Roman" w:hAnsi="Times New Roman"/>
          <w:color w:val="000000"/>
          <w:sz w:val="22"/>
        </w:rPr>
        <w:t xml:space="preserve"> </w:t>
      </w:r>
      <w:r>
        <w:rPr>
          <w:rFonts w:ascii="Times New Roman" w:hAnsi="Times New Roman"/>
          <w:i/>
          <w:iCs/>
          <w:color w:val="000000"/>
          <w:sz w:val="22"/>
        </w:rPr>
        <w:t xml:space="preserve">The Genetic Basis of Evolutionary Change</w:t>
      </w:r>
      <w:r>
        <w:rPr>
          <w:rFonts w:ascii="Times New Roman" w:hAnsi="Times New Roman"/>
          <w:color w:val="000000"/>
          <w:sz w:val="22"/>
        </w:rPr>
        <w:t xml:space="preserve">. Columbia University Press, New York.</w:t>
      </w:r>
    </w:p>
    <w:p>
      <w:pPr>
        <w:pStyle w:val="BodyText"/>
      </w:pPr>
      <w:r>
        <w:rPr>
          <w:rFonts w:ascii="Times New Roman" w:hAnsi="Times New Roman"/>
          <w:color w:val="000000"/>
          <w:sz w:val="22"/>
        </w:rPr>
        <w:t xml:space="preserve">Liu, Kam-biu, and Miriam L. Fearn. 1993. Lake-Sediment Record of Late Holocene Hurricane Activities from Coastal Alabama.</w:t>
      </w:r>
      <w:r>
        <w:rPr>
          <w:rFonts w:ascii="Times New Roman" w:hAnsi="Times New Roman"/>
          <w:color w:val="000000"/>
          <w:sz w:val="22"/>
        </w:rPr>
        <w:t xml:space="preserve"> </w:t>
      </w:r>
      <w:r>
        <w:rPr>
          <w:rFonts w:ascii="Times New Roman" w:hAnsi="Times New Roman"/>
          <w:i/>
          <w:iCs/>
          <w:color w:val="000000"/>
          <w:sz w:val="22"/>
        </w:rPr>
        <w:t xml:space="preserve">Geology</w:t>
      </w:r>
      <w:r>
        <w:rPr>
          <w:rFonts w:ascii="Times New Roman" w:hAnsi="Times New Roman"/>
          <w:color w:val="000000"/>
          <w:sz w:val="22"/>
        </w:rPr>
        <w:t xml:space="preserve"> </w:t>
      </w:r>
      <w:r>
        <w:rPr>
          <w:rFonts w:ascii="Times New Roman" w:hAnsi="Times New Roman"/>
          <w:color w:val="000000"/>
          <w:sz w:val="22"/>
        </w:rPr>
        <w:t xml:space="preserve">21:793-796.</w:t>
      </w:r>
    </w:p>
    <w:p>
      <w:pPr>
        <w:pStyle w:val="BodyText"/>
      </w:pPr>
      <w:r>
        <w:rPr>
          <w:rFonts w:ascii="Times New Roman" w:hAnsi="Times New Roman"/>
          <w:color w:val="000000"/>
          <w:sz w:val="22"/>
        </w:rPr>
        <w:t xml:space="preserve">Liu, Kam-biu, and Miriam L. Fearn. 2000. Reconstruction of Prehistoric Landfall Frequencies of Catastrophic Hurricanes in Northwestern Florida from Lake Sediment Records.</w:t>
      </w:r>
      <w:r>
        <w:rPr>
          <w:rFonts w:ascii="Times New Roman" w:hAnsi="Times New Roman"/>
          <w:color w:val="000000"/>
          <w:sz w:val="22"/>
        </w:rPr>
        <w:t xml:space="preserve"> </w:t>
      </w:r>
      <w:r>
        <w:rPr>
          <w:rFonts w:ascii="Times New Roman" w:hAnsi="Times New Roman"/>
          <w:i/>
          <w:iCs/>
          <w:color w:val="000000"/>
          <w:sz w:val="22"/>
        </w:rPr>
        <w:t xml:space="preserve">Quaternary Research</w:t>
      </w:r>
      <w:r>
        <w:rPr>
          <w:rFonts w:ascii="Times New Roman" w:hAnsi="Times New Roman"/>
          <w:color w:val="000000"/>
          <w:sz w:val="22"/>
        </w:rPr>
        <w:t xml:space="preserve"> </w:t>
      </w:r>
      <w:r>
        <w:rPr>
          <w:rFonts w:ascii="Times New Roman" w:hAnsi="Times New Roman"/>
          <w:color w:val="000000"/>
          <w:sz w:val="22"/>
        </w:rPr>
        <w:t xml:space="preserve">54:238-245.</w:t>
      </w:r>
    </w:p>
    <w:p>
      <w:pPr>
        <w:pStyle w:val="BodyText"/>
      </w:pPr>
      <w:r>
        <w:rPr>
          <w:rFonts w:ascii="Times New Roman" w:hAnsi="Times New Roman"/>
          <w:color w:val="000000"/>
          <w:sz w:val="22"/>
        </w:rPr>
        <w:t xml:space="preserve">Madsen, Mark, Carl P. Lipo, and Michael Cannon. 1999. Fitness and Reproductive Trade-Offs in Uncertain Environments: Explaining the Evolution of Cultural Elaboration.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18:251-281.</w:t>
      </w:r>
    </w:p>
    <w:p>
      <w:pPr>
        <w:pStyle w:val="BodyText"/>
      </w:pPr>
      <w:r>
        <w:rPr>
          <w:rFonts w:ascii="Times New Roman" w:hAnsi="Times New Roman"/>
          <w:color w:val="000000"/>
          <w:sz w:val="22"/>
        </w:rPr>
        <w:t xml:space="preserve">Mariano, Melissa M. 2011.</w:t>
      </w:r>
      <w:r>
        <w:rPr>
          <w:rFonts w:ascii="Times New Roman" w:hAnsi="Times New Roman"/>
          <w:color w:val="000000"/>
          <w:sz w:val="22"/>
        </w:rPr>
        <w:t xml:space="preserve"> </w:t>
      </w:r>
      <w:r>
        <w:rPr>
          <w:rFonts w:ascii="Times New Roman" w:hAnsi="Times New Roman"/>
          <w:i/>
          <w:iCs/>
          <w:color w:val="000000"/>
          <w:sz w:val="22"/>
        </w:rPr>
        <w:t xml:space="preserve">Final Report on the Copper Objects Preservation Project</w:t>
      </w:r>
      <w:r>
        <w:rPr>
          <w:rFonts w:ascii="Times New Roman" w:hAnsi="Times New Roman"/>
          <w:color w:val="000000"/>
          <w:sz w:val="22"/>
        </w:rPr>
        <w:t xml:space="preserve">. Report submitted to the Poverty Point Station Archaeology Program, Pioneer, LA.</w:t>
      </w:r>
    </w:p>
    <w:p>
      <w:pPr>
        <w:pStyle w:val="BodyText"/>
      </w:pPr>
      <w:r>
        <w:rPr>
          <w:rFonts w:ascii="Times New Roman" w:hAnsi="Times New Roman"/>
          <w:color w:val="000000"/>
          <w:sz w:val="22"/>
        </w:rPr>
        <w:t xml:space="preserve">Marquardt, William H., and Patty Jo Watson (editors). 2005.</w:t>
      </w:r>
      <w:r>
        <w:rPr>
          <w:rFonts w:ascii="Times New Roman" w:hAnsi="Times New Roman"/>
          <w:color w:val="000000"/>
          <w:sz w:val="22"/>
        </w:rPr>
        <w:t xml:space="preserve"> </w:t>
      </w:r>
      <w:r>
        <w:rPr>
          <w:rFonts w:ascii="Times New Roman" w:hAnsi="Times New Roman"/>
          <w:i/>
          <w:iCs/>
          <w:color w:val="000000"/>
          <w:sz w:val="22"/>
        </w:rPr>
        <w:t xml:space="preserve">Archaeology of the Middle Green River Region, Kentucky</w:t>
      </w:r>
      <w:r>
        <w:rPr>
          <w:rFonts w:ascii="Times New Roman" w:hAnsi="Times New Roman"/>
          <w:color w:val="000000"/>
          <w:sz w:val="22"/>
        </w:rPr>
        <w:t xml:space="preserve">. Monograph 5, Institute of Archaeology and Paleoenvironmental Studies, University of Florida, Gainesville.</w:t>
      </w:r>
    </w:p>
    <w:p>
      <w:pPr>
        <w:pStyle w:val="BodyText"/>
      </w:pPr>
      <w:r>
        <w:rPr>
          <w:rFonts w:ascii="Times New Roman" w:hAnsi="Times New Roman"/>
          <w:color w:val="000000"/>
          <w:sz w:val="22"/>
        </w:rPr>
        <w:t xml:space="preserve">Mitch, William A. 2023. An Evaluation of the Distribution of Imported Lithics within the Yazoo-Mississippi Delta during the Poverty Point Period.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42:136-154.</w:t>
      </w:r>
    </w:p>
    <w:p>
      <w:pPr>
        <w:pStyle w:val="BodyText"/>
      </w:pPr>
      <w:r>
        <w:rPr>
          <w:rFonts w:ascii="Times New Roman" w:hAnsi="Times New Roman"/>
          <w:color w:val="000000"/>
          <w:sz w:val="22"/>
        </w:rPr>
        <w:t xml:space="preserve">Neiman, Fraser D. 1997. Conspicuous Consumption as Wasteful Advertising: A Darwinian Perspective on Spatial Patterns in Classic Maya Terminal Monument Dates. In</w:t>
      </w:r>
      <w:r>
        <w:rPr>
          <w:rFonts w:ascii="Times New Roman" w:hAnsi="Times New Roman"/>
          <w:color w:val="000000"/>
          <w:sz w:val="22"/>
        </w:rPr>
        <w:t xml:space="preserve"> </w:t>
      </w:r>
      <w:r>
        <w:rPr>
          <w:rFonts w:ascii="Times New Roman" w:hAnsi="Times New Roman"/>
          <w:i/>
          <w:iCs/>
          <w:color w:val="000000"/>
          <w:sz w:val="22"/>
        </w:rPr>
        <w:t xml:space="preserve">Rediscovering Darwin: Evolutionary Theory and Archeological Explanation</w:t>
      </w:r>
      <w:r>
        <w:rPr>
          <w:rFonts w:ascii="Times New Roman" w:hAnsi="Times New Roman"/>
          <w:color w:val="000000"/>
          <w:sz w:val="22"/>
        </w:rPr>
        <w:t xml:space="preserve">, edited by C. Michael Barton and Geoffrey A. Clark, pp. 267-290. Archeological Papers of the American Anthropological Association No. 7. American Anthropological Association, Arlington, Virginia.</w:t>
      </w:r>
    </w:p>
    <w:p>
      <w:pPr>
        <w:pStyle w:val="BodyText"/>
      </w:pPr>
      <w:r>
        <w:rPr>
          <w:rFonts w:ascii="Times New Roman" w:hAnsi="Times New Roman"/>
          <w:color w:val="000000"/>
          <w:sz w:val="22"/>
        </w:rPr>
        <w:t xml:space="preserve">Norton-Smith, Thomas M. 2010.</w:t>
      </w:r>
      <w:r>
        <w:rPr>
          <w:rFonts w:ascii="Times New Roman" w:hAnsi="Times New Roman"/>
          <w:color w:val="000000"/>
          <w:sz w:val="22"/>
        </w:rPr>
        <w:t xml:space="preserve"> </w:t>
      </w:r>
      <w:r>
        <w:rPr>
          <w:rFonts w:ascii="Times New Roman" w:hAnsi="Times New Roman"/>
          <w:i/>
          <w:iCs/>
          <w:color w:val="000000"/>
          <w:sz w:val="22"/>
        </w:rPr>
        <w:t xml:space="preserve">The Dance of Person and Place: One Interpretation of American Indian Philosophy</w:t>
      </w:r>
      <w:r>
        <w:rPr>
          <w:rFonts w:ascii="Times New Roman" w:hAnsi="Times New Roman"/>
          <w:color w:val="000000"/>
          <w:sz w:val="22"/>
        </w:rPr>
        <w:t xml:space="preserve">. State University of New York Press, Albany.</w:t>
      </w:r>
    </w:p>
    <w:p>
      <w:pPr>
        <w:pStyle w:val="BodyText"/>
      </w:pPr>
      <w:r>
        <w:rPr>
          <w:rFonts w:ascii="Times New Roman" w:hAnsi="Times New Roman"/>
          <w:color w:val="000000"/>
          <w:sz w:val="22"/>
        </w:rPr>
        <w:t xml:space="preserve">Omernik, James M., and Glenn E. Griffith. 2014. Ecoregions of the Conterminous United States: Evolution of a Hierarchical Spatial Framework.</w:t>
      </w:r>
      <w:r>
        <w:rPr>
          <w:rFonts w:ascii="Times New Roman" w:hAnsi="Times New Roman"/>
          <w:color w:val="000000"/>
          <w:sz w:val="22"/>
        </w:rPr>
        <w:t xml:space="preserve"> </w:t>
      </w:r>
      <w:r>
        <w:rPr>
          <w:rFonts w:ascii="Times New Roman" w:hAnsi="Times New Roman"/>
          <w:i/>
          <w:iCs/>
          <w:color w:val="000000"/>
          <w:sz w:val="22"/>
        </w:rPr>
        <w:t xml:space="preserve">Environmental Management</w:t>
      </w:r>
      <w:r>
        <w:rPr>
          <w:rFonts w:ascii="Times New Roman" w:hAnsi="Times New Roman"/>
          <w:color w:val="000000"/>
          <w:sz w:val="22"/>
        </w:rPr>
        <w:t xml:space="preserve"> </w:t>
      </w:r>
      <w:r>
        <w:rPr>
          <w:rFonts w:ascii="Times New Roman" w:hAnsi="Times New Roman"/>
          <w:color w:val="000000"/>
          <w:sz w:val="22"/>
        </w:rPr>
        <w:t xml:space="preserve">54:1249-1266.</w:t>
      </w:r>
    </w:p>
    <w:p>
      <w:pPr>
        <w:pStyle w:val="BodyText"/>
      </w:pPr>
      <w:r>
        <w:rPr>
          <w:rFonts w:ascii="Times New Roman" w:hAnsi="Times New Roman"/>
          <w:color w:val="000000"/>
          <w:sz w:val="22"/>
        </w:rPr>
        <w:t xml:space="preserve">Ortmann, Anthony L. 2010. Placing the Poverty Point Mounds in Their Temporal Context.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75:657-678.</w:t>
      </w:r>
    </w:p>
    <w:p>
      <w:pPr>
        <w:pStyle w:val="BodyText"/>
      </w:pPr>
      <w:r>
        <w:rPr>
          <w:rFonts w:ascii="Times New Roman" w:hAnsi="Times New Roman"/>
          <w:color w:val="000000"/>
          <w:sz w:val="22"/>
        </w:rPr>
        <w:t xml:space="preserve">Ortmann, Anthony L., and Tristram R. Kidder. 2013. Building Mound A at Poverty Point, Louisiana: Monumental Public Architecture, Ritual Practice, and Implications for Hunter-Gatherer Complexity.</w:t>
      </w:r>
      <w:r>
        <w:rPr>
          <w:rFonts w:ascii="Times New Roman" w:hAnsi="Times New Roman"/>
          <w:color w:val="000000"/>
          <w:sz w:val="22"/>
        </w:rPr>
        <w:t xml:space="preserve"> </w:t>
      </w:r>
      <w:r>
        <w:rPr>
          <w:rFonts w:ascii="Times New Roman" w:hAnsi="Times New Roman"/>
          <w:i/>
          <w:iCs/>
          <w:color w:val="000000"/>
          <w:sz w:val="22"/>
        </w:rPr>
        <w:t xml:space="preserve">Geoarchaeology</w:t>
      </w:r>
      <w:r>
        <w:rPr>
          <w:rFonts w:ascii="Times New Roman" w:hAnsi="Times New Roman"/>
          <w:color w:val="000000"/>
          <w:sz w:val="22"/>
        </w:rPr>
        <w:t xml:space="preserve"> </w:t>
      </w:r>
      <w:r>
        <w:rPr>
          <w:rFonts w:ascii="Times New Roman" w:hAnsi="Times New Roman"/>
          <w:color w:val="000000"/>
          <w:sz w:val="22"/>
        </w:rPr>
        <w:t xml:space="preserve">28:66-86.</w:t>
      </w:r>
    </w:p>
    <w:p>
      <w:pPr>
        <w:pStyle w:val="BodyText"/>
      </w:pPr>
      <w:r>
        <w:rPr>
          <w:rFonts w:ascii="Times New Roman" w:hAnsi="Times New Roman"/>
          <w:color w:val="000000"/>
          <w:sz w:val="22"/>
        </w:rPr>
        <w:t xml:space="preserve">Peacock, Evan, and Janet Rafferty. 2013. The Bet-Hedging Model as an Explanatory Framework for the Evolution of Mound Building in the Southeastern United States. In</w:t>
      </w:r>
      <w:r>
        <w:rPr>
          <w:rFonts w:ascii="Times New Roman" w:hAnsi="Times New Roman"/>
          <w:color w:val="000000"/>
          <w:sz w:val="22"/>
        </w:rPr>
        <w:t xml:space="preserve"> </w:t>
      </w:r>
      <w:r>
        <w:rPr>
          <w:rFonts w:ascii="Times New Roman" w:hAnsi="Times New Roman"/>
          <w:i/>
          <w:iCs/>
          <w:color w:val="000000"/>
          <w:sz w:val="22"/>
        </w:rPr>
        <w:t xml:space="preserve">Beyond Barrows</w:t>
      </w:r>
      <w:r>
        <w:rPr>
          <w:rFonts w:ascii="Times New Roman" w:hAnsi="Times New Roman"/>
          <w:color w:val="000000"/>
          <w:sz w:val="22"/>
        </w:rPr>
        <w:t xml:space="preserve">, edited by David Fontijn, Arjan J. Louwen, Sasja van der Vaart, and Karsten Wentink, pp. 253-279. Sidestone Press, Leiden.</w:t>
      </w:r>
    </w:p>
    <w:p>
      <w:pPr>
        <w:pStyle w:val="BodyText"/>
      </w:pPr>
      <w:r>
        <w:rPr>
          <w:rFonts w:ascii="Times New Roman" w:hAnsi="Times New Roman"/>
          <w:color w:val="000000"/>
          <w:sz w:val="22"/>
        </w:rPr>
        <w:t xml:space="preserve">Penn, Dustin J., and Szabolcs Szamadó. 2020. The Handicap Principle: How an Erroneous Hypothesis Became a Scientific Principle.</w:t>
      </w:r>
      <w:r>
        <w:rPr>
          <w:rFonts w:ascii="Times New Roman" w:hAnsi="Times New Roman"/>
          <w:color w:val="000000"/>
          <w:sz w:val="22"/>
        </w:rPr>
        <w:t xml:space="preserve"> </w:t>
      </w:r>
      <w:r>
        <w:rPr>
          <w:rFonts w:ascii="Times New Roman" w:hAnsi="Times New Roman"/>
          <w:i/>
          <w:iCs/>
          <w:color w:val="000000"/>
          <w:sz w:val="22"/>
        </w:rPr>
        <w:t xml:space="preserve">Biological Reviews</w:t>
      </w:r>
      <w:r>
        <w:rPr>
          <w:rFonts w:ascii="Times New Roman" w:hAnsi="Times New Roman"/>
          <w:color w:val="000000"/>
          <w:sz w:val="22"/>
        </w:rPr>
        <w:t xml:space="preserve"> </w:t>
      </w:r>
      <w:r>
        <w:rPr>
          <w:rFonts w:ascii="Times New Roman" w:hAnsi="Times New Roman"/>
          <w:color w:val="000000"/>
          <w:sz w:val="22"/>
        </w:rPr>
        <w:t xml:space="preserve">95:267-290.</w:t>
      </w:r>
    </w:p>
    <w:p>
      <w:pPr>
        <w:pStyle w:val="BodyText"/>
      </w:pPr>
      <w:r>
        <w:rPr>
          <w:rFonts w:ascii="Times New Roman" w:hAnsi="Times New Roman"/>
          <w:color w:val="000000"/>
          <w:sz w:val="22"/>
        </w:rPr>
        <w:t xml:space="preserve">Perreault, Charles. 2019.</w:t>
      </w:r>
      <w:r>
        <w:rPr>
          <w:rFonts w:ascii="Times New Roman" w:hAnsi="Times New Roman"/>
          <w:color w:val="000000"/>
          <w:sz w:val="22"/>
        </w:rPr>
        <w:t xml:space="preserve"> </w:t>
      </w:r>
      <w:r>
        <w:rPr>
          <w:rFonts w:ascii="Times New Roman" w:hAnsi="Times New Roman"/>
          <w:i/>
          <w:iCs/>
          <w:color w:val="000000"/>
          <w:sz w:val="22"/>
        </w:rPr>
        <w:t xml:space="preserve">The Quality of the Archaeological Record</w:t>
      </w:r>
      <w:r>
        <w:rPr>
          <w:rFonts w:ascii="Times New Roman" w:hAnsi="Times New Roman"/>
          <w:color w:val="000000"/>
          <w:sz w:val="22"/>
        </w:rPr>
        <w:t xml:space="preserve">. University of Chicago Press, Chicago.</w:t>
      </w:r>
    </w:p>
    <w:p>
      <w:pPr>
        <w:pStyle w:val="BodyText"/>
      </w:pPr>
      <w:r>
        <w:rPr>
          <w:rFonts w:ascii="Times New Roman" w:hAnsi="Times New Roman"/>
          <w:color w:val="000000"/>
          <w:sz w:val="22"/>
        </w:rPr>
        <w:t xml:space="preserve">Pierce, Christopher. 1998. Theory, Measurement, and Explanation: Variable Shapes in Poverty Point Objects. In</w:t>
      </w:r>
      <w:r>
        <w:rPr>
          <w:rFonts w:ascii="Times New Roman" w:hAnsi="Times New Roman"/>
          <w:color w:val="000000"/>
          <w:sz w:val="22"/>
        </w:rPr>
        <w:t xml:space="preserve"> </w:t>
      </w:r>
      <w:r>
        <w:rPr>
          <w:rFonts w:ascii="Times New Roman" w:hAnsi="Times New Roman"/>
          <w:i/>
          <w:iCs/>
          <w:color w:val="000000"/>
          <w:sz w:val="22"/>
        </w:rPr>
        <w:t xml:space="preserve">Unit Issues in Archaeology: Measuring Time, Space, and Material</w:t>
      </w:r>
      <w:r>
        <w:rPr>
          <w:rFonts w:ascii="Times New Roman" w:hAnsi="Times New Roman"/>
          <w:color w:val="000000"/>
          <w:sz w:val="22"/>
        </w:rPr>
        <w:t xml:space="preserve">, edited by Ann F. Ramenofsky and Anastasia Steffen, pp. 163-189. University of Utah Press, Salt Lake City.</w:t>
      </w:r>
    </w:p>
    <w:p>
      <w:pPr>
        <w:pStyle w:val="BodyText"/>
      </w:pPr>
      <w:r>
        <w:rPr>
          <w:rFonts w:ascii="Times New Roman" w:hAnsi="Times New Roman"/>
          <w:color w:val="000000"/>
          <w:sz w:val="22"/>
        </w:rPr>
        <w:t xml:space="preserve">Price, George R. 1970. Selection and Covariance.</w:t>
      </w:r>
      <w:r>
        <w:rPr>
          <w:rFonts w:ascii="Times New Roman" w:hAnsi="Times New Roman"/>
          <w:color w:val="000000"/>
          <w:sz w:val="22"/>
        </w:rPr>
        <w:t xml:space="preserve"> </w:t>
      </w:r>
      <w:r>
        <w:rPr>
          <w:rFonts w:ascii="Times New Roman" w:hAnsi="Times New Roman"/>
          <w:i/>
          <w:iCs/>
          <w:color w:val="000000"/>
          <w:sz w:val="22"/>
        </w:rPr>
        <w:t xml:space="preserve">Nature</w:t>
      </w:r>
      <w:r>
        <w:rPr>
          <w:rFonts w:ascii="Times New Roman" w:hAnsi="Times New Roman"/>
          <w:color w:val="000000"/>
          <w:sz w:val="22"/>
        </w:rPr>
        <w:t xml:space="preserve"> </w:t>
      </w:r>
      <w:r>
        <w:rPr>
          <w:rFonts w:ascii="Times New Roman" w:hAnsi="Times New Roman"/>
          <w:color w:val="000000"/>
          <w:sz w:val="22"/>
        </w:rPr>
        <w:t xml:space="preserve">227:520-521.</w:t>
      </w:r>
    </w:p>
    <w:p>
      <w:pPr>
        <w:pStyle w:val="BodyText"/>
      </w:pPr>
      <w:r>
        <w:rPr>
          <w:rFonts w:ascii="Times New Roman" w:hAnsi="Times New Roman"/>
          <w:color w:val="000000"/>
          <w:sz w:val="22"/>
        </w:rPr>
        <w:t xml:space="preserve">Quinn, Colin P. 2019. Costly Signaling Theory in Archaeology. In</w:t>
      </w:r>
      <w:r>
        <w:rPr>
          <w:rFonts w:ascii="Times New Roman" w:hAnsi="Times New Roman"/>
          <w:color w:val="000000"/>
          <w:sz w:val="22"/>
        </w:rPr>
        <w:t xml:space="preserve"> </w:t>
      </w:r>
      <w:r>
        <w:rPr>
          <w:rFonts w:ascii="Times New Roman" w:hAnsi="Times New Roman"/>
          <w:i/>
          <w:iCs/>
          <w:color w:val="000000"/>
          <w:sz w:val="22"/>
        </w:rPr>
        <w:t xml:space="preserve">Handbook of Evolutionary Research in Archaeology</w:t>
      </w:r>
      <w:r>
        <w:rPr>
          <w:rFonts w:ascii="Times New Roman" w:hAnsi="Times New Roman"/>
          <w:color w:val="000000"/>
          <w:sz w:val="22"/>
        </w:rPr>
        <w:t xml:space="preserve">, edited by Anna Marie Prentiss, pp. 275-294. Springer, Cham.</w:t>
      </w:r>
    </w:p>
    <w:p>
      <w:pPr>
        <w:pStyle w:val="BodyText"/>
      </w:pPr>
      <w:r>
        <w:rPr>
          <w:rFonts w:ascii="Times New Roman" w:hAnsi="Times New Roman"/>
          <w:color w:val="000000"/>
          <w:sz w:val="22"/>
        </w:rPr>
        <w:t xml:space="preserve">Ramenofsky, Ann F. 1986. The Persistence of Late Archaic Subsistence-Settlement in Louisiana. In</w:t>
      </w:r>
      <w:r>
        <w:rPr>
          <w:rFonts w:ascii="Times New Roman" w:hAnsi="Times New Roman"/>
          <w:color w:val="000000"/>
          <w:sz w:val="22"/>
        </w:rPr>
        <w:t xml:space="preserve"> </w:t>
      </w:r>
      <w:r>
        <w:rPr>
          <w:rFonts w:ascii="Times New Roman" w:hAnsi="Times New Roman"/>
          <w:i/>
          <w:iCs/>
          <w:color w:val="000000"/>
          <w:sz w:val="22"/>
        </w:rPr>
        <w:t xml:space="preserve">Foraging, Collecting, and Harvesting: Archaic Period Subsistence and Settlement in the Eastern Woodlands</w:t>
      </w:r>
      <w:r>
        <w:rPr>
          <w:rFonts w:ascii="Times New Roman" w:hAnsi="Times New Roman"/>
          <w:color w:val="000000"/>
          <w:sz w:val="22"/>
        </w:rPr>
        <w:t xml:space="preserve">, edited by Sarah W. Neusius, pp. 289-312. Occasional Paper No. 6, Center for Archaeological Investigations, Southern Illinois University at Carbondale, Carbondale.</w:t>
      </w:r>
    </w:p>
    <w:p>
      <w:pPr>
        <w:pStyle w:val="BodyText"/>
      </w:pPr>
      <w:r>
        <w:rPr>
          <w:rFonts w:ascii="Times New Roman" w:hAnsi="Times New Roman"/>
          <w:color w:val="000000"/>
          <w:sz w:val="22"/>
        </w:rPr>
        <w:t xml:space="preserve">Ramenofsky, A. F. 1991. Investigating Settlement Strategies at Cowpen Slough, a Late Archaic-Poverty Point Site in Louisiana.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159-172. Geoscience and Man 29. Louisiana State University, Baton Rouge.</w:t>
      </w:r>
    </w:p>
    <w:p>
      <w:pPr>
        <w:pStyle w:val="BodyText"/>
      </w:pPr>
      <w:r>
        <w:rPr>
          <w:rFonts w:ascii="Times New Roman" w:hAnsi="Times New Roman"/>
          <w:color w:val="000000"/>
          <w:sz w:val="22"/>
        </w:rPr>
        <w:t xml:space="preserve">Salonen, J. Sakari, Frederik Schenk, John W. Williams, Bryan Shuman, Anna L. Lindroth Dauner, Sebastian Wagner, Johann Jungclaus, Qiong Zhang, and Miska Luoto. 2025. Patterns and Drivers of Holocene Moisture Variability in Mid-Latitude Eastern North America.</w:t>
      </w:r>
      <w:r>
        <w:rPr>
          <w:rFonts w:ascii="Times New Roman" w:hAnsi="Times New Roman"/>
          <w:color w:val="000000"/>
          <w:sz w:val="22"/>
        </w:rPr>
        <w:t xml:space="preserve"> </w:t>
      </w:r>
      <w:r>
        <w:rPr>
          <w:rFonts w:ascii="Times New Roman" w:hAnsi="Times New Roman"/>
          <w:i/>
          <w:iCs/>
          <w:color w:val="000000"/>
          <w:sz w:val="22"/>
        </w:rPr>
        <w:t xml:space="preserve">Nature Communications</w:t>
      </w:r>
      <w:r>
        <w:rPr>
          <w:rFonts w:ascii="Times New Roman" w:hAnsi="Times New Roman"/>
          <w:color w:val="000000"/>
          <w:sz w:val="22"/>
        </w:rPr>
        <w:t xml:space="preserve"> </w:t>
      </w:r>
      <w:r>
        <w:rPr>
          <w:rFonts w:ascii="Times New Roman" w:hAnsi="Times New Roman"/>
          <w:color w:val="000000"/>
          <w:sz w:val="22"/>
        </w:rPr>
        <w:t xml:space="preserve">16:3582.</w:t>
      </w:r>
    </w:p>
    <w:p>
      <w:pPr>
        <w:pStyle w:val="BodyText"/>
      </w:pPr>
      <w:r>
        <w:rPr>
          <w:rFonts w:ascii="Times New Roman" w:hAnsi="Times New Roman"/>
          <w:color w:val="000000"/>
          <w:sz w:val="22"/>
        </w:rPr>
        <w:t xml:space="preserve">Sanger, Matthew C. 2023. Anarchy, Institutional Flexibility, and Containment of Authority at Poverty Point (USA).</w:t>
      </w:r>
      <w:r>
        <w:rPr>
          <w:rFonts w:ascii="Times New Roman" w:hAnsi="Times New Roman"/>
          <w:color w:val="000000"/>
          <w:sz w:val="22"/>
        </w:rPr>
        <w:t xml:space="preserve"> </w:t>
      </w:r>
      <w:r>
        <w:rPr>
          <w:rFonts w:ascii="Times New Roman" w:hAnsi="Times New Roman"/>
          <w:i/>
          <w:iCs/>
          <w:color w:val="000000"/>
          <w:sz w:val="22"/>
        </w:rPr>
        <w:t xml:space="preserve">World Archaeology</w:t>
      </w:r>
      <w:r>
        <w:rPr>
          <w:rFonts w:ascii="Times New Roman" w:hAnsi="Times New Roman"/>
          <w:color w:val="000000"/>
          <w:sz w:val="22"/>
        </w:rPr>
        <w:t xml:space="preserve"> </w:t>
      </w:r>
      <w:r>
        <w:rPr>
          <w:rFonts w:ascii="Times New Roman" w:hAnsi="Times New Roman"/>
          <w:color w:val="000000"/>
          <w:sz w:val="22"/>
        </w:rPr>
        <w:t xml:space="preserve">54:555-571.</w:t>
      </w:r>
    </w:p>
    <w:p>
      <w:pPr>
        <w:pStyle w:val="BodyText"/>
      </w:pPr>
      <w:r>
        <w:rPr>
          <w:rFonts w:ascii="Times New Roman" w:hAnsi="Times New Roman"/>
          <w:color w:val="000000"/>
          <w:sz w:val="22"/>
        </w:rPr>
        <w:t xml:space="preserve">Sanger, Matthew C. 2024. The Archaeology of Awe: Monumental Architecture, Communal Ritual, and Community Formation at Poverty Point, USA.</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31:1462-1484.</w:t>
      </w:r>
    </w:p>
    <w:p>
      <w:pPr>
        <w:pStyle w:val="BodyText"/>
      </w:pPr>
      <w:r>
        <w:rPr>
          <w:rFonts w:ascii="Times New Roman" w:hAnsi="Times New Roman"/>
          <w:color w:val="000000"/>
          <w:sz w:val="22"/>
        </w:rPr>
        <w:t xml:space="preserve">Sassaman, Kenneth E. 2005. Poverty Point as Structure, Event, Process.</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12:335-364.</w:t>
      </w:r>
    </w:p>
    <w:p>
      <w:pPr>
        <w:pStyle w:val="BodyText"/>
      </w:pPr>
      <w:r>
        <w:rPr>
          <w:rFonts w:ascii="Times New Roman" w:hAnsi="Times New Roman"/>
          <w:color w:val="000000"/>
          <w:sz w:val="22"/>
        </w:rPr>
        <w:t xml:space="preserve">Sassaman, Kenneth E. 2006.</w:t>
      </w:r>
      <w:r>
        <w:rPr>
          <w:rFonts w:ascii="Times New Roman" w:hAnsi="Times New Roman"/>
          <w:color w:val="000000"/>
          <w:sz w:val="22"/>
        </w:rPr>
        <w:t xml:space="preserve"> </w:t>
      </w:r>
      <w:r>
        <w:rPr>
          <w:rFonts w:ascii="Times New Roman" w:hAnsi="Times New Roman"/>
          <w:i/>
          <w:iCs/>
          <w:color w:val="000000"/>
          <w:sz w:val="22"/>
        </w:rPr>
        <w:t xml:space="preserve">People of the Shoals: Stallings Culture of the Savannah River Valley</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Sassaman, Kenneth E. 2010.</w:t>
      </w:r>
      <w:r>
        <w:rPr>
          <w:rFonts w:ascii="Times New Roman" w:hAnsi="Times New Roman"/>
          <w:color w:val="000000"/>
          <w:sz w:val="22"/>
        </w:rPr>
        <w:t xml:space="preserve"> </w:t>
      </w:r>
      <w:r>
        <w:rPr>
          <w:rFonts w:ascii="Times New Roman" w:hAnsi="Times New Roman"/>
          <w:i/>
          <w:iCs/>
          <w:color w:val="000000"/>
          <w:sz w:val="22"/>
        </w:rPr>
        <w:t xml:space="preserve">The Eastern Archaic, Historicized</w:t>
      </w:r>
      <w:r>
        <w:rPr>
          <w:rFonts w:ascii="Times New Roman" w:hAnsi="Times New Roman"/>
          <w:color w:val="000000"/>
          <w:sz w:val="22"/>
        </w:rPr>
        <w:t xml:space="preserve">. AltaMira Press, Lanham.</w:t>
      </w:r>
    </w:p>
    <w:p>
      <w:pPr>
        <w:pStyle w:val="BodyText"/>
      </w:pPr>
      <w:r>
        <w:rPr>
          <w:rFonts w:ascii="Times New Roman" w:hAnsi="Times New Roman"/>
          <w:color w:val="000000"/>
          <w:sz w:val="22"/>
        </w:rPr>
        <w:t xml:space="preserve">Sassaman, Kenneth E., and Samuel O. Brookes. 2017. Situating the Claiborne Soapstone Vessel Cache in the History of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82(4):781-797.</w:t>
      </w:r>
    </w:p>
    <w:p>
      <w:pPr>
        <w:pStyle w:val="BodyText"/>
      </w:pPr>
      <w:r>
        <w:rPr>
          <w:rFonts w:ascii="Times New Roman" w:hAnsi="Times New Roman"/>
          <w:color w:val="000000"/>
          <w:sz w:val="22"/>
        </w:rPr>
      </w:r>
      <w:r>
        <w:rPr>
          <w:rFonts w:ascii="Times New Roman" w:hAnsi="Times New Roman"/>
          <w:color w:val="000000"/>
          <w:sz w:val="22"/>
          <w:highlight w:val="yellow"/>
        </w:rPr>
        <w:t xml:space="preserve">Sassaman, Kenneth E., and Michael J. Heckenberger. 2004.</w:t>
      </w:r>
      <w:r>
        <w:rPr>
          <w:rFonts w:ascii="Times New Roman" w:hAnsi="Times New Roman"/>
          <w:color w:val="000000"/>
          <w:sz w:val="22"/>
        </w:rPr>
        <w:t xml:space="preserve"> Crossing the Symbolic Rubicon in the Southeast. In</w:t>
      </w:r>
      <w:r>
        <w:rPr>
          <w:rFonts w:ascii="Times New Roman" w:hAnsi="Times New Roman"/>
          <w:color w:val="000000"/>
          <w:sz w:val="22"/>
        </w:rPr>
        <w:t xml:space="preserve"> </w:t>
      </w:r>
      <w:r>
        <w:rPr>
          <w:rFonts w:ascii="Times New Roman" w:hAnsi="Times New Roman"/>
          <w:i/>
          <w:iCs/>
          <w:color w:val="000000"/>
          <w:sz w:val="22"/>
        </w:rPr>
        <w:t xml:space="preserve">Signs of Power: The Rise of Cultural Complexity in the Southeast</w:t>
      </w:r>
      <w:r>
        <w:rPr>
          <w:rFonts w:ascii="Times New Roman" w:hAnsi="Times New Roman"/>
          <w:color w:val="000000"/>
          <w:sz w:val="22"/>
        </w:rPr>
        <w:t xml:space="preserve">, edited by Jon L. Gibson and Philip J. Carr, pp. 214-233. University of Alabama Press, Tuscaloosa.</w:t>
      </w:r>
    </w:p>
    <w:p>
      <w:pPr>
        <w:pStyle w:val="BodyText"/>
      </w:pPr>
      <w:r>
        <w:rPr>
          <w:rFonts w:ascii="Times New Roman" w:hAnsi="Times New Roman"/>
          <w:color w:val="000000"/>
          <w:sz w:val="22"/>
        </w:rPr>
        <w:t xml:space="preserve">Saucier, Roger T. 1981. Current Thinking on Riverine Processes and Geologic History as Related to Human Settlement in the Southeast.</w:t>
      </w:r>
      <w:r>
        <w:rPr>
          <w:rFonts w:ascii="Times New Roman" w:hAnsi="Times New Roman"/>
          <w:color w:val="000000"/>
          <w:sz w:val="22"/>
        </w:rPr>
        <w:t xml:space="preserve"> </w:t>
      </w:r>
      <w:r>
        <w:rPr>
          <w:rFonts w:ascii="Times New Roman" w:hAnsi="Times New Roman"/>
          <w:i/>
          <w:iCs/>
          <w:color w:val="000000"/>
          <w:sz w:val="22"/>
        </w:rPr>
        <w:t xml:space="preserve">Geoscience and Man</w:t>
      </w:r>
      <w:r>
        <w:rPr>
          <w:rFonts w:ascii="Times New Roman" w:hAnsi="Times New Roman"/>
          <w:color w:val="000000"/>
          <w:sz w:val="22"/>
        </w:rPr>
        <w:t xml:space="preserve"> </w:t>
      </w:r>
      <w:r>
        <w:rPr>
          <w:rFonts w:ascii="Times New Roman" w:hAnsi="Times New Roman"/>
          <w:color w:val="000000"/>
          <w:sz w:val="22"/>
        </w:rPr>
        <w:t xml:space="preserve">22:7-18.</w:t>
      </w:r>
    </w:p>
    <w:p>
      <w:pPr>
        <w:pStyle w:val="BodyText"/>
      </w:pPr>
      <w:r>
        <w:rPr>
          <w:rFonts w:ascii="Times New Roman" w:hAnsi="Times New Roman"/>
          <w:color w:val="000000"/>
          <w:sz w:val="22"/>
        </w:rPr>
        <w:t xml:space="preserve">Saucier, Roger T. 1994.</w:t>
      </w:r>
      <w:r>
        <w:rPr>
          <w:rFonts w:ascii="Times New Roman" w:hAnsi="Times New Roman"/>
          <w:color w:val="000000"/>
          <w:sz w:val="22"/>
        </w:rPr>
        <w:t xml:space="preserve"> </w:t>
      </w:r>
      <w:r>
        <w:rPr>
          <w:rFonts w:ascii="Times New Roman" w:hAnsi="Times New Roman"/>
          <w:i/>
          <w:iCs/>
          <w:color w:val="000000"/>
          <w:sz w:val="22"/>
        </w:rPr>
        <w:t xml:space="preserve">Geomorphology and Quaternary Geologic History of the Lower Mississippi Valley</w:t>
      </w:r>
      <w:r>
        <w:rPr>
          <w:rFonts w:ascii="Times New Roman" w:hAnsi="Times New Roman"/>
          <w:color w:val="000000"/>
          <w:sz w:val="22"/>
        </w:rPr>
        <w:t xml:space="preserve">, 2 vols. U.S. Army Engineer Waterways Experiment Station, Vicksburg, Mississippi.</w:t>
      </w:r>
    </w:p>
    <w:p>
      <w:pPr>
        <w:pStyle w:val="BodyText"/>
      </w:pPr>
      <w:r>
        <w:rPr>
          <w:rFonts w:ascii="Times New Roman" w:hAnsi="Times New Roman"/>
          <w:color w:val="000000"/>
          <w:sz w:val="22"/>
        </w:rPr>
        <w:t xml:space="preserve">Saunders, Joe W., Thurman Allen, and Roger T. Saucier. 1994. Four Archaic? Mound Complexes in Northeast Louisiana.</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13:134-153.</w:t>
      </w:r>
    </w:p>
    <w:p>
      <w:pPr>
        <w:pStyle w:val="BodyText"/>
      </w:pPr>
      <w:r>
        <w:rPr>
          <w:rFonts w:ascii="Times New Roman" w:hAnsi="Times New Roman"/>
          <w:color w:val="000000"/>
          <w:sz w:val="22"/>
        </w:rPr>
      </w:r>
      <w:r>
        <w:rPr>
          <w:rFonts w:ascii="Times New Roman" w:hAnsi="Times New Roman"/>
          <w:color w:val="000000"/>
          <w:sz w:val="22"/>
          <w:highlight w:val="yellow"/>
        </w:rPr>
        <w:t xml:space="preserve">Saunders, Joe W., E. Thurman Allen, Reca Jones, and Gloria Swoveland. 2000.</w:t>
      </w:r>
      <w:r>
        <w:rPr>
          <w:rFonts w:ascii="Times New Roman" w:hAnsi="Times New Roman"/>
          <w:color w:val="000000"/>
          <w:sz w:val="22"/>
        </w:rPr>
        <w:t xml:space="preserve"> Caney Mounds (16CT5).</w:t>
      </w:r>
      <w:r>
        <w:rPr>
          <w:rFonts w:ascii="Times New Roman" w:hAnsi="Times New Roman"/>
          <w:color w:val="000000"/>
          <w:sz w:val="22"/>
        </w:rPr>
        <w:t xml:space="preserve"> </w:t>
      </w:r>
      <w:r>
        <w:rPr>
          <w:rFonts w:ascii="Times New Roman" w:hAnsi="Times New Roman"/>
          <w:i/>
          <w:iCs/>
          <w:color w:val="000000"/>
          <w:sz w:val="22"/>
        </w:rPr>
        <w:t xml:space="preserve">Louisiana Archaeological Society Newsletter</w:t>
      </w:r>
      <w:r>
        <w:rPr>
          <w:rFonts w:ascii="Times New Roman" w:hAnsi="Times New Roman"/>
          <w:color w:val="000000"/>
          <w:sz w:val="22"/>
        </w:rPr>
        <w:t xml:space="preserve"> </w:t>
      </w:r>
      <w:r>
        <w:rPr>
          <w:rFonts w:ascii="Times New Roman" w:hAnsi="Times New Roman"/>
          <w:color w:val="000000"/>
          <w:sz w:val="22"/>
        </w:rPr>
        <w:t xml:space="preserve">27:14-21.</w:t>
      </w:r>
    </w:p>
    <w:p>
      <w:pPr>
        <w:pStyle w:val="BodyText"/>
      </w:pPr>
      <w:r>
        <w:rPr>
          <w:rFonts w:ascii="Times New Roman" w:hAnsi="Times New Roman"/>
          <w:color w:val="000000"/>
          <w:sz w:val="22"/>
        </w:rPr>
        <w:t xml:space="preserve">Saunders, Joe W., Reca Bamburg Jones, and Thurman Allen. 2005a.</w:t>
      </w:r>
      <w:r>
        <w:rPr>
          <w:rFonts w:ascii="Times New Roman" w:hAnsi="Times New Roman"/>
          <w:color w:val="000000"/>
          <w:sz w:val="22"/>
        </w:rPr>
        <w:t xml:space="preserve"> </w:t>
      </w:r>
      <w:r>
        <w:rPr>
          <w:rFonts w:ascii="Times New Roman" w:hAnsi="Times New Roman"/>
          <w:i/>
          <w:iCs/>
          <w:color w:val="000000"/>
          <w:sz w:val="22"/>
        </w:rPr>
        <w:t xml:space="preserve">2005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Reca Bamburg Jones, and Thurman Allen. 2009.</w:t>
      </w:r>
      <w:r>
        <w:rPr>
          <w:rFonts w:ascii="Times New Roman" w:hAnsi="Times New Roman"/>
          <w:color w:val="000000"/>
          <w:sz w:val="22"/>
        </w:rPr>
        <w:t xml:space="preserve"> </w:t>
      </w:r>
      <w:r>
        <w:rPr>
          <w:rFonts w:ascii="Times New Roman" w:hAnsi="Times New Roman"/>
          <w:i/>
          <w:iCs/>
          <w:color w:val="000000"/>
          <w:sz w:val="22"/>
        </w:rPr>
        <w:t xml:space="preserve">2009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W., Rolfe D. Mandel, C. Garth Sampson, Charles M. Allen, E. Thurman Allen, Daniel A. Bush, James K. Feathers, Kristen J. Gremillion, C. T. Hallmark, H. Edwin Jackson, Jay K. Johnson, Reca Jones, Roger T. Saucier, Gary L. Stringer, and Malcolm F. Vidrine. </w:t>
      </w:r>
      <w:r>
        <w:rPr>
          <w:rFonts w:ascii="Times New Roman" w:hAnsi="Times New Roman"/>
          <w:color w:val="000000"/>
          <w:sz w:val="22"/>
          <w:highlight w:val="yellow"/>
        </w:rPr>
        <w:t xml:space="preserve">2005b</w:t>
      </w:r>
      <w:r>
        <w:rPr>
          <w:rFonts w:ascii="Times New Roman" w:hAnsi="Times New Roman"/>
          <w:color w:val="000000"/>
          <w:sz w:val="22"/>
        </w:rPr>
        <w:t xml:space="preserve">. Watson Brake, a Middle Archaic Mound Complex in Northeast Louisiana.</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70:631-668.</w:t>
      </w:r>
    </w:p>
    <w:p>
      <w:pPr>
        <w:pStyle w:val="BodyText"/>
      </w:pPr>
      <w:r>
        <w:rPr>
          <w:rFonts w:ascii="Times New Roman" w:hAnsi="Times New Roman"/>
          <w:color w:val="000000"/>
          <w:sz w:val="22"/>
        </w:rPr>
        <w:t xml:space="preserve">Saunders, Joe W., Thurman Allen, Dennis Labatt, Reca Jones, and David Griffing. 2001. An Assessment of the Antiquity of the Lower Jackson Mound.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20:67-77.</w:t>
      </w:r>
    </w:p>
    <w:p>
      <w:pPr>
        <w:pStyle w:val="BodyText"/>
      </w:pPr>
      <w:r>
        <w:rPr>
          <w:rFonts w:ascii="Times New Roman" w:hAnsi="Times New Roman"/>
          <w:color w:val="000000"/>
          <w:sz w:val="22"/>
        </w:rPr>
        <w:t xml:space="preserve">Sherwood, Sarah C., and Tristram R. Kidder. 2011. The DaVincis of Dirt: Geoarchaeological Perspectives on Native American Mound Building in the Mississippi River Basin.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30:69-87.</w:t>
      </w:r>
    </w:p>
    <w:p>
      <w:pPr>
        <w:pStyle w:val="BodyText"/>
      </w:pPr>
      <w:r>
        <w:rPr>
          <w:rFonts w:ascii="Times New Roman" w:hAnsi="Times New Roman"/>
          <w:color w:val="000000"/>
          <w:sz w:val="22"/>
        </w:rPr>
        <w:t xml:space="preserve">Singh, Manvir, and Joseph Henrich. 2020. Why Do Religious Leaders Observe Costly Prohibitions? Examining Taboos on Mentawai Shamans.</w:t>
      </w:r>
      <w:r>
        <w:rPr>
          <w:rFonts w:ascii="Times New Roman" w:hAnsi="Times New Roman"/>
          <w:color w:val="000000"/>
          <w:sz w:val="22"/>
        </w:rPr>
        <w:t xml:space="preserve"> </w:t>
      </w:r>
      <w:r>
        <w:rPr>
          <w:rFonts w:ascii="Times New Roman" w:hAnsi="Times New Roman"/>
          <w:i/>
          <w:iCs/>
          <w:color w:val="000000"/>
          <w:sz w:val="22"/>
        </w:rPr>
        <w:t xml:space="preserve">Evolutionary Human Sciences</w:t>
      </w:r>
      <w:r>
        <w:rPr>
          <w:rFonts w:ascii="Times New Roman" w:hAnsi="Times New Roman"/>
          <w:color w:val="000000"/>
          <w:sz w:val="22"/>
        </w:rPr>
        <w:t xml:space="preserve"> </w:t>
      </w:r>
      <w:r>
        <w:rPr>
          <w:rFonts w:ascii="Times New Roman" w:hAnsi="Times New Roman"/>
          <w:color w:val="000000"/>
          <w:sz w:val="22"/>
        </w:rPr>
        <w:t xml:space="preserve">2:e32. https://doi.org/10.1017/ehs.2020.32</w:t>
      </w:r>
    </w:p>
    <w:p>
      <w:pPr>
        <w:pStyle w:val="BodyText"/>
      </w:pPr>
      <w:r>
        <w:rPr>
          <w:rFonts w:ascii="Times New Roman" w:hAnsi="Times New Roman"/>
          <w:color w:val="000000"/>
          <w:sz w:val="22"/>
        </w:rPr>
        <w:t xml:space="preserve">Shuman, Bryan N., and Jeremiah Marsicek. 2016. The Structure of Holocene Climate Change in Mid-Latitude North America.</w:t>
      </w:r>
      <w:r>
        <w:rPr>
          <w:rFonts w:ascii="Times New Roman" w:hAnsi="Times New Roman"/>
          <w:color w:val="000000"/>
          <w:sz w:val="22"/>
        </w:rPr>
        <w:t xml:space="preserve"> </w:t>
      </w:r>
      <w:r>
        <w:rPr>
          <w:rFonts w:ascii="Times New Roman" w:hAnsi="Times New Roman"/>
          <w:i/>
          <w:iCs/>
          <w:color w:val="000000"/>
          <w:sz w:val="22"/>
        </w:rPr>
        <w:t xml:space="preserve">Quaternary Science Reviews</w:t>
      </w:r>
      <w:r>
        <w:rPr>
          <w:rFonts w:ascii="Times New Roman" w:hAnsi="Times New Roman"/>
          <w:color w:val="000000"/>
          <w:sz w:val="22"/>
        </w:rPr>
        <w:t xml:space="preserve"> </w:t>
      </w:r>
      <w:r>
        <w:rPr>
          <w:rFonts w:ascii="Times New Roman" w:hAnsi="Times New Roman"/>
          <w:color w:val="000000"/>
          <w:sz w:val="22"/>
        </w:rPr>
        <w:t xml:space="preserve">141:38-51.</w:t>
      </w:r>
    </w:p>
    <w:p>
      <w:pPr>
        <w:pStyle w:val="BodyText"/>
      </w:pPr>
      <w:r>
        <w:rPr>
          <w:rFonts w:ascii="Times New Roman" w:hAnsi="Times New Roman"/>
          <w:color w:val="000000"/>
          <w:sz w:val="22"/>
        </w:rPr>
        <w:t xml:space="preserve">Smith, </w:t>
      </w:r>
      <w:r>
        <w:rPr>
          <w:rFonts w:ascii="Times New Roman" w:hAnsi="Times New Roman"/>
          <w:color w:val="000000"/>
          <w:sz w:val="22"/>
          <w:highlight w:val="yellow"/>
        </w:rPr>
        <w:t xml:space="preserve">Brent W.</w:t>
      </w:r>
      <w:r>
        <w:rPr>
          <w:rFonts w:ascii="Times New Roman" w:hAnsi="Times New Roman"/>
          <w:color w:val="000000"/>
          <w:sz w:val="22"/>
        </w:rPr>
        <w:t xml:space="preserve"> 1991. The Late Archaic-Poverty Point Trade Network.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173-180. Geoscience and Man 29. Louisiana State University, Baton Rouge.</w:t>
      </w:r>
    </w:p>
    <w:p>
      <w:pPr>
        <w:pStyle w:val="BodyText"/>
      </w:pPr>
      <w:r>
        <w:rPr>
          <w:rFonts w:ascii="Times New Roman" w:hAnsi="Times New Roman"/>
          <w:color w:val="000000"/>
          <w:sz w:val="22"/>
        </w:rPr>
        <w:t xml:space="preserve">Sober, Elliott, and David Sloan Wilson. 1998.</w:t>
      </w:r>
      <w:r>
        <w:rPr>
          <w:rFonts w:ascii="Times New Roman" w:hAnsi="Times New Roman"/>
          <w:color w:val="000000"/>
          <w:sz w:val="22"/>
        </w:rPr>
        <w:t xml:space="preserve"> </w:t>
      </w:r>
      <w:r>
        <w:rPr>
          <w:rFonts w:ascii="Times New Roman" w:hAnsi="Times New Roman"/>
          <w:i/>
          <w:iCs/>
          <w:color w:val="000000"/>
          <w:sz w:val="22"/>
        </w:rPr>
        <w:t xml:space="preserve">Unto Others: The Evolution and Psychology of Unselfish Behavior</w:t>
      </w:r>
      <w:r>
        <w:rPr>
          <w:rFonts w:ascii="Times New Roman" w:hAnsi="Times New Roman"/>
          <w:color w:val="000000"/>
          <w:sz w:val="22"/>
        </w:rPr>
        <w:t xml:space="preserve">. Harvard University Press, Cambridge, Massachusetts.</w:t>
      </w:r>
    </w:p>
    <w:p>
      <w:pPr>
        <w:pStyle w:val="BodyText"/>
      </w:pPr>
      <w:r>
        <w:rPr>
          <w:rFonts w:ascii="Times New Roman" w:hAnsi="Times New Roman"/>
          <w:color w:val="000000"/>
          <w:sz w:val="22"/>
        </w:rPr>
        <w:t xml:space="preserve">Spivey, S. Margaret, Tristram R. Kidder, Anthony L. Ortmann, and Lee J. Arco. 2015. Pilgrimage to Poverty Point? In</w:t>
      </w:r>
      <w:r>
        <w:rPr>
          <w:rFonts w:ascii="Times New Roman" w:hAnsi="Times New Roman"/>
          <w:color w:val="000000"/>
          <w:sz w:val="22"/>
        </w:rPr>
        <w:t xml:space="preserve"> </w:t>
      </w:r>
      <w:r>
        <w:rPr>
          <w:rFonts w:ascii="Times New Roman" w:hAnsi="Times New Roman"/>
          <w:i/>
          <w:iCs/>
          <w:color w:val="000000"/>
          <w:sz w:val="22"/>
        </w:rPr>
        <w:t xml:space="preserve">The Enigma of the Event: Moments of Consequence in the Ancient Southeast</w:t>
      </w:r>
      <w:r>
        <w:rPr>
          <w:rFonts w:ascii="Times New Roman" w:hAnsi="Times New Roman"/>
          <w:color w:val="000000"/>
          <w:sz w:val="22"/>
        </w:rPr>
        <w:t xml:space="preserve">, edited by Zackary Gilmore and Jason O’Donoughue, pp. 230-267. University of Alabama Press, Tuscaloosa.</w:t>
      </w:r>
    </w:p>
    <w:p>
      <w:pPr>
        <w:pStyle w:val="BodyText"/>
      </w:pPr>
      <w:r>
        <w:rPr>
          <w:rFonts w:ascii="Times New Roman" w:hAnsi="Times New Roman"/>
          <w:color w:val="000000"/>
          <w:sz w:val="22"/>
        </w:rPr>
        <w:t xml:space="preserve">Thomas, Prentice M., Jr., and L. Janice Campbell. 1978.</w:t>
      </w:r>
      <w:r>
        <w:rPr>
          <w:rFonts w:ascii="Times New Roman" w:hAnsi="Times New Roman"/>
          <w:color w:val="000000"/>
          <w:sz w:val="22"/>
        </w:rPr>
        <w:t xml:space="preserve"> </w:t>
      </w:r>
      <w:r>
        <w:rPr>
          <w:rFonts w:ascii="Times New Roman" w:hAnsi="Times New Roman"/>
          <w:i/>
          <w:iCs/>
          <w:color w:val="000000"/>
          <w:sz w:val="22"/>
        </w:rPr>
        <w:t xml:space="preserve">The Peripheries of Poverty Point</w:t>
      </w:r>
      <w:r>
        <w:rPr>
          <w:rFonts w:ascii="Times New Roman" w:hAnsi="Times New Roman"/>
          <w:color w:val="000000"/>
          <w:sz w:val="22"/>
        </w:rPr>
        <w:t xml:space="preserve">. Report of Investigations No. 12. New World Research, Pollock, Louisiana.</w:t>
      </w:r>
    </w:p>
    <w:p>
      <w:pPr>
        <w:pStyle w:val="BodyText"/>
      </w:pPr>
      <w:r>
        <w:rPr>
          <w:rFonts w:ascii="Times New Roman" w:hAnsi="Times New Roman"/>
          <w:color w:val="000000"/>
          <w:sz w:val="22"/>
        </w:rPr>
        <w:t xml:space="preserve">Walthall, John A., Clarence H. Webb, Stephen H. Stow, and Sharon I. Goad. 1982. Galena Analysis and Poverty Point Trade.</w:t>
      </w:r>
      <w:r>
        <w:rPr>
          <w:rFonts w:ascii="Times New Roman" w:hAnsi="Times New Roman"/>
          <w:color w:val="000000"/>
          <w:sz w:val="22"/>
        </w:rPr>
        <w:t xml:space="preserve"> </w:t>
      </w:r>
      <w:r>
        <w:rPr>
          <w:rFonts w:ascii="Times New Roman" w:hAnsi="Times New Roman"/>
          <w:i/>
          <w:iCs/>
          <w:color w:val="000000"/>
          <w:sz w:val="22"/>
        </w:rPr>
        <w:t xml:space="preserve">Mid-Continental Journal of Archaeology</w:t>
      </w:r>
      <w:r>
        <w:rPr>
          <w:rFonts w:ascii="Times New Roman" w:hAnsi="Times New Roman"/>
          <w:color w:val="000000"/>
          <w:sz w:val="22"/>
        </w:rPr>
        <w:t xml:space="preserve"> </w:t>
      </w:r>
      <w:r>
        <w:rPr>
          <w:rFonts w:ascii="Times New Roman" w:hAnsi="Times New Roman"/>
          <w:color w:val="000000"/>
          <w:sz w:val="22"/>
        </w:rPr>
        <w:t xml:space="preserve">7:133-148.</w:t>
      </w:r>
    </w:p>
    <w:p>
      <w:pPr>
        <w:pStyle w:val="BodyText"/>
      </w:pPr>
      <w:r>
        <w:rPr>
          <w:rFonts w:ascii="Times New Roman" w:hAnsi="Times New Roman"/>
          <w:color w:val="000000"/>
          <w:sz w:val="22"/>
        </w:rPr>
        <w:t xml:space="preserve">Ward, Grace M. V., Seth B. Grooms, Andrew G. Schroll, and Tristram R. Kidder. 2022. The View from Jaketown: Considering Variation in the Poverty Point Culture of the Lower Mississippi Valley.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87:758-775.</w:t>
      </w:r>
    </w:p>
    <w:p>
      <w:pPr>
        <w:pStyle w:val="BodyText"/>
      </w:pPr>
      <w:r>
        <w:rPr>
          <w:rFonts w:ascii="Times New Roman" w:hAnsi="Times New Roman"/>
          <w:color w:val="000000"/>
          <w:sz w:val="22"/>
        </w:rPr>
        <w:t xml:space="preserve">Ward, Heather D. 1998. The Paleoethnobotanical Record of the Poverty Point Culture: Implications of Past and Current Research.</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17:166-174.</w:t>
      </w:r>
    </w:p>
    <w:p>
      <w:pPr>
        <w:pStyle w:val="BodyText"/>
      </w:pPr>
      <w:r>
        <w:rPr>
          <w:rFonts w:ascii="Times New Roman" w:hAnsi="Times New Roman"/>
          <w:color w:val="000000"/>
          <w:sz w:val="22"/>
        </w:rPr>
        <w:t xml:space="preserve">Webb, Clarence H. 1968. The Extent and Content of Poverty Point Culture.</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33:297-321.</w:t>
      </w:r>
    </w:p>
    <w:p>
      <w:pPr>
        <w:pStyle w:val="BodyText"/>
      </w:pPr>
      <w:r>
        <w:rPr>
          <w:rFonts w:ascii="Times New Roman" w:hAnsi="Times New Roman"/>
          <w:color w:val="000000"/>
          <w:sz w:val="22"/>
        </w:rPr>
        <w:t xml:space="preserve">Webb, Clarence H. 1982.</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2nd ed., revised. Geoscience and Man 17. Louisiana State University, Baton Rouge.</w:t>
      </w:r>
    </w:p>
    <w:p>
      <w:pPr>
        <w:pStyle w:val="BodyText"/>
      </w:pPr>
      <w:r>
        <w:rPr>
          <w:rFonts w:ascii="Times New Roman" w:hAnsi="Times New Roman"/>
          <w:color w:val="000000"/>
          <w:sz w:val="22"/>
        </w:rPr>
        <w:t xml:space="preserve">Webb, William S. 1939.</w:t>
      </w:r>
      <w:r>
        <w:rPr>
          <w:rFonts w:ascii="Times New Roman" w:hAnsi="Times New Roman"/>
          <w:color w:val="000000"/>
          <w:sz w:val="22"/>
        </w:rPr>
        <w:t xml:space="preserve"> </w:t>
      </w:r>
      <w:r>
        <w:rPr>
          <w:rFonts w:ascii="Times New Roman" w:hAnsi="Times New Roman"/>
          <w:i/>
          <w:iCs/>
          <w:color w:val="000000"/>
          <w:sz w:val="22"/>
        </w:rPr>
        <w:t xml:space="preserve">An Archaeological Survey of Wheeler Basin on the Tennessee River in Northern Alabama</w:t>
      </w:r>
      <w:r>
        <w:rPr>
          <w:rFonts w:ascii="Times New Roman" w:hAnsi="Times New Roman"/>
          <w:color w:val="000000"/>
          <w:sz w:val="22"/>
        </w:rPr>
        <w:t xml:space="preserve">. Bureau of American Ethnology Bulletin 122. Smithsonian Institution, Washington, D.C.</w:t>
      </w:r>
    </w:p>
    <w:p>
      <w:pPr>
        <w:pStyle w:val="BodyText"/>
      </w:pPr>
      <w:r>
        <w:rPr>
          <w:rFonts w:ascii="Times New Roman" w:hAnsi="Times New Roman"/>
          <w:color w:val="000000"/>
          <w:sz w:val="22"/>
        </w:rPr>
        <w:t xml:space="preserve">West, Stuart A., Ashleigh S. Griffin, and Andy Gardner. 2008. Social Semantics: How Useful Has Group Selection Been?</w:t>
      </w:r>
      <w:r>
        <w:rPr>
          <w:rFonts w:ascii="Times New Roman" w:hAnsi="Times New Roman"/>
          <w:color w:val="000000"/>
          <w:sz w:val="22"/>
        </w:rPr>
        <w:t xml:space="preserve"> </w:t>
      </w:r>
      <w:r>
        <w:rPr>
          <w:rFonts w:ascii="Times New Roman" w:hAnsi="Times New Roman"/>
          <w:i/>
          <w:iCs/>
          <w:color w:val="000000"/>
          <w:sz w:val="22"/>
        </w:rPr>
        <w:t xml:space="preserve">Journal of Evolutionary Biology</w:t>
      </w:r>
      <w:r>
        <w:rPr>
          <w:rFonts w:ascii="Times New Roman" w:hAnsi="Times New Roman"/>
          <w:color w:val="000000"/>
          <w:sz w:val="22"/>
        </w:rPr>
        <w:t xml:space="preserve"> </w:t>
      </w:r>
      <w:r>
        <w:rPr>
          <w:rFonts w:ascii="Times New Roman" w:hAnsi="Times New Roman"/>
          <w:color w:val="000000"/>
          <w:sz w:val="22"/>
        </w:rPr>
        <w:t xml:space="preserve">21:374-385.</w:t>
      </w:r>
    </w:p>
    <w:p>
      <w:pPr>
        <w:pStyle w:val="BodyText"/>
      </w:pPr>
      <w:r>
        <w:rPr>
          <w:rFonts w:ascii="Times New Roman" w:hAnsi="Times New Roman"/>
          <w:color w:val="000000"/>
          <w:sz w:val="22"/>
        </w:rPr>
        <w:t xml:space="preserve">Wiessner, Polly. 2002. Hunting, Healing, and Hxaro Exchange: A Long-Term Perspective on !Kung (Ju/’hoansi) Large-Game Hunting.</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23:407-436.</w:t>
      </w:r>
    </w:p>
    <w:p>
      <w:pPr>
        <w:pStyle w:val="BodyText"/>
      </w:pPr>
      <w:r>
        <w:rPr>
          <w:rFonts w:ascii="Times New Roman" w:hAnsi="Times New Roman"/>
          <w:color w:val="000000"/>
          <w:sz w:val="22"/>
        </w:rPr>
        <w:t xml:space="preserve">Winterhalder, Bruce. 1986. Diet Choice, Risk, and Food Sharing in a Stochastic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5:369-392.</w:t>
      </w:r>
    </w:p>
    <w:p>
      <w:pPr>
        <w:pStyle w:val="BodyText"/>
      </w:pPr>
      <w:r>
        <w:rPr>
          <w:rFonts w:ascii="Times New Roman" w:hAnsi="Times New Roman"/>
          <w:color w:val="000000"/>
          <w:sz w:val="22"/>
        </w:rPr>
        <w:t xml:space="preserve">Yates, William B. 2009. A Sourcing Study of Soapstone Vessel Fragments from the Poverty Point Archaeological Site (16WC5), West Carroll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28:25-35.</w:t>
      </w:r>
    </w:p>
    <w:p>
      <w:pPr>
        <w:pStyle w:val="BodyText"/>
      </w:pPr>
      <w:r>
        <w:rPr>
          <w:rFonts w:ascii="Times New Roman" w:hAnsi="Times New Roman"/>
          <w:color w:val="000000"/>
          <w:sz w:val="22"/>
        </w:rPr>
        <w:t xml:space="preserve">Zahavi, Amotz. 1975. Mate Selection: A Selection for a Handicap.</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53:205-214.</w:t>
      </w:r>
    </w:p>
    <w:bookmarkEnd w:id="91"/>
    <w:bookmarkStart w:id="92" w:name="supplemental-material"/>
    <w:p>
      <w:pPr>
        <w:pStyle w:val="Heading2"/>
      </w:pPr>
      <w:r>
        <w:rPr>
          <w:rFonts w:ascii="Times New Roman" w:hAnsi="Times New Roman"/>
          <w:b w:val="0"/>
          <w:i/>
          <w:color w:val="000000"/>
          <w:sz w:val="24"/>
          <w:u w:val="none"/>
        </w:rPr>
        <w:t xml:space="preserve">Supplemental Material</w:t>
      </w:r>
    </w:p>
    <w:p>
      <w:pPr>
        <w:pStyle w:val="FirstParagraph"/>
      </w:pPr>
      <w:r>
        <w:rPr>
          <w:rFonts w:ascii="Times New Roman" w:hAnsi="Times New Roman"/>
          <w:color w:val="000000"/>
          <w:sz w:val="22"/>
        </w:rP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3" Type="http://schemas.openxmlformats.org/officeDocument/2006/relationships/image" Target="media/rId13.png"/><Relationship Id="rId17" Type="http://schemas.openxmlformats.org/officeDocument/2006/relationships/image" Target="media/rId17.png"/><Relationship Id="rId22" Type="http://schemas.openxmlformats.org/officeDocument/2006/relationships/image" Target="media/rId22.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50" Type="http://schemas.openxmlformats.org/officeDocument/2006/relationships/image" Target="media/rId50.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2026-07-02T20:52:55Z</dcterms:created>
  <dcterms:modified xsi:type="dcterms:W3CDTF">2026-07-02T20:52:55Z</dcterms:modified>
</cp:coreProperties>
</file>

<file path=docProps/custom.xml><?xml version="1.0" encoding="utf-8"?>
<Properties xmlns="http://schemas.openxmlformats.org/officeDocument/2006/custom-properties" xmlns:vt="http://schemas.openxmlformats.org/officeDocument/2006/docPropsVTypes"/>
</file>