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t>
      </w:r>
      <w:r>
        <w:rPr>
          <w:rFonts w:ascii="Times New Roman" w:hAnsi="Times New Roman"/>
          <w:color w:val="000000"/>
          <w:sz w:val="22"/>
          <w:highlight w:val="yellow"/>
        </w:rPr>
        <w:t xml:space="preserve">Caney intersects the highest Level IV count (9), with Cowpen Slough (8) and Watson Brake (7) next</w:t>
      </w:r>
      <w:r>
        <w:rPr>
          <w:rFonts w:ascii="Times New Roman" w:hAnsi="Times New Roman"/>
          <w:color w:val="000000"/>
          <w:sz w:val="22"/>
        </w:rPr>
        <w:t xml:space="preserve">, while Jaketown’s catchment is dominated by Northern Holocene Meander Belts (73a; ~81%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w:t>
      </w:r>
      <w:r>
        <w:rPr>
          <w:rFonts w:ascii="Times New Roman" w:hAnsi="Times New Roman"/>
          <w:color w:val="000000"/>
          <w:sz w:val="22"/>
          <w:highlight w:val="yellow"/>
        </w:rPr>
        <w:t xml:space="preserve">moderately and significantly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0.66</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0.026</m:t>
        </m:r>
      </m:oMath>
      <w:r>
        <w:rPr>
          <w:rFonts w:ascii="Times New Roman" w:hAnsi="Times New Roman"/>
          <w:color w:val="000000"/>
          <w:sz w:val="22"/>
        </w:rPr>
        <w:t xml:space="preserve">), confirming that the rubric captures the same gross depositional-age heterogeneity. It does not track the fine-grained EPA-L4</w:t>
      </w:r>
      <w:r>
        <w:rPr>
          <w:rFonts w:ascii="Times New Roman" w:hAnsi="Times New Roman"/>
          <w:color w:val="000000"/>
          <w:sz w:val="22"/>
        </w:rPr>
        <w:t xml:space="preserve"> </w:t>
      </w:r>
      <m:oMath>
        <m:r>
          <m:t>ε</m:t>
        </m:r>
      </m:oMath>
      <w:r>
        <w:rPr>
          <w:rFonts w:ascii="Times New Roman" w:hAnsi="Times New Roman"/>
          <w:color w:val="000000"/>
          <w:sz w:val="22"/>
        </w:rPr>
        <w:t xml:space="preserve">, however (</w:t>
      </w:r>
      <m:oMath>
        <m:r>
          <m:t>ρ</m:t>
        </m:r>
        <m:r>
          <m:rPr>
            <m:sty m:val="p"/>
          </m:rPr>
          <m:t>=</m:t>
        </m:r>
        <m:r>
          <m:t>0.07</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0.85</m:t>
        </m:r>
      </m:oMath>
      <w:r>
        <w:rPr>
          <w:rFonts w:ascii="Times New Roman" w:hAnsi="Times New Roman"/>
          <w:color w:val="000000"/>
          <w:sz w:val="22"/>
        </w:rPr>
        <w:t xml:space="preserve">). The contrast is one of scale: the qualitative rubric and the Saucier-geomorphic index both work at the coarse level of depositional-age classes, whereas the L4 classification subdivides the same landscape into many fine ecoregion types, and neither captures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ranking is informative: </w:t>
      </w:r>
      <w:r>
        <w:rPr>
          <w:rFonts w:ascii="Times New Roman" w:hAnsi="Times New Roman"/>
          <w:color w:val="000000"/>
          <w:sz w:val="22"/>
          <w:highlight w:val="yellow"/>
        </w:rPr>
        <w:t xml:space="preserve">Caney’s catchment intersects the highest count of distinct Level IV ecoregions (9), followed by Cowpen Slough (8) and Watson Brake (7); Frenchman’s Bend and Insley each intersect 6; Jaketown, Claiborne, and Cedarland each intersect 5; Poverty Point and Lower Jackson each intersect 4; and J.W. Copes intersects 2.</w:t>
      </w:r>
      <w:r>
        <w:rPr>
          <w:rFonts w:ascii="Times New Roman" w:hAnsi="Times New Roman"/>
          <w:color w:val="000000"/>
          <w:sz w:val="22"/>
        </w:rPr>
        <w:t xml:space="preserve"> Jaketown’s catchment is dominated by Northern Holocene Meander Belts (73a; ~1,590 km² of the 1,963 km² buffer, ~81%) and Northern Backswamps (73d; ~356 km²), consistent with its published Yazoo Basin meander-belt setting (Ford, Phillips, and Haag 1955). The coastal Pearl River sites (Claiborne and Cedarland) intersect 5 ecoregions each, one more than Poverty Point’s 4. </w:t>
      </w:r>
      <w:r>
        <w:rPr>
          <w:rFonts w:ascii="Times New Roman" w:hAnsi="Times New Roman"/>
          <w:color w:val="000000"/>
          <w:sz w:val="22"/>
          <w:highlight w:val="yellow"/>
        </w:rPr>
        <w:t xml:space="preserve">The L4 measurement therefore ranks several interior sites (Caney, Cowpen Slough, Watson Brake) above Poverty Point</w:t>
      </w:r>
      <w:r>
        <w:rPr>
          <w:rFonts w:ascii="Times New Roman" w:hAnsi="Times New Roman"/>
          <w:color w:val="000000"/>
          <w:sz w:val="22"/>
        </w:rPr>
        <w:t xml:space="preserve"> at the 25-km scale, even though Poverty Point’s monument scale is two orders of magnitude larger. The static measures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but disagree on which sites are most ecologically diverse, and none of them explains PP-style monument scale through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w:t>
      </w:r>
      <w:r>
        <w:rPr>
          <w:rFonts w:ascii="Times New Roman" w:hAnsi="Times New Roman"/>
          <w:color w:val="000000"/>
          <w:sz w:val="22"/>
          <w:highlight w:val="yellow"/>
        </w:rPr>
        <w:t xml:space="preserve">Frenchman’s Bend and Watson Brake intersect 4 broad categories at the highest category-level entropy</w:t>
      </w:r>
      <w:r>
        <w:rPr>
          <w:rFonts w:ascii="Times New Roman" w:hAnsi="Times New Roman"/>
          <w:color w:val="000000"/>
          <w:sz w:val="22"/>
        </w:rPr>
        <w:t xml:space="preserve"> (</w:t>
      </w:r>
      <m:oMath>
        <m:sSub>
          <m:e>
            <m:r>
              <m:t>ε</m:t>
            </m:r>
          </m:e>
          <m:sub>
            <m:r>
              <m:t>c</m:t>
            </m:r>
            <m:r>
              <m:t>a</m:t>
            </m:r>
            <m:r>
              <m:t>t</m:t>
            </m:r>
          </m:sub>
        </m:sSub>
        <m:r>
          <m:rPr>
            <m:sty m:val="p"/>
          </m:rPr>
          <m:t>=</m:t>
        </m:r>
        <m:r>
          <m:t>0.314</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0.311</m:t>
        </m:r>
      </m:oMath>
      <w:r>
        <w:rPr>
          <w:rFonts w:ascii="Times New Roman" w:hAnsi="Times New Roman"/>
          <w:color w:val="000000"/>
          <w:sz w:val="22"/>
        </w:rPr>
        <w:t xml:space="preserve">), with Caney also at 4 categories (</w:t>
      </w:r>
      <m:oMath>
        <m:sSub>
          <m:e>
            <m:r>
              <m:t>ε</m:t>
            </m:r>
          </m:e>
          <m:sub>
            <m:r>
              <m:t>c</m:t>
            </m:r>
            <m:r>
              <m:t>a</m:t>
            </m:r>
            <m:r>
              <m:t>t</m:t>
            </m:r>
          </m:sub>
        </m:sSub>
        <m:r>
          <m:rPr>
            <m:sty m:val="p"/>
          </m:rPr>
          <m:t>=</m:t>
        </m:r>
        <m:r>
          <m:t>0.276</m:t>
        </m:r>
      </m:oMath>
      <w:r>
        <w:rPr>
          <w:rFonts w:ascii="Times New Roman" w:hAnsi="Times New Roman"/>
          <w:color w:val="000000"/>
          <w:sz w:val="22"/>
        </w:rPr>
        <w:t xml:space="preserve">). </w:t>
      </w:r>
      <w:r>
        <w:rPr>
          <w:rFonts w:ascii="Times New Roman" w:hAnsi="Times New Roman"/>
          <w:color w:val="000000"/>
          <w:sz w:val="22"/>
          <w:highlight w:val="yellow"/>
        </w:rPr>
        <w:t xml:space="preserve">Cowpen Slough, Insley, and Jaketown likewise intersect 4 categories but at lower entropy</w:t>
      </w:r>
      <w:r>
        <w:rPr>
          <w:rFonts w:ascii="Times New Roman" w:hAnsi="Times New Roman"/>
          <w:color w:val="000000"/>
          <w:sz w:val="22"/>
        </w:rPr>
        <w:t xml:space="preserve"> (</w:t>
      </w:r>
      <m:oMath>
        <m:sSub>
          <m:e>
            <m:r>
              <m:t>ε</m:t>
            </m:r>
          </m:e>
          <m:sub>
            <m:r>
              <m:t>c</m:t>
            </m:r>
            <m:r>
              <m:t>a</m:t>
            </m:r>
            <m:r>
              <m:t>t</m:t>
            </m:r>
          </m:sub>
        </m:sSub>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0.22</m:t>
        </m:r>
      </m:oMath>
      <w:r>
        <w:rPr>
          <w:rFonts w:ascii="Times New Roman" w:hAnsi="Times New Roman"/>
          <w:color w:val="000000"/>
          <w:sz w:val="22"/>
        </w:rPr>
        <w:t xml:space="preserve">, and</w:t>
      </w:r>
      <w:r>
        <w:rPr>
          <w:rFonts w:ascii="Times New Roman" w:hAnsi="Times New Roman"/>
          <w:color w:val="000000"/>
          <w:sz w:val="22"/>
        </w:rPr>
        <w:t xml:space="preserve"> </w:t>
      </w:r>
      <m:oMath>
        <m:r>
          <m:t>0.12</m:t>
        </m:r>
      </m:oMath>
      <w:r>
        <w:rPr>
          <w:rFonts w:ascii="Times New Roman" w:hAnsi="Times New Roman"/>
          <w:color w:val="000000"/>
          <w:sz w:val="22"/>
        </w:rPr>
        <w:t xml:space="preserve">, the last dominated by a single meander-belt class). Poverty Point and Lower Jackson intersect 3 categories (Alluvial Active, Backswamp, Pleistocene Terrace) at</w:t>
      </w:r>
      <w:r>
        <w:rPr>
          <w:rFonts w:ascii="Times New Roman" w:hAnsi="Times New Roman"/>
          <w:color w:val="000000"/>
          <w:sz w:val="22"/>
        </w:rPr>
        <w:t xml:space="preserve"> </w:t>
      </w:r>
      <m:oMath>
        <m:sSub>
          <m:e>
            <m:r>
              <m:t>ε</m:t>
            </m:r>
          </m:e>
          <m:sub>
            <m:r>
              <m:t>c</m:t>
            </m:r>
            <m:r>
              <m:t>a</m:t>
            </m:r>
            <m:r>
              <m:t>t</m:t>
            </m:r>
          </m:sub>
        </m:sSub>
        <m:r>
          <m:rPr>
            <m:sty m:val="p"/>
          </m:rPr>
          <m:t>≈</m:t>
        </m:r>
        <m:r>
          <m:t>0.24</m:t>
        </m:r>
      </m:oMath>
      <w:r>
        <w:rPr>
          <w:rFonts w:ascii="Times New Roman" w:hAnsi="Times New Roman"/>
          <w:color w:val="000000"/>
          <w:sz w:val="22"/>
        </w:rPr>
        <w:t xml:space="preserve">; the coastal Pearl River pair (Claiborne and Cedarland) intersect 3 categories at</w:t>
      </w:r>
      <w:r>
        <w:rPr>
          <w:rFonts w:ascii="Times New Roman" w:hAnsi="Times New Roman"/>
          <w:color w:val="000000"/>
          <w:sz w:val="22"/>
        </w:rPr>
        <w:t xml:space="preserve"> </w:t>
      </w:r>
      <m:oMath>
        <m:sSub>
          <m:e>
            <m:r>
              <m:t>ε</m:t>
            </m:r>
          </m:e>
          <m:sub>
            <m:r>
              <m:t>c</m:t>
            </m:r>
            <m:r>
              <m:t>a</m:t>
            </m:r>
            <m:r>
              <m:t>t</m:t>
            </m:r>
          </m:sub>
        </m:sSub>
        <m:r>
          <m:rPr>
            <m:sty m:val="p"/>
          </m:rPr>
          <m:t>≈</m:t>
        </m:r>
        <m:r>
          <m:t>0.22</m:t>
        </m:r>
      </m:oMath>
      <w:r>
        <w:rPr>
          <w:rFonts w:ascii="Times New Roman" w:hAnsi="Times New Roman"/>
          <w:color w:val="000000"/>
          <w:sz w:val="22"/>
        </w:rPr>
        <w:t xml:space="preserve">; </w:t>
      </w:r>
      <w:r>
        <w:rPr>
          <w:rFonts w:ascii="Times New Roman" w:hAnsi="Times New Roman"/>
          <w:color w:val="000000"/>
          <w:sz w:val="22"/>
          <w:highlight w:val="yellow"/>
        </w:rPr>
        <w:t xml:space="preserve">and J.W. Copes intersects 2 categories</w:t>
      </w:r>
      <w:r>
        <w:rPr>
          <w:rFonts w:ascii="Times New Roman" w:hAnsi="Times New Roman"/>
          <w:color w:val="000000"/>
          <w:sz w:val="22"/>
        </w:rPr>
        <w:t xml:space="preserve"> (</w:t>
      </w:r>
      <m:oMath>
        <m:sSub>
          <m:e>
            <m:r>
              <m:t>ε</m:t>
            </m:r>
          </m:e>
          <m:sub>
            <m:r>
              <m:t>c</m:t>
            </m:r>
            <m:r>
              <m:t>a</m:t>
            </m:r>
            <m:r>
              <m:t>t</m:t>
            </m:r>
          </m:sub>
        </m:sSub>
        <m:r>
          <m:rPr>
            <m:sty m:val="p"/>
          </m:rPr>
          <m:t>=</m:t>
        </m:r>
        <m:r>
          <m:t>0.14</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0.60</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0.051</m:t>
        </m:r>
      </m:oMath>
      <w:r>
        <w:rPr>
          <w:rFonts w:ascii="Times New Roman" w:hAnsi="Times New Roman"/>
          <w:color w:val="000000"/>
          <w:sz w:val="22"/>
        </w:rPr>
        <w:t xml:space="preserve">), and the L4-vs-category Spearman correlation is</w:t>
      </w:r>
      <w:r>
        <w:rPr>
          <w:rFonts w:ascii="Times New Roman" w:hAnsi="Times New Roman"/>
          <w:color w:val="000000"/>
          <w:sz w:val="22"/>
        </w:rPr>
        <w:t xml:space="preserve"> </w:t>
      </w:r>
      <m:oMath>
        <m:r>
          <m:t>ρ</m:t>
        </m:r>
        <m:r>
          <m:rPr>
            <m:sty m:val="p"/>
          </m:rPr>
          <m:t>=</m:t>
        </m:r>
        <m:r>
          <m:t>0.58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0.060</m:t>
        </m:r>
      </m:oMath>
      <w:r>
        <w:rPr>
          <w:rFonts w:ascii="Times New Roman" w:hAnsi="Times New Roman"/>
          <w:color w:val="000000"/>
          <w:sz w:val="22"/>
        </w:rPr>
        <w:t xml:space="preserve">), confirming that the category-level aggregation tracks both the rubric and the L4 index moderately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2026-07-02T20:52:57Z</dcterms:created>
  <dcterms:modified xsi:type="dcterms:W3CDTF">2026-07-02T20:52:57Z</dcterms:modified>
</cp:coreProperties>
</file>

<file path=docProps/custom.xml><?xml version="1.0" encoding="utf-8"?>
<Properties xmlns="http://schemas.openxmlformats.org/officeDocument/2006/custom-properties" xmlns:vt="http://schemas.openxmlformats.org/officeDocument/2006/docPropsVTypes"/>
</file>