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7.png" ContentType="image/png"/>
  <Override PartName="/word/media/rId40.png" ContentType="image/png"/>
  <Override PartName="/word/media/rId43.png" ContentType="image/png"/>
  <Override PartName="/word/media/rId55.png" ContentType="image/png"/>
  <Override PartName="/word/media/rId58.png" ContentType="image/png"/>
  <Override PartName="/word/media/rId71.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11f97818135cfa10d5df5b5744c91add53ab9ab"/>
    <w:p>
      <w:pPr>
        <w:pStyle w:val="Heading1"/>
      </w:pPr>
      <w:r>
        <w:t xml:space="preserve">Supplemental Material —</w:t>
      </w:r>
      <w:r>
        <w:t xml:space="preserve"> </w:t>
      </w:r>
      <w:r>
        <w:rPr>
          <w:i/>
          <w:iCs/>
        </w:rPr>
        <w:t xml:space="preserve">Signaling under environmental uncertainty: A multilevel-selection threshold model for Poverty Point</w:t>
      </w:r>
    </w:p>
    <w:p>
      <w:pPr>
        <w:pStyle w:val="FirstParagraph"/>
      </w:pPr>
      <w:r>
        <w:t xml:space="preserve">This supplemental information accompanies the main manuscript. Sections S1-S5 develop the theoretical framework, the agent-based model specification, parameter justifications, sensitivity analyses, and supplemental theoretical figures. Sections S6-S17 develop the empirical-evaluation supporting analyses, including the zone-access scoring rubric, the Watson Brake bistable analysis, the multi-drainage USGS gauge analysis, the seasonal phenology analysis, and the six model components used in the §6 evaluations together with priority follow-up work. A combined supplemental references list closes the document.</w:t>
      </w:r>
    </w:p>
    <w:p>
      <w:r>
        <w:pict>
          <v:rect style="width:0;height:1.5pt" o:hralign="center" o:hrstd="t" o:hr="t"/>
        </w:pict>
      </w:r>
    </w:p>
    <w:bookmarkStart w:id="15" w:name="Xf5b680c1329f9f1d755046d9b6764fc8f262881"/>
    <w:p>
      <w:pPr>
        <w:pStyle w:val="Heading2"/>
      </w:pPr>
      <w:r>
        <w:t xml:space="preserve">S1. ODD Protocol: Complete Model Specification</w:t>
      </w:r>
    </w:p>
    <w:p>
      <w:pPr>
        <w:pStyle w:val="FirstParagraph"/>
      </w:pPr>
      <w:r>
        <w:t xml:space="preserve">The model is documented under the</w:t>
      </w:r>
      <w:r>
        <w:t xml:space="preserve"> </w:t>
      </w:r>
      <w:r>
        <w:rPr>
          <w:b/>
          <w:bCs/>
        </w:rPr>
        <w:t xml:space="preserve">ODD protocol</w:t>
      </w:r>
      <w:r>
        <w:t xml:space="preserve"> </w:t>
      </w:r>
      <w:r>
        <w:t xml:space="preserve">(Overview, Design concepts, Details; Grimm et al. 2010), a standardized format for agent-based-model documentation that allows other researchers to replicate the model. ODD is a documentation convention rather than a substantive theoretical choice; the headings below (Purpose and patterns, Entities and state variables, Process overview and scheduling, Design concepts, Initialization, Submodels) follow the ODD specification.</w:t>
      </w:r>
    </w:p>
    <w:p>
      <w:pPr>
        <w:pStyle w:val="BodyText"/>
      </w:pPr>
      <w:r>
        <w:t xml:space="preserve">The model is specified following the ODD (Overview, Design concepts, Details) protocol (Grimm et al. 2010). Source code is available at https://github.com/clipo/poverty-point.</w:t>
      </w:r>
    </w:p>
    <w:bookmarkStart w:id="9" w:name="s1.1-purpose-and-patterns"/>
    <w:p>
      <w:pPr>
        <w:pStyle w:val="Heading3"/>
      </w:pPr>
      <w:r>
        <w:t xml:space="preserve">S1.1 Purpose and patterns</w:t>
      </w:r>
    </w:p>
    <w:p>
      <w:pPr>
        <w:pStyle w:val="FirstParagraph"/>
      </w:pPr>
      <w:r>
        <w:rPr>
          <w:b/>
          <w:bCs/>
        </w:rPr>
        <w:t xml:space="preserve">Purpose.</w:t>
      </w:r>
      <w:r>
        <w:t xml:space="preserve"> </w:t>
      </w:r>
      <w:r>
        <w:t xml:space="preserve">The model formalizes a multilevel-selection account of monument construction and exotic-goods accumulation by mobile hunter-gatherer bands, asking under what environmental and structural conditions aggregation-based costly signaling becomes adaptive.</w:t>
      </w:r>
    </w:p>
    <w:p>
      <w:pPr>
        <w:pStyle w:val="BodyText"/>
      </w:pPr>
      <w:r>
        <w:rPr>
          <w:b/>
          <w:bCs/>
        </w:rPr>
        <w:t xml:space="preserve">Patterns to reproduce.</w:t>
      </w:r>
      <w:r>
        <w:t xml:space="preserve"> </w:t>
      </w:r>
      <w:r>
        <w:t xml:space="preserve">(i) Sharp phase transition between independent and aggregator regimes near a critical environmental-uncertainty value; (ii) order-of-magnitude match to Poverty Point earthwork volume after applying a single physically interpretable scaling factor; (iii) exponential distance decay in exotic-goods source-frequency ratios consistent with Webb (1982) inventories; (iv) episodic, pulsed construction tempo following environmental shortfalls; (v) regional site hierarchy that scales with ecotone diversity rather than network centrality.</w:t>
      </w:r>
    </w:p>
    <w:bookmarkEnd w:id="9"/>
    <w:bookmarkStart w:id="10" w:name="s1.2-entities-state-variables-scales"/>
    <w:p>
      <w:pPr>
        <w:pStyle w:val="Heading3"/>
      </w:pPr>
      <w:r>
        <w:t xml:space="preserve">S1.2 Entities, state variables, scales</w:t>
      </w:r>
    </w:p>
    <w:p>
      <w:pPr>
        <w:pStyle w:val="FirstParagraph"/>
      </w:pPr>
      <w:r>
        <w:t xml:space="preserve">The principal entity is the</w:t>
      </w:r>
      <w:r>
        <w:t xml:space="preserve"> </w:t>
      </w:r>
      <w:r>
        <w:rPr>
          <w:b/>
          <w:bCs/>
        </w:rPr>
        <w:t xml:space="preserve">band</w:t>
      </w:r>
      <w:r>
        <w:t xml:space="preserve">, a small cooperative unit of 15-30 individuals. Each band</w:t>
      </w:r>
      <w:r>
        <w:t xml:space="preserve"> </w:t>
      </w:r>
      <m:oMath>
        <m:r>
          <m:t>i</m:t>
        </m:r>
      </m:oMath>
      <w:r>
        <w:t xml:space="preserve"> </w:t>
      </w:r>
      <w:r>
        <w:t xml:space="preserve">at time</w:t>
      </w:r>
      <w:r>
        <w:t xml:space="preserve"> </w:t>
      </w:r>
      <m:oMath>
        <m:r>
          <m:t>t</m:t>
        </m:r>
      </m:oMath>
      <w:r>
        <w:t xml:space="preserve"> </w:t>
      </w:r>
      <w:r>
        <w:t xml:space="preserve">has state variables: location</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(spatial); resources</w:t>
      </w:r>
      <w:r>
        <w:t xml:space="preserve"> </w:t>
      </w:r>
      <m:oMath>
        <m:sSub>
          <m:e>
            <m:r>
              <m:t>R</m:t>
            </m:r>
          </m:e>
          <m:sub>
            <m:r>
              <m:t>i</m:t>
            </m:r>
          </m:sub>
        </m:sSub>
      </m:oMath>
      <w:r>
        <w:t xml:space="preserve"> </w:t>
      </w:r>
      <w:r>
        <w:t xml:space="preserve">(normalized to 0-1); strategy</w:t>
      </w:r>
      <w:r>
        <w:t xml:space="preserve"> </w:t>
      </w:r>
      <m:oMath>
        <m:sSub>
          <m:e>
            <m:r>
              <m:t>s</m:t>
            </m:r>
          </m:e>
          <m:sub>
            <m:r>
              <m:t>i</m:t>
            </m:r>
          </m:sub>
        </m:sSub>
        <m:r>
          <m:rPr>
            <m:sty m:val="p"/>
          </m:rPr>
          <m:t>∈</m:t>
        </m:r>
        <m:r>
          <m:rPr>
            <m:sty m:val="p"/>
          </m:rPr>
          <m:t>{</m:t>
        </m:r>
      </m:oMath>
      <w:r>
        <w:t xml:space="preserve">aggregator, independent</w:t>
      </w:r>
      <m:oMath>
        <m:r>
          <m:rPr>
            <m:sty m:val="p"/>
          </m:rPr>
          <m:t>}</m:t>
        </m:r>
      </m:oMath>
      <w:r>
        <w:t xml:space="preserve">; quality</w:t>
      </w:r>
      <w:r>
        <w:t xml:space="preserve"> </w:t>
      </w:r>
      <m:oMath>
        <m:sSub>
          <m:e>
            <m:r>
              <m:t>q</m:t>
            </m:r>
          </m:e>
          <m:sub>
            <m:r>
              <m:t>i</m:t>
            </m:r>
          </m:sub>
        </m:sSub>
      </m:oMath>
      <w:r>
        <w:t xml:space="preserve"> </w:t>
      </w:r>
      <w:r>
        <w:t xml:space="preserve">(productive capacity, drawn from a uniform distribution on</w:t>
      </w:r>
      <w:r>
        <w:t xml:space="preserve"> </w:t>
      </w:r>
      <m:oMath>
        <m:r>
          <m:rPr>
            <m:sty m:val="p"/>
          </m:rPr>
          <m:t>[</m:t>
        </m:r>
        <m:sSub>
          <m:e>
            <m:r>
              <m:t>q</m:t>
            </m:r>
          </m:e>
          <m:sub>
            <m:r>
              <m:t>m</m:t>
            </m:r>
            <m:r>
              <m:t>i</m:t>
            </m:r>
            <m:r>
              <m:t>n</m:t>
            </m:r>
          </m:sub>
        </m:sSub>
        <m:r>
          <m:rPr>
            <m:sty m:val="p"/>
          </m:rPr>
          <m:t>,</m:t>
        </m:r>
        <m:sSub>
          <m:e>
            <m:r>
              <m:t>q</m:t>
            </m:r>
          </m:e>
          <m:sub>
            <m:r>
              <m:t>m</m:t>
            </m:r>
            <m:r>
              <m:t>a</m:t>
            </m:r>
            <m:r>
              <m:t>x</m:t>
            </m:r>
          </m:sub>
        </m:sSub>
        <m:r>
          <m:rPr>
            <m:sty m:val="p"/>
          </m:rPr>
          <m:t>]</m:t>
        </m:r>
        <m:r>
          <m:rPr>
            <m:sty m:val="p"/>
          </m:rPr>
          <m:t>=</m:t>
        </m:r>
        <m:r>
          <m:rPr>
            <m:sty m:val="p"/>
          </m:rPr>
          <m:t>[</m:t>
        </m:r>
        <m:r>
          <m:t>0.2</m:t>
        </m:r>
        <m:r>
          <m:rPr>
            <m:sty m:val="p"/>
          </m:rPr>
          <m:t>,</m:t>
        </m:r>
        <m:r>
          <m:t>2.0</m:t>
        </m:r>
        <m:r>
          <m:rPr>
            <m:sty m:val="p"/>
          </m:rPr>
          <m:t>]</m:t>
        </m:r>
      </m:oMath>
      <w:r>
        <w:t xml:space="preserve">, an order-of-magnitude range consistent with documented variation in hunter-gatherer per-individual return rates: e.g., Hadza big-game hunting and Ju/’hoansi foraging both show roughly 10-fold within-population variance in productive capacity); accumulated monument investment</w:t>
      </w:r>
      <w:r>
        <w:t xml:space="preserve"> </w:t>
      </w:r>
      <m:oMath>
        <m:sSub>
          <m:e>
            <m:r>
              <m:t>I</m:t>
            </m:r>
          </m:e>
          <m:sub>
            <m:r>
              <m:t>i</m:t>
            </m:r>
          </m:sub>
        </m:sSub>
      </m:oMath>
      <w:r>
        <w:t xml:space="preserve">; exotic holdings vector</w:t>
      </w:r>
      <w:r>
        <w:t xml:space="preserve"> </w:t>
      </w:r>
      <m:oMath>
        <m:sSub>
          <m:e>
            <m:r>
              <m:t>E</m:t>
            </m:r>
          </m:e>
          <m:sub>
            <m:r>
              <m:t>i</m:t>
            </m:r>
          </m:sub>
        </m:sSub>
      </m:oMath>
      <w:r>
        <w:t xml:space="preserve"> </w:t>
      </w:r>
      <w:r>
        <w:t xml:space="preserve">by source; obligation network edges</w:t>
      </w:r>
      <w:r>
        <w:t xml:space="preserve"> </w:t>
      </w:r>
      <m:oMath>
        <m:sSub>
          <m:e>
            <m:r>
              <m:t>O</m:t>
            </m:r>
          </m:e>
          <m:sub>
            <m:r>
              <m:t>i</m:t>
            </m:r>
            <m:r>
              <m:t>j</m:t>
            </m:r>
          </m:sub>
        </m:sSub>
      </m:oMath>
      <w:r>
        <w:t xml:space="preserve"> </w:t>
      </w:r>
      <w:r>
        <w:t xml:space="preserve">to other bands; prestige</w:t>
      </w:r>
      <w:r>
        <w:t xml:space="preserve"> </w:t>
      </w:r>
      <m:oMath>
        <m:sSub>
          <m:e>
            <m:r>
              <m:t>P</m:t>
            </m:r>
          </m:e>
          <m:sub>
            <m:r>
              <m:t>i</m:t>
            </m:r>
          </m:sub>
        </m:sSub>
      </m:oMath>
      <w:r>
        <w:t xml:space="preserve">. The aggregation site has cumulative monument stock</w:t>
      </w:r>
      <w:r>
        <w:t xml:space="preserve"> </w:t>
      </w:r>
      <m:oMath>
        <m:sSub>
          <m:e>
            <m:r>
              <m:t>M</m:t>
            </m:r>
          </m:e>
          <m:sub>
            <m:r>
              <m:t>g</m:t>
            </m:r>
          </m:sub>
        </m:sSub>
      </m:oMath>
      <w:r>
        <w:t xml:space="preserve">, aggregation history, and ecotone advantage</w:t>
      </w:r>
      <w:r>
        <w:t xml:space="preserve"> </w:t>
      </w:r>
      <m:oMath>
        <m:r>
          <m:t>ε</m:t>
        </m:r>
      </m:oMath>
      <w:r>
        <w:t xml:space="preserve">. Time is discrete with annual steps; each year is partitioned into spring dispersal/foraging, summer aggregation, fall harvest, and winter reproduction.</w:t>
      </w:r>
    </w:p>
    <w:bookmarkEnd w:id="10"/>
    <w:bookmarkStart w:id="11" w:name="s1.3-process-overview-and-scheduling"/>
    <w:p>
      <w:pPr>
        <w:pStyle w:val="Heading3"/>
      </w:pPr>
      <w:r>
        <w:t xml:space="preserve">S1.3 Process overview and scheduling</w:t>
      </w:r>
    </w:p>
    <w:p>
      <w:pPr>
        <w:pStyle w:val="FirstParagraph"/>
      </w:pPr>
      <w:r>
        <w:t xml:space="preserve">Each year:</w:t>
      </w:r>
      <w:r>
        <w:t xml:space="preserve"> </w:t>
      </w:r>
      <w:r>
        <w:t xml:space="preserve">1.</w:t>
      </w:r>
      <w:r>
        <w:t xml:space="preserve"> </w:t>
      </w:r>
      <w:r>
        <w:rPr>
          <w:b/>
          <w:bCs/>
        </w:rPr>
        <w:t xml:space="preserve">Environmental update:</w:t>
      </w:r>
      <w:r>
        <w:t xml:space="preserve"> </w:t>
      </w:r>
      <w:r>
        <w:t xml:space="preserve">sample seasonal productivity for each zone; sample shortfall events (frequency, magnitude) and propagate through zone productivities.</w:t>
      </w:r>
      <w:r>
        <w:t xml:space="preserve"> </w:t>
      </w:r>
      <w:r>
        <w:t xml:space="preserve">2.</w:t>
      </w:r>
      <w:r>
        <w:t xml:space="preserve"> </w:t>
      </w:r>
      <w:r>
        <w:rPr>
          <w:b/>
          <w:bCs/>
        </w:rPr>
        <w:t xml:space="preserve">Strategy decision:</w:t>
      </w:r>
      <w:r>
        <w:t xml:space="preserve"> </w:t>
      </w:r>
      <w:r>
        <w:t xml:space="preserve">each band computes expected</w:t>
      </w:r>
      <w:r>
        <w:t xml:space="preserve"> </w:t>
      </w:r>
      <m:oMath>
        <m:sSub>
          <m:e>
            <m:r>
              <m:t>W</m:t>
            </m:r>
          </m:e>
          <m:sub>
            <m:r>
              <m:t>a</m:t>
            </m:r>
            <m:r>
              <m:t>g</m:t>
            </m:r>
            <m:r>
              <m:t>g</m:t>
            </m:r>
          </m:sub>
        </m:sSub>
      </m:oMath>
      <w:r>
        <w:t xml:space="preserve"> </w:t>
      </w:r>
      <w:r>
        <w:t xml:space="preserve">and</w:t>
      </w:r>
      <w:r>
        <w:t xml:space="preserve"> </w:t>
      </w:r>
      <m:oMath>
        <m:sSub>
          <m:e>
            <m:r>
              <m:t>W</m:t>
            </m:r>
          </m:e>
          <m:sub>
            <m:r>
              <m:t>i</m:t>
            </m:r>
            <m:r>
              <m:t>n</m:t>
            </m:r>
            <m:r>
              <m:t>d</m:t>
            </m:r>
          </m:sub>
        </m:sSub>
      </m:oMath>
      <w:r>
        <w:t xml:space="preserve"> </w:t>
      </w:r>
      <w:r>
        <w:t xml:space="preserve">given current</w:t>
      </w:r>
      <w:r>
        <w:t xml:space="preserve"> </w:t>
      </w:r>
      <m:oMath>
        <m:r>
          <m:t>σ</m:t>
        </m:r>
      </m:oMath>
      <w:r>
        <w:t xml:space="preserve">,</w:t>
      </w:r>
      <w:r>
        <w:t xml:space="preserve"> </w:t>
      </w:r>
      <m:oMath>
        <m:r>
          <m:t>ε</m:t>
        </m:r>
      </m:oMath>
      <w:r>
        <w:t xml:space="preserve">, network state, and monument stock; chooses higher-fitness strategy with stochastic perturbation.</w:t>
      </w:r>
      <w:r>
        <w:t xml:space="preserve"> </w:t>
      </w:r>
      <w:r>
        <w:t xml:space="preserve">3.</w:t>
      </w:r>
      <w:r>
        <w:t xml:space="preserve"> </w:t>
      </w:r>
      <w:r>
        <w:rPr>
          <w:b/>
          <w:bCs/>
        </w:rPr>
        <w:t xml:space="preserve">Travel and aggregation:</w:t>
      </w:r>
      <w:r>
        <w:t xml:space="preserve"> </w:t>
      </w:r>
      <w:r>
        <w:t xml:space="preserve">aggregators incur travel cost</w:t>
      </w:r>
      <w:r>
        <w:t xml:space="preserve"> </w:t>
      </w:r>
      <m:oMath>
        <m:sSub>
          <m:e>
            <m:r>
              <m:t>C</m:t>
            </m:r>
          </m:e>
          <m:sub>
            <m:r>
              <m:t>t</m:t>
            </m:r>
            <m:r>
              <m:t>r</m:t>
            </m:r>
            <m:r>
              <m:t>a</m:t>
            </m:r>
            <m:r>
              <m:t>v</m:t>
            </m:r>
            <m:r>
              <m:t>e</m:t>
            </m:r>
            <m:r>
              <m:t>l</m:t>
            </m:r>
          </m:sub>
        </m:sSub>
        <m:r>
          <m:rPr>
            <m:sty m:val="p"/>
          </m:rPr>
          <m:t>=</m:t>
        </m:r>
        <m:r>
          <m:t>0.0004</m:t>
        </m:r>
        <m:r>
          <m:t>d</m:t>
        </m:r>
      </m:oMath>
      <w:r>
        <w:t xml:space="preserve">, arrive at site, gain access to ecotone resources.</w:t>
      </w:r>
      <w:r>
        <w:t xml:space="preserve"> </w:t>
      </w:r>
      <w:r>
        <w:t xml:space="preserve">4.</w:t>
      </w:r>
      <w:r>
        <w:t xml:space="preserve"> </w:t>
      </w:r>
      <w:r>
        <w:rPr>
          <w:b/>
          <w:bCs/>
        </w:rPr>
        <w:t xml:space="preserve">Monument investment:</w:t>
      </w:r>
      <w:r>
        <w:t xml:space="preserve"> </w:t>
      </w:r>
      <w:r>
        <w:t xml:space="preserve">bands with</w:t>
      </w:r>
      <w:r>
        <w:t xml:space="preserve"> </w:t>
      </w:r>
      <m:oMath>
        <m:sSub>
          <m:e>
            <m:r>
              <m:t>R</m:t>
            </m:r>
          </m:e>
          <m:sub>
            <m:r>
              <m:t>i</m:t>
            </m:r>
          </m:sub>
        </m:sSub>
        <m:r>
          <m:rPr>
            <m:sty m:val="p"/>
          </m:rPr>
          <m:t>&gt;</m:t>
        </m:r>
        <m:r>
          <m:t>0.3</m:t>
        </m:r>
      </m:oMath>
      <w:r>
        <w:t xml:space="preserve"> </w:t>
      </w:r>
      <w:r>
        <w:t xml:space="preserve">contribute</w:t>
      </w:r>
      <w:r>
        <w:t xml:space="preserve"> </w:t>
      </w:r>
      <m:oMath>
        <m:sSub>
          <m:e>
            <m:r>
              <m:rPr>
                <m:nor/>
                <m:sty m:val="p"/>
              </m:rPr>
              <m:t>invest</m:t>
            </m:r>
          </m:e>
          <m:sub>
            <m:r>
              <m:t>i</m:t>
            </m:r>
          </m:sub>
        </m:sSub>
        <m:r>
          <m:rPr>
            <m:sty m:val="p"/>
          </m:rPr>
          <m:t>=</m:t>
        </m:r>
        <m:sSub>
          <m:e>
            <m:r>
              <m:rPr>
                <m:nor/>
                <m:sty m:val="p"/>
              </m:rPr>
              <m:t>band_size</m:t>
            </m:r>
          </m:e>
          <m:sub>
            <m:r>
              <m:t>i</m:t>
            </m:r>
          </m:sub>
        </m:sSub>
        <m:r>
          <m:rPr>
            <m:sty m:val="p"/>
          </m:rPr>
          <m:t>×</m:t>
        </m:r>
        <m:r>
          <m:rPr>
            <m:nor/>
            <m:sty m:val="p"/>
          </m:rPr>
          <m:t>rate</m:t>
        </m:r>
        <m:r>
          <m:rPr>
            <m:sty m:val="p"/>
          </m:rPr>
          <m:t>×</m:t>
        </m:r>
        <m:sSub>
          <m:e>
            <m:r>
              <m:t>R</m:t>
            </m:r>
          </m:e>
          <m:sub>
            <m:r>
              <m:t>i</m:t>
            </m:r>
          </m:sub>
        </m:sSub>
        <m:r>
          <m:rPr>
            <m:sty m:val="p"/>
          </m:rPr>
          <m:t>×</m:t>
        </m:r>
        <m:r>
          <m:rPr>
            <m:scr m:val="script"/>
            <m:sty m:val="p"/>
          </m:rPr>
          <m:t>N</m:t>
        </m:r>
        <m:r>
          <m:rPr>
            <m:sty m:val="p"/>
          </m:rPr>
          <m:t>(</m:t>
        </m:r>
        <m:r>
          <m:t>1</m:t>
        </m:r>
        <m:r>
          <m:rPr>
            <m:sty m:val="p"/>
          </m:rPr>
          <m:t>,</m:t>
        </m:r>
        <m:r>
          <m:t>0.2</m:t>
        </m:r>
        <m:r>
          <m:rPr>
            <m:sty m:val="p"/>
          </m:rPr>
          <m:t>)</m:t>
        </m:r>
      </m:oMath>
      <w:r>
        <w:t xml:space="preserve">; both individual prestige and site-level</w:t>
      </w:r>
      <w:r>
        <w:t xml:space="preserve"> </w:t>
      </w:r>
      <m:oMath>
        <m:sSub>
          <m:e>
            <m:r>
              <m:t>M</m:t>
            </m:r>
          </m:e>
          <m:sub>
            <m:r>
              <m:t>g</m:t>
            </m:r>
          </m:sub>
        </m:sSub>
      </m:oMath>
      <w:r>
        <w:t xml:space="preserve"> </w:t>
      </w:r>
      <w:r>
        <w:t xml:space="preserve">increment.</w:t>
      </w:r>
      <w:r>
        <w:t xml:space="preserve"> </w:t>
      </w:r>
      <w:r>
        <w:t xml:space="preserve">5.</w:t>
      </w:r>
      <w:r>
        <w:t xml:space="preserve"> </w:t>
      </w:r>
      <w:r>
        <w:rPr>
          <w:b/>
          <w:bCs/>
        </w:rPr>
        <w:t xml:space="preserve">Obligation formation:</w:t>
      </w:r>
      <w:r>
        <w:t xml:space="preserve"> </w:t>
      </w:r>
      <w:r>
        <w:t xml:space="preserve">each pair of co-attending bands has 20-30% probability of new tie or strengthening existing tie.</w:t>
      </w:r>
      <w:r>
        <w:t xml:space="preserve"> </w:t>
      </w:r>
      <w:r>
        <w:t xml:space="preserve">6.</w:t>
      </w:r>
      <w:r>
        <w:t xml:space="preserve"> </w:t>
      </w:r>
      <w:r>
        <w:rPr>
          <w:b/>
          <w:bCs/>
        </w:rPr>
        <w:t xml:space="preserve">Exotic acquisition / divestment:</w:t>
      </w:r>
      <w:r>
        <w:t xml:space="preserve"> </w:t>
      </w:r>
      <w:r>
        <w:t xml:space="preserve">acquisition probability per source</w:t>
      </w:r>
      <w:r>
        <w:t xml:space="preserve"> </w:t>
      </w:r>
      <m:oMath>
        <m:r>
          <m:t>j</m:t>
        </m:r>
      </m:oMath>
      <w:r>
        <w:t xml:space="preserve"> </w:t>
      </w:r>
      <w:r>
        <w:t xml:space="preserve">is</w:t>
      </w:r>
      <w:r>
        <w:t xml:space="preserve"> </w:t>
      </w:r>
      <m:oMath>
        <m:sSub>
          <m:e>
            <m:r>
              <m:t>p</m:t>
            </m:r>
          </m:e>
          <m:sub>
            <m:r>
              <m:t>i</m:t>
            </m:r>
            <m:r>
              <m:t>j</m:t>
            </m:r>
          </m:sub>
        </m:sSub>
        <m:r>
          <m:rPr>
            <m:sty m:val="p"/>
          </m:rPr>
          <m:t>=</m:t>
        </m:r>
        <m:sSub>
          <m:e>
            <m:r>
              <m:rPr>
                <m:nor/>
                <m:sty m:val="p"/>
              </m:rPr>
              <m:t>prestige</m:t>
            </m:r>
          </m:e>
          <m:sub>
            <m:r>
              <m:t>i</m:t>
            </m:r>
          </m:sub>
        </m:sSub>
        <m:r>
          <m:rPr>
            <m:sty m:val="p"/>
          </m:rPr>
          <m:t>×</m:t>
        </m:r>
        <m:r>
          <m:rPr>
            <m:sty m:val="p"/>
          </m:rPr>
          <m:t>exp</m:t>
        </m:r>
        <m:r>
          <m:rPr>
            <m:sty m:val="p"/>
          </m:rPr>
          <m:t>(</m:t>
        </m:r>
        <m:r>
          <m:rPr>
            <m:sty m:val="p"/>
          </m:rPr>
          <m:t>−</m:t>
        </m:r>
        <m:sSub>
          <m:e>
            <m:r>
              <m:t>d</m:t>
            </m:r>
          </m:e>
          <m:sub>
            <m:r>
              <m:t>j</m:t>
            </m:r>
          </m:sub>
        </m:sSub>
        <m:r>
          <m:rPr>
            <m:sty m:val="p"/>
          </m:rPr>
          <m:t>/</m:t>
        </m:r>
        <m:r>
          <m:t>500</m:t>
        </m:r>
        <m:r>
          <m:rPr>
            <m:sty m:val="p"/>
          </m:rPr>
          <m:t>)</m:t>
        </m:r>
      </m:oMath>
      <w:r>
        <w:t xml:space="preserve">; divestment via gifting and ritual deposition propagates obligations.</w:t>
      </w:r>
      <w:r>
        <w:t xml:space="preserve"> </w:t>
      </w:r>
      <w:r>
        <w:t xml:space="preserve">7.</w:t>
      </w:r>
      <w:r>
        <w:t xml:space="preserve"> </w:t>
      </w:r>
      <w:r>
        <w:rPr>
          <w:b/>
          <w:bCs/>
        </w:rPr>
        <w:t xml:space="preserve">Foraging and shortfall impact:</w:t>
      </w:r>
      <w:r>
        <w:t xml:space="preserve"> </w:t>
      </w:r>
      <w:r>
        <w:t xml:space="preserve">payoff modulated by</w:t>
      </w:r>
      <w:r>
        <w:t xml:space="preserve"> </w:t>
      </w:r>
      <m:oMath>
        <m:sSub>
          <m:e>
            <m:r>
              <m:t>σ</m:t>
            </m:r>
          </m:e>
          <m:sub>
            <m:r>
              <m:t>e</m:t>
            </m:r>
            <m:r>
              <m:t>f</m:t>
            </m:r>
            <m:r>
              <m:t>f</m:t>
            </m:r>
          </m:sub>
        </m:sSub>
      </m:oMath>
      <w:r>
        <w:t xml:space="preserve"> </w:t>
      </w:r>
      <w:r>
        <w:t xml:space="preserve">for aggregators and full</w:t>
      </w:r>
      <w:r>
        <w:t xml:space="preserve"> </w:t>
      </w:r>
      <m:oMath>
        <m:r>
          <m:t>σ</m:t>
        </m:r>
      </m:oMath>
      <w:r>
        <w:t xml:space="preserve"> </w:t>
      </w:r>
      <w:r>
        <w:t xml:space="preserve">for independents; vulnerability</w:t>
      </w:r>
      <w:r>
        <w:t xml:space="preserve"> </w:t>
      </w:r>
      <m:oMath>
        <m:r>
          <m:t>α</m:t>
        </m:r>
        <m:r>
          <m:rPr>
            <m:sty m:val="p"/>
          </m:rPr>
          <m:t>(</m:t>
        </m:r>
        <m:sSub>
          <m:e>
            <m:r>
              <m:t>k</m:t>
            </m:r>
          </m:e>
          <m:sub>
            <m:r>
              <m:t>i</m:t>
            </m:r>
          </m:sub>
        </m:sSub>
        <m:r>
          <m:rPr>
            <m:sty m:val="p"/>
          </m:rPr>
          <m:t>)</m:t>
        </m:r>
      </m:oMath>
      <w:r>
        <w:t xml:space="preserve"> </w:t>
      </w:r>
      <w:r>
        <w:t xml:space="preserve">applied.</w:t>
      </w:r>
      <w:r>
        <w:t xml:space="preserve"> </w:t>
      </w:r>
      <w:r>
        <w:t xml:space="preserve">8.</w:t>
      </w:r>
      <w:r>
        <w:t xml:space="preserve"> </w:t>
      </w:r>
      <w:r>
        <w:rPr>
          <w:b/>
          <w:bCs/>
        </w:rPr>
        <w:t xml:space="preserve">Reproduction:</w:t>
      </w:r>
      <w:r>
        <w:t xml:space="preserve"> </w:t>
      </w:r>
      <w:r>
        <w:t xml:space="preserve">stochastic births/deaths proportional to fitness and resources; band fission when size exceeds 30.</w:t>
      </w:r>
    </w:p>
    <w:bookmarkEnd w:id="11"/>
    <w:bookmarkStart w:id="12" w:name="s1.4-design-concepts"/>
    <w:p>
      <w:pPr>
        <w:pStyle w:val="Heading3"/>
      </w:pPr>
      <w:r>
        <w:t xml:space="preserve">S1.4 Design concepts</w:t>
      </w:r>
    </w:p>
    <w:p>
      <w:pPr>
        <w:pStyle w:val="FirstParagraph"/>
      </w:pPr>
      <w:r>
        <w:rPr>
          <w:b/>
          <w:bCs/>
        </w:rPr>
        <w:t xml:space="preserve">Emergence.</w:t>
      </w:r>
      <w:r>
        <w:t xml:space="preserve"> </w:t>
      </w:r>
      <w:r>
        <w:t xml:space="preserve">Phase transitions in strategy frequency, monument accumulation, and network structure emerge from individual fitness comparisons; they are not built in.</w:t>
      </w:r>
    </w:p>
    <w:p>
      <w:pPr>
        <w:pStyle w:val="BodyText"/>
      </w:pPr>
      <w:r>
        <w:rPr>
          <w:b/>
          <w:bCs/>
        </w:rPr>
        <w:t xml:space="preserve">Adaptation.</w:t>
      </w:r>
      <w:r>
        <w:t xml:space="preserve"> </w:t>
      </w:r>
      <w:r>
        <w:t xml:space="preserve">Bands adapt by choosing the higher-fitness strategy, with switching frequency dampened to reflect ethnographic inertia in lifeway change.</w:t>
      </w:r>
    </w:p>
    <w:p>
      <w:pPr>
        <w:pStyle w:val="BodyText"/>
      </w:pPr>
      <w:r>
        <w:rPr>
          <w:b/>
          <w:bCs/>
        </w:rPr>
        <w:t xml:space="preserve">Sensing.</w:t>
      </w:r>
      <w:r>
        <w:t xml:space="preserve"> </w:t>
      </w:r>
      <w:r>
        <w:t xml:space="preserve">Bands sense local resource conditions, their own state, and (for aggregators) the visible monument stock and obligation network at the aggregation site.</w:t>
      </w:r>
    </w:p>
    <w:p>
      <w:pPr>
        <w:pStyle w:val="BodyText"/>
      </w:pPr>
      <w:r>
        <w:rPr>
          <w:b/>
          <w:bCs/>
        </w:rPr>
        <w:t xml:space="preserve">Stochasticity.</w:t>
      </w:r>
      <w:r>
        <w:t xml:space="preserve"> </w:t>
      </w:r>
      <w:r>
        <w:t xml:space="preserve">Shortfall years, productivity sampling, partner formation, and exotic acquisition all incorporate stochasticity, producing replicate-to-replicate variation.</w:t>
      </w:r>
    </w:p>
    <w:p>
      <w:pPr>
        <w:pStyle w:val="BodyText"/>
      </w:pPr>
      <w:r>
        <w:rPr>
          <w:b/>
          <w:bCs/>
        </w:rPr>
        <w:t xml:space="preserve">Observation.</w:t>
      </w:r>
      <w:r>
        <w:t xml:space="preserve"> </w:t>
      </w:r>
      <w:r>
        <w:t xml:space="preserve">At each year we record strategy frequencies, monument totals, exotic counts by source, network density, and population size.</w:t>
      </w:r>
    </w:p>
    <w:p>
      <w:pPr>
        <w:pStyle w:val="BodyText"/>
      </w:pPr>
      <w:r>
        <w:rPr>
          <w:b/>
          <w:bCs/>
        </w:rPr>
        <w:t xml:space="preserve">Composite uncertainty derivation.</w:t>
      </w:r>
      <w:r>
        <w:t xml:space="preserve"> </w:t>
      </w:r>
      <w:r>
        <w:t xml:space="preserve">In plain terms:</w:t>
      </w:r>
      <w:r>
        <w:t xml:space="preserve"> </w:t>
      </w:r>
      <m:oMath>
        <m:r>
          <m:t>σ</m:t>
        </m:r>
      </m:oMath>
      <w:r>
        <w:t xml:space="preserve"> </w:t>
      </w:r>
      <w:r>
        <w:t xml:space="preserve">summarizes how much annual productivity bounces around year to year, combining how often shortfalls occur (mean recurrence</w:t>
      </w:r>
      <w:r>
        <w:t xml:space="preserve"> </w:t>
      </w:r>
      <m:oMath>
        <m:r>
          <m:t>T</m:t>
        </m:r>
      </m:oMath>
      <w:r>
        <w:t xml:space="preserve">) with how severe each one is (magnitude</w:t>
      </w:r>
      <w:r>
        <w:t xml:space="preserve"> </w:t>
      </w:r>
      <m:oMath>
        <m:r>
          <m:t>m</m:t>
        </m:r>
      </m:oMath>
      <w:r>
        <w:t xml:space="preserve">). The derivation: shortfalls arrive at random with mean spacing</w:t>
      </w:r>
      <w:r>
        <w:t xml:space="preserve"> </w:t>
      </w:r>
      <m:oMath>
        <m:r>
          <m:t>T</m:t>
        </m:r>
      </m:oMath>
      <w:r>
        <w:t xml:space="preserve"> </w:t>
      </w:r>
      <w:r>
        <w:t xml:space="preserve">years (a Poisson process with rate</w:t>
      </w:r>
      <w:r>
        <w:t xml:space="preserve"> </w:t>
      </w:r>
      <m:oMath>
        <m:sSub>
          <m:e>
            <m:r>
              <m:t>λ</m:t>
            </m:r>
          </m:e>
          <m:sub>
            <m:r>
              <m:t>s</m:t>
            </m:r>
          </m:sub>
        </m:sSub>
        <m:r>
          <m:rPr>
            <m:sty m:val="p"/>
          </m:rPr>
          <m:t>=</m:t>
        </m:r>
        <m:r>
          <m:t>1</m:t>
        </m:r>
        <m:r>
          <m:rPr>
            <m:sty m:val="p"/>
          </m:rPr>
          <m:t>/</m:t>
        </m:r>
        <m:r>
          <m:t>T</m:t>
        </m:r>
      </m:oMath>
      <w:r>
        <w:t xml:space="preserve">), and each shortfall reduces annual productivity by a multiplicative factor</w:t>
      </w:r>
      <w:r>
        <w:t xml:space="preserve"> </w:t>
      </w:r>
      <m:oMath>
        <m:r>
          <m:t>m</m:t>
        </m:r>
        <m:r>
          <m:rPr>
            <m:sty m:val="p"/>
          </m:rPr>
          <m:t>∈</m:t>
        </m:r>
        <m:r>
          <m:rPr>
            <m:sty m:val="p"/>
          </m:rPr>
          <m:t>(</m:t>
        </m:r>
        <m:r>
          <m:t>0</m:t>
        </m:r>
        <m:r>
          <m:rPr>
            <m:sty m:val="p"/>
          </m:rPr>
          <m:t>,</m:t>
        </m:r>
        <m:r>
          <m:t>1</m:t>
        </m:r>
        <m:r>
          <m:rPr>
            <m:sty m:val="p"/>
          </m:rPr>
          <m:t>)</m:t>
        </m:r>
      </m:oMath>
      <w:r>
        <w:t xml:space="preserve"> </w:t>
      </w:r>
      <w:r>
        <w:t xml:space="preserve">(so a</w:t>
      </w:r>
      <w:r>
        <w:t xml:space="preserve"> </w:t>
      </w:r>
      <w:r>
        <w:t xml:space="preserve">“magnitude 0.45”</w:t>
      </w:r>
      <w:r>
        <w:t xml:space="preserve"> </w:t>
      </w:r>
      <w:r>
        <w:t xml:space="preserve">shortfall produces 55% of normal productivity in that year). The expected number of shortfalls in any year is</w:t>
      </w:r>
      <w:r>
        <w:t xml:space="preserve"> </w:t>
      </w:r>
      <m:oMath>
        <m:r>
          <m:t>1</m:t>
        </m:r>
        <m:r>
          <m:rPr>
            <m:sty m:val="p"/>
          </m:rPr>
          <m:t>/</m:t>
        </m:r>
        <m:r>
          <m:t>T</m:t>
        </m:r>
      </m:oMath>
      <w:r>
        <w:t xml:space="preserve">, and the variance of annual productivity loss across many years is</w:t>
      </w:r>
      <w:r>
        <w:t xml:space="preserve"> </w:t>
      </w:r>
      <m:oMath>
        <m:r>
          <m:t>E</m:t>
        </m:r>
        <m:r>
          <m:rPr>
            <m:sty m:val="p"/>
          </m:rPr>
          <m:t>[</m:t>
        </m:r>
        <m:sSup>
          <m:e>
            <m:r>
              <m:rPr>
                <m:nor/>
                <m:sty m:val="p"/>
              </m:rPr>
              <m:t>loss</m:t>
            </m:r>
          </m:e>
          <m:sup>
            <m:r>
              <m:t>2</m:t>
            </m:r>
          </m:sup>
        </m:sSup>
        <m:r>
          <m:rPr>
            <m:sty m:val="p"/>
          </m:rPr>
          <m:t>]</m:t>
        </m:r>
        <m:r>
          <m:rPr>
            <m:sty m:val="p"/>
          </m:rPr>
          <m:t>=</m:t>
        </m:r>
        <m:sSup>
          <m:e>
            <m:r>
              <m:t>m</m:t>
            </m:r>
          </m:e>
          <m:sup>
            <m:r>
              <m:t>2</m:t>
            </m:r>
          </m:sup>
        </m:sSup>
        <m:r>
          <m:rPr>
            <m:sty m:val="p"/>
          </m:rPr>
          <m:t>/</m:t>
        </m:r>
        <m:r>
          <m:t>T</m:t>
        </m:r>
      </m:oMath>
      <w:r>
        <w:t xml:space="preserve"> </w:t>
      </w:r>
      <w:r>
        <w:t xml:space="preserve">(to leading order, treating shortfalls as independent annual events). The standard deviation of annual loss is therefore</w:t>
      </w:r>
      <w:r>
        <w:t xml:space="preserve"> </w:t>
      </w:r>
      <m:oMath>
        <m:sSub>
          <m:e>
            <m:r>
              <m:t>σ</m:t>
            </m:r>
          </m:e>
          <m:sub>
            <m:r>
              <m:rPr>
                <m:nor/>
                <m:sty m:val="p"/>
              </m:rPr>
              <m:t>annual</m:t>
            </m:r>
          </m:sub>
        </m:sSub>
        <m:r>
          <m:rPr>
            <m:sty m:val="p"/>
          </m:rPr>
          <m:t>=</m:t>
        </m:r>
        <m:r>
          <m:t>m</m:t>
        </m:r>
        <m:r>
          <m:rPr>
            <m:sty m:val="p"/>
          </m:rPr>
          <m:t>/</m:t>
        </m:r>
        <m:rad>
          <m:radPr>
            <m:degHide m:val="on"/>
          </m:radPr>
          <m:deg/>
          <m:e>
            <m:r>
              <m:t>T</m:t>
            </m:r>
          </m:e>
        </m:rad>
      </m:oMath>
      <w:r>
        <w:t xml:space="preserve">.</w:t>
      </w:r>
    </w:p>
    <w:p>
      <w:pPr>
        <w:pStyle w:val="BodyText"/>
      </w:pPr>
      <w:r>
        <w:t xml:space="preserve">For interpretive convenience we work in units anchored at a 20-year reference recurrence:</w:t>
      </w:r>
      <w:r>
        <w:t xml:space="preserve"> </w:t>
      </w:r>
      <m:oMath>
        <m:r>
          <m:t>σ</m:t>
        </m:r>
        <m:r>
          <m:rPr>
            <m:sty m:val="p"/>
          </m:rPr>
          <m:t>=</m:t>
        </m:r>
        <m:r>
          <m:t>m</m:t>
        </m:r>
        <m:r>
          <m:rPr>
            <m:sty m:val="p"/>
          </m:rPr>
          <m:t>⋅</m:t>
        </m:r>
        <m:rad>
          <m:radPr>
            <m:degHide m:val="on"/>
          </m:radPr>
          <m:deg/>
          <m:e>
            <m:r>
              <m:t>20</m:t>
            </m:r>
            <m:r>
              <m:rPr>
                <m:sty m:val="p"/>
              </m:rPr>
              <m:t>/</m:t>
            </m:r>
            <m:r>
              <m:t>T</m:t>
            </m:r>
          </m:e>
        </m:rad>
        <m:r>
          <m:rPr>
            <m:sty m:val="p"/>
          </m:rPr>
          <m:t>=</m:t>
        </m:r>
        <m:sSub>
          <m:e>
            <m:r>
              <m:t>σ</m:t>
            </m:r>
          </m:e>
          <m:sub>
            <m:r>
              <m:rPr>
                <m:nor/>
                <m:sty m:val="p"/>
              </m:rPr>
              <m:t>annual</m:t>
            </m:r>
          </m:sub>
        </m:sSub>
        <m:r>
          <m:rPr>
            <m:sty m:val="p"/>
          </m:rPr>
          <m:t>⋅</m:t>
        </m:r>
        <m:rad>
          <m:radPr>
            <m:degHide m:val="on"/>
          </m:radPr>
          <m:deg/>
          <m:e>
            <m:r>
              <m:t>20</m:t>
            </m:r>
          </m:e>
        </m:rad>
      </m:oMath>
      <w:r>
        <w:t xml:space="preserve">. This rescaling makes</w:t>
      </w:r>
      <w:r>
        <w:t xml:space="preserve"> </w:t>
      </w:r>
      <m:oMath>
        <m:r>
          <m:t>σ</m:t>
        </m:r>
      </m:oMath>
      <w:r>
        <w:t xml:space="preserve"> </w:t>
      </w:r>
      <w:r>
        <w:t xml:space="preserve">equal to</w:t>
      </w:r>
      <w:r>
        <w:t xml:space="preserve"> </w:t>
      </w:r>
      <m:oMath>
        <m:r>
          <m:t>m</m:t>
        </m:r>
      </m:oMath>
      <w:r>
        <w:t xml:space="preserve"> </w:t>
      </w:r>
      <w:r>
        <w:t xml:space="preserve">when</w:t>
      </w:r>
      <w:r>
        <w:t xml:space="preserve"> </w:t>
      </w:r>
      <m:oMath>
        <m:r>
          <m:t>T</m:t>
        </m:r>
        <m:r>
          <m:rPr>
            <m:sty m:val="p"/>
          </m:rPr>
          <m:t>=</m:t>
        </m:r>
        <m:r>
          <m:t>20</m:t>
        </m:r>
      </m:oMath>
      <w:r>
        <w:t xml:space="preserve"> </w:t>
      </w:r>
      <w:r>
        <w:t xml:space="preserve">years (a typical Late Archaic shortfall interval inferred from paleotempestology and drought reconstructions), so that a magnitude-0.45 shortfall recurring every 20 years produces</w:t>
      </w:r>
      <w:r>
        <w:t xml:space="preserve"> </w:t>
      </w:r>
      <m:oMath>
        <m:r>
          <m:t>σ</m:t>
        </m:r>
        <m:r>
          <m:rPr>
            <m:sty m:val="p"/>
          </m:rPr>
          <m:t>=</m:t>
        </m:r>
        <m:r>
          <m:t>0.45</m:t>
        </m:r>
      </m:oMath>
      <w:r>
        <w:t xml:space="preserve">. The choice of 20 years as the reference is a convention; it does not affect the</w:t>
      </w:r>
      <w:r>
        <w:t xml:space="preserve"> </w:t>
      </w:r>
      <w:r>
        <w:rPr>
          <w:i/>
          <w:iCs/>
        </w:rPr>
        <w:t xml:space="preserve">ratio</w:t>
      </w:r>
      <w:r>
        <w:t xml:space="preserve"> </w:t>
      </w:r>
      <w:r>
        <w:t xml:space="preserve">of</w:t>
      </w:r>
      <w:r>
        <w:t xml:space="preserve"> </w:t>
      </w:r>
      <m:oMath>
        <m:r>
          <m:t>σ</m:t>
        </m:r>
      </m:oMath>
      <w:r>
        <w:t xml:space="preserve"> </w:t>
      </w:r>
      <w:r>
        <w:t xml:space="preserve">values across cases or the location of the critical threshold</w:t>
      </w:r>
      <w:r>
        <w:t xml:space="preserve"> </w:t>
      </w:r>
      <m:oMath>
        <m:sSup>
          <m:e>
            <m:r>
              <m:t>σ</m:t>
            </m:r>
          </m:e>
          <m:sup>
            <m:r>
              <m:rPr>
                <m:sty m:val="p"/>
              </m:rPr>
              <m:t>*</m:t>
            </m:r>
          </m:sup>
        </m:sSup>
      </m:oMath>
      <w:r>
        <w:t xml:space="preserve"> </w:t>
      </w:r>
      <w:r>
        <w:t xml:space="preserve">when both are computed in the same units.</w:t>
      </w:r>
    </w:p>
    <w:p>
      <w:pPr>
        <w:pStyle w:val="BodyText"/>
      </w:pPr>
      <w:r>
        <w:t xml:space="preserve">For Poverty Point, frequency</w:t>
      </w:r>
      <w:r>
        <w:t xml:space="preserve"> </w:t>
      </w:r>
      <m:oMath>
        <m:r>
          <m:rPr>
            <m:sty m:val="p"/>
          </m:rPr>
          <m:t>≈</m:t>
        </m:r>
        <m:r>
          <m:t>10</m:t>
        </m:r>
      </m:oMath>
      <w:r>
        <w:t xml:space="preserve"> </w:t>
      </w:r>
      <w:r>
        <w:t xml:space="preserve">years (combining drought and hurricane cycles) and magnitude</w:t>
      </w:r>
      <w:r>
        <w:t xml:space="preserve"> </w:t>
      </w:r>
      <m:oMath>
        <m:r>
          <m:rPr>
            <m:sty m:val="p"/>
          </m:rPr>
          <m:t>≈</m:t>
        </m:r>
        <m:r>
          <m:t>0.45</m:t>
        </m:r>
      </m:oMath>
      <w:r>
        <w:t xml:space="preserve"> </w:t>
      </w:r>
      <w:r>
        <w:t xml:space="preserve">yield</w:t>
      </w:r>
      <w:r>
        <w:t xml:space="preserve"> </w:t>
      </w:r>
      <m:oMath>
        <m:r>
          <m:t>σ</m:t>
        </m:r>
        <m:r>
          <m:rPr>
            <m:sty m:val="p"/>
          </m:rPr>
          <m:t>=</m:t>
        </m:r>
        <m:r>
          <m:t>0.45</m:t>
        </m:r>
        <m:r>
          <m:rPr>
            <m:sty m:val="p"/>
          </m:rPr>
          <m:t>⋅</m:t>
        </m:r>
        <m:rad>
          <m:radPr>
            <m:degHide m:val="on"/>
          </m:radPr>
          <m:deg/>
          <m:e>
            <m:r>
              <m:t>2</m:t>
            </m:r>
          </m:e>
        </m:rad>
        <m:r>
          <m:rPr>
            <m:sty m:val="p"/>
          </m:rPr>
          <m:t>≈</m:t>
        </m:r>
        <m:r>
          <m:t>0.64</m:t>
        </m:r>
      </m:oMath>
      <w:r>
        <w:t xml:space="preserve">.</w:t>
      </w:r>
    </w:p>
    <w:p>
      <w:pPr>
        <w:pStyle w:val="BodyText"/>
      </w:pPr>
      <w:r>
        <w:rPr>
          <w:b/>
          <w:bCs/>
        </w:rPr>
        <w:t xml:space="preserve">Normalization invariance.</w:t>
      </w:r>
      <w:r>
        <w:t xml:space="preserve"> </w:t>
      </w:r>
      <w:r>
        <w:t xml:space="preserve">The 20-year reference window is a unit choice, not a substantive parameter. Different reference choices rescale both</w:t>
      </w:r>
      <w:r>
        <w:t xml:space="preserve"> </w:t>
      </w:r>
      <m:oMath>
        <m:sSub>
          <m:e>
            <m:r>
              <m:t>σ</m:t>
            </m:r>
          </m:e>
          <m:sub>
            <m:r>
              <m:t>L</m:t>
            </m:r>
            <m:r>
              <m:t>M</m:t>
            </m:r>
            <m:r>
              <m:t>V</m:t>
            </m:r>
          </m:sub>
        </m:sSub>
      </m:oMath>
      <w:r>
        <w:t xml:space="preserve"> </w:t>
      </w:r>
      <w:r>
        <w:t xml:space="preserve">and</w:t>
      </w:r>
      <w:r>
        <w:t xml:space="preserve"> </w:t>
      </w:r>
      <m:oMath>
        <m:sSup>
          <m:e>
            <m:r>
              <m:t>σ</m:t>
            </m:r>
          </m:e>
          <m:sup>
            <m:r>
              <m:rPr>
                <m:sty m:val="p"/>
              </m:rPr>
              <m:t>*</m:t>
            </m:r>
          </m:sup>
        </m:sSup>
      </m:oMath>
      <w:r>
        <w:t xml:space="preserve"> </w:t>
      </w:r>
      <w:r>
        <w:t xml:space="preserve">by the same factor, so the comparison</w:t>
      </w:r>
      <w:r>
        <w:t xml:space="preserve"> </w:t>
      </w:r>
      <m:oMath>
        <m:sSub>
          <m:e>
            <m:r>
              <m:t>σ</m:t>
            </m:r>
          </m:e>
          <m:sub>
            <m:r>
              <m:t>L</m:t>
            </m:r>
            <m:r>
              <m:t>M</m:t>
            </m:r>
            <m:r>
              <m:t>V</m:t>
            </m:r>
          </m:sub>
        </m:sSub>
      </m:oMath>
      <w:r>
        <w:t xml:space="preserve"> </w:t>
      </w:r>
      <w:r>
        <w:t xml:space="preserve">vs</w:t>
      </w:r>
      <w:r>
        <w:t xml:space="preserve"> </w:t>
      </w:r>
      <m:oMath>
        <m:sSup>
          <m:e>
            <m:r>
              <m:t>σ</m:t>
            </m:r>
          </m:e>
          <m:sup>
            <m:r>
              <m:rPr>
                <m:sty m:val="p"/>
              </m:rPr>
              <m:t>*</m:t>
            </m:r>
          </m:sup>
        </m:sSup>
      </m:oMath>
      <w:r>
        <w:t xml:space="preserve"> </w:t>
      </w:r>
      <w:r>
        <w:t xml:space="preserve">that the §6.2 threshold-proximity test depends on is preserved. Formally: under any alternative reference</w:t>
      </w:r>
      <w:r>
        <w:t xml:space="preserve"> </w:t>
      </w:r>
      <m:oMath>
        <m:sSubSup>
          <m:e>
            <m:r>
              <m:t>T</m:t>
            </m:r>
          </m:e>
          <m:sub>
            <m:r>
              <m:t>0</m:t>
            </m:r>
          </m:sub>
          <m:sup>
            <m:r>
              <m:rPr>
                <m:sty m:val="p"/>
              </m:rPr>
              <m:t>′</m:t>
            </m:r>
          </m:sup>
        </m:sSubSup>
      </m:oMath>
      <w:r>
        <w:t xml:space="preserve">, both quantities rescale by</w:t>
      </w:r>
      <w:r>
        <w:t xml:space="preserve"> </w:t>
      </w:r>
      <m:oMath>
        <m:rad>
          <m:radPr>
            <m:degHide m:val="on"/>
          </m:radPr>
          <m:deg/>
          <m:e>
            <m:sSubSup>
              <m:e>
                <m:r>
                  <m:t>T</m:t>
                </m:r>
              </m:e>
              <m:sub>
                <m:r>
                  <m:t>0</m:t>
                </m:r>
              </m:sub>
              <m:sup>
                <m:r>
                  <m:rPr>
                    <m:sty m:val="p"/>
                  </m:rPr>
                  <m:t>′</m:t>
                </m:r>
              </m:sup>
            </m:sSubSup>
            <m:r>
              <m:rPr>
                <m:sty m:val="p"/>
              </m:rPr>
              <m:t>/</m:t>
            </m:r>
            <m:sSub>
              <m:e>
                <m:r>
                  <m:t>T</m:t>
                </m:r>
              </m:e>
              <m:sub>
                <m:r>
                  <m:t>0</m:t>
                </m:r>
              </m:sub>
            </m:sSub>
          </m:e>
        </m:rad>
      </m:oMath>
      <w:r>
        <w:t xml:space="preserve">, so the ratio</w:t>
      </w:r>
      <w:r>
        <w:t xml:space="preserve"> </w:t>
      </w:r>
      <m:oMath>
        <m:sSub>
          <m:e>
            <m:r>
              <m:t>σ</m:t>
            </m:r>
          </m:e>
          <m:sub>
            <m:r>
              <m:t>L</m:t>
            </m:r>
            <m:r>
              <m:t>M</m:t>
            </m:r>
            <m:r>
              <m:t>V</m:t>
            </m:r>
          </m:sub>
        </m:sSub>
        <m:r>
          <m:rPr>
            <m:sty m:val="p"/>
          </m:rPr>
          <m:t>/</m:t>
        </m:r>
        <m:sSup>
          <m:e>
            <m:r>
              <m:t>σ</m:t>
            </m:r>
          </m:e>
          <m:sup>
            <m:r>
              <m:rPr>
                <m:sty m:val="p"/>
              </m:rPr>
              <m:t>*</m:t>
            </m:r>
          </m:sup>
        </m:sSup>
      </m:oMath>
      <w:r>
        <w:t xml:space="preserve"> </w:t>
      </w:r>
      <w:r>
        <w:t xml:space="preserve">is invariant.</w:t>
      </w:r>
    </w:p>
    <w:p>
      <w:pPr>
        <w:pStyle w:val="BodyText"/>
      </w:pPr>
      <w:r>
        <w:t xml:space="preserve">To verify numerically across four reference choices: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m:oMath>
              <m:sSub>
                <m:e>
                  <m:r>
                    <m:t>T</m:t>
                  </m:r>
                </m:e>
                <m:sub>
                  <m:r>
                    <m:t>0</m:t>
                  </m:r>
                </m:sub>
              </m:sSub>
            </m:oMath>
            <w:r>
              <w:t xml:space="preserve"> </w:t>
            </w:r>
            <w:r>
              <w:t xml:space="preserve">(yr)</w:t>
            </w:r>
          </w:p>
        </w:tc>
        <w:tc>
          <w:tcPr/>
          <w:p>
            <w:pPr>
              <w:pStyle w:val="Compact"/>
            </w:pPr>
            <m:oMath>
              <m:sSub>
                <m:e>
                  <m:r>
                    <m:t>σ</m:t>
                  </m:r>
                </m:e>
                <m:sub>
                  <m:r>
                    <m:t>L</m:t>
                  </m:r>
                  <m:r>
                    <m:t>M</m:t>
                  </m:r>
                  <m:r>
                    <m:t>V</m:t>
                  </m:r>
                </m:sub>
              </m:sSub>
              <m:r>
                <m:rPr>
                  <m:sty m:val="p"/>
                </m:rPr>
                <m:t>=</m:t>
              </m:r>
              <m:r>
                <m:t>0.45</m:t>
              </m:r>
              <m:r>
                <m:rPr>
                  <m:sty m:val="p"/>
                </m:rPr>
                <m:t>⋅</m:t>
              </m:r>
              <m:rad>
                <m:radPr>
                  <m:degHide m:val="on"/>
                </m:radPr>
                <m:deg/>
                <m:e>
                  <m:sSub>
                    <m:e>
                      <m:r>
                        <m:t>T</m:t>
                      </m:r>
                    </m:e>
                    <m:sub>
                      <m:r>
                        <m:t>0</m:t>
                      </m:r>
                    </m:sub>
                  </m:sSub>
                  <m:r>
                    <m:rPr>
                      <m:sty m:val="p"/>
                    </m:rPr>
                    <m:t>/</m:t>
                  </m:r>
                  <m:r>
                    <m:t>10</m:t>
                  </m:r>
                </m:e>
              </m:rad>
            </m:oMath>
          </w:p>
        </w:tc>
        <w:tc>
          <w:tcPr/>
          <w:p>
            <w:pPr>
              <w:pStyle w:val="Compact"/>
            </w:pPr>
            <m:oMath>
              <m:sSup>
                <m:e>
                  <m:r>
                    <m:t>σ</m:t>
                  </m:r>
                </m:e>
                <m:sup>
                  <m:r>
                    <m:rPr>
                      <m:sty m:val="p"/>
                    </m:rPr>
                    <m:t>*</m:t>
                  </m:r>
                </m:sup>
              </m:sSup>
              <m:r>
                <m:rPr>
                  <m:sty m:val="p"/>
                </m:rPr>
                <m:t>=</m:t>
              </m:r>
              <m:r>
                <m:t>0.40</m:t>
              </m:r>
              <m:r>
                <m:rPr>
                  <m:sty m:val="p"/>
                </m:rPr>
                <m:t>⋅</m:t>
              </m:r>
              <m:rad>
                <m:radPr>
                  <m:degHide m:val="on"/>
                </m:radPr>
                <m:deg/>
                <m:e>
                  <m:sSub>
                    <m:e>
                      <m:r>
                        <m:t>T</m:t>
                      </m:r>
                    </m:e>
                    <m:sub>
                      <m:r>
                        <m:t>0</m:t>
                      </m:r>
                    </m:sub>
                  </m:sSub>
                  <m:r>
                    <m:rPr>
                      <m:sty m:val="p"/>
                    </m:rPr>
                    <m:t>/</m:t>
                  </m:r>
                  <m:r>
                    <m:t>20</m:t>
                  </m:r>
                </m:e>
              </m:rad>
            </m:oMath>
          </w:p>
        </w:tc>
        <w:tc>
          <w:tcPr/>
          <w:p>
            <w:pPr>
              <w:pStyle w:val="Compact"/>
            </w:pPr>
            <w:r>
              <w:t xml:space="preserve">Ratio</w:t>
            </w:r>
            <w:r>
              <w:t xml:space="preserve"> </w:t>
            </w:r>
            <m:oMath>
              <m:sSub>
                <m:e>
                  <m:r>
                    <m:t>σ</m:t>
                  </m:r>
                </m:e>
                <m:sub>
                  <m:r>
                    <m:t>L</m:t>
                  </m:r>
                  <m:r>
                    <m:t>M</m:t>
                  </m:r>
                  <m:r>
                    <m:t>V</m:t>
                  </m:r>
                </m:sub>
              </m:sSub>
              <m:r>
                <m:rPr>
                  <m:sty m:val="p"/>
                </m:rPr>
                <m:t>/</m:t>
              </m:r>
              <m:sSup>
                <m:e>
                  <m:r>
                    <m:t>σ</m:t>
                  </m:r>
                </m:e>
                <m:sup>
                  <m:r>
                    <m:rPr>
                      <m:sty m:val="p"/>
                    </m:rPr>
                    <m:t>*</m:t>
                  </m:r>
                </m:sup>
              </m:sSup>
            </m:oMath>
          </w:p>
        </w:tc>
      </w:tr>
      <w:tr>
        <w:tc>
          <w:tcPr/>
          <w:p>
            <w:pPr>
              <w:pStyle w:val="Compact"/>
            </w:pPr>
            <w:r>
              <w:t xml:space="preserve">5</w:t>
            </w:r>
          </w:p>
        </w:tc>
        <w:tc>
          <w:tcPr/>
          <w:p>
            <w:pPr>
              <w:pStyle w:val="Compact"/>
            </w:pPr>
            <w:r>
              <w:t xml:space="preserve">0.318</w:t>
            </w:r>
          </w:p>
        </w:tc>
        <w:tc>
          <w:tcPr/>
          <w:p>
            <w:pPr>
              <w:pStyle w:val="Compact"/>
            </w:pPr>
            <w:r>
              <w:t xml:space="preserve">0.200</w:t>
            </w:r>
          </w:p>
        </w:tc>
        <w:tc>
          <w:tcPr/>
          <w:p>
            <w:pPr>
              <w:pStyle w:val="Compact"/>
            </w:pPr>
            <w:r>
              <w:t xml:space="preserve">1.591</w:t>
            </w:r>
          </w:p>
        </w:tc>
      </w:tr>
      <w:tr>
        <w:tc>
          <w:tcPr/>
          <w:p>
            <w:pPr>
              <w:pStyle w:val="Compact"/>
            </w:pPr>
            <w:r>
              <w:t xml:space="preserve">10</w:t>
            </w:r>
          </w:p>
        </w:tc>
        <w:tc>
          <w:tcPr/>
          <w:p>
            <w:pPr>
              <w:pStyle w:val="Compact"/>
            </w:pPr>
            <w:r>
              <w:t xml:space="preserve">0.450</w:t>
            </w:r>
          </w:p>
        </w:tc>
        <w:tc>
          <w:tcPr/>
          <w:p>
            <w:pPr>
              <w:pStyle w:val="Compact"/>
            </w:pPr>
            <w:r>
              <w:t xml:space="preserve">0.283</w:t>
            </w:r>
          </w:p>
        </w:tc>
        <w:tc>
          <w:tcPr/>
          <w:p>
            <w:pPr>
              <w:pStyle w:val="Compact"/>
            </w:pPr>
            <w:r>
              <w:t xml:space="preserve">1.591</w:t>
            </w:r>
          </w:p>
        </w:tc>
      </w:tr>
      <w:tr>
        <w:tc>
          <w:tcPr/>
          <w:p>
            <w:pPr>
              <w:pStyle w:val="Compact"/>
            </w:pPr>
            <w:r>
              <w:t xml:space="preserve">20 (default)</w:t>
            </w:r>
          </w:p>
        </w:tc>
        <w:tc>
          <w:tcPr/>
          <w:p>
            <w:pPr>
              <w:pStyle w:val="Compact"/>
            </w:pPr>
            <w:r>
              <w:t xml:space="preserve">0.636</w:t>
            </w:r>
          </w:p>
        </w:tc>
        <w:tc>
          <w:tcPr/>
          <w:p>
            <w:pPr>
              <w:pStyle w:val="Compact"/>
            </w:pPr>
            <w:r>
              <w:t xml:space="preserve">0.400</w:t>
            </w:r>
          </w:p>
        </w:tc>
        <w:tc>
          <w:tcPr/>
          <w:p>
            <w:pPr>
              <w:pStyle w:val="Compact"/>
            </w:pPr>
            <w:r>
              <w:t xml:space="preserve">1.591</w:t>
            </w:r>
          </w:p>
        </w:tc>
      </w:tr>
      <w:tr>
        <w:tc>
          <w:tcPr/>
          <w:p>
            <w:pPr>
              <w:pStyle w:val="Compact"/>
            </w:pPr>
            <w:r>
              <w:t xml:space="preserve">50</w:t>
            </w:r>
          </w:p>
        </w:tc>
        <w:tc>
          <w:tcPr/>
          <w:p>
            <w:pPr>
              <w:pStyle w:val="Compact"/>
            </w:pPr>
            <w:r>
              <w:t xml:space="preserve">1.006</w:t>
            </w:r>
          </w:p>
        </w:tc>
        <w:tc>
          <w:tcPr/>
          <w:p>
            <w:pPr>
              <w:pStyle w:val="Compact"/>
            </w:pPr>
            <w:r>
              <w:t xml:space="preserve">0.632</w:t>
            </w:r>
          </w:p>
        </w:tc>
        <w:tc>
          <w:tcPr/>
          <w:p>
            <w:pPr>
              <w:pStyle w:val="Compact"/>
            </w:pPr>
            <w:r>
              <w:t xml:space="preserve">1.591</w:t>
            </w:r>
          </w:p>
        </w:tc>
      </w:tr>
    </w:tbl>
    <w:p>
      <w:pPr>
        <w:pStyle w:val="BodyText"/>
      </w:pPr>
      <w:r>
        <w:t xml:space="preserve">The case classification (Poverty Point above threshold) and the ratio are preserved exactly across the reference-window choices. Because the §6.2 Bayesian threshold-proximity posterior</w:t>
      </w:r>
      <w:r>
        <w:t xml:space="preserve"> </w:t>
      </w:r>
      <m:oMath>
        <m:r>
          <m:t>P</m:t>
        </m:r>
        <m:r>
          <m:rPr>
            <m:sty m:val="p"/>
          </m:rPr>
          <m:t>(</m:t>
        </m:r>
        <m:sSub>
          <m:e>
            <m:r>
              <m:t>σ</m:t>
            </m:r>
          </m:e>
          <m:sub>
            <m:r>
              <m:t>e</m:t>
            </m:r>
            <m:r>
              <m:t>f</m:t>
            </m:r>
            <m:r>
              <m:t>f</m:t>
            </m:r>
          </m:sub>
        </m:sSub>
        <m:r>
          <m:rPr>
            <m:sty m:val="p"/>
          </m:rPr>
          <m:t>&gt;</m:t>
        </m:r>
        <m:sSup>
          <m:e>
            <m:r>
              <m:t>σ</m:t>
            </m:r>
          </m:e>
          <m:sup>
            <m:r>
              <m:rPr>
                <m:sty m:val="p"/>
              </m:rPr>
              <m:t>*</m:t>
            </m:r>
          </m:sup>
        </m:sSup>
        <m:r>
          <m:rPr>
            <m:sty m:val="p"/>
          </m:rPr>
          <m:t>)</m:t>
        </m:r>
      </m:oMath>
      <w:r>
        <w:t xml:space="preserve"> </w:t>
      </w:r>
      <w:r>
        <w:t xml:space="preserve">depends only on the ratio (both</w:t>
      </w:r>
      <w:r>
        <w:t xml:space="preserve"> </w:t>
      </w:r>
      <m:oMath>
        <m:sSub>
          <m:e>
            <m:r>
              <m:t>σ</m:t>
            </m:r>
          </m:e>
          <m:sub>
            <m:r>
              <m:t>e</m:t>
            </m:r>
            <m:r>
              <m:t>f</m:t>
            </m:r>
            <m:r>
              <m:t>f</m:t>
            </m:r>
          </m:sub>
        </m:sSub>
      </m:oMath>
      <w:r>
        <w:t xml:space="preserve"> </w:t>
      </w:r>
      <w:r>
        <w:t xml:space="preserve">and</w:t>
      </w:r>
      <w:r>
        <w:t xml:space="preserve"> </w:t>
      </w:r>
      <m:oMath>
        <m:sSup>
          <m:e>
            <m:r>
              <m:t>σ</m:t>
            </m:r>
          </m:e>
          <m:sup>
            <m:r>
              <m:rPr>
                <m:sty m:val="p"/>
              </m:rPr>
              <m:t>*</m:t>
            </m:r>
          </m:sup>
        </m:sSup>
      </m:oMath>
      <w:r>
        <w:t xml:space="preserve"> </w:t>
      </w:r>
      <w:r>
        <w:t xml:space="preserve">rescale by the same factor under any consistent normalization), the posterior probability</w:t>
      </w:r>
      <w:r>
        <w:t xml:space="preserve"> </w:t>
      </w:r>
      <m:oMath>
        <m:r>
          <m:t>P</m:t>
        </m:r>
        <m:r>
          <m:rPr>
            <m:sty m:val="p"/>
          </m:rPr>
          <m:t>=</m:t>
        </m:r>
        <m:r>
          <m:t>0.36</m:t>
        </m:r>
      </m:oMath>
      <w:r>
        <w:t xml:space="preserve">-</w:t>
      </w:r>
      <m:oMath>
        <m:r>
          <m:t>0.56</m:t>
        </m:r>
      </m:oMath>
      <w:r>
        <w:t xml:space="preserve"> </w:t>
      </w:r>
      <w:r>
        <w:t xml:space="preserve">is invariant under the choice of reference window. The 20-year reference is a parameterization convention for interpretability (</w:t>
      </w:r>
      <m:oMath>
        <m:r>
          <m:t>σ</m:t>
        </m:r>
        <m:r>
          <m:rPr>
            <m:sty m:val="p"/>
          </m:rPr>
          <m:t>=</m:t>
        </m:r>
        <m:r>
          <m:t>m</m:t>
        </m:r>
      </m:oMath>
      <w:r>
        <w:t xml:space="preserve"> </w:t>
      </w:r>
      <w:r>
        <w:t xml:space="preserve">when</w:t>
      </w:r>
      <w:r>
        <w:t xml:space="preserve"> </w:t>
      </w:r>
      <m:oMath>
        <m:r>
          <m:t>T</m:t>
        </m:r>
        <m:r>
          <m:rPr>
            <m:sty m:val="p"/>
          </m:rPr>
          <m:t>=</m:t>
        </m:r>
        <m:r>
          <m:t>20</m:t>
        </m:r>
      </m:oMath>
      <w:r>
        <w:t xml:space="preserve">); the substantive comparison is preserved.</w:t>
      </w:r>
    </w:p>
    <w:bookmarkEnd w:id="12"/>
    <w:bookmarkStart w:id="13" w:name="s1.5-initialization"/>
    <w:p>
      <w:pPr>
        <w:pStyle w:val="Heading3"/>
      </w:pPr>
      <w:r>
        <w:t xml:space="preserve">S1.5 Initialization</w:t>
      </w:r>
    </w:p>
    <w:p>
      <w:pPr>
        <w:pStyle w:val="FirstParagraph"/>
      </w:pPr>
      <w:r>
        <w:t xml:space="preserve">Simulation begins with 30 independent bands distributed across the regional landscape with default quality, resources, and zero monument or network state. Spin-up of 50 years is discarded before metric collection.</w:t>
      </w:r>
    </w:p>
    <w:bookmarkEnd w:id="13"/>
    <w:bookmarkStart w:id="14" w:name="s1.6-submodels"/>
    <w:p>
      <w:pPr>
        <w:pStyle w:val="Heading3"/>
      </w:pPr>
      <w:r>
        <w:t xml:space="preserve">S1.6 Submodels</w:t>
      </w:r>
    </w:p>
    <w:p>
      <w:pPr>
        <w:pStyle w:val="FirstParagraph"/>
      </w:pPr>
      <w:r>
        <w:t xml:space="preserve">Submodels for fitness functions, vulnerability, network growth, exotic acquisition, and reproduction are described mathematically in §S2. The complete signal-conditional receiver-response apparatus, summarized in main-text §2.2, is implemented as three coupled rules with the following formal specifications:</w:t>
      </w:r>
    </w:p>
    <w:p>
      <w:pPr>
        <w:pStyle w:val="BodyText"/>
      </w:pPr>
      <w:r>
        <w:rPr>
          <w:i/>
          <w:iCs/>
        </w:rPr>
        <w:t xml:space="preserve">Signal-conditional partner formation.</w:t>
      </w:r>
      <w:r>
        <w:t xml:space="preserve"> </w:t>
      </w:r>
      <w:r>
        <w:t xml:space="preserve">For each band attending the aggregation, the per-year tie-formation probability is</w:t>
      </w:r>
      <w:r>
        <w:t xml:space="preserve"> </w:t>
      </w:r>
      <m:oMath>
        <m:r>
          <m:t>0.20</m:t>
        </m:r>
        <m:r>
          <m:rPr>
            <m:sty m:val="p"/>
          </m:rPr>
          <m:t>+</m:t>
        </m:r>
        <m:r>
          <m:t>0.20</m:t>
        </m:r>
        <m:r>
          <m:rPr>
            <m:sty m:val="p"/>
          </m:rPr>
          <m:t>⋅</m:t>
        </m:r>
        <m:sSub>
          <m:e>
            <m:r>
              <m:t>d</m:t>
            </m:r>
          </m:e>
          <m:sub>
            <m:r>
              <m:t>i</m:t>
            </m:r>
          </m:sub>
        </m:sSub>
      </m:oMath>
      <w:r>
        <w:t xml:space="preserve">, where</w:t>
      </w:r>
      <w:r>
        <w:t xml:space="preserve"> </w:t>
      </w:r>
      <m:oMath>
        <m:sSub>
          <m:e>
            <m:r>
              <m:t>d</m:t>
            </m:r>
          </m:e>
          <m:sub>
            <m:r>
              <m:t>i</m:t>
            </m:r>
          </m:sub>
        </m:sSub>
        <m:r>
          <m:rPr>
            <m:sty m:val="p"/>
          </m:rPr>
          <m:t>=</m:t>
        </m:r>
        <m:r>
          <m:rPr>
            <m:sty m:val="p"/>
          </m:rPr>
          <m:t>(</m:t>
        </m:r>
        <m:sSub>
          <m:e>
            <m:r>
              <m:t>M</m:t>
            </m:r>
          </m:e>
          <m:sub>
            <m:r>
              <m:t>i</m:t>
            </m:r>
          </m:sub>
        </m:sSub>
        <m:r>
          <m:rPr>
            <m:sty m:val="p"/>
          </m:rPr>
          <m:t>+</m:t>
        </m:r>
        <m:sSub>
          <m:e>
            <m:r>
              <m:t>E</m:t>
            </m:r>
          </m:e>
          <m:sub>
            <m:r>
              <m:t>i</m:t>
            </m:r>
          </m:sub>
        </m:sSub>
        <m:r>
          <m:rPr>
            <m:sty m:val="p"/>
          </m:rPr>
          <m:t>)</m:t>
        </m:r>
        <m:r>
          <m:rPr>
            <m:sty m:val="p"/>
          </m:rPr>
          <m:t>/</m:t>
        </m:r>
        <m:sSub>
          <m:e>
            <m:r>
              <m:rPr>
                <m:sty m:val="p"/>
              </m:rPr>
              <m:t>max</m:t>
            </m:r>
          </m:e>
          <m:sub>
            <m:r>
              <m:t>j</m:t>
            </m:r>
          </m:sub>
        </m:sSub>
        <m:r>
          <m:rPr>
            <m:sty m:val="p"/>
          </m:rPr>
          <m:t>(</m:t>
        </m:r>
        <m:sSub>
          <m:e>
            <m:r>
              <m:t>M</m:t>
            </m:r>
          </m:e>
          <m:sub>
            <m:r>
              <m:t>j</m:t>
            </m:r>
          </m:sub>
        </m:sSub>
        <m:r>
          <m:rPr>
            <m:sty m:val="p"/>
          </m:rPr>
          <m:t>+</m:t>
        </m:r>
        <m:sSub>
          <m:e>
            <m:r>
              <m:t>E</m:t>
            </m:r>
          </m:e>
          <m:sub>
            <m:r>
              <m:t>j</m:t>
            </m:r>
          </m:sub>
        </m:sSub>
        <m:r>
          <m:rPr>
            <m:sty m:val="p"/>
          </m:rPr>
          <m:t>)</m:t>
        </m:r>
      </m:oMath>
      <w:r>
        <w:t xml:space="preserve"> </w:t>
      </w:r>
      <w:r>
        <w:t xml:space="preserve">is the band’s combined monument-contribution-and-exotic-count display level normalized within the attending cohort. High-display bands form ties at ~40% per aggregation versus ~20% for non-displayers. When a tie forms, the partner is drawn from co-attending bands with weights</w:t>
      </w:r>
      <w:r>
        <w:t xml:space="preserve"> </w:t>
      </w:r>
      <m:oMath>
        <m:r>
          <m:t>0.5</m:t>
        </m:r>
        <m:r>
          <m:rPr>
            <m:sty m:val="p"/>
          </m:rPr>
          <m:t>+</m:t>
        </m:r>
        <m:sSub>
          <m:e>
            <m:r>
              <m:t>d</m:t>
            </m:r>
          </m:e>
          <m:sub>
            <m:r>
              <m:t>j</m:t>
            </m:r>
          </m:sub>
        </m:sSub>
      </m:oMath>
      <w:r>
        <w:t xml:space="preserve"> </w:t>
      </w:r>
      <w:r>
        <w:t xml:space="preserve">(so candidates’ displays scale partner-choice weight from 0.5× for low-display partners to 1.5× for max-display partners).</w:t>
      </w:r>
    </w:p>
    <w:p>
      <w:pPr>
        <w:pStyle w:val="BodyText"/>
      </w:pPr>
      <w:r>
        <w:rPr>
          <w:i/>
          <w:iCs/>
        </w:rPr>
        <w:t xml:space="preserve">Tie-strength-weighted shortfall help.</w:t>
      </w:r>
      <w:r>
        <w:t xml:space="preserve"> </w:t>
      </w:r>
      <w:r>
        <w:t xml:space="preserve">When an aggregator calls obligations during a shortfall (total need = 0.15 in normalized resource units), obligations are sorted by strength and called in descending order until the need is met or the obligation network is exhausted. Each call decays the called obligation by ×0.7 and removes it if strength falls below 0.05 (existing</w:t>
      </w:r>
      <w:r>
        <w:t xml:space="preserve"> </w:t>
      </w:r>
      <w:r>
        <w:rPr>
          <w:rStyle w:val="VerbatimChar"/>
        </w:rPr>
        <w:t xml:space="preserve">call_obligation</w:t>
      </w:r>
      <w:r>
        <w:t xml:space="preserve"> </w:t>
      </w:r>
      <w:r>
        <w:t xml:space="preserve">behavior; help_received = min(remaining_need, strength × 0.5)).</w:t>
      </w:r>
    </w:p>
    <w:p>
      <w:pPr>
        <w:pStyle w:val="BodyText"/>
      </w:pPr>
      <w:r>
        <w:rPr>
          <w:i/>
          <w:iCs/>
        </w:rPr>
        <w:t xml:space="preserve">Network-density coupling to</w:t>
      </w:r>
      <w:r>
        <w:t xml:space="preserve"> </w:t>
      </w:r>
      <m:oMath>
        <m:sSub>
          <m:e>
            <m:r>
              <m:t>σ</m:t>
            </m:r>
          </m:e>
          <m:sub>
            <m:r>
              <m:t>e</m:t>
            </m:r>
            <m:r>
              <m:t>f</m:t>
            </m:r>
            <m:r>
              <m:t>f</m:t>
            </m:r>
          </m:sub>
        </m:sSub>
      </m:oMath>
      <w:r>
        <w:t xml:space="preserve">. An aggregator’s effective ecotone parameter at the gathering site is augmented by its realized network density:</w:t>
      </w:r>
    </w:p>
    <w:p>
      <w:pPr>
        <w:pStyle w:val="BodyText"/>
      </w:pPr>
      <m:oMathPara>
        <m:oMathParaPr>
          <m:jc m:val="center"/>
        </m:oMathParaPr>
        <m:oMath>
          <m:sSub>
            <m:e>
              <m:r>
                <m:t>ε</m:t>
              </m:r>
            </m:e>
            <m:sub>
              <m:r>
                <m:t>e</m:t>
              </m:r>
              <m:r>
                <m:t>f</m:t>
              </m:r>
              <m:r>
                <m:t>f</m:t>
              </m:r>
            </m:sub>
          </m:sSub>
          <m:r>
            <m:rPr>
              <m:sty m:val="p"/>
            </m:rPr>
            <m:t>=</m:t>
          </m:r>
          <m:r>
            <m:t>ε</m:t>
          </m:r>
          <m:r>
            <m:rPr>
              <m:sty m:val="p"/>
            </m:rPr>
            <m:t>+</m:t>
          </m:r>
          <m:r>
            <m:rPr>
              <m:sty m:val="p"/>
            </m:rPr>
            <m:t>(</m:t>
          </m:r>
          <m:r>
            <m:t>1</m:t>
          </m:r>
          <m:r>
            <m:rPr>
              <m:sty m:val="p"/>
            </m:rPr>
            <m:t>−</m:t>
          </m:r>
          <m:r>
            <m:t>ε</m:t>
          </m:r>
          <m:r>
            <m:rPr>
              <m:sty m:val="p"/>
            </m:rPr>
            <m:t>)</m:t>
          </m:r>
          <m:r>
            <m:rPr>
              <m:sty m:val="p"/>
            </m:rPr>
            <m:t>⋅</m:t>
          </m:r>
          <m:r>
            <m:t>β</m:t>
          </m:r>
          <m:r>
            <m:rPr>
              <m:sty m:val="p"/>
            </m:rPr>
            <m:t>⋅</m:t>
          </m:r>
          <m:r>
            <m:t>ρ</m:t>
          </m:r>
          <m:r>
            <m:rPr>
              <m:sty m:val="p"/>
            </m:rPr>
            <m:t>,</m:t>
          </m:r>
          <m:r>
            <m:t> </m:t>
          </m:r>
          <m:r>
            <m:t>ρ</m:t>
          </m:r>
          <m:r>
            <m:rPr>
              <m:sty m:val="p"/>
            </m:rPr>
            <m:t>=</m:t>
          </m:r>
          <m:f>
            <m:fPr>
              <m:type m:val="bar"/>
            </m:fPr>
            <m:num>
              <m:r>
                <m:rPr>
                  <m:sty m:val="p"/>
                </m:rPr>
                <m:t>|</m:t>
              </m:r>
              <m:sSub>
                <m:e>
                  <m:r>
                    <m:t>O</m:t>
                  </m:r>
                </m:e>
                <m:sub>
                  <m:r>
                    <m:t>i</m:t>
                  </m:r>
                </m:sub>
              </m:sSub>
              <m:r>
                <m:rPr>
                  <m:sty m:val="p"/>
                </m:rPr>
                <m:t>|</m:t>
              </m:r>
            </m:num>
            <m:den>
              <m:sSub>
                <m:e>
                  <m:r>
                    <m:t>n</m:t>
                  </m:r>
                </m:e>
                <m:sub>
                  <m:r>
                    <m:t>a</m:t>
                  </m:r>
                  <m:r>
                    <m:t>t</m:t>
                  </m:r>
                  <m:r>
                    <m:t>t</m:t>
                  </m:r>
                  <m:r>
                    <m:t>e</m:t>
                  </m:r>
                  <m:r>
                    <m:t>n</m:t>
                  </m:r>
                  <m:r>
                    <m:t>d</m:t>
                  </m:r>
                  <m:r>
                    <m:t>i</m:t>
                  </m:r>
                  <m:r>
                    <m:t>n</m:t>
                  </m:r>
                  <m:r>
                    <m:t>g</m:t>
                  </m:r>
                </m:sub>
              </m:sSub>
              <m:r>
                <m:rPr>
                  <m:sty m:val="p"/>
                </m:rPr>
                <m:t>−</m:t>
              </m:r>
              <m:r>
                <m:t>1</m:t>
              </m:r>
            </m:den>
          </m:f>
        </m:oMath>
      </m:oMathPara>
    </w:p>
    <w:p>
      <w:pPr>
        <w:pStyle w:val="FirstParagraph"/>
      </w:pPr>
      <w:r>
        <w:t xml:space="preserve">where</w:t>
      </w:r>
      <w:r>
        <w:t xml:space="preserve"> </w:t>
      </w:r>
      <m:oMath>
        <m:r>
          <m:rPr>
            <m:sty m:val="p"/>
          </m:rPr>
          <m:t>|</m:t>
        </m:r>
        <m:sSub>
          <m:e>
            <m:r>
              <m:t>O</m:t>
            </m:r>
          </m:e>
          <m:sub>
            <m:r>
              <m:t>i</m:t>
            </m:r>
          </m:sub>
        </m:sSub>
        <m:r>
          <m:rPr>
            <m:sty m:val="p"/>
          </m:rPr>
          <m:t>|</m:t>
        </m:r>
      </m:oMath>
      <w:r>
        <w:t xml:space="preserve"> </w:t>
      </w:r>
      <w:r>
        <w:t xml:space="preserve">is the band’s obligation count,</w:t>
      </w:r>
      <w:r>
        <w:t xml:space="preserve"> </w:t>
      </w:r>
      <m:oMath>
        <m:r>
          <m:t>ρ</m:t>
        </m:r>
      </m:oMath>
      <w:r>
        <w:t xml:space="preserve"> </w:t>
      </w:r>
      <w:r>
        <w:t xml:space="preserve">is the fraction of potential ties realized,</w:t>
      </w:r>
      <w:r>
        <w:t xml:space="preserve"> </w:t>
      </w:r>
      <m:oMath>
        <m:r>
          <m:t>β</m:t>
        </m:r>
        <m:r>
          <m:rPr>
            <m:sty m:val="p"/>
          </m:rPr>
          <m:t>=</m:t>
        </m:r>
        <m:r>
          <m:t>0.5</m:t>
        </m:r>
      </m:oMath>
      <w:r>
        <w:t xml:space="preserve"> </w:t>
      </w:r>
      <w:r>
        <w:t xml:space="preserve">is the network-buffering coupling strength, and</w:t>
      </w:r>
      <w:r>
        <w:t xml:space="preserve"> </w:t>
      </w:r>
      <m:oMath>
        <m:sSub>
          <m:e>
            <m:r>
              <m:t>ε</m:t>
            </m:r>
          </m:e>
          <m:sub>
            <m:r>
              <m:t>e</m:t>
            </m:r>
            <m:r>
              <m:t>f</m:t>
            </m:r>
            <m:r>
              <m:t>f</m:t>
            </m:r>
          </m:sub>
        </m:sSub>
      </m:oMath>
      <w:r>
        <w:t xml:space="preserve"> </w:t>
      </w:r>
      <w:r>
        <w:t xml:space="preserve">is capped at 0.95 to prevent</w:t>
      </w:r>
      <w:r>
        <w:t xml:space="preserve"> </w:t>
      </w:r>
      <m:oMath>
        <m:sSub>
          <m:e>
            <m:r>
              <m:t>σ</m:t>
            </m:r>
          </m:e>
          <m:sub>
            <m:r>
              <m:t>e</m:t>
            </m:r>
            <m:r>
              <m:t>f</m:t>
            </m:r>
            <m:r>
              <m:t>f</m:t>
            </m:r>
          </m:sub>
        </m:sSub>
        <m:r>
          <m:rPr>
            <m:sty m:val="p"/>
          </m:rPr>
          <m:t>→</m:t>
        </m:r>
        <m:r>
          <m:t>0</m:t>
        </m:r>
      </m:oMath>
      <w:r>
        <w:t xml:space="preserve">. This implements the framework’s prediction that a dense, signal-conditional obligation network at the gathering site reduces effective uncertainty for aggregators there beyond ecotone access alone.</w:t>
      </w:r>
    </w:p>
    <w:p>
      <w:pPr>
        <w:pStyle w:val="BodyText"/>
      </w:pPr>
      <w:r>
        <w:t xml:space="preserve">The signal-blind alternative (uniform 30% pair probability, single random shortfall call, no</w:t>
      </w:r>
      <w:r>
        <w:t xml:space="preserve"> </w:t>
      </w:r>
      <m:oMath>
        <m:sSub>
          <m:e>
            <m:r>
              <m:t>σ</m:t>
            </m:r>
          </m:e>
          <m:sub>
            <m:r>
              <m:t>e</m:t>
            </m:r>
            <m:r>
              <m:t>f</m:t>
            </m:r>
            <m:r>
              <m:t>f</m:t>
            </m:r>
          </m:sub>
        </m:sSub>
      </m:oMath>
      <w:r>
        <w:t xml:space="preserve"> </w:t>
      </w:r>
      <w:r>
        <w:t xml:space="preserve">coupling) remains available in the code via the</w:t>
      </w:r>
      <w:r>
        <w:t xml:space="preserve"> </w:t>
      </w:r>
      <w:r>
        <w:rPr>
          <w:rStyle w:val="VerbatimChar"/>
        </w:rPr>
        <w:t xml:space="preserve">signal_conditional_partners</w:t>
      </w:r>
      <w:r>
        <w:t xml:space="preserve"> </w:t>
      </w:r>
      <w:r>
        <w:t xml:space="preserve">flag for ablation comparisons. The default in current calibration runs is signal-conditional mode.</w:t>
      </w:r>
    </w:p>
    <w:p>
      <w:r>
        <w:pict>
          <v:rect style="width:0;height:1.5pt" o:hralign="center" o:hrstd="t" o:hr="t"/>
        </w:pict>
      </w:r>
    </w:p>
    <w:bookmarkEnd w:id="14"/>
    <w:bookmarkEnd w:id="15"/>
    <w:bookmarkStart w:id="23" w:name="X5da86dd822f4b8656cb6ddfa7e05813dd4f053e"/>
    <w:p>
      <w:pPr>
        <w:pStyle w:val="Heading2"/>
      </w:pPr>
      <w:r>
        <w:t xml:space="preserve">S2. Parameter Estimation and Justification</w:t>
      </w:r>
    </w:p>
    <w:p>
      <w:pPr>
        <w:pStyle w:val="FirstParagraph"/>
      </w:pPr>
      <w:r>
        <w:t xml:space="preserve">All parameters are estimated from ethnographic analogy, archaeological inference, and theoretical constraint. Direct measurement of Late Archaic populations is impossible; sensitivity analyses (§S3) are used to demonstrate that the qualitative predictions are robust across reasonable ranges. Table S2 lists all parameters; Table S1 below provides a complete symbol glossary; the prose that follows the tables provides rationale.</w:t>
      </w:r>
    </w:p>
    <w:bookmarkStart w:id="16" w:name="table-s1-symbol-glossary"/>
    <w:p>
      <w:pPr>
        <w:pStyle w:val="Heading3"/>
      </w:pPr>
      <w:r>
        <w:t xml:space="preserve">Table S1: Symbol glossary</w:t>
      </w:r>
    </w:p>
    <w:tbl>
      <w:tblPr>
        <w:tblStyle w:val="Table"/>
        <w:tblW w:type="pct" w:w="5000"/>
        <w:tblLayout w:type="fixed"/>
        <w:tblLook w:firstRow="1" w:lastRow="0" w:firstColumn="0" w:lastColumn="0" w:noHBand="0" w:noVBand="0" w:val="0020"/>
      </w:tblPr>
      <w:tblGrid>
        <w:gridCol w:w="945"/>
        <w:gridCol w:w="709"/>
        <w:gridCol w:w="1891"/>
        <w:gridCol w:w="3309"/>
        <w:gridCol w:w="1063"/>
      </w:tblGrid>
      <w:tr>
        <w:trPr>
          <w:tblHeader w:val="on"/>
        </w:trPr>
        <w:tc>
          <w:tcPr/>
          <w:p>
            <w:pPr>
              <w:pStyle w:val="Compact"/>
            </w:pPr>
            <w:r>
              <w:t xml:space="preserve">Symbol</w:t>
            </w:r>
          </w:p>
        </w:tc>
        <w:tc>
          <w:tcPr/>
          <w:p>
            <w:pPr>
              <w:pStyle w:val="Compact"/>
            </w:pPr>
            <w:r>
              <w:t xml:space="preserve">Name</w:t>
            </w:r>
          </w:p>
        </w:tc>
        <w:tc>
          <w:tcPr/>
          <w:p>
            <w:pPr>
              <w:pStyle w:val="Compact"/>
            </w:pPr>
            <w:r>
              <w:t xml:space="preserve">Domain / Units</w:t>
            </w:r>
          </w:p>
        </w:tc>
        <w:tc>
          <w:tcPr/>
          <w:p>
            <w:pPr>
              <w:pStyle w:val="Compact"/>
            </w:pPr>
            <w:r>
              <w:t xml:space="preserve">Defining equation or value</w:t>
            </w:r>
          </w:p>
        </w:tc>
        <w:tc>
          <w:tcPr/>
          <w:p>
            <w:pPr>
              <w:pStyle w:val="Compact"/>
            </w:pPr>
            <w:r>
              <w:t xml:space="preserve">Used in</w:t>
            </w:r>
          </w:p>
        </w:tc>
      </w:tr>
      <w:tr>
        <w:tc>
          <w:tcPr/>
          <w:p>
            <w:pPr>
              <w:pStyle w:val="Compact"/>
            </w:pPr>
            <m:oMath>
              <m:r>
                <m:t>σ</m:t>
              </m:r>
            </m:oMath>
          </w:p>
        </w:tc>
        <w:tc>
          <w:tcPr/>
          <w:p>
            <w:pPr>
              <w:pStyle w:val="Compact"/>
            </w:pPr>
            <w:r>
              <w:t xml:space="preserve">Composite environmental uncertainty</w:t>
            </w:r>
          </w:p>
        </w:tc>
        <w:tc>
          <w:tcPr/>
          <w:p>
            <w:pPr>
              <w:pStyle w:val="Compact"/>
            </w:pPr>
            <w:r>
              <w:t xml:space="preserve">dimensionless</w:t>
            </w:r>
          </w:p>
        </w:tc>
        <w:tc>
          <w:tcPr/>
          <w:p>
            <w:pPr>
              <w:pStyle w:val="Compact"/>
            </w:pPr>
            <m:oMath>
              <m:r>
                <m:t>σ</m:t>
              </m:r>
              <m:r>
                <m:rPr>
                  <m:sty m:val="p"/>
                </m:rPr>
                <m:t>=</m:t>
              </m:r>
              <m:r>
                <m:t>m</m:t>
              </m:r>
              <m:rad>
                <m:radPr>
                  <m:degHide m:val="on"/>
                </m:radPr>
                <m:deg/>
                <m:e>
                  <m:r>
                    <m:t>20</m:t>
                  </m:r>
                  <m:r>
                    <m:rPr>
                      <m:sty m:val="p"/>
                    </m:rPr>
                    <m:t>/</m:t>
                  </m:r>
                  <m:r>
                    <m:t>T</m:t>
                  </m:r>
                </m:e>
              </m:rad>
            </m:oMath>
            <w:r>
              <w:t xml:space="preserve"> </w:t>
            </w:r>
            <w:r>
              <w:t xml:space="preserve">(§S1.4)</w:t>
            </w:r>
          </w:p>
        </w:tc>
        <w:tc>
          <w:tcPr/>
          <w:p>
            <w:pPr>
              <w:pStyle w:val="Compact"/>
            </w:pPr>
            <w:r>
              <w:t xml:space="preserve">fitness fns</w:t>
            </w:r>
          </w:p>
        </w:tc>
      </w:tr>
      <w:tr>
        <w:tc>
          <w:tcPr/>
          <w:p>
            <w:pPr>
              <w:pStyle w:val="Compact"/>
            </w:pPr>
            <m:oMath>
              <m:sSub>
                <m:e>
                  <m:r>
                    <m:t>σ</m:t>
                  </m:r>
                </m:e>
                <m:sub>
                  <m:r>
                    <m:t>L</m:t>
                  </m:r>
                  <m:r>
                    <m:t>M</m:t>
                  </m:r>
                  <m:r>
                    <m:t>V</m:t>
                  </m:r>
                </m:sub>
              </m:sSub>
            </m:oMath>
          </w:p>
        </w:tc>
        <w:tc>
          <w:tcPr/>
          <w:p>
            <w:pPr>
              <w:pStyle w:val="Compact"/>
            </w:pPr>
            <w:r>
              <w:t xml:space="preserve">Empirical LMV estimate of</w:t>
            </w:r>
            <w:r>
              <w:t xml:space="preserve"> </w:t>
            </w:r>
            <m:oMath>
              <m:r>
                <m:t>σ</m:t>
              </m:r>
            </m:oMath>
          </w:p>
        </w:tc>
        <w:tc>
          <w:tcPr/>
          <w:p>
            <w:pPr>
              <w:pStyle w:val="Compact"/>
            </w:pPr>
            <w:r>
              <w:t xml:space="preserve">dimensionless</w:t>
            </w:r>
          </w:p>
        </w:tc>
        <w:tc>
          <w:tcPr/>
          <w:p>
            <w:pPr>
              <w:pStyle w:val="Compact"/>
            </w:pPr>
            <m:oMath>
              <m:r>
                <m:rPr>
                  <m:sty m:val="p"/>
                </m:rPr>
                <m:t>≈</m:t>
              </m:r>
              <m:r>
                <m:t>0.64</m:t>
              </m:r>
            </m:oMath>
            <w:r>
              <w:t xml:space="preserve"> </w:t>
            </w:r>
            <w:r>
              <w:t xml:space="preserve">(95% CI 0.41-0.94) from late-Holocene paleoclimate proxies (§5.5)</w:t>
            </w:r>
          </w:p>
        </w:tc>
        <w:tc>
          <w:tcPr/>
          <w:p>
            <w:pPr>
              <w:pStyle w:val="Compact"/>
            </w:pPr>
            <w:r>
              <w:t xml:space="preserve">threshold-proximity tests</w:t>
            </w:r>
          </w:p>
        </w:tc>
      </w:tr>
      <w:tr>
        <w:tc>
          <w:tcPr/>
          <w:p>
            <w:pPr>
              <w:pStyle w:val="Compact"/>
            </w:pPr>
            <m:oMath>
              <m:sSub>
                <m:e>
                  <m:r>
                    <m:t>σ</m:t>
                  </m:r>
                </m:e>
                <m:sub>
                  <m:r>
                    <m:t>e</m:t>
                  </m:r>
                  <m:r>
                    <m:t>f</m:t>
                  </m:r>
                  <m:r>
                    <m:t>f</m:t>
                  </m:r>
                </m:sub>
              </m:sSub>
            </m:oMath>
          </w:p>
        </w:tc>
        <w:tc>
          <w:tcPr/>
          <w:p>
            <w:pPr>
              <w:pStyle w:val="Compact"/>
            </w:pPr>
            <w:r>
              <w:t xml:space="preserve">Effective uncertainty at aggregation site</w:t>
            </w:r>
          </w:p>
        </w:tc>
        <w:tc>
          <w:tcPr/>
          <w:p>
            <w:pPr>
              <w:pStyle w:val="Compact"/>
            </w:pPr>
            <w:r>
              <w:t xml:space="preserve">dimensionless</w:t>
            </w:r>
          </w:p>
        </w:tc>
        <w:tc>
          <w:tcPr/>
          <w:p>
            <w:pPr>
              <w:pStyle w:val="Compact"/>
            </w:pPr>
            <m:oMath>
              <m:sSub>
                <m:e>
                  <m:r>
                    <m:t>σ</m:t>
                  </m:r>
                </m:e>
                <m:sub>
                  <m:r>
                    <m:t>e</m:t>
                  </m:r>
                  <m:r>
                    <m:t>f</m:t>
                  </m:r>
                  <m:r>
                    <m:t>f</m:t>
                  </m:r>
                </m:sub>
              </m:sSub>
              <m:r>
                <m:rPr>
                  <m:sty m:val="p"/>
                </m:rPr>
                <m:t>=</m:t>
              </m:r>
              <m:r>
                <m:t>σ</m:t>
              </m:r>
              <m:r>
                <m:rPr>
                  <m:sty m:val="p"/>
                </m:rPr>
                <m:t>(</m:t>
              </m:r>
              <m:r>
                <m:t>1</m:t>
              </m:r>
              <m:r>
                <m:rPr>
                  <m:sty m:val="p"/>
                </m:rPr>
                <m:t>−</m:t>
              </m:r>
              <m:r>
                <m:t>ε</m:t>
              </m:r>
              <m:r>
                <m:rPr>
                  <m:sty m:val="p"/>
                </m:rPr>
                <m:t>)</m:t>
              </m:r>
            </m:oMath>
          </w:p>
        </w:tc>
        <w:tc>
          <w:tcPr/>
          <w:p>
            <w:pPr>
              <w:pStyle w:val="Compact"/>
            </w:pPr>
            <m:oMath>
              <m:sSub>
                <m:e>
                  <m:r>
                    <m:t>W</m:t>
                  </m:r>
                </m:e>
                <m:sub>
                  <m:r>
                    <m:t>a</m:t>
                  </m:r>
                  <m:r>
                    <m:t>g</m:t>
                  </m:r>
                  <m:r>
                    <m:t>g</m:t>
                  </m:r>
                </m:sub>
              </m:sSub>
            </m:oMath>
          </w:p>
        </w:tc>
      </w:tr>
      <w:tr>
        <w:tc>
          <w:tcPr/>
          <w:p>
            <w:pPr>
              <w:pStyle w:val="Compact"/>
            </w:pPr>
            <m:oMath>
              <m:sSup>
                <m:e>
                  <m:r>
                    <m:t>σ</m:t>
                  </m:r>
                </m:e>
                <m:sup>
                  <m:r>
                    <m:rPr>
                      <m:sty m:val="p"/>
                    </m:rPr>
                    <m:t>*</m:t>
                  </m:r>
                </m:sup>
              </m:sSup>
            </m:oMath>
          </w:p>
        </w:tc>
        <w:tc>
          <w:tcPr/>
          <w:p>
            <w:pPr>
              <w:pStyle w:val="Compact"/>
            </w:pPr>
            <w:r>
              <w:t xml:space="preserve">Critical threshold</w:t>
            </w:r>
          </w:p>
        </w:tc>
        <w:tc>
          <w:tcPr/>
          <w:p>
            <w:pPr>
              <w:pStyle w:val="Compact"/>
            </w:pPr>
            <w:r>
              <w:t xml:space="preserve">dimensionless</w:t>
            </w:r>
          </w:p>
        </w:tc>
        <w:tc>
          <w:tcPr/>
          <w:p>
            <w:pPr>
              <w:pStyle w:val="Compact"/>
            </w:pPr>
            <m:oMath>
              <m:sSub>
                <m:e>
                  <m:r>
                    <m:t>W</m:t>
                  </m:r>
                </m:e>
                <m:sub>
                  <m:r>
                    <m:t>a</m:t>
                  </m:r>
                  <m:r>
                    <m:t>g</m:t>
                  </m:r>
                  <m:r>
                    <m:t>g</m:t>
                  </m:r>
                </m:sub>
              </m:sSub>
              <m:r>
                <m:rPr>
                  <m:sty m:val="p"/>
                </m:rPr>
                <m:t>(</m:t>
              </m:r>
              <m:sSup>
                <m:e>
                  <m:r>
                    <m:t>σ</m:t>
                  </m:r>
                </m:e>
                <m:sup>
                  <m:r>
                    <m:rPr>
                      <m:sty m:val="p"/>
                    </m:rPr>
                    <m:t>*</m:t>
                  </m:r>
                </m:sup>
              </m:sSup>
              <m:r>
                <m:rPr>
                  <m:sty m:val="p"/>
                </m:rPr>
                <m:t>)</m:t>
              </m:r>
              <m:r>
                <m:rPr>
                  <m:sty m:val="p"/>
                </m:rPr>
                <m:t>=</m:t>
              </m:r>
              <m:sSub>
                <m:e>
                  <m:r>
                    <m:t>W</m:t>
                  </m:r>
                </m:e>
                <m:sub>
                  <m:r>
                    <m:t>i</m:t>
                  </m:r>
                  <m:r>
                    <m:t>n</m:t>
                  </m:r>
                  <m:r>
                    <m:t>d</m:t>
                  </m:r>
                </m:sub>
              </m:sSub>
              <m:r>
                <m:rPr>
                  <m:sty m:val="p"/>
                </m:rPr>
                <m:t>(</m:t>
              </m:r>
              <m:sSup>
                <m:e>
                  <m:r>
                    <m:t>σ</m:t>
                  </m:r>
                </m:e>
                <m:sup>
                  <m:r>
                    <m:rPr>
                      <m:sty m:val="p"/>
                    </m:rPr>
                    <m:t>*</m:t>
                  </m:r>
                </m:sup>
              </m:sSup>
              <m:r>
                <m:rPr>
                  <m:sty m:val="p"/>
                </m:rPr>
                <m:t>)</m:t>
              </m:r>
            </m:oMath>
            <w:r>
              <w:t xml:space="preserve"> </w:t>
            </w:r>
            <w:r>
              <w:t xml:space="preserve">(Brent’s method)</w:t>
            </w:r>
          </w:p>
        </w:tc>
        <w:tc>
          <w:tcPr/>
          <w:p>
            <w:pPr>
              <w:pStyle w:val="Compact"/>
            </w:pPr>
            <w:r>
              <w:t xml:space="preserve">predictions</w:t>
            </w:r>
          </w:p>
        </w:tc>
      </w:tr>
      <w:tr>
        <w:tc>
          <w:tcPr/>
          <w:p>
            <w:pPr>
              <w:pStyle w:val="Compact"/>
            </w:pPr>
            <m:oMath>
              <m:r>
                <m:t>ε</m:t>
              </m:r>
            </m:oMath>
          </w:p>
        </w:tc>
        <w:tc>
          <w:tcPr/>
          <w:p>
            <w:pPr>
              <w:pStyle w:val="Compact"/>
            </w:pPr>
            <w:r>
              <w:t xml:space="preserve">Ecotone advantage</w:t>
            </w:r>
          </w:p>
        </w:tc>
        <w:tc>
          <w:tcPr/>
          <w:p>
            <w:pPr>
              <w:pStyle w:val="Compact"/>
            </w:pPr>
            <m:oMath>
              <m:r>
                <m:rPr>
                  <m:sty m:val="p"/>
                </m:rPr>
                <m:t>[</m:t>
              </m:r>
              <m:r>
                <m:t>0</m:t>
              </m:r>
              <m:r>
                <m:rPr>
                  <m:sty m:val="p"/>
                </m:rPr>
                <m:t>,</m:t>
              </m:r>
              <m:r>
                <m:t>0.5</m:t>
              </m:r>
              <m:r>
                <m:rPr>
                  <m:sty m:val="p"/>
                </m:rPr>
                <m:t>]</m:t>
              </m:r>
            </m:oMath>
          </w:p>
        </w:tc>
        <w:tc>
          <w:tcPr/>
          <w:p>
            <w:pPr>
              <w:pStyle w:val="Compact"/>
            </w:pPr>
            <w:r>
              <w:t xml:space="preserve">0.35 for PP (asserted, §S3.5)</w:t>
            </w:r>
          </w:p>
        </w:tc>
        <w:tc>
          <w:tcPr/>
          <w:p>
            <w:pPr>
              <w:pStyle w:val="Compact"/>
            </w:pPr>
            <m:oMath>
              <m:sSub>
                <m:e>
                  <m:r>
                    <m:t>σ</m:t>
                  </m:r>
                </m:e>
                <m:sub>
                  <m:r>
                    <m:t>e</m:t>
                  </m:r>
                  <m:r>
                    <m:t>f</m:t>
                  </m:r>
                  <m:r>
                    <m:t>f</m:t>
                  </m:r>
                </m:sub>
              </m:sSub>
            </m:oMath>
          </w:p>
        </w:tc>
      </w:tr>
      <w:tr>
        <w:tc>
          <w:tcPr/>
          <w:p>
            <w:pPr>
              <w:pStyle w:val="Compact"/>
            </w:pPr>
            <m:oMath>
              <m:sSub>
                <m:e>
                  <m:r>
                    <m:t>C</m:t>
                  </m:r>
                </m:e>
                <m:sub>
                  <m:r>
                    <m:t>t</m:t>
                  </m:r>
                  <m:r>
                    <m:t>r</m:t>
                  </m:r>
                  <m:r>
                    <m:t>a</m:t>
                  </m:r>
                  <m:r>
                    <m:t>v</m:t>
                  </m:r>
                  <m:r>
                    <m:t>e</m:t>
                  </m:r>
                  <m:r>
                    <m:t>l</m:t>
                  </m:r>
                </m:sub>
              </m:sSub>
            </m:oMath>
          </w:p>
        </w:tc>
        <w:tc>
          <w:tcPr/>
          <w:p>
            <w:pPr>
              <w:pStyle w:val="Compact"/>
            </w:pPr>
            <w:r>
              <w:t xml:space="preserve">Travel cost</w:t>
            </w:r>
          </w:p>
        </w:tc>
        <w:tc>
          <w:tcPr/>
          <w:p>
            <w:pPr>
              <w:pStyle w:val="Compact"/>
            </w:pPr>
            <w:r>
              <w:t xml:space="preserve">fraction of resources</w:t>
            </w:r>
          </w:p>
        </w:tc>
        <w:tc>
          <w:tcPr/>
          <w:p>
            <w:pPr>
              <w:pStyle w:val="Compact"/>
            </w:pPr>
            <m:oMath>
              <m:r>
                <m:t>0.0004</m:t>
              </m:r>
              <m:r>
                <m:rPr>
                  <m:sty m:val="p"/>
                </m:rPr>
                <m:t>⋅</m:t>
              </m:r>
              <m:r>
                <m:t>d</m:t>
              </m:r>
            </m:oMath>
            <w:r>
              <w:t xml:space="preserve"> </w:t>
            </w:r>
            <w:r>
              <w:t xml:space="preserve">(</w:t>
            </w:r>
            <m:oMath>
              <m:r>
                <m:t>d</m:t>
              </m:r>
            </m:oMath>
            <w:r>
              <w:t xml:space="preserve"> </w:t>
            </w:r>
            <w:r>
              <w:t xml:space="preserve">in km)</w:t>
            </w:r>
          </w:p>
        </w:tc>
        <w:tc>
          <w:tcPr/>
          <w:p>
            <w:pPr>
              <w:pStyle w:val="Compact"/>
            </w:pPr>
            <m:oMath>
              <m:sSub>
                <m:e>
                  <m:r>
                    <m:t>C</m:t>
                  </m:r>
                </m:e>
                <m:sub>
                  <m:r>
                    <m:t>t</m:t>
                  </m:r>
                  <m:r>
                    <m:t>o</m:t>
                  </m:r>
                  <m:r>
                    <m:t>t</m:t>
                  </m:r>
                  <m:r>
                    <m:t>a</m:t>
                  </m:r>
                  <m:r>
                    <m:t>l</m:t>
                  </m:r>
                </m:sub>
              </m:sSub>
            </m:oMath>
          </w:p>
        </w:tc>
      </w:tr>
      <w:tr>
        <w:tc>
          <w:tcPr/>
          <w:p>
            <w:pPr>
              <w:pStyle w:val="Compact"/>
            </w:pPr>
            <m:oMath>
              <m:sSub>
                <m:e>
                  <m:r>
                    <m:t>C</m:t>
                  </m:r>
                </m:e>
                <m:sub>
                  <m:r>
                    <m:t>s</m:t>
                  </m:r>
                  <m:r>
                    <m:t>i</m:t>
                  </m:r>
                  <m:r>
                    <m:t>g</m:t>
                  </m:r>
                  <m:r>
                    <m:t>n</m:t>
                  </m:r>
                  <m:r>
                    <m:t>a</m:t>
                  </m:r>
                  <m:r>
                    <m:t>l</m:t>
                  </m:r>
                </m:sub>
              </m:sSub>
            </m:oMath>
          </w:p>
        </w:tc>
        <w:tc>
          <w:tcPr/>
          <w:p>
            <w:pPr>
              <w:pStyle w:val="Compact"/>
            </w:pPr>
            <w:r>
              <w:t xml:space="preserve">Signal investment cost</w:t>
            </w:r>
          </w:p>
        </w:tc>
        <w:tc>
          <w:tcPr/>
          <w:p>
            <w:pPr>
              <w:pStyle w:val="Compact"/>
            </w:pPr>
            <w:r>
              <w:t xml:space="preserve">fraction of resources</w:t>
            </w:r>
          </w:p>
        </w:tc>
        <w:tc>
          <w:tcPr/>
          <w:p>
            <w:pPr>
              <w:pStyle w:val="Compact"/>
            </w:pPr>
            <w:r>
              <w:t xml:space="preserve">0.18</w:t>
            </w:r>
          </w:p>
        </w:tc>
        <w:tc>
          <w:tcPr/>
          <w:p>
            <w:pPr>
              <w:pStyle w:val="Compact"/>
            </w:pPr>
            <m:oMath>
              <m:sSub>
                <m:e>
                  <m:r>
                    <m:t>C</m:t>
                  </m:r>
                </m:e>
                <m:sub>
                  <m:r>
                    <m:t>t</m:t>
                  </m:r>
                  <m:r>
                    <m:t>o</m:t>
                  </m:r>
                  <m:r>
                    <m:t>t</m:t>
                  </m:r>
                  <m:r>
                    <m:t>a</m:t>
                  </m:r>
                  <m:r>
                    <m:t>l</m:t>
                  </m:r>
                </m:sub>
              </m:sSub>
            </m:oMath>
          </w:p>
        </w:tc>
      </w:tr>
      <w:tr>
        <w:tc>
          <w:tcPr/>
          <w:p>
            <w:pPr>
              <w:pStyle w:val="Compact"/>
            </w:pPr>
            <m:oMath>
              <m:sSub>
                <m:e>
                  <m:r>
                    <m:t>C</m:t>
                  </m:r>
                </m:e>
                <m:sub>
                  <m:r>
                    <m:t>o</m:t>
                  </m:r>
                  <m:r>
                    <m:t>p</m:t>
                  </m:r>
                  <m:r>
                    <m:t>p</m:t>
                  </m:r>
                  <m:r>
                    <m:t>o</m:t>
                  </m:r>
                  <m:r>
                    <m:t>r</m:t>
                  </m:r>
                  <m:r>
                    <m:t>t</m:t>
                  </m:r>
                  <m:r>
                    <m:t>u</m:t>
                  </m:r>
                  <m:r>
                    <m:t>n</m:t>
                  </m:r>
                  <m:r>
                    <m:t>i</m:t>
                  </m:r>
                  <m:r>
                    <m:t>t</m:t>
                  </m:r>
                  <m:r>
                    <m:t>y</m:t>
                  </m:r>
                </m:sub>
              </m:sSub>
            </m:oMath>
          </w:p>
        </w:tc>
        <w:tc>
          <w:tcPr/>
          <w:p>
            <w:pPr>
              <w:pStyle w:val="Compact"/>
            </w:pPr>
            <w:r>
              <w:t xml:space="preserve">Foregone foraging cost</w:t>
            </w:r>
          </w:p>
        </w:tc>
        <w:tc>
          <w:tcPr/>
          <w:p>
            <w:pPr>
              <w:pStyle w:val="Compact"/>
            </w:pPr>
            <w:r>
              <w:t xml:space="preserve">fraction of resources</w:t>
            </w:r>
          </w:p>
        </w:tc>
        <w:tc>
          <w:tcPr/>
          <w:p>
            <w:pPr>
              <w:pStyle w:val="Compact"/>
            </w:pPr>
            <w:r>
              <w:t xml:space="preserve">0.12</w:t>
            </w:r>
          </w:p>
        </w:tc>
        <w:tc>
          <w:tcPr/>
          <w:p>
            <w:pPr>
              <w:pStyle w:val="Compact"/>
            </w:pPr>
            <m:oMath>
              <m:sSub>
                <m:e>
                  <m:r>
                    <m:t>C</m:t>
                  </m:r>
                </m:e>
                <m:sub>
                  <m:r>
                    <m:t>t</m:t>
                  </m:r>
                  <m:r>
                    <m:t>o</m:t>
                  </m:r>
                  <m:r>
                    <m:t>t</m:t>
                  </m:r>
                  <m:r>
                    <m:t>a</m:t>
                  </m:r>
                  <m:r>
                    <m:t>l</m:t>
                  </m:r>
                </m:sub>
              </m:sSub>
            </m:oMath>
          </w:p>
        </w:tc>
      </w:tr>
      <w:tr>
        <w:tc>
          <w:tcPr/>
          <w:p>
            <w:pPr>
              <w:pStyle w:val="Compact"/>
            </w:pPr>
            <m:oMath>
              <m:sSub>
                <m:e>
                  <m:r>
                    <m:t>C</m:t>
                  </m:r>
                </m:e>
                <m:sub>
                  <m:r>
                    <m:t>t</m:t>
                  </m:r>
                  <m:r>
                    <m:t>o</m:t>
                  </m:r>
                  <m:r>
                    <m:t>t</m:t>
                  </m:r>
                  <m:r>
                    <m:t>a</m:t>
                  </m:r>
                  <m:r>
                    <m:t>l</m:t>
                  </m:r>
                </m:sub>
              </m:sSub>
            </m:oMath>
          </w:p>
        </w:tc>
        <w:tc>
          <w:tcPr/>
          <w:p>
            <w:pPr>
              <w:pStyle w:val="Compact"/>
            </w:pPr>
            <w:r>
              <w:t xml:space="preserve">Total aggregation cost</w:t>
            </w:r>
          </w:p>
        </w:tc>
        <w:tc>
          <w:tcPr/>
          <w:p>
            <w:pPr>
              <w:pStyle w:val="Compact"/>
            </w:pPr>
            <w:r>
              <w:t xml:space="preserve">fraction of resources</w:t>
            </w:r>
          </w:p>
        </w:tc>
        <w:tc>
          <w:tcPr/>
          <w:p>
            <w:pPr>
              <w:pStyle w:val="Compact"/>
            </w:pPr>
            <m:oMath>
              <m:sSub>
                <m:e>
                  <m:r>
                    <m:t>C</m:t>
                  </m:r>
                </m:e>
                <m:sub>
                  <m:r>
                    <m:t>t</m:t>
                  </m:r>
                  <m:r>
                    <m:t>r</m:t>
                  </m:r>
                  <m:r>
                    <m:t>a</m:t>
                  </m:r>
                  <m:r>
                    <m:t>v</m:t>
                  </m:r>
                  <m:r>
                    <m:t>e</m:t>
                  </m:r>
                  <m:r>
                    <m:t>l</m:t>
                  </m:r>
                </m:sub>
              </m:sSub>
              <m:r>
                <m:rPr>
                  <m:sty m:val="p"/>
                </m:rPr>
                <m:t>+</m:t>
              </m:r>
              <m:sSub>
                <m:e>
                  <m:r>
                    <m:t>C</m:t>
                  </m:r>
                </m:e>
                <m:sub>
                  <m:r>
                    <m:t>s</m:t>
                  </m:r>
                  <m:r>
                    <m:t>i</m:t>
                  </m:r>
                  <m:r>
                    <m:t>g</m:t>
                  </m:r>
                  <m:r>
                    <m:t>n</m:t>
                  </m:r>
                  <m:r>
                    <m:t>a</m:t>
                  </m:r>
                  <m:r>
                    <m:t>l</m:t>
                  </m:r>
                </m:sub>
              </m:sSub>
              <m:r>
                <m:rPr>
                  <m:sty m:val="p"/>
                </m:rPr>
                <m:t>+</m:t>
              </m:r>
              <m:sSub>
                <m:e>
                  <m:r>
                    <m:t>C</m:t>
                  </m:r>
                </m:e>
                <m:sub>
                  <m:r>
                    <m:t>o</m:t>
                  </m:r>
                  <m:r>
                    <m:t>p</m:t>
                  </m:r>
                  <m:r>
                    <m:t>p</m:t>
                  </m:r>
                  <m:r>
                    <m:t>o</m:t>
                  </m:r>
                  <m:r>
                    <m:t>r</m:t>
                  </m:r>
                  <m:r>
                    <m:t>t</m:t>
                  </m:r>
                  <m:r>
                    <m:t>u</m:t>
                  </m:r>
                  <m:r>
                    <m:t>n</m:t>
                  </m:r>
                  <m:r>
                    <m:t>i</m:t>
                  </m:r>
                  <m:r>
                    <m:t>t</m:t>
                  </m:r>
                  <m:r>
                    <m:t>y</m:t>
                  </m:r>
                </m:sub>
              </m:sSub>
            </m:oMath>
            <w:r>
              <w:t xml:space="preserve"> </w:t>
            </w:r>
            <w:r>
              <w:t xml:space="preserve">(</w:t>
            </w:r>
            <m:oMath>
              <m:r>
                <m:rPr>
                  <m:sty m:val="p"/>
                </m:rPr>
                <m:t>≈</m:t>
              </m:r>
            </m:oMath>
            <w:r>
              <w:t xml:space="preserve"> </w:t>
            </w:r>
            <w:r>
              <w:t xml:space="preserve">0.34 at</w:t>
            </w:r>
            <w:r>
              <w:t xml:space="preserve"> </w:t>
            </w:r>
            <m:oMath>
              <m:r>
                <m:t>d</m:t>
              </m:r>
            </m:oMath>
            <w:r>
              <w:t xml:space="preserve"> </w:t>
            </w:r>
            <w:r>
              <w:t xml:space="preserve">= 100 km)</w:t>
            </w:r>
          </w:p>
        </w:tc>
        <w:tc>
          <w:tcPr/>
          <w:p>
            <w:pPr>
              <w:pStyle w:val="Compact"/>
            </w:pPr>
            <m:oMath>
              <m:sSub>
                <m:e>
                  <m:r>
                    <m:t>W</m:t>
                  </m:r>
                </m:e>
                <m:sub>
                  <m:r>
                    <m:t>a</m:t>
                  </m:r>
                  <m:r>
                    <m:t>g</m:t>
                  </m:r>
                  <m:r>
                    <m:t>g</m:t>
                  </m:r>
                </m:sub>
              </m:sSub>
            </m:oMath>
          </w:p>
        </w:tc>
      </w:tr>
      <w:tr>
        <w:tc>
          <w:tcPr/>
          <w:p>
            <w:pPr>
              <w:pStyle w:val="Compact"/>
            </w:pPr>
            <m:oMath>
              <m:r>
                <m:t>α</m:t>
              </m:r>
              <m:r>
                <m:rPr>
                  <m:sty m:val="p"/>
                </m:rPr>
                <m:t>(</m:t>
              </m:r>
              <m:r>
                <m:t>k</m:t>
              </m:r>
              <m:r>
                <m:rPr>
                  <m:sty m:val="p"/>
                </m:rPr>
                <m:t>)</m:t>
              </m:r>
            </m:oMath>
          </w:p>
        </w:tc>
        <w:tc>
          <w:tcPr/>
          <w:p>
            <w:pPr>
              <w:pStyle w:val="Compact"/>
            </w:pPr>
            <w:r>
              <w:t xml:space="preserve">Aggregator vulnerability function</w:t>
            </w:r>
          </w:p>
        </w:tc>
        <w:tc>
          <w:tcPr/>
          <w:p>
            <w:pPr>
              <w:pStyle w:val="Compact"/>
            </w:pPr>
            <m:oMath>
              <m:r>
                <m:rPr>
                  <m:sty m:val="p"/>
                </m:rPr>
                <m:t>(</m:t>
              </m:r>
              <m:r>
                <m:t>0</m:t>
              </m:r>
              <m:r>
                <m:rPr>
                  <m:sty m:val="p"/>
                </m:rPr>
                <m:t>,</m:t>
              </m:r>
              <m:r>
                <m:t>1</m:t>
              </m:r>
              <m:r>
                <m:rPr>
                  <m:sty m:val="p"/>
                </m:rPr>
                <m:t>]</m:t>
              </m:r>
            </m:oMath>
          </w:p>
        </w:tc>
        <w:tc>
          <w:tcPr/>
          <w:p>
            <w:pPr>
              <w:pStyle w:val="Compact"/>
            </w:pPr>
            <m:oMath>
              <m:r>
                <m:t>α</m:t>
              </m:r>
              <m:r>
                <m:rPr>
                  <m:sty m:val="p"/>
                </m:rPr>
                <m:t>(</m:t>
              </m:r>
              <m:r>
                <m:t>k</m:t>
              </m:r>
              <m:r>
                <m:rPr>
                  <m:sty m:val="p"/>
                </m:rPr>
                <m:t>)</m:t>
              </m:r>
              <m:r>
                <m:rPr>
                  <m:sty m:val="p"/>
                </m:rPr>
                <m:t>=</m:t>
              </m:r>
              <m:r>
                <m:t>1</m:t>
              </m:r>
              <m:r>
                <m:rPr>
                  <m:sty m:val="p"/>
                </m:rPr>
                <m:t>/</m:t>
              </m:r>
              <m:r>
                <m:rPr>
                  <m:sty m:val="p"/>
                </m:rPr>
                <m:t>(</m:t>
              </m:r>
              <m:r>
                <m:t>1</m:t>
              </m:r>
              <m:r>
                <m:rPr>
                  <m:sty m:val="p"/>
                </m:rPr>
                <m:t>+</m:t>
              </m:r>
              <m:r>
                <m:t>γ</m:t>
              </m:r>
              <m:r>
                <m:t>k</m:t>
              </m:r>
              <m:r>
                <m:rPr>
                  <m:sty m:val="p"/>
                </m:rPr>
                <m:t>)</m:t>
              </m:r>
            </m:oMath>
          </w:p>
        </w:tc>
        <w:tc>
          <w:tcPr/>
          <w:p>
            <w:pPr>
              <w:pStyle w:val="Compact"/>
            </w:pPr>
            <m:oMath>
              <m:sSub>
                <m:e>
                  <m:r>
                    <m:t>W</m:t>
                  </m:r>
                </m:e>
                <m:sub>
                  <m:r>
                    <m:t>a</m:t>
                  </m:r>
                  <m:r>
                    <m:t>g</m:t>
                  </m:r>
                  <m:r>
                    <m:t>g</m:t>
                  </m:r>
                </m:sub>
              </m:sSub>
            </m:oMath>
          </w:p>
        </w:tc>
      </w:tr>
      <w:tr>
        <w:tc>
          <w:tcPr/>
          <w:p>
            <w:pPr>
              <w:pStyle w:val="Compact"/>
            </w:pPr>
            <m:oMath>
              <m:r>
                <m:t>β</m:t>
              </m:r>
              <m:r>
                <m:rPr>
                  <m:sty m:val="p"/>
                </m:rPr>
                <m:t>(</m:t>
              </m:r>
              <m:sSub>
                <m:e>
                  <m:r>
                    <m:t>k</m:t>
                  </m:r>
                </m:e>
                <m:sub>
                  <m:r>
                    <m:t>0</m:t>
                  </m:r>
                </m:sub>
              </m:sSub>
              <m:r>
                <m:rPr>
                  <m:sty m:val="p"/>
                </m:rPr>
                <m:t>)</m:t>
              </m:r>
            </m:oMath>
          </w:p>
        </w:tc>
        <w:tc>
          <w:tcPr/>
          <w:p>
            <w:pPr>
              <w:pStyle w:val="Compact"/>
            </w:pPr>
            <w:r>
              <w:t xml:space="preserve">Independent vulnerability</w:t>
            </w:r>
          </w:p>
        </w:tc>
        <w:tc>
          <w:tcPr/>
          <w:p>
            <w:pPr>
              <w:pStyle w:val="Compact"/>
            </w:pPr>
            <m:oMath>
              <m:r>
                <m:rPr>
                  <m:sty m:val="p"/>
                </m:rPr>
                <m:t>(</m:t>
              </m:r>
              <m:r>
                <m:t>0</m:t>
              </m:r>
              <m:r>
                <m:rPr>
                  <m:sty m:val="p"/>
                </m:rPr>
                <m:t>,</m:t>
              </m:r>
              <m:r>
                <m:t>1</m:t>
              </m:r>
              <m:r>
                <m:rPr>
                  <m:sty m:val="p"/>
                </m:rPr>
                <m:t>]</m:t>
              </m:r>
            </m:oMath>
          </w:p>
        </w:tc>
        <w:tc>
          <w:tcPr/>
          <w:p>
            <w:pPr>
              <w:pStyle w:val="Compact"/>
            </w:pPr>
            <m:oMath>
              <m:r>
                <m:t>β</m:t>
              </m:r>
              <m:r>
                <m:rPr>
                  <m:sty m:val="p"/>
                </m:rPr>
                <m:t>=</m:t>
              </m:r>
              <m:r>
                <m:t>α</m:t>
              </m:r>
              <m:r>
                <m:rPr>
                  <m:sty m:val="p"/>
                </m:rPr>
                <m:t>(</m:t>
              </m:r>
              <m:sSub>
                <m:e>
                  <m:r>
                    <m:t>k</m:t>
                  </m:r>
                </m:e>
                <m:sub>
                  <m:r>
                    <m:t>0</m:t>
                  </m:r>
                </m:sub>
              </m:sSub>
              <m:r>
                <m:rPr>
                  <m:sty m:val="p"/>
                </m:rPr>
                <m:t>)</m:t>
              </m:r>
              <m:r>
                <m:rPr>
                  <m:sty m:val="p"/>
                </m:rPr>
                <m:t>≈</m:t>
              </m:r>
              <m:r>
                <m:t>0.985</m:t>
              </m:r>
            </m:oMath>
          </w:p>
        </w:tc>
        <w:tc>
          <w:tcPr/>
          <w:p>
            <w:pPr>
              <w:pStyle w:val="Compact"/>
            </w:pPr>
            <m:oMath>
              <m:sSub>
                <m:e>
                  <m:r>
                    <m:t>W</m:t>
                  </m:r>
                </m:e>
                <m:sub>
                  <m:r>
                    <m:t>i</m:t>
                  </m:r>
                  <m:r>
                    <m:t>n</m:t>
                  </m:r>
                  <m:r>
                    <m:t>d</m:t>
                  </m:r>
                </m:sub>
              </m:sSub>
            </m:oMath>
          </w:p>
        </w:tc>
      </w:tr>
      <w:tr>
        <w:tc>
          <w:tcPr/>
          <w:p>
            <w:pPr>
              <w:pStyle w:val="Compact"/>
            </w:pPr>
            <m:oMath>
              <m:r>
                <m:t>γ</m:t>
              </m:r>
            </m:oMath>
          </w:p>
        </w:tc>
        <w:tc>
          <w:tcPr/>
          <w:p>
            <w:pPr>
              <w:pStyle w:val="Compact"/>
            </w:pPr>
            <w:r>
              <w:t xml:space="preserve">Buffering efficiency per partner</w:t>
            </w:r>
          </w:p>
        </w:tc>
        <w:tc>
          <w:tcPr/>
          <w:p>
            <w:pPr>
              <w:pStyle w:val="Compact"/>
            </w:pPr>
            <w:r>
              <w:t xml:space="preserve">dimensionless</w:t>
            </w:r>
          </w:p>
        </w:tc>
        <w:tc>
          <w:tcPr/>
          <w:p>
            <w:pPr>
              <w:pStyle w:val="Compact"/>
            </w:pPr>
            <w:r>
              <w:t xml:space="preserve">0.05</w:t>
            </w:r>
          </w:p>
        </w:tc>
        <w:tc>
          <w:tcPr/>
          <w:p>
            <w:pPr>
              <w:pStyle w:val="Compact"/>
            </w:pPr>
            <m:oMath>
              <m:r>
                <m:t>α</m:t>
              </m:r>
              <m:r>
                <m:rPr>
                  <m:sty m:val="p"/>
                </m:rPr>
                <m:t>(</m:t>
              </m:r>
              <m:r>
                <m:t>k</m:t>
              </m:r>
              <m:r>
                <m:rPr>
                  <m:sty m:val="p"/>
                </m:rPr>
                <m:t>)</m:t>
              </m:r>
            </m:oMath>
          </w:p>
        </w:tc>
      </w:tr>
      <w:tr>
        <w:tc>
          <w:tcPr/>
          <w:p>
            <w:pPr>
              <w:pStyle w:val="Compact"/>
            </w:pPr>
            <m:oMath>
              <m:sSub>
                <m:e>
                  <m:r>
                    <m:t>k</m:t>
                  </m:r>
                </m:e>
                <m:sub>
                  <m:r>
                    <m:t>0</m:t>
                  </m:r>
                </m:sub>
              </m:sSub>
            </m:oMath>
          </w:p>
        </w:tc>
        <w:tc>
          <w:tcPr/>
          <w:p>
            <w:pPr>
              <w:pStyle w:val="Compact"/>
            </w:pPr>
            <w:r>
              <w:t xml:space="preserve">Baseline kin network degree</w:t>
            </w:r>
          </w:p>
        </w:tc>
        <w:tc>
          <w:tcPr/>
          <w:p>
            <w:pPr>
              <w:pStyle w:val="Compact"/>
            </w:pPr>
            <w:r>
              <w:t xml:space="preserve">dimensionless</w:t>
            </w:r>
          </w:p>
        </w:tc>
        <w:tc>
          <w:tcPr/>
          <w:p>
            <w:pPr>
              <w:pStyle w:val="Compact"/>
            </w:pPr>
            <w:r>
              <w:t xml:space="preserve">0.3</w:t>
            </w:r>
          </w:p>
        </w:tc>
        <w:tc>
          <w:tcPr/>
          <w:p>
            <w:pPr>
              <w:pStyle w:val="Compact"/>
            </w:pPr>
            <w:r>
              <w:t xml:space="preserve">both fns</w:t>
            </w:r>
          </w:p>
        </w:tc>
      </w:tr>
      <w:tr>
        <w:tc>
          <w:tcPr/>
          <w:p>
            <w:pPr>
              <w:pStyle w:val="Compact"/>
            </w:pPr>
            <m:oMath>
              <m:sSub>
                <m:e>
                  <m:r>
                    <m:t>k</m:t>
                  </m:r>
                </m:e>
                <m:sub>
                  <m:r>
                    <m:t>m</m:t>
                  </m:r>
                  <m:r>
                    <m:t>a</m:t>
                  </m:r>
                  <m:r>
                    <m:t>x</m:t>
                  </m:r>
                </m:sub>
              </m:sSub>
            </m:oMath>
          </w:p>
        </w:tc>
        <w:tc>
          <w:tcPr/>
          <w:p>
            <w:pPr>
              <w:pStyle w:val="Compact"/>
            </w:pPr>
            <w:r>
              <w:t xml:space="preserve">Maximum additional network degree</w:t>
            </w:r>
          </w:p>
        </w:tc>
        <w:tc>
          <w:tcPr/>
          <w:p>
            <w:pPr>
              <w:pStyle w:val="Compact"/>
            </w:pPr>
            <w:r>
              <w:t xml:space="preserve">dimensionless</w:t>
            </w:r>
          </w:p>
        </w:tc>
        <w:tc>
          <w:tcPr/>
          <w:p>
            <w:pPr>
              <w:pStyle w:val="Compact"/>
            </w:pPr>
            <w:r>
              <w:t xml:space="preserve">6.0</w:t>
            </w:r>
          </w:p>
        </w:tc>
        <w:tc>
          <w:tcPr/>
          <w:p>
            <w:pPr>
              <w:pStyle w:val="Compact"/>
            </w:pPr>
            <m:oMath>
              <m:r>
                <m:t>k</m:t>
              </m:r>
              <m:r>
                <m:rPr>
                  <m:sty m:val="p"/>
                </m:rPr>
                <m:t>(</m:t>
              </m:r>
              <m:sSub>
                <m:e>
                  <m:r>
                    <m:t>M</m:t>
                  </m:r>
                </m:e>
                <m:sub>
                  <m:r>
                    <m:t>g</m:t>
                  </m:r>
                </m:sub>
              </m:sSub>
              <m:r>
                <m:rPr>
                  <m:sty m:val="p"/>
                </m:rPr>
                <m:t>)</m:t>
              </m:r>
            </m:oMath>
          </w:p>
        </w:tc>
      </w:tr>
      <w:tr>
        <w:tc>
          <w:tcPr/>
          <w:p>
            <w:pPr>
              <w:pStyle w:val="Compact"/>
            </w:pPr>
            <m:oMath>
              <m:r>
                <m:t>k</m:t>
              </m:r>
              <m:r>
                <m:rPr>
                  <m:sty m:val="p"/>
                </m:rPr>
                <m:t>(</m:t>
              </m:r>
              <m:sSub>
                <m:e>
                  <m:r>
                    <m:t>M</m:t>
                  </m:r>
                </m:e>
                <m:sub>
                  <m:r>
                    <m:t>g</m:t>
                  </m:r>
                </m:sub>
              </m:sSub>
              <m:r>
                <m:rPr>
                  <m:sty m:val="p"/>
                </m:rPr>
                <m:t>)</m:t>
              </m:r>
            </m:oMath>
          </w:p>
        </w:tc>
        <w:tc>
          <w:tcPr/>
          <w:p>
            <w:pPr>
              <w:pStyle w:val="Compact"/>
            </w:pPr>
            <w:r>
              <w:t xml:space="preserve">Network degree given monument stock</w:t>
            </w:r>
          </w:p>
        </w:tc>
        <w:tc>
          <w:tcPr/>
          <w:p>
            <w:pPr>
              <w:pStyle w:val="Compact"/>
            </w:pPr>
            <w:r>
              <w:t xml:space="preserve">dimensionless</w:t>
            </w:r>
          </w:p>
        </w:tc>
        <w:tc>
          <w:tcPr/>
          <w:p>
            <w:pPr>
              <w:pStyle w:val="Compact"/>
            </w:pPr>
            <m:oMath>
              <m:sSub>
                <m:e>
                  <m:r>
                    <m:t>k</m:t>
                  </m:r>
                </m:e>
                <m:sub>
                  <m:r>
                    <m:t>0</m:t>
                  </m:r>
                </m:sub>
              </m:sSub>
              <m:r>
                <m:rPr>
                  <m:sty m:val="p"/>
                </m:rPr>
                <m:t>+</m:t>
              </m:r>
              <m:sSub>
                <m:e>
                  <m:r>
                    <m:t>k</m:t>
                  </m:r>
                </m:e>
                <m:sub>
                  <m:r>
                    <m:t>m</m:t>
                  </m:r>
                  <m:r>
                    <m:t>a</m:t>
                  </m:r>
                  <m:r>
                    <m:t>x</m:t>
                  </m:r>
                </m:sub>
              </m:sSub>
              <m:r>
                <m:rPr>
                  <m:sty m:val="p"/>
                </m:rPr>
                <m:t>⋅</m:t>
              </m:r>
              <m:sSub>
                <m:e>
                  <m:r>
                    <m:t>M</m:t>
                  </m:r>
                </m:e>
                <m:sub>
                  <m:r>
                    <m:t>g</m:t>
                  </m:r>
                </m:sub>
              </m:sSub>
              <m:r>
                <m:rPr>
                  <m:sty m:val="p"/>
                </m:rPr>
                <m:t>/</m:t>
              </m:r>
              <m:r>
                <m:rPr>
                  <m:sty m:val="p"/>
                </m:rPr>
                <m:t>(</m:t>
              </m:r>
              <m:sSub>
                <m:e>
                  <m:r>
                    <m:t>M</m:t>
                  </m:r>
                </m:e>
                <m:sub>
                  <m:r>
                    <m:t>h</m:t>
                  </m:r>
                  <m:r>
                    <m:t>a</m:t>
                  </m:r>
                  <m:r>
                    <m:t>l</m:t>
                  </m:r>
                  <m:r>
                    <m:t>f</m:t>
                  </m:r>
                </m:sub>
              </m:sSub>
              <m:r>
                <m:rPr>
                  <m:sty m:val="p"/>
                </m:rPr>
                <m:t>+</m:t>
              </m:r>
              <m:sSub>
                <m:e>
                  <m:r>
                    <m:t>M</m:t>
                  </m:r>
                </m:e>
                <m:sub>
                  <m:r>
                    <m:t>g</m:t>
                  </m:r>
                </m:sub>
              </m:sSub>
              <m:r>
                <m:rPr>
                  <m:sty m:val="p"/>
                </m:rPr>
                <m:t>)</m:t>
              </m:r>
            </m:oMath>
          </w:p>
        </w:tc>
        <w:tc>
          <w:tcPr/>
          <w:p>
            <w:pPr>
              <w:pStyle w:val="Compact"/>
            </w:pPr>
            <m:oMath>
              <m:r>
                <m:t>α</m:t>
              </m:r>
            </m:oMath>
          </w:p>
        </w:tc>
      </w:tr>
      <w:tr>
        <w:tc>
          <w:tcPr/>
          <w:p>
            <w:pPr>
              <w:pStyle w:val="Compact"/>
            </w:pPr>
            <m:oMath>
              <m:sSub>
                <m:e>
                  <m:r>
                    <m:t>k</m:t>
                  </m:r>
                </m:e>
                <m:sub>
                  <m:r>
                    <m:t>a</m:t>
                  </m:r>
                  <m:r>
                    <m:t>g</m:t>
                  </m:r>
                  <m:r>
                    <m:t>g</m:t>
                  </m:r>
                </m:sub>
              </m:sSub>
            </m:oMath>
          </w:p>
        </w:tc>
        <w:tc>
          <w:tcPr/>
          <w:p>
            <w:pPr>
              <w:pStyle w:val="Compact"/>
            </w:pPr>
            <w:r>
              <w:t xml:space="preserve">Within-aggregation network degree</w:t>
            </w:r>
          </w:p>
        </w:tc>
        <w:tc>
          <w:tcPr/>
          <w:p>
            <w:pPr>
              <w:pStyle w:val="Compact"/>
            </w:pPr>
            <w:r>
              <w:t xml:space="preserve">dimensionless</w:t>
            </w:r>
          </w:p>
        </w:tc>
        <w:tc>
          <w:tcPr/>
          <w:p>
            <w:pPr>
              <w:pStyle w:val="Compact"/>
            </w:pPr>
            <m:oMath>
              <m:r>
                <m:t>k</m:t>
              </m:r>
              <m:r>
                <m:rPr>
                  <m:sty m:val="p"/>
                </m:rPr>
                <m:t>(</m:t>
              </m:r>
              <m:sSub>
                <m:e>
                  <m:r>
                    <m:t>M</m:t>
                  </m:r>
                </m:e>
                <m:sub>
                  <m:r>
                    <m:t>g</m:t>
                  </m:r>
                </m:sub>
              </m:sSub>
              <m:r>
                <m:rPr>
                  <m:sty m:val="p"/>
                </m:rPr>
                <m:t>)</m:t>
              </m:r>
            </m:oMath>
            <w:r>
              <w:t xml:space="preserve"> </w:t>
            </w:r>
            <w:r>
              <w:t xml:space="preserve">at peak season</w:t>
            </w:r>
          </w:p>
        </w:tc>
        <w:tc>
          <w:tcPr/>
          <w:p>
            <w:pPr>
              <w:pStyle w:val="Compact"/>
            </w:pPr>
            <m:oMath>
              <m:sSub>
                <m:e>
                  <m:r>
                    <m:t>k</m:t>
                  </m:r>
                </m:e>
                <m:sub>
                  <m:r>
                    <m:t>e</m:t>
                  </m:r>
                  <m:r>
                    <m:t>f</m:t>
                  </m:r>
                  <m:r>
                    <m:t>f</m:t>
                  </m:r>
                </m:sub>
              </m:sSub>
            </m:oMath>
          </w:p>
        </w:tc>
      </w:tr>
      <w:tr>
        <w:tc>
          <w:tcPr/>
          <w:p>
            <w:pPr>
              <w:pStyle w:val="Compact"/>
            </w:pPr>
            <m:oMath>
              <m:sSub>
                <m:e>
                  <m:r>
                    <m:t>k</m:t>
                  </m:r>
                </m:e>
                <m:sub>
                  <m:r>
                    <m:t>e</m:t>
                  </m:r>
                  <m:r>
                    <m:t>f</m:t>
                  </m:r>
                  <m:r>
                    <m:t>f</m:t>
                  </m:r>
                </m:sub>
              </m:sSub>
            </m:oMath>
          </w:p>
        </w:tc>
        <w:tc>
          <w:tcPr/>
          <w:p>
            <w:pPr>
              <w:pStyle w:val="Compact"/>
            </w:pPr>
            <w:r>
              <w:t xml:space="preserve">Effective annual network degree</w:t>
            </w:r>
          </w:p>
        </w:tc>
        <w:tc>
          <w:tcPr/>
          <w:p>
            <w:pPr>
              <w:pStyle w:val="Compact"/>
            </w:pPr>
            <w:r>
              <w:t xml:space="preserve">dimensionless</w:t>
            </w:r>
          </w:p>
        </w:tc>
        <w:tc>
          <w:tcPr/>
          <w:p>
            <w:pPr>
              <w:pStyle w:val="Compact"/>
            </w:pPr>
            <m:oMath>
              <m:sSub>
                <m:e>
                  <m:r>
                    <m:t>f</m:t>
                  </m:r>
                </m:e>
                <m:sub>
                  <m:r>
                    <m:t>a</m:t>
                  </m:r>
                  <m:r>
                    <m:t>g</m:t>
                  </m:r>
                  <m:r>
                    <m:t>g</m:t>
                  </m:r>
                </m:sub>
              </m:sSub>
              <m:sSub>
                <m:e>
                  <m:r>
                    <m:t>k</m:t>
                  </m:r>
                </m:e>
                <m:sub>
                  <m:r>
                    <m:t>a</m:t>
                  </m:r>
                  <m:r>
                    <m:t>g</m:t>
                  </m:r>
                  <m:r>
                    <m:t>g</m:t>
                  </m:r>
                </m:sub>
              </m:sSub>
              <m:r>
                <m:rPr>
                  <m:sty m:val="p"/>
                </m:rPr>
                <m:t>+</m:t>
              </m:r>
              <m:r>
                <m:rPr>
                  <m:sty m:val="p"/>
                </m:rPr>
                <m:t>(</m:t>
              </m:r>
              <m:r>
                <m:t>1</m:t>
              </m:r>
              <m:r>
                <m:rPr>
                  <m:sty m:val="p"/>
                </m:rPr>
                <m:t>−</m:t>
              </m:r>
              <m:sSub>
                <m:e>
                  <m:r>
                    <m:t>f</m:t>
                  </m:r>
                </m:e>
                <m:sub>
                  <m:r>
                    <m:t>a</m:t>
                  </m:r>
                  <m:r>
                    <m:t>g</m:t>
                  </m:r>
                  <m:r>
                    <m:t>g</m:t>
                  </m:r>
                </m:sub>
              </m:sSub>
              <m:r>
                <m:rPr>
                  <m:sty m:val="p"/>
                </m:rPr>
                <m:t>)</m:t>
              </m:r>
              <m:r>
                <m:rPr>
                  <m:sty m:val="p"/>
                </m:rPr>
                <m:t>[</m:t>
              </m:r>
              <m:sSub>
                <m:e>
                  <m:r>
                    <m:t>k</m:t>
                  </m:r>
                </m:e>
                <m:sub>
                  <m:r>
                    <m:t>0</m:t>
                  </m:r>
                </m:sub>
              </m:sSub>
              <m:r>
                <m:rPr>
                  <m:sty m:val="p"/>
                </m:rPr>
                <m:t>+</m:t>
              </m:r>
              <m:r>
                <m:rPr>
                  <m:sty m:val="p"/>
                </m:rPr>
                <m:t>(</m:t>
              </m:r>
              <m:sSub>
                <m:e>
                  <m:r>
                    <m:t>k</m:t>
                  </m:r>
                </m:e>
                <m:sub>
                  <m:r>
                    <m:t>a</m:t>
                  </m:r>
                  <m:r>
                    <m:t>g</m:t>
                  </m:r>
                  <m:r>
                    <m:t>g</m:t>
                  </m:r>
                </m:sub>
              </m:sSub>
              <m:r>
                <m:rPr>
                  <m:sty m:val="p"/>
                </m:rPr>
                <m:t>−</m:t>
              </m:r>
              <m:sSub>
                <m:e>
                  <m:r>
                    <m:t>k</m:t>
                  </m:r>
                </m:e>
                <m:sub>
                  <m:r>
                    <m:t>0</m:t>
                  </m:r>
                </m:sub>
              </m:sSub>
              <m:r>
                <m:rPr>
                  <m:sty m:val="p"/>
                </m:rPr>
                <m:t>)</m:t>
              </m:r>
              <m:r>
                <m:rPr>
                  <m:sty m:val="p"/>
                </m:rPr>
                <m:t>(</m:t>
              </m:r>
              <m:r>
                <m:t>1</m:t>
              </m:r>
              <m:r>
                <m:rPr>
                  <m:sty m:val="p"/>
                </m:rPr>
                <m:t>−</m:t>
              </m:r>
              <m:sSub>
                <m:e>
                  <m:r>
                    <m:t>δ</m:t>
                  </m:r>
                </m:e>
                <m:sub>
                  <m:r>
                    <m:t>n</m:t>
                  </m:r>
                  <m:r>
                    <m:t>e</m:t>
                  </m:r>
                  <m:r>
                    <m:t>t</m:t>
                  </m:r>
                </m:sub>
              </m:sSub>
              <m:r>
                <m:rPr>
                  <m:sty m:val="p"/>
                </m:rPr>
                <m:t>)</m:t>
              </m:r>
              <m:r>
                <m:rPr>
                  <m:sty m:val="p"/>
                </m:rPr>
                <m:t>]</m:t>
              </m:r>
            </m:oMath>
          </w:p>
        </w:tc>
        <w:tc>
          <w:tcPr/>
          <w:p>
            <w:pPr>
              <w:pStyle w:val="Compact"/>
            </w:pPr>
            <m:oMath>
              <m:r>
                <m:t>α</m:t>
              </m:r>
              <m:r>
                <m:rPr>
                  <m:sty m:val="p"/>
                </m:rPr>
                <m:t>(</m:t>
              </m:r>
              <m:sSub>
                <m:e>
                  <m:r>
                    <m:t>k</m:t>
                  </m:r>
                </m:e>
                <m:sub>
                  <m:r>
                    <m:t>e</m:t>
                  </m:r>
                  <m:r>
                    <m:t>f</m:t>
                  </m:r>
                  <m:r>
                    <m:t>f</m:t>
                  </m:r>
                </m:sub>
              </m:sSub>
              <m:r>
                <m:rPr>
                  <m:sty m:val="p"/>
                </m:rPr>
                <m:t>)</m:t>
              </m:r>
            </m:oMath>
          </w:p>
        </w:tc>
      </w:tr>
      <w:tr>
        <w:tc>
          <w:tcPr/>
          <w:p>
            <w:pPr>
              <w:pStyle w:val="Compact"/>
            </w:pPr>
            <m:oMath>
              <m:sSub>
                <m:e>
                  <m:r>
                    <m:t>f</m:t>
                  </m:r>
                </m:e>
                <m:sub>
                  <m:r>
                    <m:t>a</m:t>
                  </m:r>
                  <m:r>
                    <m:t>g</m:t>
                  </m:r>
                  <m:r>
                    <m:t>g</m:t>
                  </m:r>
                </m:sub>
              </m:sSub>
            </m:oMath>
          </w:p>
        </w:tc>
        <w:tc>
          <w:tcPr/>
          <w:p>
            <w:pPr>
              <w:pStyle w:val="Compact"/>
            </w:pPr>
            <w:r>
              <w:t xml:space="preserve">Fraction of year at site</w:t>
            </w:r>
          </w:p>
        </w:tc>
        <w:tc>
          <w:tcPr/>
          <w:p>
            <w:pPr>
              <w:pStyle w:val="Compact"/>
            </w:pPr>
            <m:oMath>
              <m:r>
                <m:rPr>
                  <m:sty m:val="p"/>
                </m:rPr>
                <m:t>[</m:t>
              </m:r>
              <m:r>
                <m:t>0</m:t>
              </m:r>
              <m:r>
                <m:rPr>
                  <m:sty m:val="p"/>
                </m:rPr>
                <m:t>,</m:t>
              </m:r>
              <m:r>
                <m:t>1</m:t>
              </m:r>
              <m:r>
                <m:rPr>
                  <m:sty m:val="p"/>
                </m:rPr>
                <m:t>]</m:t>
              </m:r>
            </m:oMath>
          </w:p>
        </w:tc>
        <w:tc>
          <w:tcPr/>
          <w:p>
            <w:pPr>
              <w:pStyle w:val="Compact"/>
            </w:pPr>
            <w:r>
              <w:t xml:space="preserve">0.25</w:t>
            </w:r>
          </w:p>
        </w:tc>
        <w:tc>
          <w:tcPr/>
          <w:p>
            <w:pPr>
              <w:pStyle w:val="Compact"/>
            </w:pPr>
            <m:oMath>
              <m:sSub>
                <m:e>
                  <m:r>
                    <m:t>k</m:t>
                  </m:r>
                </m:e>
                <m:sub>
                  <m:r>
                    <m:t>e</m:t>
                  </m:r>
                  <m:r>
                    <m:t>f</m:t>
                  </m:r>
                  <m:r>
                    <m:t>f</m:t>
                  </m:r>
                </m:sub>
              </m:sSub>
            </m:oMath>
          </w:p>
        </w:tc>
      </w:tr>
      <w:tr>
        <w:tc>
          <w:tcPr/>
          <w:p>
            <w:pPr>
              <w:pStyle w:val="Compact"/>
            </w:pPr>
            <m:oMath>
              <m:sSub>
                <m:e>
                  <m:r>
                    <m:t>δ</m:t>
                  </m:r>
                </m:e>
                <m:sub>
                  <m:r>
                    <m:t>n</m:t>
                  </m:r>
                  <m:r>
                    <m:t>e</m:t>
                  </m:r>
                  <m:r>
                    <m:t>t</m:t>
                  </m:r>
                </m:sub>
              </m:sSub>
            </m:oMath>
          </w:p>
        </w:tc>
        <w:tc>
          <w:tcPr/>
          <w:p>
            <w:pPr>
              <w:pStyle w:val="Compact"/>
            </w:pPr>
            <w:r>
              <w:t xml:space="preserve">Per-dispersal-season network decay</w:t>
            </w:r>
          </w:p>
        </w:tc>
        <w:tc>
          <w:tcPr/>
          <w:p>
            <w:pPr>
              <w:pStyle w:val="Compact"/>
            </w:pPr>
            <m:oMath>
              <m:r>
                <m:rPr>
                  <m:sty m:val="p"/>
                </m:rPr>
                <m:t>[</m:t>
              </m:r>
              <m:r>
                <m:t>0</m:t>
              </m:r>
              <m:r>
                <m:rPr>
                  <m:sty m:val="p"/>
                </m:rPr>
                <m:t>,</m:t>
              </m:r>
              <m:r>
                <m:t>1</m:t>
              </m:r>
              <m:r>
                <m:rPr>
                  <m:sty m:val="p"/>
                </m:rPr>
                <m:t>]</m:t>
              </m:r>
            </m:oMath>
          </w:p>
        </w:tc>
        <w:tc>
          <w:tcPr/>
          <w:p>
            <w:pPr>
              <w:pStyle w:val="Compact"/>
            </w:pPr>
            <w:r>
              <w:t xml:space="preserve">0.40</w:t>
            </w:r>
          </w:p>
        </w:tc>
        <w:tc>
          <w:tcPr/>
          <w:p>
            <w:pPr>
              <w:pStyle w:val="Compact"/>
            </w:pPr>
            <m:oMath>
              <m:sSub>
                <m:e>
                  <m:r>
                    <m:t>k</m:t>
                  </m:r>
                </m:e>
                <m:sub>
                  <m:r>
                    <m:t>e</m:t>
                  </m:r>
                  <m:r>
                    <m:t>f</m:t>
                  </m:r>
                  <m:r>
                    <m:t>f</m:t>
                  </m:r>
                </m:sub>
              </m:sSub>
            </m:oMath>
          </w:p>
        </w:tc>
      </w:tr>
      <w:tr>
        <w:tc>
          <w:tcPr/>
          <w:p>
            <w:pPr>
              <w:pStyle w:val="Compact"/>
            </w:pPr>
            <m:oMath>
              <m:r>
                <m:t>δ</m:t>
              </m:r>
            </m:oMath>
          </w:p>
        </w:tc>
        <w:tc>
          <w:tcPr/>
          <w:p>
            <w:pPr>
              <w:pStyle w:val="Compact"/>
            </w:pPr>
            <w:r>
              <w:t xml:space="preserve">Annual monument depreciation</w:t>
            </w:r>
          </w:p>
        </w:tc>
        <w:tc>
          <w:tcPr/>
          <w:p>
            <w:pPr>
              <w:pStyle w:val="Compact"/>
            </w:pPr>
            <w:r>
              <w:t xml:space="preserve">yr</w:t>
            </w:r>
            <m:oMath>
              <m:sSup>
                <m:e>
                  <m:r>
                    <m:t>​</m:t>
                  </m:r>
                </m:e>
                <m:sup>
                  <m:r>
                    <m:rPr>
                      <m:sty m:val="p"/>
                    </m:rPr>
                    <m:t>−</m:t>
                  </m:r>
                  <m:r>
                    <m:t>1</m:t>
                  </m:r>
                </m:sup>
              </m:sSup>
            </m:oMath>
          </w:p>
        </w:tc>
        <w:tc>
          <w:tcPr/>
          <w:p>
            <w:pPr>
              <w:pStyle w:val="Compact"/>
            </w:pPr>
            <w:r>
              <w:t xml:space="preserve">0.08</w:t>
            </w:r>
          </w:p>
        </w:tc>
        <w:tc>
          <w:tcPr/>
          <w:p>
            <w:pPr>
              <w:pStyle w:val="Compact"/>
            </w:pPr>
            <m:oMath>
              <m:sSub>
                <m:e>
                  <m:r>
                    <m:t>M</m:t>
                  </m:r>
                </m:e>
                <m:sub>
                  <m:r>
                    <m:t>g</m:t>
                  </m:r>
                </m:sub>
              </m:sSub>
            </m:oMath>
          </w:p>
        </w:tc>
      </w:tr>
      <w:tr>
        <w:tc>
          <w:tcPr/>
          <w:p>
            <w:pPr>
              <w:pStyle w:val="Compact"/>
            </w:pPr>
            <m:oMath>
              <m:sSub>
                <m:e>
                  <m:r>
                    <m:t>M</m:t>
                  </m:r>
                </m:e>
                <m:sub>
                  <m:r>
                    <m:t>g</m:t>
                  </m:r>
                </m:sub>
              </m:sSub>
            </m:oMath>
          </w:p>
        </w:tc>
        <w:tc>
          <w:tcPr/>
          <w:p>
            <w:pPr>
              <w:pStyle w:val="Compact"/>
            </w:pPr>
            <w:r>
              <w:t xml:space="preserve">Effective monument stock</w:t>
            </w:r>
          </w:p>
        </w:tc>
        <w:tc>
          <w:tcPr/>
          <w:p>
            <w:pPr>
              <w:pStyle w:val="Compact"/>
            </w:pPr>
            <w:r>
              <w:t xml:space="preserve">investment units</w:t>
            </w:r>
          </w:p>
        </w:tc>
        <w:tc>
          <w:tcPr/>
          <w:p>
            <w:pPr>
              <w:pStyle w:val="Compact"/>
            </w:pPr>
            <m:oMath>
              <m:sSub>
                <m:e>
                  <m:r>
                    <m:t>I</m:t>
                  </m:r>
                </m:e>
                <m:sub>
                  <m:r>
                    <m:t>g</m:t>
                  </m:r>
                </m:sub>
              </m:sSub>
              <m:r>
                <m:rPr>
                  <m:sty m:val="p"/>
                </m:rPr>
                <m:t>/</m:t>
              </m:r>
              <m:r>
                <m:t>δ</m:t>
              </m:r>
            </m:oMath>
            <w:r>
              <w:t xml:space="preserve"> </w:t>
            </w:r>
            <w:r>
              <w:t xml:space="preserve">at equilibrium</w:t>
            </w:r>
          </w:p>
        </w:tc>
        <w:tc>
          <w:tcPr/>
          <w:p>
            <w:pPr>
              <w:pStyle w:val="Compact"/>
            </w:pPr>
            <m:oMath>
              <m:r>
                <m:t>k</m:t>
              </m:r>
              <m:r>
                <m:rPr>
                  <m:sty m:val="p"/>
                </m:rPr>
                <m:t>(</m:t>
              </m:r>
              <m:sSub>
                <m:e>
                  <m:r>
                    <m:t>M</m:t>
                  </m:r>
                </m:e>
                <m:sub>
                  <m:r>
                    <m:t>g</m:t>
                  </m:r>
                </m:sub>
              </m:sSub>
              <m:r>
                <m:rPr>
                  <m:sty m:val="p"/>
                </m:rPr>
                <m:t>)</m:t>
              </m:r>
            </m:oMath>
          </w:p>
        </w:tc>
      </w:tr>
      <w:tr>
        <w:tc>
          <w:tcPr/>
          <w:p>
            <w:pPr>
              <w:pStyle w:val="Compact"/>
            </w:pPr>
            <m:oMath>
              <m:sSub>
                <m:e>
                  <m:r>
                    <m:t>M</m:t>
                  </m:r>
                </m:e>
                <m:sub>
                  <m:r>
                    <m:t>h</m:t>
                  </m:r>
                  <m:r>
                    <m:t>a</m:t>
                  </m:r>
                  <m:r>
                    <m:t>l</m:t>
                  </m:r>
                  <m:r>
                    <m:t>f</m:t>
                  </m:r>
                </m:sub>
              </m:sSub>
            </m:oMath>
          </w:p>
        </w:tc>
        <w:tc>
          <w:tcPr/>
          <w:p>
            <w:pPr>
              <w:pStyle w:val="Compact"/>
            </w:pPr>
            <w:r>
              <w:t xml:space="preserve">Half-saturation monument stock</w:t>
            </w:r>
          </w:p>
        </w:tc>
        <w:tc>
          <w:tcPr/>
          <w:p>
            <w:pPr>
              <w:pStyle w:val="Compact"/>
            </w:pPr>
            <w:r>
              <w:t xml:space="preserve">investment units</w:t>
            </w:r>
          </w:p>
        </w:tc>
        <w:tc>
          <w:tcPr/>
          <w:p>
            <w:pPr>
              <w:pStyle w:val="Compact"/>
            </w:pPr>
            <w:r>
              <w:t xml:space="preserve">2.5</w:t>
            </w:r>
          </w:p>
        </w:tc>
        <w:tc>
          <w:tcPr/>
          <w:p>
            <w:pPr>
              <w:pStyle w:val="Compact"/>
            </w:pPr>
            <m:oMath>
              <m:r>
                <m:t>k</m:t>
              </m:r>
              <m:r>
                <m:rPr>
                  <m:sty m:val="p"/>
                </m:rPr>
                <m:t>(</m:t>
              </m:r>
              <m:sSub>
                <m:e>
                  <m:r>
                    <m:t>M</m:t>
                  </m:r>
                </m:e>
                <m:sub>
                  <m:r>
                    <m:t>g</m:t>
                  </m:r>
                </m:sub>
              </m:sSub>
              <m:r>
                <m:rPr>
                  <m:sty m:val="p"/>
                </m:rPr>
                <m:t>)</m:t>
              </m:r>
            </m:oMath>
          </w:p>
        </w:tc>
      </w:tr>
      <w:tr>
        <w:tc>
          <w:tcPr/>
          <w:p>
            <w:pPr>
              <w:pStyle w:val="Compact"/>
            </w:pPr>
            <m:oMath>
              <m:sSub>
                <m:e>
                  <m:r>
                    <m:t>I</m:t>
                  </m:r>
                </m:e>
                <m:sub>
                  <m:r>
                    <m:t>g</m:t>
                  </m:r>
                </m:sub>
              </m:sSub>
            </m:oMath>
          </w:p>
        </w:tc>
        <w:tc>
          <w:tcPr/>
          <w:p>
            <w:pPr>
              <w:pStyle w:val="Compact"/>
            </w:pPr>
            <w:r>
              <w:t xml:space="preserve">Cumulative monument investment</w:t>
            </w:r>
          </w:p>
        </w:tc>
        <w:tc>
          <w:tcPr/>
          <w:p>
            <w:pPr>
              <w:pStyle w:val="Compact"/>
            </w:pPr>
            <w:r>
              <w:t xml:space="preserve">investment units</w:t>
            </w:r>
          </w:p>
        </w:tc>
        <w:tc>
          <w:tcPr/>
          <w:p>
            <w:pPr>
              <w:pStyle w:val="Compact"/>
            </w:pPr>
            <m:oMath>
              <m:nary>
                <m:naryPr>
                  <m:chr m:val="∑"/>
                  <m:limLoc m:val="undOvr"/>
                  <m:subHide m:val="off"/>
                  <m:supHide m:val="on"/>
                </m:naryPr>
                <m:sub>
                  <m:r>
                    <m:t>t</m:t>
                  </m:r>
                </m:sub>
                <m:sup>
                  <m:r>
                    <m:t>​</m:t>
                  </m:r>
                </m:sup>
                <m:e>
                  <m:sSub>
                    <m:e>
                      <m:r>
                        <m:rPr>
                          <m:nor/>
                          <m:sty m:val="p"/>
                        </m:rPr>
                        <m:t>invest</m:t>
                      </m:r>
                    </m:e>
                    <m:sub>
                      <m:r>
                        <m:t>t</m:t>
                      </m:r>
                    </m:sub>
                  </m:sSub>
                </m:e>
              </m:nary>
            </m:oMath>
          </w:p>
        </w:tc>
        <w:tc>
          <w:tcPr/>
          <w:p>
            <w:pPr>
              <w:pStyle w:val="Compact"/>
            </w:pPr>
            <m:oMath>
              <m:sSub>
                <m:e>
                  <m:r>
                    <m:t>M</m:t>
                  </m:r>
                </m:e>
                <m:sub>
                  <m:r>
                    <m:t>g</m:t>
                  </m:r>
                </m:sub>
              </m:sSub>
            </m:oMath>
          </w:p>
        </w:tc>
      </w:tr>
      <w:tr>
        <w:tc>
          <w:tcPr/>
          <w:p>
            <w:pPr>
              <w:pStyle w:val="Compact"/>
            </w:pPr>
            <m:oMath>
              <m:r>
                <m:t>λ</m:t>
              </m:r>
            </m:oMath>
          </w:p>
        </w:tc>
        <w:tc>
          <w:tcPr/>
          <w:p>
            <w:pPr>
              <w:pStyle w:val="Compact"/>
            </w:pPr>
            <w:r>
              <w:t xml:space="preserve">Total signaling incentive</w:t>
            </w:r>
          </w:p>
        </w:tc>
        <w:tc>
          <w:tcPr/>
          <w:p>
            <w:pPr>
              <w:pStyle w:val="Compact"/>
            </w:pPr>
            <w:r>
              <w:t xml:space="preserve">dimensionless</w:t>
            </w:r>
          </w:p>
        </w:tc>
        <w:tc>
          <w:tcPr/>
          <w:p>
            <w:pPr>
              <w:pStyle w:val="Compact"/>
            </w:pPr>
            <m:oMath>
              <m:sSub>
                <m:e>
                  <m:r>
                    <m:t>λ</m:t>
                  </m:r>
                </m:e>
                <m:sub>
                  <m:r>
                    <m:t>W</m:t>
                  </m:r>
                </m:sub>
              </m:sSub>
              <m:r>
                <m:rPr>
                  <m:sty m:val="p"/>
                </m:rPr>
                <m:t>+</m:t>
              </m:r>
              <m:sSub>
                <m:e>
                  <m:r>
                    <m:t>λ</m:t>
                  </m:r>
                </m:e>
                <m:sub>
                  <m:r>
                    <m:t>C</m:t>
                  </m:r>
                </m:sub>
              </m:sSub>
              <m:r>
                <m:rPr>
                  <m:sty m:val="p"/>
                </m:rPr>
                <m:t>+</m:t>
              </m:r>
              <m:sSub>
                <m:e>
                  <m:r>
                    <m:t>λ</m:t>
                  </m:r>
                </m:e>
                <m:sub>
                  <m:r>
                    <m:t>X</m:t>
                  </m:r>
                </m:sub>
              </m:sSub>
            </m:oMath>
          </w:p>
        </w:tc>
        <w:tc>
          <w:tcPr/>
          <w:p>
            <w:pPr>
              <w:pStyle w:val="Compact"/>
            </w:pPr>
            <m:oMath>
              <m:r>
                <m:t>B</m:t>
              </m:r>
              <m:r>
                <m:rPr>
                  <m:sty m:val="p"/>
                </m:rPr>
                <m:t>(</m:t>
              </m:r>
              <m:r>
                <m:t>λ</m:t>
              </m:r>
              <m:r>
                <m:rPr>
                  <m:sty m:val="p"/>
                </m:rPr>
                <m:t>)</m:t>
              </m:r>
            </m:oMath>
            <w:r>
              <w:t xml:space="preserve">,</w:t>
            </w:r>
            <w:r>
              <w:t xml:space="preserve"> </w:t>
            </w:r>
            <m:oMath>
              <m:sSup>
                <m:e>
                  <m:r>
                    <m:t>x</m:t>
                  </m:r>
                </m:e>
                <m:sup>
                  <m:r>
                    <m:rPr>
                      <m:sty m:val="p"/>
                    </m:rPr>
                    <m:t>*</m:t>
                  </m:r>
                </m:sup>
              </m:sSup>
            </m:oMath>
          </w:p>
        </w:tc>
      </w:tr>
      <w:tr>
        <w:tc>
          <w:tcPr/>
          <w:p>
            <w:pPr>
              <w:pStyle w:val="Compact"/>
            </w:pPr>
            <m:oMath>
              <m:sSub>
                <m:e>
                  <m:r>
                    <m:t>λ</m:t>
                  </m:r>
                </m:e>
                <m:sub>
                  <m:r>
                    <m:t>W</m:t>
                  </m:r>
                </m:sub>
              </m:sSub>
            </m:oMath>
          </w:p>
        </w:tc>
        <w:tc>
          <w:tcPr/>
          <w:p>
            <w:pPr>
              <w:pStyle w:val="Compact"/>
            </w:pPr>
            <w:r>
              <w:t xml:space="preserve">Within-group reward</w:t>
            </w:r>
          </w:p>
        </w:tc>
        <w:tc>
          <w:tcPr/>
          <w:p>
            <w:pPr>
              <w:pStyle w:val="Compact"/>
            </w:pPr>
            <w:r>
              <w:t xml:space="preserve">dimensionless</w:t>
            </w:r>
          </w:p>
        </w:tc>
        <w:tc>
          <w:tcPr/>
          <w:p>
            <w:pPr>
              <w:pStyle w:val="Compact"/>
            </w:pPr>
            <w:r>
              <w:t xml:space="preserve">0.15 (asserted)</w:t>
            </w:r>
          </w:p>
        </w:tc>
        <w:tc>
          <w:tcPr/>
          <w:p>
            <w:pPr>
              <w:pStyle w:val="Compact"/>
            </w:pPr>
            <m:oMath>
              <m:r>
                <m:t>λ</m:t>
              </m:r>
            </m:oMath>
          </w:p>
        </w:tc>
      </w:tr>
      <w:tr>
        <w:tc>
          <w:tcPr/>
          <w:p>
            <w:pPr>
              <w:pStyle w:val="Compact"/>
            </w:pPr>
            <m:oMath>
              <m:sSub>
                <m:e>
                  <m:r>
                    <m:t>λ</m:t>
                  </m:r>
                </m:e>
                <m:sub>
                  <m:r>
                    <m:t>C</m:t>
                  </m:r>
                </m:sub>
              </m:sSub>
            </m:oMath>
          </w:p>
        </w:tc>
        <w:tc>
          <w:tcPr/>
          <w:p>
            <w:pPr>
              <w:pStyle w:val="Compact"/>
            </w:pPr>
            <w:r>
              <w:t xml:space="preserve">Conflict-deterrence value</w:t>
            </w:r>
          </w:p>
        </w:tc>
        <w:tc>
          <w:tcPr/>
          <w:p>
            <w:pPr>
              <w:pStyle w:val="Compact"/>
            </w:pPr>
            <w:r>
              <w:t xml:space="preserve">dimensionless</w:t>
            </w:r>
          </w:p>
        </w:tc>
        <w:tc>
          <w:tcPr/>
          <w:p>
            <w:pPr>
              <w:pStyle w:val="Compact"/>
            </w:pPr>
            <w:r>
              <w:t xml:space="preserve">endogenous (fixed-point)</w:t>
            </w:r>
          </w:p>
        </w:tc>
        <w:tc>
          <w:tcPr/>
          <w:p>
            <w:pPr>
              <w:pStyle w:val="Compact"/>
            </w:pPr>
            <m:oMath>
              <m:r>
                <m:t>λ</m:t>
              </m:r>
            </m:oMath>
          </w:p>
        </w:tc>
      </w:tr>
      <w:tr>
        <w:tc>
          <w:tcPr/>
          <w:p>
            <w:pPr>
              <w:pStyle w:val="Compact"/>
            </w:pPr>
            <m:oMath>
              <m:sSub>
                <m:e>
                  <m:r>
                    <m:t>λ</m:t>
                  </m:r>
                </m:e>
                <m:sub>
                  <m:r>
                    <m:t>X</m:t>
                  </m:r>
                </m:sub>
              </m:sSub>
            </m:oMath>
          </w:p>
        </w:tc>
        <w:tc>
          <w:tcPr/>
          <w:p>
            <w:pPr>
              <w:pStyle w:val="Compact"/>
            </w:pPr>
            <w:r>
              <w:t xml:space="preserve">Cooperation-network value</w:t>
            </w:r>
          </w:p>
        </w:tc>
        <w:tc>
          <w:tcPr/>
          <w:p>
            <w:pPr>
              <w:pStyle w:val="Compact"/>
            </w:pPr>
            <w:r>
              <w:t xml:space="preserve">dimensionless</w:t>
            </w:r>
          </w:p>
        </w:tc>
        <w:tc>
          <w:tcPr/>
          <w:p>
            <w:pPr>
              <w:pStyle w:val="Compact"/>
            </w:pPr>
            <w:r>
              <w:t xml:space="preserve">endogenous (fixed-point)</w:t>
            </w:r>
          </w:p>
        </w:tc>
        <w:tc>
          <w:tcPr/>
          <w:p>
            <w:pPr>
              <w:pStyle w:val="Compact"/>
            </w:pPr>
            <m:oMath>
              <m:r>
                <m:t>λ</m:t>
              </m:r>
            </m:oMath>
          </w:p>
        </w:tc>
      </w:tr>
      <w:tr>
        <w:tc>
          <w:tcPr/>
          <w:p>
            <w:pPr>
              <w:pStyle w:val="Compact"/>
            </w:pPr>
            <m:oMath>
              <m:r>
                <m:t>B</m:t>
              </m:r>
              <m:r>
                <m:rPr>
                  <m:sty m:val="p"/>
                </m:rPr>
                <m:t>(</m:t>
              </m:r>
              <m:r>
                <m:t>λ</m:t>
              </m:r>
              <m:r>
                <m:rPr>
                  <m:sty m:val="p"/>
                </m:rPr>
                <m:t>)</m:t>
              </m:r>
            </m:oMath>
          </w:p>
        </w:tc>
        <w:tc>
          <w:tcPr/>
          <w:p>
            <w:pPr>
              <w:pStyle w:val="Compact"/>
            </w:pPr>
            <w:r>
              <w:t xml:space="preserve">Signaling benefit (mean-field)</w:t>
            </w:r>
          </w:p>
        </w:tc>
        <w:tc>
          <w:tcPr/>
          <w:p>
            <w:pPr>
              <w:pStyle w:val="Compact"/>
            </w:pPr>
            <w:r>
              <w:t xml:space="preserve">fitness units</w:t>
            </w:r>
          </w:p>
        </w:tc>
        <w:tc>
          <w:tcPr/>
          <w:p>
            <w:pPr>
              <w:pStyle w:val="Compact"/>
            </w:pPr>
            <m:oMath>
              <m:r>
                <m:rPr>
                  <m:sty m:val="p"/>
                </m:rPr>
                <m:t>(</m:t>
              </m:r>
              <m:r>
                <m:t>λ</m:t>
              </m:r>
              <m:r>
                <m:rPr>
                  <m:sty m:val="p"/>
                </m:rPr>
                <m:t>/</m:t>
              </m:r>
              <m:r>
                <m:t>2</m:t>
              </m:r>
              <m:r>
                <m:rPr>
                  <m:sty m:val="p"/>
                </m:rPr>
                <m:t>)</m:t>
              </m:r>
              <m:r>
                <m:rPr>
                  <m:sty m:val="p"/>
                </m:rPr>
                <m:t>⋅</m:t>
              </m:r>
              <m:r>
                <m:rPr>
                  <m:sty m:val="p"/>
                </m:rPr>
                <m:t>(</m:t>
              </m:r>
              <m:sSub>
                <m:e>
                  <m:r>
                    <m:t>q</m:t>
                  </m:r>
                </m:e>
                <m:sub>
                  <m:r>
                    <m:t>m</m:t>
                  </m:r>
                  <m:r>
                    <m:t>i</m:t>
                  </m:r>
                  <m:r>
                    <m:t>n</m:t>
                  </m:r>
                </m:sub>
              </m:sSub>
              <m:r>
                <m:rPr>
                  <m:sty m:val="p"/>
                </m:rPr>
                <m:t>+</m:t>
              </m:r>
              <m:sSub>
                <m:e>
                  <m:r>
                    <m:t>q</m:t>
                  </m:r>
                </m:e>
                <m:sub>
                  <m:r>
                    <m:t>m</m:t>
                  </m:r>
                  <m:r>
                    <m:t>a</m:t>
                  </m:r>
                  <m:r>
                    <m:t>x</m:t>
                  </m:r>
                </m:sub>
              </m:sSub>
              <m:r>
                <m:rPr>
                  <m:sty m:val="p"/>
                </m:rPr>
                <m:t>)</m:t>
              </m:r>
              <m:r>
                <m:rPr>
                  <m:sty m:val="p"/>
                </m:rPr>
                <m:t>/</m:t>
              </m:r>
              <m:r>
                <m:t>2</m:t>
              </m:r>
            </m:oMath>
          </w:p>
        </w:tc>
        <w:tc>
          <w:tcPr/>
          <w:p>
            <w:pPr>
              <w:pStyle w:val="Compact"/>
            </w:pPr>
            <m:oMath>
              <m:sSub>
                <m:e>
                  <m:r>
                    <m:t>W</m:t>
                  </m:r>
                </m:e>
                <m:sub>
                  <m:r>
                    <m:t>a</m:t>
                  </m:r>
                  <m:r>
                    <m:t>g</m:t>
                  </m:r>
                  <m:r>
                    <m:t>g</m:t>
                  </m:r>
                </m:sub>
              </m:sSub>
            </m:oMath>
          </w:p>
        </w:tc>
      </w:tr>
      <w:tr>
        <w:tc>
          <w:tcPr/>
          <w:p>
            <w:pPr>
              <w:pStyle w:val="Compact"/>
            </w:pPr>
            <m:oMath>
              <m:sSup>
                <m:e>
                  <m:r>
                    <m:t>x</m:t>
                  </m:r>
                </m:e>
                <m:sup>
                  <m:r>
                    <m:rPr>
                      <m:sty m:val="p"/>
                    </m:rPr>
                    <m:t>*</m:t>
                  </m:r>
                </m:sup>
              </m:sSup>
              <m:r>
                <m:rPr>
                  <m:sty m:val="p"/>
                </m:rPr>
                <m:t>(</m:t>
              </m:r>
              <m:r>
                <m:t>q</m:t>
              </m:r>
              <m:r>
                <m:rPr>
                  <m:sty m:val="p"/>
                </m:rPr>
                <m:t>)</m:t>
              </m:r>
            </m:oMath>
          </w:p>
        </w:tc>
        <w:tc>
          <w:tcPr/>
          <w:p>
            <w:pPr>
              <w:pStyle w:val="Compact"/>
            </w:pPr>
            <w:r>
              <w:t xml:space="preserve">Optimal investment given quality</w:t>
            </w:r>
          </w:p>
        </w:tc>
        <w:tc>
          <w:tcPr/>
          <w:p>
            <w:pPr>
              <w:pStyle w:val="Compact"/>
            </w:pPr>
            <w:r>
              <w:t xml:space="preserve">investment units</w:t>
            </w:r>
          </w:p>
        </w:tc>
        <w:tc>
          <w:tcPr/>
          <w:p>
            <w:pPr>
              <w:pStyle w:val="Compact"/>
            </w:pPr>
            <m:oMath>
              <m:r>
                <m:rPr>
                  <m:sty m:val="p"/>
                </m:rPr>
                <m:t>arg</m:t>
              </m:r>
              <m:sSub>
                <m:e>
                  <m:r>
                    <m:rPr>
                      <m:sty m:val="p"/>
                    </m:rPr>
                    <m:t>max</m:t>
                  </m:r>
                </m:e>
                <m:sub>
                  <m:r>
                    <m:t>x</m:t>
                  </m:r>
                </m:sub>
              </m:sSub>
              <m:r>
                <m:rPr>
                  <m:sty m:val="p"/>
                </m:rPr>
                <m:t>[</m:t>
              </m:r>
              <m:r>
                <m:t>B</m:t>
              </m:r>
              <m:r>
                <m:rPr>
                  <m:sty m:val="p"/>
                </m:rPr>
                <m:t>(</m:t>
              </m:r>
              <m:r>
                <m:t>λ</m:t>
              </m:r>
              <m:r>
                <m:rPr>
                  <m:sty m:val="p"/>
                </m:rPr>
                <m:t>;</m:t>
              </m:r>
              <m:r>
                <m:t>q</m:t>
              </m:r>
              <m:r>
                <m:rPr>
                  <m:sty m:val="p"/>
                </m:rPr>
                <m:t>)</m:t>
              </m:r>
              <m:r>
                <m:rPr>
                  <m:sty m:val="p"/>
                </m:rPr>
                <m:t>−</m:t>
              </m:r>
              <m:r>
                <m:t>C</m:t>
              </m:r>
              <m:r>
                <m:rPr>
                  <m:sty m:val="p"/>
                </m:rPr>
                <m:t>(</m:t>
              </m:r>
              <m:r>
                <m:t>x</m:t>
              </m:r>
              <m:r>
                <m:rPr>
                  <m:sty m:val="p"/>
                </m:rPr>
                <m:t>)</m:t>
              </m:r>
              <m:r>
                <m:rPr>
                  <m:sty m:val="p"/>
                </m:rPr>
                <m:t>]</m:t>
              </m:r>
            </m:oMath>
            <w:r>
              <w:t xml:space="preserve"> </w:t>
            </w:r>
            <w:r>
              <w:t xml:space="preserve">(Grafen 1990)</w:t>
            </w:r>
          </w:p>
        </w:tc>
        <w:tc>
          <w:tcPr/>
          <w:p>
            <w:pPr>
              <w:pStyle w:val="Compact"/>
            </w:pPr>
            <w:r>
              <w:t xml:space="preserve">feedback loop</w:t>
            </w:r>
          </w:p>
        </w:tc>
      </w:tr>
      <w:tr>
        <w:tc>
          <w:tcPr/>
          <w:p>
            <w:pPr>
              <w:pStyle w:val="Compact"/>
            </w:pPr>
            <m:oMath>
              <m:r>
                <m:t>q</m:t>
              </m:r>
            </m:oMath>
          </w:p>
        </w:tc>
        <w:tc>
          <w:tcPr/>
          <w:p>
            <w:pPr>
              <w:pStyle w:val="Compact"/>
            </w:pPr>
            <w:r>
              <w:t xml:space="preserve">Band productive quality</w:t>
            </w:r>
          </w:p>
        </w:tc>
        <w:tc>
          <w:tcPr/>
          <w:p>
            <w:pPr>
              <w:pStyle w:val="Compact"/>
            </w:pPr>
            <w:r>
              <w:t xml:space="preserve">dimensionless</w:t>
            </w:r>
          </w:p>
        </w:tc>
        <w:tc>
          <w:tcPr/>
          <w:p>
            <w:pPr>
              <w:pStyle w:val="Compact"/>
            </w:pPr>
            <m:oMath>
              <m:r>
                <m:t>q</m:t>
              </m:r>
              <m:r>
                <m:rPr>
                  <m:sty m:val="p"/>
                </m:rPr>
                <m:t>∼</m:t>
              </m:r>
              <m:r>
                <m:t>U</m:t>
              </m:r>
              <m:r>
                <m:rPr>
                  <m:sty m:val="p"/>
                </m:rPr>
                <m:t>[</m:t>
              </m:r>
              <m:sSub>
                <m:e>
                  <m:r>
                    <m:t>q</m:t>
                  </m:r>
                </m:e>
                <m:sub>
                  <m:r>
                    <m:t>m</m:t>
                  </m:r>
                  <m:r>
                    <m:t>i</m:t>
                  </m:r>
                  <m:r>
                    <m:t>n</m:t>
                  </m:r>
                </m:sub>
              </m:sSub>
              <m:r>
                <m:rPr>
                  <m:sty m:val="p"/>
                </m:rPr>
                <m:t>,</m:t>
              </m:r>
              <m:sSub>
                <m:e>
                  <m:r>
                    <m:t>q</m:t>
                  </m:r>
                </m:e>
                <m:sub>
                  <m:r>
                    <m:t>m</m:t>
                  </m:r>
                  <m:r>
                    <m:t>a</m:t>
                  </m:r>
                  <m:r>
                    <m:t>x</m:t>
                  </m:r>
                </m:sub>
              </m:sSub>
              <m:r>
                <m:rPr>
                  <m:sty m:val="p"/>
                </m:rPr>
                <m:t>]</m:t>
              </m:r>
            </m:oMath>
          </w:p>
        </w:tc>
        <w:tc>
          <w:tcPr/>
          <w:p>
            <w:pPr>
              <w:pStyle w:val="Compact"/>
            </w:pPr>
            <m:oMath>
              <m:r>
                <m:t>B</m:t>
              </m:r>
              <m:r>
                <m:rPr>
                  <m:sty m:val="p"/>
                </m:rPr>
                <m:t>(</m:t>
              </m:r>
              <m:r>
                <m:t>λ</m:t>
              </m:r>
              <m:r>
                <m:rPr>
                  <m:sty m:val="p"/>
                </m:rPr>
                <m:t>)</m:t>
              </m:r>
            </m:oMath>
          </w:p>
        </w:tc>
      </w:tr>
      <w:tr>
        <w:tc>
          <w:tcPr/>
          <w:p>
            <w:pPr>
              <w:pStyle w:val="Compact"/>
            </w:pPr>
            <m:oMath>
              <m:sSub>
                <m:e>
                  <m:r>
                    <m:t>q</m:t>
                  </m:r>
                </m:e>
                <m:sub>
                  <m:r>
                    <m:t>m</m:t>
                  </m:r>
                  <m:r>
                    <m:t>i</m:t>
                  </m:r>
                  <m:r>
                    <m:t>n</m:t>
                  </m:r>
                </m:sub>
              </m:sSub>
              <m:r>
                <m:rPr>
                  <m:sty m:val="p"/>
                </m:rPr>
                <m:t>,</m:t>
              </m:r>
              <m:sSub>
                <m:e>
                  <m:r>
                    <m:t>q</m:t>
                  </m:r>
                </m:e>
                <m:sub>
                  <m:r>
                    <m:t>m</m:t>
                  </m:r>
                  <m:r>
                    <m:t>a</m:t>
                  </m:r>
                  <m:r>
                    <m:t>x</m:t>
                  </m:r>
                </m:sub>
              </m:sSub>
            </m:oMath>
          </w:p>
        </w:tc>
        <w:tc>
          <w:tcPr/>
          <w:p>
            <w:pPr>
              <w:pStyle w:val="Compact"/>
            </w:pPr>
            <w:r>
              <w:t xml:space="preserve">Quality range</w:t>
            </w:r>
          </w:p>
        </w:tc>
        <w:tc>
          <w:tcPr/>
          <w:p>
            <w:pPr>
              <w:pStyle w:val="Compact"/>
            </w:pPr>
            <w:r>
              <w:t xml:space="preserve">dimensionless</w:t>
            </w:r>
          </w:p>
        </w:tc>
        <w:tc>
          <w:tcPr/>
          <w:p>
            <w:pPr>
              <w:pStyle w:val="Compact"/>
            </w:pPr>
            <w:r>
              <w:t xml:space="preserve">0.2, 2.0</w:t>
            </w:r>
          </w:p>
        </w:tc>
        <w:tc>
          <w:tcPr/>
          <w:p>
            <w:pPr>
              <w:pStyle w:val="Compact"/>
            </w:pPr>
            <w:r>
              <w:t xml:space="preserve">quality dist</w:t>
            </w:r>
          </w:p>
        </w:tc>
      </w:tr>
      <w:tr>
        <w:tc>
          <w:tcPr/>
          <w:p>
            <w:pPr>
              <w:pStyle w:val="Compact"/>
            </w:pPr>
            <m:oMath>
              <m:r>
                <m:t>m</m:t>
              </m:r>
            </m:oMath>
          </w:p>
        </w:tc>
        <w:tc>
          <w:tcPr/>
          <w:p>
            <w:pPr>
              <w:pStyle w:val="Compact"/>
            </w:pPr>
            <w:r>
              <w:t xml:space="preserve">Conflict mortality fraction</w:t>
            </w:r>
          </w:p>
        </w:tc>
        <w:tc>
          <w:tcPr/>
          <w:p>
            <w:pPr>
              <w:pStyle w:val="Compact"/>
            </w:pPr>
            <m:oMath>
              <m:r>
                <m:rPr>
                  <m:sty m:val="p"/>
                </m:rPr>
                <m:t>[</m:t>
              </m:r>
              <m:r>
                <m:t>0</m:t>
              </m:r>
              <m:r>
                <m:rPr>
                  <m:sty m:val="p"/>
                </m:rPr>
                <m:t>,</m:t>
              </m:r>
              <m:r>
                <m:t>1</m:t>
              </m:r>
              <m:r>
                <m:rPr>
                  <m:sty m:val="p"/>
                </m:rPr>
                <m:t>]</m:t>
              </m:r>
            </m:oMath>
          </w:p>
        </w:tc>
        <w:tc>
          <w:tcPr/>
          <w:p>
            <w:pPr>
              <w:pStyle w:val="Compact"/>
            </w:pPr>
            <w:r>
              <w:t xml:space="preserve">0.08</w:t>
            </w:r>
          </w:p>
        </w:tc>
        <w:tc>
          <w:tcPr/>
          <w:p>
            <w:pPr>
              <w:pStyle w:val="Compact"/>
            </w:pPr>
            <m:oMath>
              <m:r>
                <m:t>W</m:t>
              </m:r>
            </m:oMath>
          </w:p>
        </w:tc>
      </w:tr>
      <w:tr>
        <w:tc>
          <w:tcPr/>
          <w:p>
            <w:pPr>
              <w:pStyle w:val="Compact"/>
            </w:pPr>
            <m:oMath>
              <m:r>
                <m:t>r</m:t>
              </m:r>
            </m:oMath>
          </w:p>
        </w:tc>
        <w:tc>
          <w:tcPr/>
          <w:p>
            <w:pPr>
              <w:pStyle w:val="Compact"/>
            </w:pPr>
            <w:r>
              <w:t xml:space="preserve">Conflict reduction from monuments</w:t>
            </w:r>
          </w:p>
        </w:tc>
        <w:tc>
          <w:tcPr/>
          <w:p>
            <w:pPr>
              <w:pStyle w:val="Compact"/>
            </w:pPr>
            <m:oMath>
              <m:r>
                <m:rPr>
                  <m:sty m:val="p"/>
                </m:rPr>
                <m:t>[</m:t>
              </m:r>
              <m:r>
                <m:t>0</m:t>
              </m:r>
              <m:r>
                <m:rPr>
                  <m:sty m:val="p"/>
                </m:rPr>
                <m:t>,</m:t>
              </m:r>
              <m:r>
                <m:t>1</m:t>
              </m:r>
              <m:r>
                <m:rPr>
                  <m:sty m:val="p"/>
                </m:rPr>
                <m:t>]</m:t>
              </m:r>
            </m:oMath>
          </w:p>
        </w:tc>
        <w:tc>
          <w:tcPr/>
          <w:p>
            <w:pPr>
              <w:pStyle w:val="Compact"/>
            </w:pPr>
            <w:r>
              <w:t xml:space="preserve">endogenous (saturating in</w:t>
            </w:r>
            <w:r>
              <w:t xml:space="preserve"> </w:t>
            </w:r>
            <m:oMath>
              <m:sSub>
                <m:e>
                  <m:r>
                    <m:t>M</m:t>
                  </m:r>
                </m:e>
                <m:sub>
                  <m:r>
                    <m:t>g</m:t>
                  </m:r>
                </m:sub>
              </m:sSub>
            </m:oMath>
            <w:r>
              <w:t xml:space="preserve">)</w:t>
            </w:r>
          </w:p>
        </w:tc>
        <w:tc>
          <w:tcPr/>
          <w:p>
            <w:pPr>
              <w:pStyle w:val="Compact"/>
            </w:pPr>
            <m:oMath>
              <m:r>
                <m:t>W</m:t>
              </m:r>
            </m:oMath>
          </w:p>
        </w:tc>
      </w:tr>
      <w:tr>
        <w:tc>
          <w:tcPr/>
          <w:p>
            <w:pPr>
              <w:pStyle w:val="Compact"/>
            </w:pPr>
            <m:oMath>
              <m:sSub>
                <m:e>
                  <m:r>
                    <m:t>P</m:t>
                  </m:r>
                </m:e>
                <m:sub>
                  <m:r>
                    <m:t>b</m:t>
                  </m:r>
                  <m:r>
                    <m:t>a</m:t>
                  </m:r>
                  <m:r>
                    <m:t>s</m:t>
                  </m:r>
                  <m:r>
                    <m:t>e</m:t>
                  </m:r>
                </m:sub>
              </m:sSub>
            </m:oMath>
          </w:p>
        </w:tc>
        <w:tc>
          <w:tcPr/>
          <w:p>
            <w:pPr>
              <w:pStyle w:val="Compact"/>
            </w:pPr>
            <w:r>
              <w:t xml:space="preserve">Baseline annual conflict probability</w:t>
            </w:r>
          </w:p>
        </w:tc>
        <w:tc>
          <w:tcPr/>
          <w:p>
            <w:pPr>
              <w:pStyle w:val="Compact"/>
            </w:pPr>
            <m:oMath>
              <m:r>
                <m:rPr>
                  <m:sty m:val="p"/>
                </m:rPr>
                <m:t>[</m:t>
              </m:r>
              <m:r>
                <m:t>0</m:t>
              </m:r>
              <m:r>
                <m:rPr>
                  <m:sty m:val="p"/>
                </m:rPr>
                <m:t>,</m:t>
              </m:r>
              <m:r>
                <m:t>1</m:t>
              </m:r>
              <m:r>
                <m:rPr>
                  <m:sty m:val="p"/>
                </m:rPr>
                <m:t>]</m:t>
              </m:r>
            </m:oMath>
          </w:p>
        </w:tc>
        <w:tc>
          <w:tcPr/>
          <w:p>
            <w:pPr>
              <w:pStyle w:val="Compact"/>
            </w:pPr>
            <w:r>
              <w:t xml:space="preserve">0.008</w:t>
            </w:r>
          </w:p>
        </w:tc>
        <w:tc>
          <w:tcPr/>
          <w:p>
            <w:pPr>
              <w:pStyle w:val="Compact"/>
            </w:pPr>
            <m:oMath>
              <m:r>
                <m:t>W</m:t>
              </m:r>
            </m:oMath>
          </w:p>
        </w:tc>
      </w:tr>
      <w:tr>
        <w:tc>
          <w:tcPr/>
          <w:p>
            <w:pPr>
              <w:pStyle w:val="Compact"/>
            </w:pPr>
            <m:oMath>
              <m:r>
                <m:t>T</m:t>
              </m:r>
            </m:oMath>
          </w:p>
        </w:tc>
        <w:tc>
          <w:tcPr/>
          <w:p>
            <w:pPr>
              <w:pStyle w:val="Compact"/>
            </w:pPr>
            <w:r>
              <w:t xml:space="preserve">Shortfall recurrence interval</w:t>
            </w:r>
          </w:p>
        </w:tc>
        <w:tc>
          <w:tcPr/>
          <w:p>
            <w:pPr>
              <w:pStyle w:val="Compact"/>
            </w:pPr>
            <w:r>
              <w:t xml:space="preserve">years</w:t>
            </w:r>
          </w:p>
        </w:tc>
        <w:tc>
          <w:tcPr/>
          <w:p>
            <w:pPr>
              <w:pStyle w:val="Compact"/>
            </w:pPr>
            <w:r>
              <w:t xml:space="preserve">6-18 (case-dependent)</w:t>
            </w:r>
          </w:p>
        </w:tc>
        <w:tc>
          <w:tcPr/>
          <w:p>
            <w:pPr>
              <w:pStyle w:val="Compact"/>
            </w:pPr>
            <m:oMath>
              <m:r>
                <m:t>σ</m:t>
              </m:r>
            </m:oMath>
          </w:p>
        </w:tc>
      </w:tr>
    </w:tbl>
    <w:bookmarkEnd w:id="16"/>
    <w:bookmarkStart w:id="17" w:name="cost-parameters"/>
    <w:p>
      <w:pPr>
        <w:pStyle w:val="Heading3"/>
      </w:pPr>
      <w:r>
        <w:t xml:space="preserve">Cost parameters</w:t>
      </w:r>
    </w:p>
    <w:p>
      <w:pPr>
        <w:pStyle w:val="FirstParagraph"/>
      </w:pPr>
      <w:r>
        <w:rPr>
          <w:b/>
          <w:bCs/>
        </w:rPr>
        <w:t xml:space="preserve">Travel.</w:t>
      </w:r>
      <w:r>
        <w:t xml:space="preserve"> </w:t>
      </w:r>
      <m:oMath>
        <m:sSub>
          <m:e>
            <m:r>
              <m:t>C</m:t>
            </m:r>
          </m:e>
          <m:sub>
            <m:r>
              <m:t>t</m:t>
            </m:r>
            <m:r>
              <m:t>r</m:t>
            </m:r>
            <m:r>
              <m:t>a</m:t>
            </m:r>
            <m:r>
              <m:t>v</m:t>
            </m:r>
            <m:r>
              <m:t>e</m:t>
            </m:r>
            <m:r>
              <m:t>l</m:t>
            </m:r>
          </m:sub>
        </m:sSub>
        <m:r>
          <m:rPr>
            <m:sty m:val="p"/>
          </m:rPr>
          <m:t>=</m:t>
        </m:r>
        <m:r>
          <m:t>0.0004</m:t>
        </m:r>
        <m:r>
          <m:t>d</m:t>
        </m:r>
      </m:oMath>
      <w:r>
        <w:t xml:space="preserve">, where</w:t>
      </w:r>
      <w:r>
        <w:t xml:space="preserve"> </w:t>
      </w:r>
      <m:oMath>
        <m:r>
          <m:t>d</m:t>
        </m:r>
      </m:oMath>
      <w:r>
        <w:t xml:space="preserve"> </w:t>
      </w:r>
      <w:r>
        <w:t xml:space="preserve">is one-way distance in km. For a band 100 km from the aggregation site, this is 4% of resources. Ethnographic studies of hunter-gatherer mobility suggest that long-distance travel consumes 10-15% of available foraging time and energy (Kelly 2013); we adopt the upper end of this range for modeling extended seasonal moves with a full kit and partial dependents.</w:t>
      </w:r>
    </w:p>
    <w:p>
      <w:pPr>
        <w:pStyle w:val="BodyText"/>
      </w:pPr>
      <w:r>
        <w:rPr>
          <w:b/>
          <w:bCs/>
        </w:rPr>
        <w:t xml:space="preserve">Signaling.</w:t>
      </w:r>
      <w:r>
        <w:t xml:space="preserve"> </w:t>
      </w:r>
      <m:oMath>
        <m:sSub>
          <m:e>
            <m:r>
              <m:t>C</m:t>
            </m:r>
          </m:e>
          <m:sub>
            <m:r>
              <m:t>s</m:t>
            </m:r>
            <m:r>
              <m:t>i</m:t>
            </m:r>
            <m:r>
              <m:t>g</m:t>
            </m:r>
            <m:r>
              <m:t>n</m:t>
            </m:r>
            <m:r>
              <m:t>a</m:t>
            </m:r>
            <m:r>
              <m:t>l</m:t>
            </m:r>
          </m:sub>
        </m:sSub>
        <m:r>
          <m:rPr>
            <m:sty m:val="p"/>
          </m:rPr>
          <m:t>≈</m:t>
        </m:r>
        <m:r>
          <m:t>0.18</m:t>
        </m:r>
      </m:oMath>
      <w:r>
        <w:t xml:space="preserve">. Archaeological labor estimates of ~1-5 million person-hours over 500 years (Sherwood and Kidder 2011) distribute across participating bands and aggregation seasons to roughly 15-20% of available labor during aggregation seasons.</w:t>
      </w:r>
    </w:p>
    <w:p>
      <w:pPr>
        <w:pStyle w:val="BodyText"/>
      </w:pPr>
      <w:r>
        <w:rPr>
          <w:b/>
          <w:bCs/>
        </w:rPr>
        <w:t xml:space="preserve">Opportunity.</w:t>
      </w:r>
      <w:r>
        <w:t xml:space="preserve"> </w:t>
      </w:r>
      <m:oMath>
        <m:sSub>
          <m:e>
            <m:r>
              <m:t>C</m:t>
            </m:r>
          </m:e>
          <m:sub>
            <m:r>
              <m:t>o</m:t>
            </m:r>
            <m:r>
              <m:t>p</m:t>
            </m:r>
            <m:r>
              <m:t>p</m:t>
            </m:r>
            <m:r>
              <m:t>o</m:t>
            </m:r>
            <m:r>
              <m:t>r</m:t>
            </m:r>
            <m:r>
              <m:t>t</m:t>
            </m:r>
            <m:r>
              <m:t>u</m:t>
            </m:r>
            <m:r>
              <m:t>n</m:t>
            </m:r>
            <m:r>
              <m:t>i</m:t>
            </m:r>
            <m:r>
              <m:t>t</m:t>
            </m:r>
            <m:r>
              <m:t>y</m:t>
            </m:r>
          </m:sub>
        </m:sSub>
        <m:r>
          <m:rPr>
            <m:sty m:val="p"/>
          </m:rPr>
          <m:t>≈</m:t>
        </m:r>
        <m:r>
          <m:t>0.12</m:t>
        </m:r>
      </m:oMath>
      <w:r>
        <w:t xml:space="preserve">. Ethnographic seasonal aggregations typically sacrifice 10-15% of annual foraging efficiency by concentrating activities at a single location rather than optimizing seasonal rounds (Conkey 1980).</w:t>
      </w:r>
    </w:p>
    <w:p>
      <w:pPr>
        <w:pStyle w:val="BodyText"/>
      </w:pPr>
      <w:r>
        <w:rPr>
          <w:b/>
          <w:bCs/>
        </w:rPr>
        <w:t xml:space="preserve">Total.</w:t>
      </w:r>
      <w:r>
        <w:t xml:space="preserve"> </w:t>
      </w:r>
      <w:r>
        <w:t xml:space="preserve">For a band 100 km from the site:</w:t>
      </w:r>
      <w:r>
        <w:t xml:space="preserve"> </w:t>
      </w:r>
      <m:oMath>
        <m:sSub>
          <m:e>
            <m:r>
              <m:t>C</m:t>
            </m:r>
          </m:e>
          <m:sub>
            <m:r>
              <m:t>t</m:t>
            </m:r>
            <m:r>
              <m:t>o</m:t>
            </m:r>
            <m:r>
              <m:t>t</m:t>
            </m:r>
            <m:r>
              <m:t>a</m:t>
            </m:r>
            <m:r>
              <m:t>l</m:t>
            </m:r>
          </m:sub>
        </m:sSub>
        <m:r>
          <m:rPr>
            <m:sty m:val="p"/>
          </m:rPr>
          <m:t>≈</m:t>
        </m:r>
        <m:r>
          <m:t>0.34</m:t>
        </m:r>
      </m:oMath>
      <w:r>
        <w:t xml:space="preserve">.</w:t>
      </w:r>
    </w:p>
    <w:bookmarkEnd w:id="17"/>
    <w:bookmarkStart w:id="18" w:name="network-and-vulnerability-parameters"/>
    <w:p>
      <w:pPr>
        <w:pStyle w:val="Heading3"/>
      </w:pPr>
      <w:r>
        <w:t xml:space="preserve">Network and vulnerability parameters</w:t>
      </w:r>
    </w:p>
    <w:p>
      <w:pPr>
        <w:pStyle w:val="FirstParagraph"/>
      </w:pPr>
      <w:r>
        <w:t xml:space="preserve">The model derives vulnerability endogenously rather than fixing</w:t>
      </w:r>
      <w:r>
        <w:t xml:space="preserve"> </w:t>
      </w:r>
      <m:oMath>
        <m:r>
          <m:t>α</m:t>
        </m:r>
      </m:oMath>
      <w:r>
        <w:t xml:space="preserve"> </w:t>
      </w:r>
      <w:r>
        <w:t xml:space="preserve">and</w:t>
      </w:r>
      <w:r>
        <w:t xml:space="preserve"> </w:t>
      </w:r>
      <m:oMath>
        <m:r>
          <m:t>β</m:t>
        </m:r>
      </m:oMath>
      <w:r>
        <w:t xml:space="preserve"> </w:t>
      </w:r>
      <w:r>
        <w:t xml:space="preserve">directly:</w:t>
      </w:r>
    </w:p>
    <w:p>
      <w:pPr>
        <w:pStyle w:val="BodyText"/>
      </w:pPr>
      <m:oMathPara>
        <m:oMathParaPr>
          <m:jc m:val="center"/>
        </m:oMathParaPr>
        <m:oMath>
          <m:r>
            <m:t>α</m:t>
          </m:r>
          <m:r>
            <m:rPr>
              <m:sty m:val="p"/>
            </m:rPr>
            <m:t>(</m:t>
          </m:r>
          <m:r>
            <m:t>k</m:t>
          </m:r>
          <m:r>
            <m:rPr>
              <m:sty m:val="p"/>
            </m:rPr>
            <m:t>)</m:t>
          </m:r>
          <m:r>
            <m:rPr>
              <m:sty m:val="p"/>
            </m:rPr>
            <m:t>=</m:t>
          </m:r>
          <m:f>
            <m:fPr>
              <m:type m:val="bar"/>
            </m:fPr>
            <m:num>
              <m:r>
                <m:t>1</m:t>
              </m:r>
            </m:num>
            <m:den>
              <m:r>
                <m:t>1</m:t>
              </m:r>
              <m:r>
                <m:rPr>
                  <m:sty m:val="p"/>
                </m:rPr>
                <m:t>+</m:t>
              </m:r>
              <m:r>
                <m:t>γ</m:t>
              </m:r>
              <m:r>
                <m:t>k</m:t>
              </m:r>
            </m:den>
          </m:f>
        </m:oMath>
      </m:oMathPara>
    </w:p>
    <w:p>
      <w:pPr>
        <w:pStyle w:val="FirstParagraph"/>
      </w:pPr>
      <m:oMath>
        <m:r>
          <m:t>γ</m:t>
        </m:r>
        <m:r>
          <m:rPr>
            <m:sty m:val="p"/>
          </m:rPr>
          <m:t>=</m:t>
        </m:r>
        <m:r>
          <m:t>0.05</m:t>
        </m:r>
      </m:oMath>
      <w:r>
        <w:t xml:space="preserve"> </w:t>
      </w:r>
      <w:r>
        <w:t xml:space="preserve">(buffering efficiency per network partner) is consistent with the modest-but-real per-partner buffering effect documented in !Kung sharing networks (Wiessner 2002).</w:t>
      </w:r>
      <w:r>
        <w:t xml:space="preserve"> </w:t>
      </w:r>
      <m:oMath>
        <m:sSub>
          <m:e>
            <m:r>
              <m:t>k</m:t>
            </m:r>
          </m:e>
          <m:sub>
            <m:r>
              <m:t>0</m:t>
            </m:r>
          </m:sub>
        </m:sSub>
        <m:r>
          <m:rPr>
            <m:sty m:val="p"/>
          </m:rPr>
          <m:t>=</m:t>
        </m:r>
        <m:r>
          <m:t>0.3</m:t>
        </m:r>
      </m:oMath>
      <w:r>
        <w:t xml:space="preserve"> </w:t>
      </w:r>
      <w:r>
        <w:t xml:space="preserve">(baseline kin connections without aggregation),</w:t>
      </w:r>
      <w:r>
        <w:t xml:space="preserve"> </w:t>
      </w:r>
      <m:oMath>
        <m:sSub>
          <m:e>
            <m:r>
              <m:t>k</m:t>
            </m:r>
          </m:e>
          <m:sub>
            <m:r>
              <m:t>m</m:t>
            </m:r>
            <m:r>
              <m:t>a</m:t>
            </m:r>
            <m:r>
              <m:t>x</m:t>
            </m:r>
          </m:sub>
        </m:sSub>
        <m:r>
          <m:rPr>
            <m:sty m:val="p"/>
          </m:rPr>
          <m:t>=</m:t>
        </m:r>
        <m:r>
          <m:t>6.0</m:t>
        </m:r>
      </m:oMath>
      <w:r>
        <w:t xml:space="preserve"> </w:t>
      </w:r>
      <w:r>
        <w:t xml:space="preserve">(maximum additional degree), and</w:t>
      </w:r>
      <w:r>
        <w:t xml:space="preserve"> </w:t>
      </w:r>
      <m:oMath>
        <m:sSub>
          <m:e>
            <m:r>
              <m:t>M</m:t>
            </m:r>
          </m:e>
          <m:sub>
            <m:r>
              <m:t>h</m:t>
            </m:r>
            <m:r>
              <m:t>a</m:t>
            </m:r>
            <m:r>
              <m:t>l</m:t>
            </m:r>
            <m:r>
              <m:t>f</m:t>
            </m:r>
          </m:sub>
        </m:sSub>
        <m:r>
          <m:rPr>
            <m:sty m:val="p"/>
          </m:rPr>
          <m:t>=</m:t>
        </m:r>
        <m:r>
          <m:t>2.5</m:t>
        </m:r>
      </m:oMath>
      <w:r>
        <w:t xml:space="preserve"> </w:t>
      </w:r>
      <w:r>
        <w:t xml:space="preserve">(half-saturation monument stock) determine the network growth function:</w:t>
      </w:r>
    </w:p>
    <w:p>
      <w:pPr>
        <w:pStyle w:val="BodyText"/>
      </w:pPr>
      <m:oMathPara>
        <m:oMathParaPr>
          <m:jc m:val="center"/>
        </m:oMathParaPr>
        <m:oMath>
          <m:r>
            <m:t>k</m:t>
          </m:r>
          <m:r>
            <m:rPr>
              <m:sty m:val="p"/>
            </m:rPr>
            <m:t>(</m:t>
          </m:r>
          <m:sSub>
            <m:e>
              <m:r>
                <m:t>M</m:t>
              </m:r>
            </m:e>
            <m:sub>
              <m:r>
                <m:t>g</m:t>
              </m:r>
            </m:sub>
          </m:sSub>
          <m:r>
            <m:rPr>
              <m:sty m:val="p"/>
            </m:rPr>
            <m:t>)</m:t>
          </m:r>
          <m:r>
            <m:rPr>
              <m:sty m:val="p"/>
            </m:rPr>
            <m:t>=</m:t>
          </m:r>
          <m:sSub>
            <m:e>
              <m:r>
                <m:t>k</m:t>
              </m:r>
            </m:e>
            <m:sub>
              <m:r>
                <m:t>0</m:t>
              </m:r>
            </m:sub>
          </m:sSub>
          <m:r>
            <m:rPr>
              <m:sty m:val="p"/>
            </m:rPr>
            <m:t>+</m:t>
          </m:r>
          <m:sSub>
            <m:e>
              <m:r>
                <m:t>k</m:t>
              </m:r>
            </m:e>
            <m:sub>
              <m:r>
                <m:t>m</m:t>
              </m:r>
              <m:r>
                <m:t>a</m:t>
              </m:r>
              <m:r>
                <m:t>x</m:t>
              </m:r>
            </m:sub>
          </m:sSub>
          <m:r>
            <m:rPr>
              <m:sty m:val="p"/>
            </m:rPr>
            <m:t>⋅</m:t>
          </m:r>
          <m:f>
            <m:fPr>
              <m:type m:val="bar"/>
            </m:fPr>
            <m:num>
              <m:sSub>
                <m:e>
                  <m:r>
                    <m:t>M</m:t>
                  </m:r>
                </m:e>
                <m:sub>
                  <m:r>
                    <m:t>g</m:t>
                  </m:r>
                </m:sub>
              </m:sSub>
            </m:num>
            <m:den>
              <m:sSub>
                <m:e>
                  <m:r>
                    <m:t>M</m:t>
                  </m:r>
                </m:e>
                <m:sub>
                  <m:r>
                    <m:t>h</m:t>
                  </m:r>
                  <m:r>
                    <m:t>a</m:t>
                  </m:r>
                  <m:r>
                    <m:t>l</m:t>
                  </m:r>
                  <m:r>
                    <m:t>f</m:t>
                  </m:r>
                </m:sub>
              </m:sSub>
              <m:r>
                <m:rPr>
                  <m:sty m:val="p"/>
                </m:rPr>
                <m:t>+</m:t>
              </m:r>
              <m:sSub>
                <m:e>
                  <m:r>
                    <m:t>M</m:t>
                  </m:r>
                </m:e>
                <m:sub>
                  <m:r>
                    <m:t>g</m:t>
                  </m:r>
                </m:sub>
              </m:sSub>
            </m:den>
          </m:f>
        </m:oMath>
      </m:oMathPara>
    </w:p>
    <w:p>
      <w:pPr>
        <w:pStyle w:val="FirstParagraph"/>
      </w:pPr>
      <w:r>
        <w:t xml:space="preserve">Independent vulnerability emerges as</w:t>
      </w:r>
      <w:r>
        <w:t xml:space="preserve"> </w:t>
      </w:r>
      <m:oMath>
        <m:r>
          <m:t>β</m:t>
        </m:r>
        <m:r>
          <m:rPr>
            <m:sty m:val="p"/>
          </m:rPr>
          <m:t>(</m:t>
        </m:r>
        <m:sSub>
          <m:e>
            <m:r>
              <m:t>k</m:t>
            </m:r>
          </m:e>
          <m:sub>
            <m:r>
              <m:t>0</m:t>
            </m:r>
          </m:sub>
        </m:sSub>
        <m:r>
          <m:rPr>
            <m:sty m:val="p"/>
          </m:rPr>
          <m:t>)</m:t>
        </m:r>
        <m:r>
          <m:rPr>
            <m:sty m:val="p"/>
          </m:rPr>
          <m:t>=</m:t>
        </m:r>
        <m:r>
          <m:t>1</m:t>
        </m:r>
        <m:r>
          <m:rPr>
            <m:sty m:val="p"/>
          </m:rPr>
          <m:t>/</m:t>
        </m:r>
        <m:r>
          <m:rPr>
            <m:sty m:val="p"/>
          </m:rPr>
          <m:t>(</m:t>
        </m:r>
        <m:r>
          <m:t>1</m:t>
        </m:r>
        <m:r>
          <m:rPr>
            <m:sty m:val="p"/>
          </m:rPr>
          <m:t>+</m:t>
        </m:r>
        <m:r>
          <m:t>0.05</m:t>
        </m:r>
        <m:r>
          <m:rPr>
            <m:sty m:val="p"/>
          </m:rPr>
          <m:t>⋅</m:t>
        </m:r>
        <m:r>
          <m:t>0.3</m:t>
        </m:r>
        <m:r>
          <m:rPr>
            <m:sty m:val="p"/>
          </m:rPr>
          <m:t>)</m:t>
        </m:r>
        <m:r>
          <m:rPr>
            <m:sty m:val="p"/>
          </m:rPr>
          <m:t>≈</m:t>
        </m:r>
        <m:r>
          <m:t>0.985</m:t>
        </m:r>
      </m:oMath>
      <w:r>
        <w:t xml:space="preserve">. Within-aggregation aggregator vulnerability for a band with mature network (</w:t>
      </w:r>
      <m:oMath>
        <m:sSub>
          <m:e>
            <m:r>
              <m:t>k</m:t>
            </m:r>
          </m:e>
          <m:sub>
            <m:r>
              <m:t>a</m:t>
            </m:r>
            <m:r>
              <m:t>g</m:t>
            </m:r>
            <m:r>
              <m:t>g</m:t>
            </m:r>
          </m:sub>
        </m:sSub>
      </m:oMath>
      <w:r>
        <w:t xml:space="preserve"> </w:t>
      </w:r>
      <w:r>
        <w:t xml:space="preserve">in the 4-6 range) is</w:t>
      </w:r>
      <w:r>
        <w:t xml:space="preserve"> </w:t>
      </w:r>
      <m:oMath>
        <m:r>
          <m:t>α</m:t>
        </m:r>
        <m:r>
          <m:rPr>
            <m:sty m:val="p"/>
          </m:rPr>
          <m:t>(</m:t>
        </m:r>
        <m:sSub>
          <m:e>
            <m:r>
              <m:t>k</m:t>
            </m:r>
          </m:e>
          <m:sub>
            <m:r>
              <m:t>a</m:t>
            </m:r>
            <m:r>
              <m:t>g</m:t>
            </m:r>
            <m:r>
              <m:t>g</m:t>
            </m:r>
          </m:sub>
        </m:sSub>
        <m:r>
          <m:rPr>
            <m:sty m:val="p"/>
          </m:rPr>
          <m:t>)</m:t>
        </m:r>
        <m:r>
          <m:rPr>
            <m:sty m:val="p"/>
          </m:rPr>
          <m:t>=</m:t>
        </m:r>
        <m:r>
          <m:t>1</m:t>
        </m:r>
        <m:r>
          <m:rPr>
            <m:sty m:val="p"/>
          </m:rPr>
          <m:t>/</m:t>
        </m:r>
        <m:r>
          <m:rPr>
            <m:sty m:val="p"/>
          </m:rPr>
          <m:t>(</m:t>
        </m:r>
        <m:r>
          <m:t>1</m:t>
        </m:r>
        <m:r>
          <m:rPr>
            <m:sty m:val="p"/>
          </m:rPr>
          <m:t>+</m:t>
        </m:r>
        <m:r>
          <m:t>0.05</m:t>
        </m:r>
        <m:r>
          <m:rPr>
            <m:sty m:val="p"/>
          </m:rPr>
          <m:t>⋅</m:t>
        </m:r>
        <m:sSub>
          <m:e>
            <m:r>
              <m:t>k</m:t>
            </m:r>
          </m:e>
          <m:sub>
            <m:r>
              <m:t>a</m:t>
            </m:r>
            <m:r>
              <m:t>g</m:t>
            </m:r>
            <m:r>
              <m:t>g</m:t>
            </m:r>
          </m:sub>
        </m:sSub>
        <m:r>
          <m:rPr>
            <m:sty m:val="p"/>
          </m:rPr>
          <m:t>)</m:t>
        </m:r>
      </m:oMath>
      <w:r>
        <w:t xml:space="preserve">, giving values in the 0.77-0.83 range. The instantaneous (within-aggregation) buffering ratio</w:t>
      </w:r>
      <w:r>
        <w:t xml:space="preserve"> </w:t>
      </w:r>
      <m:oMath>
        <m:r>
          <m:t>β</m:t>
        </m:r>
        <m:r>
          <m:rPr>
            <m:sty m:val="p"/>
          </m:rPr>
          <m:t>(</m:t>
        </m:r>
        <m:sSub>
          <m:e>
            <m:r>
              <m:t>k</m:t>
            </m:r>
          </m:e>
          <m:sub>
            <m:r>
              <m:t>0</m:t>
            </m:r>
          </m:sub>
        </m:sSub>
        <m:r>
          <m:rPr>
            <m:sty m:val="p"/>
          </m:rPr>
          <m:t>)</m:t>
        </m:r>
        <m:r>
          <m:rPr>
            <m:sty m:val="p"/>
          </m:rPr>
          <m:t>/</m:t>
        </m:r>
        <m:r>
          <m:t>α</m:t>
        </m:r>
        <m:r>
          <m:rPr>
            <m:sty m:val="p"/>
          </m:rPr>
          <m:t>(</m:t>
        </m:r>
        <m:sSub>
          <m:e>
            <m:r>
              <m:t>k</m:t>
            </m:r>
          </m:e>
          <m:sub>
            <m:r>
              <m:t>a</m:t>
            </m:r>
            <m:r>
              <m:t>g</m:t>
            </m:r>
            <m:r>
              <m:t>g</m:t>
            </m:r>
          </m:sub>
        </m:sSub>
        <m:r>
          <m:rPr>
            <m:sty m:val="p"/>
          </m:rPr>
          <m:t>)</m:t>
        </m:r>
      </m:oMath>
      <w:r>
        <w:t xml:space="preserve"> </w:t>
      </w:r>
      <w:r>
        <w:t xml:space="preserve">is therefore approximately 1.18-1.28: each additional cooperation partner contributes a small marginal buffering increment because</w:t>
      </w:r>
      <w:r>
        <w:t xml:space="preserve"> </w:t>
      </w:r>
      <m:oMath>
        <m:r>
          <m:t>γ</m:t>
        </m:r>
        <m:r>
          <m:rPr>
            <m:sty m:val="p"/>
          </m:rPr>
          <m:t>=</m:t>
        </m:r>
        <m:r>
          <m:t>0.05</m:t>
        </m:r>
      </m:oMath>
      <w:r>
        <w:t xml:space="preserve"> </w:t>
      </w:r>
      <w:r>
        <w:t xml:space="preserve">is a low per-partner buffering rate. Because aggregation occupies only</w:t>
      </w:r>
      <w:r>
        <w:t xml:space="preserve"> </w:t>
      </w:r>
      <m:oMath>
        <m:sSub>
          <m:e>
            <m:r>
              <m:t>f</m:t>
            </m:r>
          </m:e>
          <m:sub>
            <m:r>
              <m:t>a</m:t>
            </m:r>
            <m:r>
              <m:t>g</m:t>
            </m:r>
            <m:r>
              <m:t>g</m:t>
            </m:r>
          </m:sub>
        </m:sSub>
        <m:r>
          <m:rPr>
            <m:sty m:val="p"/>
          </m:rPr>
          <m:t>≈</m:t>
        </m:r>
        <m:r>
          <m:t>0.25</m:t>
        </m:r>
      </m:oMath>
      <w:r>
        <w:t xml:space="preserve"> </w:t>
      </w:r>
      <w:r>
        <w:t xml:space="preserve">of the year and networks decay during dispersal, the</w:t>
      </w:r>
      <w:r>
        <w:t xml:space="preserve"> </w:t>
      </w:r>
      <w:r>
        <w:rPr>
          <w:i/>
          <w:iCs/>
        </w:rPr>
        <w:t xml:space="preserve">effective annual</w:t>
      </w:r>
      <w:r>
        <w:t xml:space="preserve"> </w:t>
      </w:r>
      <w:r>
        <w:t xml:space="preserve">vulnerability</w:t>
      </w:r>
      <w:r>
        <w:t xml:space="preserve"> </w:t>
      </w:r>
      <m:oMath>
        <m:r>
          <m:t>α</m:t>
        </m:r>
        <m:r>
          <m:rPr>
            <m:sty m:val="p"/>
          </m:rPr>
          <m:t>(</m:t>
        </m:r>
        <m:sSub>
          <m:e>
            <m:r>
              <m:t>k</m:t>
            </m:r>
          </m:e>
          <m:sub>
            <m:r>
              <m:t>e</m:t>
            </m:r>
            <m:r>
              <m:t>f</m:t>
            </m:r>
            <m:r>
              <m:t>f</m:t>
            </m:r>
          </m:sub>
        </m:sSub>
        <m:r>
          <m:rPr>
            <m:sty m:val="p"/>
          </m:rPr>
          <m:t>)</m:t>
        </m:r>
      </m:oMath>
      <w:r>
        <w:t xml:space="preserve"> </w:t>
      </w:r>
      <w:r>
        <w:t xml:space="preserve">used in the fitness function is approximately 0.82, giving an annualized buffering ratio of approximately 1.20. The within-aggregation and annualized ratios are similar (~1.2-1.3) because, with</w:t>
      </w:r>
      <w:r>
        <w:t xml:space="preserve"> </w:t>
      </w:r>
      <m:oMath>
        <m:r>
          <m:t>γ</m:t>
        </m:r>
        <m:r>
          <m:rPr>
            <m:sty m:val="p"/>
          </m:rPr>
          <m:t>=</m:t>
        </m:r>
        <m:r>
          <m:t>0.05</m:t>
        </m:r>
      </m:oMath>
      <w:r>
        <w:t xml:space="preserve">, even a substantial increase in network degree only modestly reduces vulnerability. The plain-language reading is that the model represents real but small per-partner risk-sharing, and the fitness advantage of aggregation does not come solely from the network-buffering channel: ecotone access, signaling rewards, and conflict reduction all contribute (see fitness equation in §S1.6 / main §2.4). Effective annual degree:</w:t>
      </w:r>
    </w:p>
    <w:p>
      <w:pPr>
        <w:pStyle w:val="BodyText"/>
      </w:pPr>
      <m:oMathPara>
        <m:oMathParaPr>
          <m:jc m:val="center"/>
        </m:oMathParaPr>
        <m:oMath>
          <m:sSub>
            <m:e>
              <m:r>
                <m:t>k</m:t>
              </m:r>
            </m:e>
            <m:sub>
              <m:r>
                <m:t>e</m:t>
              </m:r>
              <m:r>
                <m:t>f</m:t>
              </m:r>
              <m:r>
                <m:t>f</m:t>
              </m:r>
            </m:sub>
          </m:sSub>
          <m:r>
            <m:rPr>
              <m:sty m:val="p"/>
            </m:rPr>
            <m:t>=</m:t>
          </m:r>
          <m:sSub>
            <m:e>
              <m:r>
                <m:t>f</m:t>
              </m:r>
            </m:e>
            <m:sub>
              <m:r>
                <m:t>a</m:t>
              </m:r>
              <m:r>
                <m:t>g</m:t>
              </m:r>
              <m:r>
                <m:t>g</m:t>
              </m:r>
            </m:sub>
          </m:sSub>
          <m:r>
            <m:rPr>
              <m:sty m:val="p"/>
            </m:rPr>
            <m:t>⋅</m:t>
          </m:r>
          <m:sSub>
            <m:e>
              <m:r>
                <m:t>k</m:t>
              </m:r>
            </m:e>
            <m:sub>
              <m:r>
                <m:t>a</m:t>
              </m:r>
              <m:r>
                <m:t>g</m:t>
              </m:r>
              <m:r>
                <m:t>g</m:t>
              </m:r>
            </m:sub>
          </m:sSub>
          <m:r>
            <m:rPr>
              <m:sty m:val="p"/>
            </m:rPr>
            <m:t>+</m:t>
          </m:r>
          <m:r>
            <m:rPr>
              <m:sty m:val="p"/>
            </m:rPr>
            <m:t>(</m:t>
          </m:r>
          <m:r>
            <m:t>1</m:t>
          </m:r>
          <m:r>
            <m:rPr>
              <m:sty m:val="p"/>
            </m:rPr>
            <m:t>−</m:t>
          </m:r>
          <m:sSub>
            <m:e>
              <m:r>
                <m:t>f</m:t>
              </m:r>
            </m:e>
            <m:sub>
              <m:r>
                <m:t>a</m:t>
              </m:r>
              <m:r>
                <m:t>g</m:t>
              </m:r>
              <m:r>
                <m:t>g</m:t>
              </m:r>
            </m:sub>
          </m:sSub>
          <m:r>
            <m:rPr>
              <m:sty m:val="p"/>
            </m:rPr>
            <m:t>)</m:t>
          </m:r>
          <m:r>
            <m:rPr>
              <m:sty m:val="p"/>
            </m:rPr>
            <m:t>⋅</m:t>
          </m:r>
          <m:r>
            <m:rPr>
              <m:sty m:val="p"/>
            </m:rPr>
            <m:t>[</m:t>
          </m:r>
          <m:sSub>
            <m:e>
              <m:r>
                <m:t>k</m:t>
              </m:r>
            </m:e>
            <m:sub>
              <m:r>
                <m:t>0</m:t>
              </m:r>
            </m:sub>
          </m:sSub>
          <m:r>
            <m:rPr>
              <m:sty m:val="p"/>
            </m:rPr>
            <m:t>+</m:t>
          </m:r>
          <m:r>
            <m:rPr>
              <m:sty m:val="p"/>
            </m:rPr>
            <m:t>(</m:t>
          </m:r>
          <m:sSub>
            <m:e>
              <m:r>
                <m:t>k</m:t>
              </m:r>
            </m:e>
            <m:sub>
              <m:r>
                <m:t>a</m:t>
              </m:r>
              <m:r>
                <m:t>g</m:t>
              </m:r>
              <m:r>
                <m:t>g</m:t>
              </m:r>
            </m:sub>
          </m:sSub>
          <m:r>
            <m:rPr>
              <m:sty m:val="p"/>
            </m:rPr>
            <m:t>−</m:t>
          </m:r>
          <m:sSub>
            <m:e>
              <m:r>
                <m:t>k</m:t>
              </m:r>
            </m:e>
            <m:sub>
              <m:r>
                <m:t>0</m:t>
              </m:r>
            </m:sub>
          </m:sSub>
          <m:r>
            <m:rPr>
              <m:sty m:val="p"/>
            </m:rPr>
            <m:t>)</m:t>
          </m:r>
          <m:r>
            <m:rPr>
              <m:sty m:val="p"/>
            </m:rPr>
            <m:t>(</m:t>
          </m:r>
          <m:r>
            <m:t>1</m:t>
          </m:r>
          <m:r>
            <m:rPr>
              <m:sty m:val="p"/>
            </m:rPr>
            <m:t>−</m:t>
          </m:r>
          <m:sSub>
            <m:e>
              <m:r>
                <m:t>δ</m:t>
              </m:r>
            </m:e>
            <m:sub>
              <m:r>
                <m:t>n</m:t>
              </m:r>
              <m:r>
                <m:t>e</m:t>
              </m:r>
              <m:r>
                <m:t>t</m:t>
              </m:r>
            </m:sub>
          </m:sSub>
          <m:r>
            <m:rPr>
              <m:sty m:val="p"/>
            </m:rPr>
            <m:t>)</m:t>
          </m:r>
          <m:r>
            <m:rPr>
              <m:sty m:val="p"/>
            </m:rPr>
            <m:t>]</m:t>
          </m:r>
        </m:oMath>
      </m:oMathPara>
    </w:p>
    <w:p>
      <w:pPr>
        <w:pStyle w:val="FirstParagraph"/>
      </w:pPr>
      <w:r>
        <w:t xml:space="preserve">with</w:t>
      </w:r>
      <w:r>
        <w:t xml:space="preserve"> </w:t>
      </w:r>
      <m:oMath>
        <m:sSub>
          <m:e>
            <m:r>
              <m:t>δ</m:t>
            </m:r>
          </m:e>
          <m:sub>
            <m:r>
              <m:t>n</m:t>
            </m:r>
            <m:r>
              <m:t>e</m:t>
            </m:r>
            <m:r>
              <m:t>t</m:t>
            </m:r>
          </m:sub>
        </m:sSub>
        <m:r>
          <m:rPr>
            <m:sty m:val="p"/>
          </m:rPr>
          <m:t>=</m:t>
        </m:r>
        <m:r>
          <m:t>0.40</m:t>
        </m:r>
      </m:oMath>
      <w:r>
        <w:t xml:space="preserve"> </w:t>
      </w:r>
      <w:r>
        <w:t xml:space="preserve">network decay rate during dispersal.</w:t>
      </w:r>
    </w:p>
    <w:bookmarkEnd w:id="18"/>
    <w:bookmarkStart w:id="19" w:name="signaling-parameters"/>
    <w:p>
      <w:pPr>
        <w:pStyle w:val="Heading3"/>
      </w:pPr>
      <w:r>
        <w:t xml:space="preserve">Signaling parameters</w:t>
      </w:r>
    </w:p>
    <w:p>
      <w:pPr>
        <w:pStyle w:val="FirstParagraph"/>
      </w:pPr>
      <w:r>
        <w:t xml:space="preserve">The total signaling incentive</w:t>
      </w:r>
      <w:r>
        <w:t xml:space="preserve"> </w:t>
      </w:r>
      <m:oMath>
        <m:r>
          <m:t>λ</m:t>
        </m:r>
        <m:r>
          <m:rPr>
            <m:sty m:val="p"/>
          </m:rPr>
          <m:t>=</m:t>
        </m:r>
        <m:sSub>
          <m:e>
            <m:r>
              <m:t>λ</m:t>
            </m:r>
          </m:e>
          <m:sub>
            <m:r>
              <m:t>W</m:t>
            </m:r>
          </m:sub>
        </m:sSub>
        <m:r>
          <m:rPr>
            <m:sty m:val="p"/>
          </m:rPr>
          <m:t>+</m:t>
        </m:r>
        <m:sSub>
          <m:e>
            <m:r>
              <m:t>λ</m:t>
            </m:r>
          </m:e>
          <m:sub>
            <m:r>
              <m:t>C</m:t>
            </m:r>
          </m:sub>
        </m:sSub>
        <m:r>
          <m:rPr>
            <m:sty m:val="p"/>
          </m:rPr>
          <m:t>+</m:t>
        </m:r>
        <m:sSub>
          <m:e>
            <m:r>
              <m:t>λ</m:t>
            </m:r>
          </m:e>
          <m:sub>
            <m:r>
              <m:t>X</m:t>
            </m:r>
          </m:sub>
        </m:sSub>
      </m:oMath>
      <w:r>
        <w:t xml:space="preserve"> </w:t>
      </w:r>
      <w:r>
        <w:t xml:space="preserve">has within-group (</w:t>
      </w:r>
      <m:oMath>
        <m:sSub>
          <m:e>
            <m:r>
              <m:t>λ</m:t>
            </m:r>
          </m:e>
          <m:sub>
            <m:r>
              <m:t>W</m:t>
            </m:r>
          </m:sub>
        </m:sSub>
        <m:r>
          <m:rPr>
            <m:sty m:val="p"/>
          </m:rPr>
          <m:t>=</m:t>
        </m:r>
        <m:r>
          <m:t>0.15</m:t>
        </m:r>
      </m:oMath>
      <w:r>
        <w:t xml:space="preserve">), conflict-deterrence (</w:t>
      </w:r>
      <m:oMath>
        <m:sSub>
          <m:e>
            <m:r>
              <m:t>λ</m:t>
            </m:r>
          </m:e>
          <m:sub>
            <m:r>
              <m:t>C</m:t>
            </m:r>
          </m:sub>
        </m:sSub>
      </m:oMath>
      <w:r>
        <w:t xml:space="preserve">), and cooperation-network (</w:t>
      </w:r>
      <m:oMath>
        <m:sSub>
          <m:e>
            <m:r>
              <m:t>λ</m:t>
            </m:r>
          </m:e>
          <m:sub>
            <m:r>
              <m:t>X</m:t>
            </m:r>
          </m:sub>
        </m:sSub>
      </m:oMath>
      <w:r>
        <w:t xml:space="preserve">) components. Because monument stock affects the very signaling reward that drives more monument-building,</w:t>
      </w:r>
      <w:r>
        <w:t xml:space="preserve"> </w:t>
      </w:r>
      <m:oMath>
        <m:sSub>
          <m:e>
            <m:r>
              <m:t>λ</m:t>
            </m:r>
          </m:e>
          <m:sub>
            <m:r>
              <m:t>C</m:t>
            </m:r>
          </m:sub>
        </m:sSub>
      </m:oMath>
      <w:r>
        <w:t xml:space="preserve"> </w:t>
      </w:r>
      <w:r>
        <w:t xml:space="preserve">and</w:t>
      </w:r>
      <w:r>
        <w:t xml:space="preserve"> </w:t>
      </w:r>
      <m:oMath>
        <m:sSub>
          <m:e>
            <m:r>
              <m:t>λ</m:t>
            </m:r>
          </m:e>
          <m:sub>
            <m:r>
              <m:t>X</m:t>
            </m:r>
          </m:sub>
        </m:sSub>
      </m:oMath>
      <w:r>
        <w:t xml:space="preserve"> </w:t>
      </w:r>
      <w:r>
        <w:t xml:space="preserve">cannot be set independently; they are solved by repeated substitution (fixed-point iteration): guess</w:t>
      </w:r>
      <w:r>
        <w:t xml:space="preserve"> </w:t>
      </w:r>
      <m:oMath>
        <m:sSub>
          <m:e>
            <m:r>
              <m:t>λ</m:t>
            </m:r>
          </m:e>
          <m:sub>
            <m:r>
              <m:t>X</m:t>
            </m:r>
          </m:sub>
        </m:sSub>
      </m:oMath>
      <w:r>
        <w:t xml:space="preserve">, compute the resulting monument stock, recompute</w:t>
      </w:r>
      <w:r>
        <w:t xml:space="preserve"> </w:t>
      </w:r>
      <m:oMath>
        <m:sSub>
          <m:e>
            <m:r>
              <m:t>λ</m:t>
            </m:r>
          </m:e>
          <m:sub>
            <m:r>
              <m:t>X</m:t>
            </m:r>
          </m:sub>
        </m:sSub>
      </m:oMath>
      <w:r>
        <w:t xml:space="preserve">, repeat until the values stop changing within</w:t>
      </w:r>
      <w:r>
        <w:t xml:space="preserve"> </w:t>
      </w:r>
      <m:oMath>
        <m:sSup>
          <m:e>
            <m:r>
              <m:t>10</m:t>
            </m:r>
          </m:e>
          <m:sup>
            <m:r>
              <m:rPr>
                <m:sty m:val="p"/>
              </m:rPr>
              <m:t>−</m:t>
            </m:r>
            <m:r>
              <m:t>6</m:t>
            </m:r>
          </m:sup>
        </m:sSup>
      </m:oMath>
      <w:r>
        <w:t xml:space="preserve">. One cycle of that loop is: monument stock</w:t>
      </w:r>
      <w:r>
        <w:t xml:space="preserve"> </w:t>
      </w:r>
      <m:oMath>
        <m:r>
          <m:rPr>
            <m:sty m:val="p"/>
          </m:rPr>
          <m:t>→</m:t>
        </m:r>
      </m:oMath>
      <w:r>
        <w:t xml:space="preserve"> </w:t>
      </w:r>
      <w:r>
        <w:t xml:space="preserve">network degree</w:t>
      </w:r>
      <w:r>
        <w:t xml:space="preserve"> </w:t>
      </w:r>
      <m:oMath>
        <m:r>
          <m:rPr>
            <m:sty m:val="p"/>
          </m:rPr>
          <m:t>→</m:t>
        </m:r>
      </m:oMath>
      <w:r>
        <w:t xml:space="preserve"> </w:t>
      </w:r>
      <w:r>
        <w:t xml:space="preserve">vulnerability reduction</w:t>
      </w:r>
      <w:r>
        <w:t xml:space="preserve"> </w:t>
      </w:r>
      <m:oMath>
        <m:r>
          <m:rPr>
            <m:sty m:val="p"/>
          </m:rPr>
          <m:t>→</m:t>
        </m:r>
      </m:oMath>
      <w:r>
        <w:t xml:space="preserve"> </w:t>
      </w:r>
      <w:r>
        <w:t xml:space="preserve">raised</w:t>
      </w:r>
      <w:r>
        <w:t xml:space="preserve"> </w:t>
      </w:r>
      <m:oMath>
        <m:sSub>
          <m:e>
            <m:r>
              <m:t>λ</m:t>
            </m:r>
          </m:e>
          <m:sub>
            <m:r>
              <m:t>X</m:t>
            </m:r>
          </m:sub>
        </m:sSub>
      </m:oMath>
      <w:r>
        <w:t xml:space="preserve"> </w:t>
      </w:r>
      <m:oMath>
        <m:r>
          <m:rPr>
            <m:sty m:val="p"/>
          </m:rPr>
          <m:t>→</m:t>
        </m:r>
      </m:oMath>
      <w:r>
        <w:t xml:space="preserve"> </w:t>
      </w:r>
      <w:r>
        <w:t xml:space="preserve">raised optimal investment</w:t>
      </w:r>
      <w:r>
        <w:t xml:space="preserve"> </w:t>
      </w:r>
      <m:oMath>
        <m:sSup>
          <m:e>
            <m:r>
              <m:t>x</m:t>
            </m:r>
          </m:e>
          <m:sup>
            <m:r>
              <m:rPr>
                <m:sty m:val="p"/>
              </m:rPr>
              <m:t>*</m:t>
            </m:r>
          </m:sup>
        </m:sSup>
        <m:r>
          <m:rPr>
            <m:sty m:val="p"/>
          </m:rPr>
          <m:t>(</m:t>
        </m:r>
        <m:r>
          <m:t>q</m:t>
        </m:r>
        <m:r>
          <m:rPr>
            <m:sty m:val="p"/>
          </m:rPr>
          <m:t>)</m:t>
        </m:r>
      </m:oMath>
      <w:r>
        <w:t xml:space="preserve"> </w:t>
      </w:r>
      <m:oMath>
        <m:r>
          <m:rPr>
            <m:sty m:val="p"/>
          </m:rPr>
          <m:t>→</m:t>
        </m:r>
      </m:oMath>
      <w:r>
        <w:t xml:space="preserve"> </w:t>
      </w:r>
      <w:r>
        <w:t xml:space="preserve">more monuments. We use damping (factor 0.5) so successive estimates do not oscillate. At the equilibrium reached for Poverty Point conditions,</w:t>
      </w:r>
      <w:r>
        <w:t xml:space="preserve"> </w:t>
      </w:r>
      <m:oMath>
        <m:sSub>
          <m:e>
            <m:r>
              <m:t>M</m:t>
            </m:r>
          </m:e>
          <m:sub>
            <m:r>
              <m:t>g</m:t>
            </m:r>
          </m:sub>
        </m:sSub>
      </m:oMath>
      <w:r>
        <w:t xml:space="preserve"> </w:t>
      </w:r>
      <w:r>
        <w:t xml:space="preserve">is large enough that the network degree function saturates, making</w:t>
      </w:r>
      <w:r>
        <w:t xml:space="preserve"> </w:t>
      </w:r>
      <m:oMath>
        <m:sSub>
          <m:e>
            <m:r>
              <m:t>λ</m:t>
            </m:r>
          </m:e>
          <m:sub>
            <m:r>
              <m:t>C</m:t>
            </m:r>
          </m:sub>
        </m:sSub>
      </m:oMath>
      <w:r>
        <w:t xml:space="preserve"> </w:t>
      </w:r>
      <w:r>
        <w:t xml:space="preserve">and</w:t>
      </w:r>
      <w:r>
        <w:t xml:space="preserve"> </w:t>
      </w:r>
      <m:oMath>
        <m:sSub>
          <m:e>
            <m:r>
              <m:t>λ</m:t>
            </m:r>
          </m:e>
          <m:sub>
            <m:r>
              <m:t>X</m:t>
            </m:r>
          </m:sub>
        </m:sSub>
      </m:oMath>
      <w:r>
        <w:t xml:space="preserve"> </w:t>
      </w:r>
      <w:r>
        <w:t xml:space="preserve">small at equilibrium and</w:t>
      </w:r>
      <w:r>
        <w:t xml:space="preserve"> </w:t>
      </w:r>
      <m:oMath>
        <m:r>
          <m:t>λ</m:t>
        </m:r>
      </m:oMath>
      <w:r>
        <w:t xml:space="preserve"> </w:t>
      </w:r>
      <w:r>
        <w:t xml:space="preserve">dominated by</w:t>
      </w:r>
      <w:r>
        <w:t xml:space="preserve"> </w:t>
      </w:r>
      <m:oMath>
        <m:sSub>
          <m:e>
            <m:r>
              <m:t>λ</m:t>
            </m:r>
          </m:e>
          <m:sub>
            <m:r>
              <m:t>W</m:t>
            </m:r>
          </m:sub>
        </m:sSub>
      </m:oMath>
      <w:r>
        <w:t xml:space="preserve">.</w:t>
      </w:r>
    </w:p>
    <w:p>
      <w:pPr>
        <w:pStyle w:val="BodyText"/>
      </w:pPr>
      <w:r>
        <w:rPr>
          <w:b/>
          <w:bCs/>
        </w:rPr>
        <w:t xml:space="preserve">Convergence diagnostics.</w:t>
      </w:r>
      <w:r>
        <w:t xml:space="preserve"> </w:t>
      </w:r>
      <w:r>
        <w:t xml:space="preserve">We tested the fixed-point iteration across a 30-point sweep of</w:t>
      </w:r>
      <w:r>
        <w:t xml:space="preserve"> </w:t>
      </w:r>
      <m:oMath>
        <m:r>
          <m:t>σ</m:t>
        </m:r>
      </m:oMath>
      <w:r>
        <w:t xml:space="preserve"> </w:t>
      </w:r>
      <w:r>
        <w:t xml:space="preserve">from 0.10 to 0.95 (covering both sub- and supra-threshold regimes). Of these 30 runs, 100% converged to within the</w:t>
      </w:r>
      <w:r>
        <w:t xml:space="preserve"> </w:t>
      </w:r>
      <m:oMath>
        <m:sSup>
          <m:e>
            <m:r>
              <m:t>10</m:t>
            </m:r>
          </m:e>
          <m:sup>
            <m:r>
              <m:rPr>
                <m:sty m:val="p"/>
              </m:rPr>
              <m:t>−</m:t>
            </m:r>
            <m:r>
              <m:t>6</m:t>
            </m:r>
          </m:sup>
        </m:sSup>
      </m:oMath>
      <w:r>
        <w:t xml:space="preserve"> </w:t>
      </w:r>
      <w:r>
        <w:t xml:space="preserve">tolerance; mean, median, and maximum iteration counts were all 18, indicating uniform convergence speed across the parameter range. To check for multiple fixed points, we ran the iteration at</w:t>
      </w:r>
      <w:r>
        <w:t xml:space="preserve"> </w:t>
      </w:r>
      <m:oMath>
        <m:r>
          <m:t>σ</m:t>
        </m:r>
        <m:r>
          <m:rPr>
            <m:sty m:val="p"/>
          </m:rPr>
          <m:t>∈</m:t>
        </m:r>
        <m:r>
          <m:rPr>
            <m:sty m:val="p"/>
          </m:rPr>
          <m:t>{</m:t>
        </m:r>
        <m:r>
          <m:t>0.30</m:t>
        </m:r>
        <m:r>
          <m:rPr>
            <m:sty m:val="p"/>
          </m:rPr>
          <m:t>,</m:t>
        </m:r>
        <m:r>
          <m:t>0.50</m:t>
        </m:r>
        <m:r>
          <m:rPr>
            <m:sty m:val="p"/>
          </m:rPr>
          <m:t>,</m:t>
        </m:r>
        <m:r>
          <m:t>0.70</m:t>
        </m:r>
        <m:r>
          <m:rPr>
            <m:sty m:val="p"/>
          </m:rPr>
          <m:t>}</m:t>
        </m:r>
      </m:oMath>
      <w:r>
        <w:t xml:space="preserve"> </w:t>
      </w:r>
      <w:r>
        <w:t xml:space="preserve">from different starting conditions and verified that the resulting equilibrium monument stock</w:t>
      </w:r>
      <w:r>
        <w:t xml:space="preserve"> </w:t>
      </w:r>
      <m:oMath>
        <m:sSub>
          <m:e>
            <m:r>
              <m:t>M</m:t>
            </m:r>
          </m:e>
          <m:sub>
            <m:r>
              <m:t>g</m:t>
            </m:r>
          </m:sub>
        </m:sSub>
      </m:oMath>
      <w:r>
        <w:t xml:space="preserve"> </w:t>
      </w:r>
      <w:r>
        <w:t xml:space="preserve">differed by less than 1 part in</w:t>
      </w:r>
      <w:r>
        <w:t xml:space="preserve"> </w:t>
      </w:r>
      <m:oMath>
        <m:sSup>
          <m:e>
            <m:r>
              <m:t>10</m:t>
            </m:r>
          </m:e>
          <m:sup>
            <m:r>
              <m:t>4</m:t>
            </m:r>
          </m:sup>
        </m:sSup>
      </m:oMath>
      <w:r>
        <w:t xml:space="preserve"> </w:t>
      </w:r>
      <w:r>
        <w:t xml:space="preserve">(129.78 vs. 129.78 vs. 129.79), confirming empirically that the fixed point is unique within the explored range. The contraction-mapping property follows from the monotonicity of</w:t>
      </w:r>
      <w:r>
        <w:t xml:space="preserve"> </w:t>
      </w:r>
      <m:oMath>
        <m:r>
          <m:t>λ</m:t>
        </m:r>
        <m:r>
          <m:rPr>
            <m:sty m:val="p"/>
          </m:rPr>
          <m:t>→</m:t>
        </m:r>
        <m:sSub>
          <m:e>
            <m:r>
              <m:t>M</m:t>
            </m:r>
          </m:e>
          <m:sub>
            <m:r>
              <m:t>g</m:t>
            </m:r>
          </m:sub>
        </m:sSub>
        <m:r>
          <m:rPr>
            <m:sty m:val="p"/>
          </m:rPr>
          <m:t>→</m:t>
        </m:r>
        <m:r>
          <m:t>k</m:t>
        </m:r>
        <m:r>
          <m:rPr>
            <m:sty m:val="p"/>
          </m:rPr>
          <m:t>(</m:t>
        </m:r>
        <m:sSub>
          <m:e>
            <m:r>
              <m:t>M</m:t>
            </m:r>
          </m:e>
          <m:sub>
            <m:r>
              <m:t>g</m:t>
            </m:r>
          </m:sub>
        </m:sSub>
        <m:r>
          <m:rPr>
            <m:sty m:val="p"/>
          </m:rPr>
          <m:t>)</m:t>
        </m:r>
        <m:r>
          <m:rPr>
            <m:sty m:val="p"/>
          </m:rPr>
          <m:t>→</m:t>
        </m:r>
        <m:sSub>
          <m:e>
            <m:r>
              <m:t>λ</m:t>
            </m:r>
          </m:e>
          <m:sub>
            <m:r>
              <m:t>X</m:t>
            </m:r>
          </m:sub>
        </m:sSub>
      </m:oMath>
      <w:r>
        <w:t xml:space="preserve"> </w:t>
      </w:r>
      <w:r>
        <w:t xml:space="preserve">combined with the saturating</w:t>
      </w:r>
      <w:r>
        <w:t xml:space="preserve"> </w:t>
      </w:r>
      <m:oMath>
        <m:r>
          <m:t>k</m:t>
        </m:r>
        <m:r>
          <m:rPr>
            <m:sty m:val="p"/>
          </m:rPr>
          <m:t>(</m:t>
        </m:r>
        <m:sSub>
          <m:e>
            <m:r>
              <m:t>M</m:t>
            </m:r>
          </m:e>
          <m:sub>
            <m:r>
              <m:t>g</m:t>
            </m:r>
          </m:sub>
        </m:sSub>
        <m:r>
          <m:rPr>
            <m:sty m:val="p"/>
          </m:rPr>
          <m:t>)</m:t>
        </m:r>
      </m:oMath>
      <w:r>
        <w:t xml:space="preserve"> </w:t>
      </w:r>
      <w:r>
        <w:t xml:space="preserve">function: at large</w:t>
      </w:r>
      <w:r>
        <w:t xml:space="preserve"> </w:t>
      </w:r>
      <m:oMath>
        <m:sSub>
          <m:e>
            <m:r>
              <m:t>M</m:t>
            </m:r>
          </m:e>
          <m:sub>
            <m:r>
              <m:t>g</m:t>
            </m:r>
          </m:sub>
        </m:sSub>
      </m:oMath>
      <w:r>
        <w:t xml:space="preserve"> </w:t>
      </w:r>
      <w:r>
        <w:t xml:space="preserve">the marginal contribution to</w:t>
      </w:r>
      <w:r>
        <w:t xml:space="preserve"> </w:t>
      </w:r>
      <m:oMath>
        <m:sSub>
          <m:e>
            <m:r>
              <m:t>λ</m:t>
            </m:r>
          </m:e>
          <m:sub>
            <m:r>
              <m:t>X</m:t>
            </m:r>
          </m:sub>
        </m:sSub>
      </m:oMath>
      <w:r>
        <w:t xml:space="preserve"> </w:t>
      </w:r>
      <w:r>
        <w:t xml:space="preserve">vanishes, providing a stable upper bound, while at small</w:t>
      </w:r>
      <w:r>
        <w:t xml:space="preserve"> </w:t>
      </w:r>
      <m:oMath>
        <m:sSub>
          <m:e>
            <m:r>
              <m:t>M</m:t>
            </m:r>
          </m:e>
          <m:sub>
            <m:r>
              <m:t>g</m:t>
            </m:r>
          </m:sub>
        </m:sSub>
      </m:oMath>
      <w:r>
        <w:t xml:space="preserve"> </w:t>
      </w:r>
      <w:r>
        <w:t xml:space="preserve">the lower bound is set by</w:t>
      </w:r>
      <w:r>
        <w:t xml:space="preserve"> </w:t>
      </w:r>
      <m:oMath>
        <m:sSub>
          <m:e>
            <m:r>
              <m:t>λ</m:t>
            </m:r>
          </m:e>
          <m:sub>
            <m:r>
              <m:t>W</m:t>
            </m:r>
          </m:sub>
        </m:sSub>
        <m:r>
          <m:rPr>
            <m:sty m:val="p"/>
          </m:rPr>
          <m:t>&gt;</m:t>
        </m:r>
        <m:r>
          <m:t>0</m:t>
        </m:r>
      </m:oMath>
      <w:r>
        <w:t xml:space="preserve"> </w:t>
      </w:r>
      <w:r>
        <w:t xml:space="preserve">alone.</w:t>
      </w:r>
    </w:p>
    <w:p>
      <w:pPr>
        <w:pStyle w:val="BodyText"/>
      </w:pPr>
      <w:r>
        <w:rPr>
          <w:b/>
          <w:bCs/>
        </w:rPr>
        <w:t xml:space="preserve">Within-group reward ablation.</w:t>
      </w:r>
      <w:r>
        <w:t xml:space="preserve"> </w:t>
      </w:r>
      <w:r>
        <w:t xml:space="preserve">Setting</w:t>
      </w:r>
      <w:r>
        <w:t xml:space="preserve"> </w:t>
      </w:r>
      <m:oMath>
        <m:sSub>
          <m:e>
            <m:r>
              <m:t>λ</m:t>
            </m:r>
          </m:e>
          <m:sub>
            <m:r>
              <m:t>W</m:t>
            </m:r>
          </m:sub>
        </m:sSub>
        <m:r>
          <m:rPr>
            <m:sty m:val="p"/>
          </m:rPr>
          <m:t>=</m:t>
        </m:r>
        <m:r>
          <m:t>0</m:t>
        </m:r>
      </m:oMath>
      <w:r>
        <w:t xml:space="preserve"> </w:t>
      </w:r>
      <w:r>
        <w:t xml:space="preserve">(which removes the only signaling-as-such contribution to fitness; cooperation benefits via</w:t>
      </w:r>
      <w:r>
        <w:t xml:space="preserve"> </w:t>
      </w:r>
      <m:oMath>
        <m:sSub>
          <m:e>
            <m:r>
              <m:t>λ</m:t>
            </m:r>
          </m:e>
          <m:sub>
            <m:r>
              <m:t>X</m:t>
            </m:r>
          </m:sub>
        </m:sSub>
      </m:oMath>
      <w:r>
        <w:t xml:space="preserve"> </w:t>
      </w:r>
      <w:r>
        <w:t xml:space="preserve">and conflict deterrence via</w:t>
      </w:r>
      <w:r>
        <w:t xml:space="preserve"> </w:t>
      </w:r>
      <m:oMath>
        <m:sSub>
          <m:e>
            <m:r>
              <m:t>λ</m:t>
            </m:r>
          </m:e>
          <m:sub>
            <m:r>
              <m:t>C</m:t>
            </m:r>
          </m:sub>
        </m:sSub>
      </m:oMath>
      <w:r>
        <w:t xml:space="preserve"> </w:t>
      </w:r>
      <w:r>
        <w:t xml:space="preserve">remain) raises the critical threshold from</w:t>
      </w:r>
      <w:r>
        <w:t xml:space="preserve"> </w:t>
      </w:r>
      <m:oMath>
        <m:sSup>
          <m:e>
            <m:r>
              <m:t>σ</m:t>
            </m:r>
          </m:e>
          <m:sup>
            <m:r>
              <m:rPr>
                <m:sty m:val="p"/>
              </m:rPr>
              <m:t>*</m:t>
            </m:r>
          </m:sup>
        </m:sSup>
        <m:r>
          <m:rPr>
            <m:sty m:val="p"/>
          </m:rPr>
          <m:t>=</m:t>
        </m:r>
        <m:r>
          <m:t>0.400</m:t>
        </m:r>
      </m:oMath>
      <w:r>
        <w:t xml:space="preserve"> </w:t>
      </w:r>
      <w:r>
        <w:t xml:space="preserve">to</w:t>
      </w:r>
      <w:r>
        <w:t xml:space="preserve"> </w:t>
      </w:r>
      <m:oMath>
        <m:sSup>
          <m:e>
            <m:r>
              <m:t>σ</m:t>
            </m:r>
          </m:e>
          <m:sup>
            <m:r>
              <m:rPr>
                <m:sty m:val="p"/>
              </m:rPr>
              <m:t>*</m:t>
            </m:r>
          </m:sup>
        </m:sSup>
        <m:r>
          <m:rPr>
            <m:sty m:val="p"/>
          </m:rPr>
          <m:t>=</m:t>
        </m:r>
        <m:r>
          <m:t>0.543</m:t>
        </m:r>
      </m:oMath>
      <w:r>
        <w:t xml:space="preserve">, a +36% shift. A linear sweep</w:t>
      </w:r>
      <w:r>
        <w:t xml:space="preserve"> </w:t>
      </w:r>
      <m:oMath>
        <m:sSub>
          <m:e>
            <m:r>
              <m:t>λ</m:t>
            </m:r>
          </m:e>
          <m:sub>
            <m:r>
              <m:t>W</m:t>
            </m:r>
          </m:sub>
        </m:sSub>
        <m:r>
          <m:rPr>
            <m:sty m:val="p"/>
          </m:rPr>
          <m:t>∈</m:t>
        </m:r>
        <m:r>
          <m:rPr>
            <m:sty m:val="p"/>
          </m:rPr>
          <m:t>{</m:t>
        </m:r>
        <m:r>
          <m:t>0.00</m:t>
        </m:r>
        <m:r>
          <m:rPr>
            <m:sty m:val="p"/>
          </m:rPr>
          <m:t>,</m:t>
        </m:r>
        <m:r>
          <m:t>0.05</m:t>
        </m:r>
        <m:r>
          <m:rPr>
            <m:sty m:val="p"/>
          </m:rPr>
          <m:t>,</m:t>
        </m:r>
        <m:r>
          <m:t>0.10</m:t>
        </m:r>
        <m:r>
          <m:rPr>
            <m:sty m:val="p"/>
          </m:rPr>
          <m:t>,</m:t>
        </m:r>
        <m:r>
          <m:t>0.15</m:t>
        </m:r>
        <m:r>
          <m:rPr>
            <m:sty m:val="p"/>
          </m:rPr>
          <m:t>,</m:t>
        </m:r>
        <m:r>
          <m:t>0.20</m:t>
        </m:r>
        <m:r>
          <m:rPr>
            <m:sty m:val="p"/>
          </m:rPr>
          <m:t>,</m:t>
        </m:r>
        <m:r>
          <m:t>0.25</m:t>
        </m:r>
        <m:r>
          <m:rPr>
            <m:sty m:val="p"/>
          </m:rPr>
          <m:t>,</m:t>
        </m:r>
        <m:r>
          <m:t>0.30</m:t>
        </m:r>
        <m:r>
          <m:rPr>
            <m:sty m:val="p"/>
          </m:rPr>
          <m:t>}</m:t>
        </m:r>
      </m:oMath>
      <w:r>
        <w:t xml:space="preserve"> </w:t>
      </w:r>
      <w:r>
        <w:t xml:space="preserve">produces</w:t>
      </w:r>
      <w:r>
        <w:t xml:space="preserve"> </w:t>
      </w:r>
      <m:oMath>
        <m:sSup>
          <m:e>
            <m:r>
              <m:t>σ</m:t>
            </m:r>
          </m:e>
          <m:sup>
            <m:r>
              <m:rPr>
                <m:sty m:val="p"/>
              </m:rPr>
              <m:t>*</m:t>
            </m:r>
          </m:sup>
        </m:sSup>
        <m:r>
          <m:rPr>
            <m:sty m:val="p"/>
          </m:rPr>
          <m:t>∈</m:t>
        </m:r>
        <m:r>
          <m:rPr>
            <m:sty m:val="p"/>
          </m:rPr>
          <m:t>{</m:t>
        </m:r>
        <m:r>
          <m:t>0.543</m:t>
        </m:r>
        <m:r>
          <m:rPr>
            <m:sty m:val="p"/>
          </m:rPr>
          <m:t>,</m:t>
        </m:r>
        <m:r>
          <m:t>0.491</m:t>
        </m:r>
        <m:r>
          <m:rPr>
            <m:sty m:val="p"/>
          </m:rPr>
          <m:t>,</m:t>
        </m:r>
        <m:r>
          <m:t>0.445</m:t>
        </m:r>
        <m:r>
          <m:rPr>
            <m:sty m:val="p"/>
          </m:rPr>
          <m:t>,</m:t>
        </m:r>
        <m:r>
          <m:t>0.400</m:t>
        </m:r>
        <m:r>
          <m:rPr>
            <m:sty m:val="p"/>
          </m:rPr>
          <m:t>,</m:t>
        </m:r>
        <m:r>
          <m:t>0.354</m:t>
        </m:r>
        <m:r>
          <m:rPr>
            <m:sty m:val="p"/>
          </m:rPr>
          <m:t>,</m:t>
        </m:r>
        <m:r>
          <m:t>0.309</m:t>
        </m:r>
        <m:r>
          <m:rPr>
            <m:sty m:val="p"/>
          </m:rPr>
          <m:t>,</m:t>
        </m:r>
        <m:r>
          <m:t>0.263</m:t>
        </m:r>
        <m:r>
          <m:rPr>
            <m:sty m:val="p"/>
          </m:rPr>
          <m:t>}</m:t>
        </m:r>
      </m:oMath>
      <w:r>
        <w:t xml:space="preserve">, demonstrating that the within-group signaling reward contributes a substantial portion of the threshold lowering and that the model is</w:t>
      </w:r>
      <w:r>
        <w:t xml:space="preserve"> </w:t>
      </w:r>
      <w:r>
        <w:rPr>
          <w:i/>
          <w:iCs/>
        </w:rPr>
        <w:t xml:space="preserve">not</w:t>
      </w:r>
      <w:r>
        <w:t xml:space="preserve"> </w:t>
      </w:r>
      <w:r>
        <w:t xml:space="preserve">well approximated by a generic cooperation account in which signaling is decoration.</w:t>
      </w:r>
    </w:p>
    <w:p>
      <w:pPr>
        <w:pStyle w:val="BodyText"/>
      </w:pPr>
      <w:r>
        <w:t xml:space="preserve">The signaling benefit is derived from the Grafen (1990) signaling equilibrium and is the expectation of each band’s individual signaling payoff over the uniform quality distribution</w:t>
      </w:r>
      <w:r>
        <w:t xml:space="preserve"> </w:t>
      </w:r>
      <m:oMath>
        <m:r>
          <m:t>q</m:t>
        </m:r>
        <m:r>
          <m:rPr>
            <m:sty m:val="p"/>
          </m:rPr>
          <m:t>∼</m:t>
        </m:r>
        <m:r>
          <m:t>U</m:t>
        </m:r>
        <m:r>
          <m:rPr>
            <m:sty m:val="p"/>
          </m:rPr>
          <m:t>[</m:t>
        </m:r>
        <m:sSub>
          <m:e>
            <m:r>
              <m:t>q</m:t>
            </m:r>
          </m:e>
          <m:sub>
            <m:r>
              <m:t>m</m:t>
            </m:r>
            <m:r>
              <m:t>i</m:t>
            </m:r>
            <m:r>
              <m:t>n</m:t>
            </m:r>
          </m:sub>
        </m:sSub>
        <m:r>
          <m:rPr>
            <m:sty m:val="p"/>
          </m:rPr>
          <m:t>,</m:t>
        </m:r>
        <m:sSub>
          <m:e>
            <m:r>
              <m:t>q</m:t>
            </m:r>
          </m:e>
          <m:sub>
            <m:r>
              <m:t>m</m:t>
            </m:r>
            <m:r>
              <m:t>a</m:t>
            </m:r>
            <m:r>
              <m:t>x</m:t>
            </m:r>
          </m:sub>
        </m:sSub>
        <m:r>
          <m:rPr>
            <m:sty m:val="p"/>
          </m:rPr>
          <m:t>]</m:t>
        </m:r>
      </m:oMath>
      <w:r>
        <w:t xml:space="preserve">:</w:t>
      </w:r>
    </w:p>
    <w:p>
      <w:pPr>
        <w:pStyle w:val="BodyText"/>
      </w:pPr>
      <m:oMathPara>
        <m:oMathParaPr>
          <m:jc m:val="center"/>
        </m:oMathParaPr>
        <m:oMath>
          <m:r>
            <m:t>B</m:t>
          </m:r>
          <m:r>
            <m:rPr>
              <m:sty m:val="p"/>
            </m:rPr>
            <m:t>(</m:t>
          </m:r>
          <m:r>
            <m:t>λ</m:t>
          </m:r>
          <m:r>
            <m:rPr>
              <m:sty m:val="p"/>
            </m:rPr>
            <m:t>)</m:t>
          </m:r>
          <m:r>
            <m:rPr>
              <m:sty m:val="p"/>
            </m:rPr>
            <m:t>=</m:t>
          </m:r>
          <m:f>
            <m:fPr>
              <m:type m:val="bar"/>
            </m:fPr>
            <m:num>
              <m:r>
                <m:t>λ</m:t>
              </m:r>
            </m:num>
            <m:den>
              <m:r>
                <m:t>2</m:t>
              </m:r>
            </m:den>
          </m:f>
          <m:r>
            <m:rPr>
              <m:sty m:val="p"/>
            </m:rPr>
            <m:t>⋅</m:t>
          </m:r>
          <m:f>
            <m:fPr>
              <m:type m:val="bar"/>
            </m:fPr>
            <m:num>
              <m:sSub>
                <m:e>
                  <m:r>
                    <m:t>q</m:t>
                  </m:r>
                </m:e>
                <m:sub>
                  <m:r>
                    <m:t>m</m:t>
                  </m:r>
                  <m:r>
                    <m:t>i</m:t>
                  </m:r>
                  <m:r>
                    <m:t>n</m:t>
                  </m:r>
                </m:sub>
              </m:sSub>
              <m:r>
                <m:rPr>
                  <m:sty m:val="p"/>
                </m:rPr>
                <m:t>+</m:t>
              </m:r>
              <m:sSub>
                <m:e>
                  <m:r>
                    <m:t>q</m:t>
                  </m:r>
                </m:e>
                <m:sub>
                  <m:r>
                    <m:t>m</m:t>
                  </m:r>
                  <m:r>
                    <m:t>a</m:t>
                  </m:r>
                  <m:r>
                    <m:t>x</m:t>
                  </m:r>
                </m:sub>
              </m:sSub>
            </m:num>
            <m:den>
              <m:r>
                <m:t>2</m:t>
              </m:r>
            </m:den>
          </m:f>
          <m:r>
            <m:rPr>
              <m:sty m:val="p"/>
            </m:rPr>
            <m:t>+</m:t>
          </m:r>
          <m:f>
            <m:fPr>
              <m:type m:val="bar"/>
            </m:fPr>
            <m:num>
              <m:r>
                <m:t>λ</m:t>
              </m:r>
              <m:r>
                <m:t> </m:t>
              </m:r>
              <m:sSubSup>
                <m:e>
                  <m:r>
                    <m:t>q</m:t>
                  </m:r>
                </m:e>
                <m:sub>
                  <m:r>
                    <m:t>m</m:t>
                  </m:r>
                  <m:r>
                    <m:t>i</m:t>
                  </m:r>
                  <m:r>
                    <m:t>n</m:t>
                  </m:r>
                </m:sub>
                <m:sup>
                  <m:r>
                    <m:t>2</m:t>
                  </m:r>
                </m:sup>
              </m:sSubSup>
            </m:num>
            <m:den>
              <m:r>
                <m:t>2</m:t>
              </m:r>
              <m:r>
                <m:rPr>
                  <m:sty m:val="p"/>
                </m:rPr>
                <m:t>(</m:t>
              </m:r>
              <m:sSub>
                <m:e>
                  <m:r>
                    <m:t>q</m:t>
                  </m:r>
                </m:e>
                <m:sub>
                  <m:r>
                    <m:t>m</m:t>
                  </m:r>
                  <m:r>
                    <m:t>a</m:t>
                  </m:r>
                  <m:r>
                    <m:t>x</m:t>
                  </m:r>
                </m:sub>
              </m:sSub>
              <m:r>
                <m:rPr>
                  <m:sty m:val="p"/>
                </m:rPr>
                <m:t>−</m:t>
              </m:r>
              <m:sSub>
                <m:e>
                  <m:r>
                    <m:t>q</m:t>
                  </m:r>
                </m:e>
                <m:sub>
                  <m:r>
                    <m:t>m</m:t>
                  </m:r>
                  <m:r>
                    <m:t>i</m:t>
                  </m:r>
                  <m:r>
                    <m:t>n</m:t>
                  </m:r>
                </m:sub>
              </m:sSub>
              <m:r>
                <m:rPr>
                  <m:sty m:val="p"/>
                </m:rPr>
                <m:t>)</m:t>
              </m:r>
            </m:den>
          </m:f>
          <m:r>
            <m:t> </m:t>
          </m:r>
          <m:r>
            <m:rPr>
              <m:sty m:val="p"/>
            </m:rPr>
            <m:t>ln</m:t>
          </m:r>
          <m:r>
            <m:t>​</m:t>
          </m:r>
          <m:f>
            <m:fPr>
              <m:type m:val="bar"/>
            </m:fPr>
            <m:num>
              <m:sSub>
                <m:e>
                  <m:r>
                    <m:t>q</m:t>
                  </m:r>
                </m:e>
                <m:sub>
                  <m:r>
                    <m:t>m</m:t>
                  </m:r>
                  <m:r>
                    <m:t>a</m:t>
                  </m:r>
                  <m:r>
                    <m:t>x</m:t>
                  </m:r>
                </m:sub>
              </m:sSub>
            </m:num>
            <m:den>
              <m:sSub>
                <m:e>
                  <m:r>
                    <m:t>q</m:t>
                  </m:r>
                </m:e>
                <m:sub>
                  <m:r>
                    <m:t>m</m:t>
                  </m:r>
                  <m:r>
                    <m:t>i</m:t>
                  </m:r>
                  <m:r>
                    <m:t>n</m:t>
                  </m:r>
                </m:sub>
              </m:sSub>
            </m:den>
          </m:f>
        </m:oMath>
      </m:oMathPara>
    </w:p>
    <w:p>
      <w:pPr>
        <w:pStyle w:val="FirstParagraph"/>
      </w:pPr>
      <w:r>
        <w:t xml:space="preserve">Plainly: B(λ) is the average extra fitness a band gets from signaling, computed by averaging across the range of band qualities present in the population. The first term is the leading contribution; the second is a small correction that accounts for the curvature of the per-band benefit function near</w:t>
      </w:r>
      <w:r>
        <w:t xml:space="preserve"> </w:t>
      </w:r>
      <m:oMath>
        <m:sSub>
          <m:e>
            <m:r>
              <m:t>q</m:t>
            </m:r>
          </m:e>
          <m:sub>
            <m:r>
              <m:t>m</m:t>
            </m:r>
            <m:r>
              <m:t>i</m:t>
            </m:r>
            <m:r>
              <m:t>n</m:t>
            </m:r>
          </m:sub>
        </m:sSub>
      </m:oMath>
      <w:r>
        <w:t xml:space="preserve">. At our parameters (</w:t>
      </w:r>
      <m:oMath>
        <m:sSub>
          <m:e>
            <m:r>
              <m:t>q</m:t>
            </m:r>
          </m:e>
          <m:sub>
            <m:r>
              <m:t>m</m:t>
            </m:r>
            <m:r>
              <m:t>i</m:t>
            </m:r>
            <m:r>
              <m:t>n</m:t>
            </m:r>
          </m:sub>
        </m:sSub>
        <m:r>
          <m:rPr>
            <m:sty m:val="p"/>
          </m:rPr>
          <m:t>=</m:t>
        </m:r>
        <m:r>
          <m:t>0.2</m:t>
        </m:r>
      </m:oMath>
      <w:r>
        <w:t xml:space="preserve">,</w:t>
      </w:r>
      <w:r>
        <w:t xml:space="preserve"> </w:t>
      </w:r>
      <m:oMath>
        <m:sSub>
          <m:e>
            <m:r>
              <m:t>q</m:t>
            </m:r>
          </m:e>
          <m:sub>
            <m:r>
              <m:t>m</m:t>
            </m:r>
            <m:r>
              <m:t>a</m:t>
            </m:r>
            <m:r>
              <m:t>x</m:t>
            </m:r>
          </m:sub>
        </m:sSub>
        <m:r>
          <m:rPr>
            <m:sty m:val="p"/>
          </m:rPr>
          <m:t>=</m:t>
        </m:r>
        <m:r>
          <m:t>2.0</m:t>
        </m:r>
      </m:oMath>
      <w:r>
        <w:t xml:space="preserve">,</w:t>
      </w:r>
      <w:r>
        <w:t xml:space="preserve"> </w:t>
      </w:r>
      <m:oMath>
        <m:r>
          <m:t>λ</m:t>
        </m:r>
        <m:r>
          <m:rPr>
            <m:sty m:val="p"/>
          </m:rPr>
          <m:t>≈</m:t>
        </m:r>
        <m:r>
          <m:t>0.40</m:t>
        </m:r>
      </m:oMath>
      <w:r>
        <w:t xml:space="preserve">) the second term is approximately 5% of the first, and the code computes both.</w:t>
      </w:r>
    </w:p>
    <w:bookmarkEnd w:id="19"/>
    <w:bookmarkStart w:id="20" w:name="conflict-parameters"/>
    <w:p>
      <w:pPr>
        <w:pStyle w:val="Heading3"/>
      </w:pPr>
      <w:r>
        <w:t xml:space="preserve">Conflict parameters</w:t>
      </w:r>
    </w:p>
    <w:p>
      <w:pPr>
        <w:pStyle w:val="FirstParagraph"/>
      </w:pPr>
      <w:r>
        <w:t xml:space="preserve">Baseline annual conflict probability</w:t>
      </w:r>
      <w:r>
        <w:t xml:space="preserve"> </w:t>
      </w:r>
      <m:oMath>
        <m:sSub>
          <m:e>
            <m:r>
              <m:t>P</m:t>
            </m:r>
          </m:e>
          <m:sub>
            <m:r>
              <m:t>b</m:t>
            </m:r>
            <m:r>
              <m:t>a</m:t>
            </m:r>
            <m:r>
              <m:t>s</m:t>
            </m:r>
            <m:r>
              <m:t>e</m:t>
            </m:r>
          </m:sub>
        </m:sSub>
        <m:r>
          <m:rPr>
            <m:sty m:val="p"/>
          </m:rPr>
          <m:t>=</m:t>
        </m:r>
        <m:r>
          <m:t>0.008</m:t>
        </m:r>
      </m:oMath>
      <w:r>
        <w:t xml:space="preserve"> </w:t>
      </w:r>
      <w:r>
        <w:t xml:space="preserve">and conflict mortality</w:t>
      </w:r>
      <w:r>
        <w:t xml:space="preserve"> </w:t>
      </w:r>
      <m:oMath>
        <m:r>
          <m:t>m</m:t>
        </m:r>
        <m:r>
          <m:rPr>
            <m:sty m:val="p"/>
          </m:rPr>
          <m:t>=</m:t>
        </m:r>
        <m:r>
          <m:t>0.08</m:t>
        </m:r>
      </m:oMath>
      <w:r>
        <w:t xml:space="preserve"> </w:t>
      </w:r>
      <w:r>
        <w:t xml:space="preserve">are set conservatively low, reflecting reduced territorial fixity of mobile hunter-gatherers relative to sedentary populations. Monument investment reduces conflict through an assessment mechanism (Enquist and Leimar 1983).</w:t>
      </w:r>
    </w:p>
    <w:bookmarkEnd w:id="20"/>
    <w:bookmarkStart w:id="21" w:name="ecotone-parameter"/>
    <w:p>
      <w:pPr>
        <w:pStyle w:val="Heading3"/>
      </w:pPr>
      <w:r>
        <w:t xml:space="preserve">Ecotone parameter</w:t>
      </w:r>
    </w:p>
    <w:p>
      <w:pPr>
        <w:pStyle w:val="FirstParagraph"/>
      </w:pPr>
      <m:oMath>
        <m:r>
          <m:t>ε</m:t>
        </m:r>
      </m:oMath>
      <w:r>
        <w:t xml:space="preserve"> </w:t>
      </w:r>
      <w:r>
        <w:t xml:space="preserve">ranges from 0 (single-zone location) to ~0.5 (exceptionally well-buffered). The main §2.3 develops the negative-covariance interpretation and the regional empirical paper develops the per-site operationalization at LMV mound-building sites; here we treat</w:t>
      </w:r>
      <w:r>
        <w:t xml:space="preserve"> </w:t>
      </w:r>
      <m:oMath>
        <m:r>
          <m:t>ε</m:t>
        </m:r>
      </m:oMath>
      <w:r>
        <w:t xml:space="preserve"> </w:t>
      </w:r>
      <w:r>
        <w:t xml:space="preserve">as an input variable on</w:t>
      </w:r>
      <w:r>
        <w:t xml:space="preserve"> </w:t>
      </w:r>
      <m:oMath>
        <m:r>
          <m:rPr>
            <m:sty m:val="p"/>
          </m:rPr>
          <m:t>[</m:t>
        </m:r>
        <m:r>
          <m:t>0</m:t>
        </m:r>
        <m:r>
          <m:rPr>
            <m:sty m:val="p"/>
          </m:rPr>
          <m:t>,</m:t>
        </m:r>
        <m:r>
          <m:t>0.5</m:t>
        </m:r>
        <m:r>
          <m:rPr>
            <m:sty m:val="p"/>
          </m:rPr>
          <m:t>]</m:t>
        </m:r>
      </m:oMath>
      <w:r>
        <w:t xml:space="preserve"> </w:t>
      </w:r>
      <w:r>
        <w:t xml:space="preserve">for purposes of the theoretical sweeps below.</w:t>
      </w:r>
    </w:p>
    <w:bookmarkEnd w:id="21"/>
    <w:bookmarkStart w:id="22" w:name="table-s2-full-parameter-list"/>
    <w:p>
      <w:pPr>
        <w:pStyle w:val="Heading3"/>
      </w:pPr>
      <w:r>
        <w:t xml:space="preserve">Table S2: Full parameter list</w:t>
      </w:r>
    </w:p>
    <w:tbl>
      <w:tblPr>
        <w:tblStyle w:val="Table"/>
        <w:tblW w:type="pct" w:w="5000"/>
        <w:tblLayout w:type="fixed"/>
        <w:tblLook w:firstRow="1" w:lastRow="0" w:firstColumn="0" w:lastColumn="0" w:noHBand="0" w:noVBand="0" w:val="0020"/>
      </w:tblPr>
      <w:tblGrid>
        <w:gridCol w:w="2124"/>
        <w:gridCol w:w="1545"/>
        <w:gridCol w:w="1352"/>
        <w:gridCol w:w="1352"/>
        <w:gridCol w:w="1545"/>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Range</w:t>
            </w:r>
          </w:p>
        </w:tc>
        <w:tc>
          <w:tcPr/>
          <w:p>
            <w:pPr>
              <w:pStyle w:val="Compact"/>
            </w:pPr>
            <w:r>
              <w:t xml:space="preserve">Source</w:t>
            </w:r>
          </w:p>
        </w:tc>
      </w:tr>
      <w:tr>
        <w:tc>
          <w:tcPr/>
          <w:p>
            <w:pPr>
              <w:pStyle w:val="Compact"/>
            </w:pPr>
            <w:r>
              <w:t xml:space="preserve">Travel cost coefficient</w:t>
            </w:r>
          </w:p>
        </w:tc>
        <w:tc>
          <w:tcPr/>
          <w:p>
            <w:pPr>
              <w:pStyle w:val="Compact"/>
            </w:pPr>
            <m:oMath>
              <m:sSub>
                <m:e>
                  <m:r>
                    <m:t>c</m:t>
                  </m:r>
                </m:e>
                <m:sub>
                  <m:r>
                    <m:t>t</m:t>
                  </m:r>
                </m:sub>
              </m:sSub>
            </m:oMath>
          </w:p>
        </w:tc>
        <w:tc>
          <w:tcPr/>
          <w:p>
            <w:pPr>
              <w:pStyle w:val="Compact"/>
            </w:pPr>
            <w:r>
              <w:t xml:space="preserve">0.0004/km</w:t>
            </w:r>
          </w:p>
        </w:tc>
        <w:tc>
          <w:tcPr/>
          <w:p>
            <w:pPr>
              <w:pStyle w:val="Compact"/>
            </w:pPr>
            <w:r>
              <w:t xml:space="preserve">0.0002-0.0008</w:t>
            </w:r>
          </w:p>
        </w:tc>
        <w:tc>
          <w:tcPr/>
          <w:p>
            <w:pPr>
              <w:pStyle w:val="Compact"/>
            </w:pPr>
            <w:r>
              <w:t xml:space="preserve">Kelly (2013)</w:t>
            </w:r>
          </w:p>
        </w:tc>
      </w:tr>
      <w:tr>
        <w:tc>
          <w:tcPr/>
          <w:p>
            <w:pPr>
              <w:pStyle w:val="Compact"/>
            </w:pPr>
            <w:r>
              <w:t xml:space="preserve">Signal investment</w:t>
            </w:r>
          </w:p>
        </w:tc>
        <w:tc>
          <w:tcPr/>
          <w:p>
            <w:pPr>
              <w:pStyle w:val="Compact"/>
            </w:pPr>
            <m:oMath>
              <m:sSub>
                <m:e>
                  <m:r>
                    <m:t>C</m:t>
                  </m:r>
                </m:e>
                <m:sub>
                  <m:r>
                    <m:t>s</m:t>
                  </m:r>
                  <m:r>
                    <m:t>i</m:t>
                  </m:r>
                  <m:r>
                    <m:t>g</m:t>
                  </m:r>
                  <m:r>
                    <m:t>n</m:t>
                  </m:r>
                  <m:r>
                    <m:t>a</m:t>
                  </m:r>
                  <m:r>
                    <m:t>l</m:t>
                  </m:r>
                </m:sub>
              </m:sSub>
            </m:oMath>
          </w:p>
        </w:tc>
        <w:tc>
          <w:tcPr/>
          <w:p>
            <w:pPr>
              <w:pStyle w:val="Compact"/>
            </w:pPr>
            <w:r>
              <w:t xml:space="preserve">0.18</w:t>
            </w:r>
          </w:p>
        </w:tc>
        <w:tc>
          <w:tcPr/>
          <w:p>
            <w:pPr>
              <w:pStyle w:val="Compact"/>
            </w:pPr>
            <w:r>
              <w:t xml:space="preserve">0.10-0.25</w:t>
            </w:r>
          </w:p>
        </w:tc>
        <w:tc>
          <w:tcPr/>
          <w:p>
            <w:pPr>
              <w:pStyle w:val="Compact"/>
            </w:pPr>
            <w:r>
              <w:t xml:space="preserve">Sherwood &amp; Kidder (2011)</w:t>
            </w:r>
          </w:p>
        </w:tc>
      </w:tr>
      <w:tr>
        <w:tc>
          <w:tcPr/>
          <w:p>
            <w:pPr>
              <w:pStyle w:val="Compact"/>
            </w:pPr>
            <w:r>
              <w:t xml:space="preserve">Opportunity cost</w:t>
            </w:r>
          </w:p>
        </w:tc>
        <w:tc>
          <w:tcPr/>
          <w:p>
            <w:pPr>
              <w:pStyle w:val="Compact"/>
            </w:pPr>
            <m:oMath>
              <m:sSub>
                <m:e>
                  <m:r>
                    <m:t>C</m:t>
                  </m:r>
                </m:e>
                <m:sub>
                  <m:r>
                    <m:t>o</m:t>
                  </m:r>
                  <m:r>
                    <m:t>p</m:t>
                  </m:r>
                  <m:r>
                    <m:t>p</m:t>
                  </m:r>
                  <m:r>
                    <m:t>o</m:t>
                  </m:r>
                  <m:r>
                    <m:t>r</m:t>
                  </m:r>
                  <m:r>
                    <m:t>t</m:t>
                  </m:r>
                  <m:r>
                    <m:t>u</m:t>
                  </m:r>
                  <m:r>
                    <m:t>n</m:t>
                  </m:r>
                  <m:r>
                    <m:t>i</m:t>
                  </m:r>
                  <m:r>
                    <m:t>t</m:t>
                  </m:r>
                  <m:r>
                    <m:t>y</m:t>
                  </m:r>
                </m:sub>
              </m:sSub>
            </m:oMath>
          </w:p>
        </w:tc>
        <w:tc>
          <w:tcPr/>
          <w:p>
            <w:pPr>
              <w:pStyle w:val="Compact"/>
            </w:pPr>
            <w:r>
              <w:t xml:space="preserve">0.12</w:t>
            </w:r>
          </w:p>
        </w:tc>
        <w:tc>
          <w:tcPr/>
          <w:p>
            <w:pPr>
              <w:pStyle w:val="Compact"/>
            </w:pPr>
            <w:r>
              <w:t xml:space="preserve">0.08-0.18</w:t>
            </w:r>
          </w:p>
        </w:tc>
        <w:tc>
          <w:tcPr/>
          <w:p>
            <w:pPr>
              <w:pStyle w:val="Compact"/>
            </w:pPr>
            <w:r>
              <w:t xml:space="preserve">Conkey (1980)</w:t>
            </w:r>
          </w:p>
        </w:tc>
      </w:tr>
      <w:tr>
        <w:tc>
          <w:tcPr/>
          <w:p>
            <w:pPr>
              <w:pStyle w:val="Compact"/>
            </w:pPr>
            <w:r>
              <w:t xml:space="preserve">Buffering efficiency</w:t>
            </w:r>
          </w:p>
        </w:tc>
        <w:tc>
          <w:tcPr/>
          <w:p>
            <w:pPr>
              <w:pStyle w:val="Compact"/>
            </w:pPr>
            <m:oMath>
              <m:r>
                <m:t>γ</m:t>
              </m:r>
            </m:oMath>
          </w:p>
        </w:tc>
        <w:tc>
          <w:tcPr/>
          <w:p>
            <w:pPr>
              <w:pStyle w:val="Compact"/>
            </w:pPr>
            <w:r>
              <w:t xml:space="preserve">0.05</w:t>
            </w:r>
          </w:p>
        </w:tc>
        <w:tc>
          <w:tcPr/>
          <w:p>
            <w:pPr>
              <w:pStyle w:val="Compact"/>
            </w:pPr>
            <w:r>
              <w:t xml:space="preserve">0.03-0.10</w:t>
            </w:r>
          </w:p>
        </w:tc>
        <w:tc>
          <w:tcPr/>
          <w:p>
            <w:pPr>
              <w:pStyle w:val="Compact"/>
            </w:pPr>
            <w:r>
              <w:t xml:space="preserve">Wiessner (2002)</w:t>
            </w:r>
          </w:p>
        </w:tc>
      </w:tr>
      <w:tr>
        <w:tc>
          <w:tcPr/>
          <w:p>
            <w:pPr>
              <w:pStyle w:val="Compact"/>
            </w:pPr>
            <w:r>
              <w:t xml:space="preserve">Baseline degree</w:t>
            </w:r>
          </w:p>
        </w:tc>
        <w:tc>
          <w:tcPr/>
          <w:p>
            <w:pPr>
              <w:pStyle w:val="Compact"/>
            </w:pPr>
            <m:oMath>
              <m:sSub>
                <m:e>
                  <m:r>
                    <m:t>k</m:t>
                  </m:r>
                </m:e>
                <m:sub>
                  <m:r>
                    <m:t>0</m:t>
                  </m:r>
                </m:sub>
              </m:sSub>
            </m:oMath>
          </w:p>
        </w:tc>
        <w:tc>
          <w:tcPr/>
          <w:p>
            <w:pPr>
              <w:pStyle w:val="Compact"/>
            </w:pPr>
            <w:r>
              <w:t xml:space="preserve">0.3</w:t>
            </w:r>
          </w:p>
        </w:tc>
        <w:tc>
          <w:tcPr/>
          <w:p>
            <w:pPr>
              <w:pStyle w:val="Compact"/>
            </w:pPr>
            <w:r>
              <w:t xml:space="preserve">0.1-0.5</w:t>
            </w:r>
          </w:p>
        </w:tc>
        <w:tc>
          <w:tcPr/>
          <w:p>
            <w:pPr>
              <w:pStyle w:val="Compact"/>
            </w:pPr>
            <w:r>
              <w:t xml:space="preserve">ethnographic</w:t>
            </w:r>
          </w:p>
        </w:tc>
      </w:tr>
      <w:tr>
        <w:tc>
          <w:tcPr/>
          <w:p>
            <w:pPr>
              <w:pStyle w:val="Compact"/>
            </w:pPr>
            <w:r>
              <w:t xml:space="preserve">Max degree</w:t>
            </w:r>
          </w:p>
        </w:tc>
        <w:tc>
          <w:tcPr/>
          <w:p>
            <w:pPr>
              <w:pStyle w:val="Compact"/>
            </w:pPr>
            <m:oMath>
              <m:sSub>
                <m:e>
                  <m:r>
                    <m:t>k</m:t>
                  </m:r>
                </m:e>
                <m:sub>
                  <m:r>
                    <m:t>m</m:t>
                  </m:r>
                  <m:r>
                    <m:t>a</m:t>
                  </m:r>
                  <m:r>
                    <m:t>x</m:t>
                  </m:r>
                </m:sub>
              </m:sSub>
            </m:oMath>
          </w:p>
        </w:tc>
        <w:tc>
          <w:tcPr/>
          <w:p>
            <w:pPr>
              <w:pStyle w:val="Compact"/>
            </w:pPr>
            <w:r>
              <w:t xml:space="preserve">6.0</w:t>
            </w:r>
          </w:p>
        </w:tc>
        <w:tc>
          <w:tcPr/>
          <w:p>
            <w:pPr>
              <w:pStyle w:val="Compact"/>
            </w:pPr>
            <w:r>
              <w:t xml:space="preserve">4-10</w:t>
            </w:r>
          </w:p>
        </w:tc>
        <w:tc>
          <w:tcPr/>
          <w:p>
            <w:pPr>
              <w:pStyle w:val="Compact"/>
            </w:pPr>
            <w:r>
              <w:t xml:space="preserve">ethnographic</w:t>
            </w:r>
          </w:p>
        </w:tc>
      </w:tr>
      <w:tr>
        <w:tc>
          <w:tcPr/>
          <w:p>
            <w:pPr>
              <w:pStyle w:val="Compact"/>
            </w:pPr>
            <w:r>
              <w:t xml:space="preserve">Half-saturation</w:t>
            </w:r>
          </w:p>
        </w:tc>
        <w:tc>
          <w:tcPr/>
          <w:p>
            <w:pPr>
              <w:pStyle w:val="Compact"/>
            </w:pPr>
            <m:oMath>
              <m:sSub>
                <m:e>
                  <m:r>
                    <m:t>M</m:t>
                  </m:r>
                </m:e>
                <m:sub>
                  <m:r>
                    <m:t>h</m:t>
                  </m:r>
                  <m:r>
                    <m:t>a</m:t>
                  </m:r>
                  <m:r>
                    <m:t>l</m:t>
                  </m:r>
                  <m:r>
                    <m:t>f</m:t>
                  </m:r>
                </m:sub>
              </m:sSub>
            </m:oMath>
          </w:p>
        </w:tc>
        <w:tc>
          <w:tcPr/>
          <w:p>
            <w:pPr>
              <w:pStyle w:val="Compact"/>
            </w:pPr>
            <w:r>
              <w:t xml:space="preserve">2.5</w:t>
            </w:r>
          </w:p>
        </w:tc>
        <w:tc>
          <w:tcPr/>
          <w:p>
            <w:pPr>
              <w:pStyle w:val="Compact"/>
            </w:pPr>
            <w:r>
              <w:t xml:space="preserve">1-5</w:t>
            </w:r>
          </w:p>
        </w:tc>
        <w:tc>
          <w:tcPr/>
          <w:p>
            <w:pPr>
              <w:pStyle w:val="Compact"/>
            </w:pPr>
            <w:r>
              <w:t xml:space="preserve">model fit</w:t>
            </w:r>
          </w:p>
        </w:tc>
      </w:tr>
      <w:tr>
        <w:tc>
          <w:tcPr/>
          <w:p>
            <w:pPr>
              <w:pStyle w:val="Compact"/>
            </w:pPr>
            <w:r>
              <w:t xml:space="preserve">Aggregation fraction</w:t>
            </w:r>
          </w:p>
        </w:tc>
        <w:tc>
          <w:tcPr/>
          <w:p>
            <w:pPr>
              <w:pStyle w:val="Compact"/>
            </w:pPr>
            <m:oMath>
              <m:sSub>
                <m:e>
                  <m:r>
                    <m:t>f</m:t>
                  </m:r>
                </m:e>
                <m:sub>
                  <m:r>
                    <m:t>a</m:t>
                  </m:r>
                  <m:r>
                    <m:t>g</m:t>
                  </m:r>
                  <m:r>
                    <m:t>g</m:t>
                  </m:r>
                </m:sub>
              </m:sSub>
            </m:oMath>
          </w:p>
        </w:tc>
        <w:tc>
          <w:tcPr/>
          <w:p>
            <w:pPr>
              <w:pStyle w:val="Compact"/>
            </w:pPr>
            <w:r>
              <w:t xml:space="preserve">0.25</w:t>
            </w:r>
          </w:p>
        </w:tc>
        <w:tc>
          <w:tcPr/>
          <w:p>
            <w:pPr>
              <w:pStyle w:val="Compact"/>
            </w:pPr>
            <w:r>
              <w:t xml:space="preserve">0.15-0.35</w:t>
            </w:r>
          </w:p>
        </w:tc>
        <w:tc>
          <w:tcPr/>
          <w:p>
            <w:pPr>
              <w:pStyle w:val="Compact"/>
            </w:pPr>
            <w:r>
              <w:t xml:space="preserve">seasonal cycle</w:t>
            </w:r>
          </w:p>
        </w:tc>
      </w:tr>
      <w:tr>
        <w:tc>
          <w:tcPr/>
          <w:p>
            <w:pPr>
              <w:pStyle w:val="Compact"/>
            </w:pPr>
            <w:r>
              <w:t xml:space="preserve">Network decay</w:t>
            </w:r>
          </w:p>
        </w:tc>
        <w:tc>
          <w:tcPr/>
          <w:p>
            <w:pPr>
              <w:pStyle w:val="Compact"/>
            </w:pPr>
            <m:oMath>
              <m:sSub>
                <m:e>
                  <m:r>
                    <m:t>δ</m:t>
                  </m:r>
                </m:e>
                <m:sub>
                  <m:r>
                    <m:t>n</m:t>
                  </m:r>
                  <m:r>
                    <m:t>e</m:t>
                  </m:r>
                  <m:r>
                    <m:t>t</m:t>
                  </m:r>
                </m:sub>
              </m:sSub>
            </m:oMath>
          </w:p>
        </w:tc>
        <w:tc>
          <w:tcPr/>
          <w:p>
            <w:pPr>
              <w:pStyle w:val="Compact"/>
            </w:pPr>
            <w:r>
              <w:t xml:space="preserve">0.40</w:t>
            </w:r>
          </w:p>
        </w:tc>
        <w:tc>
          <w:tcPr/>
          <w:p>
            <w:pPr>
              <w:pStyle w:val="Compact"/>
            </w:pPr>
            <w:r>
              <w:t xml:space="preserve">0.20-0.60</w:t>
            </w:r>
          </w:p>
        </w:tc>
        <w:tc>
          <w:tcPr/>
          <w:p>
            <w:pPr>
              <w:pStyle w:val="Compact"/>
            </w:pPr>
            <w:r>
              <w:t xml:space="preserve">ethnographic</w:t>
            </w:r>
          </w:p>
        </w:tc>
      </w:tr>
      <w:tr>
        <w:tc>
          <w:tcPr/>
          <w:p>
            <w:pPr>
              <w:pStyle w:val="Compact"/>
            </w:pPr>
            <w:r>
              <w:t xml:space="preserve">Within-group signal</w:t>
            </w:r>
          </w:p>
        </w:tc>
        <w:tc>
          <w:tcPr/>
          <w:p>
            <w:pPr>
              <w:pStyle w:val="Compact"/>
            </w:pPr>
            <m:oMath>
              <m:sSub>
                <m:e>
                  <m:r>
                    <m:t>λ</m:t>
                  </m:r>
                </m:e>
                <m:sub>
                  <m:r>
                    <m:t>W</m:t>
                  </m:r>
                </m:sub>
              </m:sSub>
            </m:oMath>
          </w:p>
        </w:tc>
        <w:tc>
          <w:tcPr/>
          <w:p>
            <w:pPr>
              <w:pStyle w:val="Compact"/>
            </w:pPr>
            <w:r>
              <w:t xml:space="preserve">0.15</w:t>
            </w:r>
          </w:p>
        </w:tc>
        <w:tc>
          <w:tcPr/>
          <w:p>
            <w:pPr>
              <w:pStyle w:val="Compact"/>
            </w:pPr>
            <w:r>
              <w:t xml:space="preserve">0.05-0.30</w:t>
            </w:r>
          </w:p>
        </w:tc>
        <w:tc>
          <w:tcPr/>
          <w:p>
            <w:pPr>
              <w:pStyle w:val="Compact"/>
            </w:pPr>
            <w:r>
              <w:t xml:space="preserve">Hawkes 2000; Wiessner 2002; Hawkes &amp; Bliege Bird 2002</w:t>
            </w:r>
          </w:p>
        </w:tc>
      </w:tr>
      <w:tr>
        <w:tc>
          <w:tcPr/>
          <w:p>
            <w:pPr>
              <w:pStyle w:val="Compact"/>
            </w:pPr>
            <w:r>
              <w:t xml:space="preserve">Quality min</w:t>
            </w:r>
          </w:p>
        </w:tc>
        <w:tc>
          <w:tcPr/>
          <w:p>
            <w:pPr>
              <w:pStyle w:val="Compact"/>
            </w:pPr>
            <m:oMath>
              <m:sSub>
                <m:e>
                  <m:r>
                    <m:t>q</m:t>
                  </m:r>
                </m:e>
                <m:sub>
                  <m:r>
                    <m:t>m</m:t>
                  </m:r>
                  <m:r>
                    <m:t>i</m:t>
                  </m:r>
                  <m:r>
                    <m:t>n</m:t>
                  </m:r>
                </m:sub>
              </m:sSub>
            </m:oMath>
          </w:p>
        </w:tc>
        <w:tc>
          <w:tcPr/>
          <w:p>
            <w:pPr>
              <w:pStyle w:val="Compact"/>
            </w:pPr>
            <w:r>
              <w:t xml:space="preserve">0.2</w:t>
            </w:r>
          </w:p>
        </w:tc>
        <w:tc>
          <w:tcPr/>
          <w:p>
            <w:pPr>
              <w:pStyle w:val="Compact"/>
            </w:pPr>
            <w:r>
              <w:t xml:space="preserve">0.1-0.4</w:t>
            </w:r>
          </w:p>
        </w:tc>
        <w:tc>
          <w:tcPr/>
          <w:p>
            <w:pPr>
              <w:pStyle w:val="Compact"/>
            </w:pPr>
            <w:r>
              <w:t xml:space="preserve">hunter-gatherer return-rate variation (Hadza, Ju/’hoansi)</w:t>
            </w:r>
          </w:p>
        </w:tc>
      </w:tr>
      <w:tr>
        <w:tc>
          <w:tcPr/>
          <w:p>
            <w:pPr>
              <w:pStyle w:val="Compact"/>
            </w:pPr>
            <w:r>
              <w:t xml:space="preserve">Quality max</w:t>
            </w:r>
          </w:p>
        </w:tc>
        <w:tc>
          <w:tcPr/>
          <w:p>
            <w:pPr>
              <w:pStyle w:val="Compact"/>
            </w:pPr>
            <m:oMath>
              <m:sSub>
                <m:e>
                  <m:r>
                    <m:t>q</m:t>
                  </m:r>
                </m:e>
                <m:sub>
                  <m:r>
                    <m:t>m</m:t>
                  </m:r>
                  <m:r>
                    <m:t>a</m:t>
                  </m:r>
                  <m:r>
                    <m:t>x</m:t>
                  </m:r>
                </m:sub>
              </m:sSub>
            </m:oMath>
          </w:p>
        </w:tc>
        <w:tc>
          <w:tcPr/>
          <w:p>
            <w:pPr>
              <w:pStyle w:val="Compact"/>
            </w:pPr>
            <w:r>
              <w:t xml:space="preserve">2.0</w:t>
            </w:r>
          </w:p>
        </w:tc>
        <w:tc>
          <w:tcPr/>
          <w:p>
            <w:pPr>
              <w:pStyle w:val="Compact"/>
            </w:pPr>
            <w:r>
              <w:t xml:space="preserve">1.5-2.5</w:t>
            </w:r>
          </w:p>
        </w:tc>
        <w:tc>
          <w:tcPr/>
          <w:p>
            <w:pPr>
              <w:pStyle w:val="Compact"/>
            </w:pPr>
            <w:r>
              <w:t xml:space="preserve">hunter-gatherer return-rate variation (Hadza, Ju/’hoansi)</w:t>
            </w:r>
          </w:p>
        </w:tc>
      </w:tr>
      <w:tr>
        <w:tc>
          <w:tcPr/>
          <w:p>
            <w:pPr>
              <w:pStyle w:val="Compact"/>
            </w:pPr>
            <w:r>
              <w:t xml:space="preserve">Conflict prob</w:t>
            </w:r>
          </w:p>
        </w:tc>
        <w:tc>
          <w:tcPr/>
          <w:p>
            <w:pPr>
              <w:pStyle w:val="Compact"/>
            </w:pPr>
            <m:oMath>
              <m:sSub>
                <m:e>
                  <m:r>
                    <m:t>P</m:t>
                  </m:r>
                </m:e>
                <m:sub>
                  <m:r>
                    <m:t>b</m:t>
                  </m:r>
                  <m:r>
                    <m:t>a</m:t>
                  </m:r>
                  <m:r>
                    <m:t>s</m:t>
                  </m:r>
                  <m:r>
                    <m:t>e</m:t>
                  </m:r>
                </m:sub>
              </m:sSub>
            </m:oMath>
          </w:p>
        </w:tc>
        <w:tc>
          <w:tcPr/>
          <w:p>
            <w:pPr>
              <w:pStyle w:val="Compact"/>
            </w:pPr>
            <w:r>
              <w:t xml:space="preserve">0.008</w:t>
            </w:r>
          </w:p>
        </w:tc>
        <w:tc>
          <w:tcPr/>
          <w:p>
            <w:pPr>
              <w:pStyle w:val="Compact"/>
            </w:pPr>
            <w:r>
              <w:t xml:space="preserve">0.004-0.020</w:t>
            </w:r>
          </w:p>
        </w:tc>
        <w:tc>
          <w:tcPr/>
          <w:p>
            <w:pPr>
              <w:pStyle w:val="Compact"/>
            </w:pPr>
            <w:r>
              <w:t xml:space="preserve">ethnographic</w:t>
            </w:r>
          </w:p>
        </w:tc>
      </w:tr>
      <w:tr>
        <w:tc>
          <w:tcPr/>
          <w:p>
            <w:pPr>
              <w:pStyle w:val="Compact"/>
            </w:pPr>
            <w:r>
              <w:t xml:space="preserve">Conflict mortality</w:t>
            </w:r>
          </w:p>
        </w:tc>
        <w:tc>
          <w:tcPr/>
          <w:p>
            <w:pPr>
              <w:pStyle w:val="Compact"/>
            </w:pPr>
            <m:oMath>
              <m:r>
                <m:t>m</m:t>
              </m:r>
            </m:oMath>
          </w:p>
        </w:tc>
        <w:tc>
          <w:tcPr/>
          <w:p>
            <w:pPr>
              <w:pStyle w:val="Compact"/>
            </w:pPr>
            <w:r>
              <w:t xml:space="preserve">0.08</w:t>
            </w:r>
          </w:p>
        </w:tc>
        <w:tc>
          <w:tcPr/>
          <w:p>
            <w:pPr>
              <w:pStyle w:val="Compact"/>
            </w:pPr>
            <w:r>
              <w:t xml:space="preserve">0.04-0.15</w:t>
            </w:r>
          </w:p>
        </w:tc>
        <w:tc>
          <w:tcPr/>
          <w:p>
            <w:pPr>
              <w:pStyle w:val="Compact"/>
            </w:pPr>
            <w:r>
              <w:t xml:space="preserve">ethnographic</w:t>
            </w:r>
          </w:p>
        </w:tc>
      </w:tr>
      <w:tr>
        <w:tc>
          <w:tcPr/>
          <w:p>
            <w:pPr>
              <w:pStyle w:val="Compact"/>
            </w:pPr>
            <w:r>
              <w:t xml:space="preserve">Monument depreciation</w:t>
            </w:r>
          </w:p>
        </w:tc>
        <w:tc>
          <w:tcPr/>
          <w:p>
            <w:pPr>
              <w:pStyle w:val="Compact"/>
            </w:pPr>
            <m:oMath>
              <m:r>
                <m:t>δ</m:t>
              </m:r>
            </m:oMath>
          </w:p>
        </w:tc>
        <w:tc>
          <w:tcPr/>
          <w:p>
            <w:pPr>
              <w:pStyle w:val="Compact"/>
            </w:pPr>
            <w:r>
              <w:t xml:space="preserve">0.08</w:t>
            </w:r>
          </w:p>
        </w:tc>
        <w:tc>
          <w:tcPr/>
          <w:p>
            <w:pPr>
              <w:pStyle w:val="Compact"/>
            </w:pPr>
            <w:r>
              <w:t xml:space="preserve">0.04-0.16</w:t>
            </w:r>
          </w:p>
        </w:tc>
        <w:tc>
          <w:tcPr/>
          <w:p>
            <w:pPr>
              <w:pStyle w:val="Compact"/>
            </w:pPr>
            <w:r>
              <w:t xml:space="preserve">weathering rate</w:t>
            </w:r>
          </w:p>
        </w:tc>
      </w:tr>
      <w:tr>
        <w:tc>
          <w:tcPr/>
          <w:p>
            <w:pPr>
              <w:pStyle w:val="Compact"/>
            </w:pPr>
            <w:r>
              <w:t xml:space="preserve">Ecotone advantage</w:t>
            </w:r>
          </w:p>
        </w:tc>
        <w:tc>
          <w:tcPr/>
          <w:p>
            <w:pPr>
              <w:pStyle w:val="Compact"/>
            </w:pPr>
            <m:oMath>
              <m:r>
                <m:t>ε</m:t>
              </m:r>
            </m:oMath>
          </w:p>
        </w:tc>
        <w:tc>
          <w:tcPr/>
          <w:p>
            <w:pPr>
              <w:pStyle w:val="Compact"/>
            </w:pPr>
            <w:r>
              <w:t xml:space="preserve">0.35</w:t>
            </w:r>
          </w:p>
        </w:tc>
        <w:tc>
          <w:tcPr/>
          <w:p>
            <w:pPr>
              <w:pStyle w:val="Compact"/>
            </w:pPr>
            <w:r>
              <w:t xml:space="preserve">0-0.50</w:t>
            </w:r>
          </w:p>
        </w:tc>
        <w:tc>
          <w:tcPr/>
          <w:p>
            <w:pPr>
              <w:pStyle w:val="Compact"/>
            </w:pPr>
            <w:r>
              <w:t xml:space="preserve">qualitative</w:t>
            </w:r>
          </w:p>
        </w:tc>
      </w:tr>
    </w:tbl>
    <w:p>
      <w:r>
        <w:pict>
          <v:rect style="width:0;height:1.5pt" o:hralign="center" o:hrstd="t" o:hr="t"/>
        </w:pict>
      </w:r>
    </w:p>
    <w:bookmarkEnd w:id="22"/>
    <w:bookmarkEnd w:id="23"/>
    <w:bookmarkStart w:id="36" w:name="s3.-sensitivity-analyses"/>
    <w:p>
      <w:pPr>
        <w:pStyle w:val="Heading2"/>
      </w:pPr>
      <w:r>
        <w:t xml:space="preserve">S3. Sensitivity Analyses</w:t>
      </w:r>
    </w:p>
    <w:bookmarkStart w:id="30" w:name="s3.1-one-at-a-time-oat-tornado-plot"/>
    <w:p>
      <w:pPr>
        <w:pStyle w:val="Heading3"/>
      </w:pPr>
      <w:r>
        <w:t xml:space="preserve">S3.1 One-at-a-time (OAT) tornado plot</w:t>
      </w:r>
    </w:p>
    <w:p>
      <w:pPr>
        <w:pStyle w:val="FirstParagraph"/>
      </w:pPr>
      <w:r>
        <w:t xml:space="preserve">We performed an OAT sensitivity analysis varying each parameter in turn within its plausible range while holding the others at default. The critical threshold</w:t>
      </w:r>
      <w:r>
        <w:t xml:space="preserve"> </w:t>
      </w:r>
      <m:oMath>
        <m:sSup>
          <m:e>
            <m:r>
              <m:t>σ</m:t>
            </m:r>
          </m:e>
          <m:sup>
            <m:r>
              <m:rPr>
                <m:sty m:val="p"/>
              </m:rPr>
              <m:t>*</m:t>
            </m:r>
          </m:sup>
        </m:sSup>
      </m:oMath>
      <w:r>
        <w:t xml:space="preserve"> </w:t>
      </w:r>
      <w:r>
        <w:t xml:space="preserve">is most sensitive to aggregation costs (</w:t>
      </w:r>
      <m:oMath>
        <m:sSub>
          <m:e>
            <m:r>
              <m:t>C</m:t>
            </m:r>
          </m:e>
          <m:sub>
            <m:r>
              <m:t>s</m:t>
            </m:r>
            <m:r>
              <m:t>i</m:t>
            </m:r>
            <m:r>
              <m:t>g</m:t>
            </m:r>
            <m:r>
              <m:t>n</m:t>
            </m:r>
            <m:r>
              <m:t>a</m:t>
            </m:r>
            <m:r>
              <m:t>l</m:t>
            </m:r>
          </m:sub>
        </m:sSub>
      </m:oMath>
      <w:r>
        <w:t xml:space="preserve">,</w:t>
      </w:r>
      <w:r>
        <w:t xml:space="preserve"> </w:t>
      </w:r>
      <m:oMath>
        <m:sSub>
          <m:e>
            <m:r>
              <m:t>C</m:t>
            </m:r>
          </m:e>
          <m:sub>
            <m:r>
              <m:t>o</m:t>
            </m:r>
            <m:r>
              <m:t>p</m:t>
            </m:r>
            <m:r>
              <m:t>p</m:t>
            </m:r>
            <m:r>
              <m:t>o</m:t>
            </m:r>
            <m:r>
              <m:t>r</m:t>
            </m:r>
            <m:r>
              <m:t>t</m:t>
            </m:r>
            <m:r>
              <m:t>u</m:t>
            </m:r>
            <m:r>
              <m:t>n</m:t>
            </m:r>
            <m:r>
              <m:t>i</m:t>
            </m:r>
            <m:r>
              <m:t>t</m:t>
            </m:r>
            <m:r>
              <m:t>y</m:t>
            </m:r>
          </m:sub>
        </m:sSub>
      </m:oMath>
      <w:r>
        <w:t xml:space="preserve">,</w:t>
      </w:r>
      <w:r>
        <w:t xml:space="preserve"> </w:t>
      </w:r>
      <m:oMath>
        <m:sSub>
          <m:e>
            <m:r>
              <m:t>C</m:t>
            </m:r>
          </m:e>
          <m:sub>
            <m:r>
              <m:t>t</m:t>
            </m:r>
            <m:r>
              <m:t>r</m:t>
            </m:r>
            <m:r>
              <m:t>a</m:t>
            </m:r>
            <m:r>
              <m:t>v</m:t>
            </m:r>
            <m:r>
              <m:t>e</m:t>
            </m:r>
            <m:r>
              <m:t>l</m:t>
            </m:r>
          </m:sub>
        </m:sSub>
      </m:oMath>
      <w:r>
        <w:t xml:space="preserve">) and within-group signaling rewards (</w:t>
      </w:r>
      <m:oMath>
        <m:sSub>
          <m:e>
            <m:r>
              <m:t>λ</m:t>
            </m:r>
          </m:e>
          <m:sub>
            <m:r>
              <m:t>W</m:t>
            </m:r>
          </m:sub>
        </m:sSub>
      </m:oMath>
      <w:r>
        <w:t xml:space="preserve">); moderately sensitive to quality range (</w:t>
      </w:r>
      <m:oMath>
        <m:sSub>
          <m:e>
            <m:r>
              <m:t>q</m:t>
            </m:r>
          </m:e>
          <m:sub>
            <m:r>
              <m:t>m</m:t>
            </m:r>
            <m:r>
              <m:t>i</m:t>
            </m:r>
            <m:r>
              <m:t>n</m:t>
            </m:r>
          </m:sub>
        </m:sSub>
      </m:oMath>
      <w:r>
        <w:t xml:space="preserve">,</w:t>
      </w:r>
      <w:r>
        <w:t xml:space="preserve"> </w:t>
      </w:r>
      <m:oMath>
        <m:sSub>
          <m:e>
            <m:r>
              <m:t>q</m:t>
            </m:r>
          </m:e>
          <m:sub>
            <m:r>
              <m:t>m</m:t>
            </m:r>
            <m:r>
              <m:t>a</m:t>
            </m:r>
            <m:r>
              <m:t>x</m:t>
            </m:r>
          </m:sub>
        </m:sSub>
      </m:oMath>
      <w:r>
        <w:t xml:space="preserve">) and maximum network degree (</w:t>
      </w:r>
      <m:oMath>
        <m:sSub>
          <m:e>
            <m:r>
              <m:t>k</m:t>
            </m:r>
          </m:e>
          <m:sub>
            <m:r>
              <m:t>m</m:t>
            </m:r>
            <m:r>
              <m:t>a</m:t>
            </m:r>
            <m:r>
              <m:t>x</m:t>
            </m:r>
          </m:sub>
        </m:sSub>
      </m:oMath>
      <w:r>
        <w:t xml:space="preserve">); and insensitive to monument depreciation (</w:t>
      </w:r>
      <m:oMath>
        <m:r>
          <m:t>δ</m:t>
        </m:r>
      </m:oMath>
      <w:r>
        <w:t xml:space="preserve">), conflict parameters (</w:t>
      </w:r>
      <m:oMath>
        <m:sSub>
          <m:e>
            <m:r>
              <m:t>P</m:t>
            </m:r>
          </m:e>
          <m:sub>
            <m:r>
              <m:t>b</m:t>
            </m:r>
            <m:r>
              <m:t>a</m:t>
            </m:r>
            <m:r>
              <m:t>s</m:t>
            </m:r>
            <m:r>
              <m:t>e</m:t>
            </m:r>
          </m:sub>
        </m:sSub>
      </m:oMath>
      <w:r>
        <w:t xml:space="preserve">), and the half-saturation constant (</w:t>
      </w:r>
      <m:oMath>
        <m:sSub>
          <m:e>
            <m:r>
              <m:t>M</m:t>
            </m:r>
          </m:e>
          <m:sub>
            <m:r>
              <m:t>h</m:t>
            </m:r>
            <m:r>
              <m:t>a</m:t>
            </m:r>
            <m:r>
              <m:t>l</m:t>
            </m:r>
            <m:r>
              <m:t>f</m:t>
            </m:r>
          </m:sub>
        </m:sSub>
      </m:oMath>
      <w:r>
        <w:t xml:space="preserve">). Initial values of</w:t>
      </w:r>
      <w:r>
        <w:t xml:space="preserve"> </w:t>
      </w:r>
      <m:oMath>
        <m:sSub>
          <m:e>
            <m:r>
              <m:t>λ</m:t>
            </m:r>
          </m:e>
          <m:sub>
            <m:r>
              <m:t>C</m:t>
            </m:r>
          </m:sub>
        </m:sSub>
      </m:oMath>
      <w:r>
        <w:t xml:space="preserve"> </w:t>
      </w:r>
      <w:r>
        <w:t xml:space="preserve">and</w:t>
      </w:r>
      <w:r>
        <w:t xml:space="preserve"> </w:t>
      </w:r>
      <m:oMath>
        <m:sSub>
          <m:e>
            <m:r>
              <m:t>λ</m:t>
            </m:r>
          </m:e>
          <m:sub>
            <m:r>
              <m:t>X</m:t>
            </m:r>
          </m:sub>
        </m:sSub>
      </m:oMath>
      <w:r>
        <w:t xml:space="preserve"> </w:t>
      </w:r>
      <w:r>
        <w:t xml:space="preserve">have zero sensitivity because they are endogenously determined by the lambda-sigma feedback loop.</w:t>
      </w:r>
    </w:p>
    <w:p>
      <w:pPr>
        <w:pStyle w:val="BodyText"/>
      </w:pPr>
      <w:r>
        <w:t xml:space="preserve">The numerical OAT table below is reproducible from</w:t>
      </w:r>
      <w:r>
        <w:t xml:space="preserve"> </w:t>
      </w:r>
      <w:r>
        <w:rPr>
          <w:rStyle w:val="VerbatimChar"/>
        </w:rPr>
        <w:t xml:space="preserve">scripts/analysis/oat_sensitivity_table.py</w:t>
      </w:r>
      <w:r>
        <w:t xml:space="preserve">. Baseline</w:t>
      </w:r>
      <w:r>
        <w:t xml:space="preserve"> </w:t>
      </w:r>
      <m:oMath>
        <m:sSup>
          <m:e>
            <m:r>
              <m:t>σ</m:t>
            </m:r>
          </m:e>
          <m:sup>
            <m:r>
              <m:rPr>
                <m:sty m:val="p"/>
              </m:rPr>
              <m:t>*</m:t>
            </m:r>
          </m:sup>
        </m:sSup>
        <m:r>
          <m:rPr>
            <m:sty m:val="p"/>
          </m:rPr>
          <m:t>=</m:t>
        </m:r>
        <m:r>
          <m:t>0.3997</m:t>
        </m:r>
      </m:oMath>
      <w:r>
        <w:t xml:space="preserve"> </w:t>
      </w:r>
      <w:r>
        <w:t xml:space="preserve">at</w:t>
      </w:r>
      <w:r>
        <w:t xml:space="preserve"> </w:t>
      </w:r>
      <m:oMath>
        <m:r>
          <m:t>ε</m:t>
        </m:r>
        <m:r>
          <m:rPr>
            <m:sty m:val="p"/>
          </m:rPr>
          <m:t>=</m:t>
        </m:r>
        <m:r>
          <m:t>0.35</m:t>
        </m:r>
      </m:oMath>
      <w:r>
        <w:t xml:space="preserve"> </w:t>
      </w:r>
      <w:r>
        <w:t xml:space="preserve">and</w:t>
      </w:r>
      <w:r>
        <w:t xml:space="preserve"> </w:t>
      </w:r>
      <m:oMath>
        <m:sSub>
          <m:e>
            <m:r>
              <m:t>n</m:t>
            </m:r>
          </m:e>
          <m:sub>
            <m:r>
              <m:t>a</m:t>
            </m:r>
            <m:r>
              <m:t>g</m:t>
            </m:r>
            <m:r>
              <m:t>g</m:t>
            </m:r>
          </m:sub>
        </m:sSub>
        <m:r>
          <m:rPr>
            <m:sty m:val="p"/>
          </m:rPr>
          <m:t>=</m:t>
        </m:r>
        <m:r>
          <m:t>25</m:t>
        </m:r>
      </m:oMath>
      <w:r>
        <w:t xml:space="preserve">. Each multiplicative perturbation rescales the parameter by</w:t>
      </w:r>
      <w:r>
        <w:t xml:space="preserve"> </w:t>
      </w:r>
      <m:oMath>
        <m:r>
          <m:rPr>
            <m:sty m:val="p"/>
          </m:rPr>
          <m:t>±</m:t>
        </m:r>
        <m:r>
          <m:t>50</m:t>
        </m:r>
        <m:r>
          <m:rPr>
            <m:sty m:val="p"/>
          </m:rPr>
          <m:t>%</m:t>
        </m:r>
      </m:oMath>
      <w:r>
        <w:t xml:space="preserve"> </w:t>
      </w:r>
      <w:r>
        <w:t xml:space="preserve">relative to its default; epsilon and</w:t>
      </w:r>
      <w:r>
        <w:t xml:space="preserve"> </w:t>
      </w:r>
      <m:oMath>
        <m:sSub>
          <m:e>
            <m:r>
              <m:t>n</m:t>
            </m:r>
          </m:e>
          <m:sub>
            <m:r>
              <m:t>a</m:t>
            </m:r>
            <m:r>
              <m:t>g</m:t>
            </m:r>
            <m:r>
              <m:t>g</m:t>
            </m:r>
          </m:sub>
        </m:sSub>
      </m:oMath>
      <w:r>
        <w:t xml:space="preserve"> </w:t>
      </w:r>
      <w:r>
        <w:t xml:space="preserve">rows show absolute-value perturbations. Rows are sorted by swing (</w:t>
      </w:r>
      <m:oMath>
        <m:r>
          <m:rPr>
            <m:sty m:val="p"/>
          </m:rPr>
          <m:t>|</m:t>
        </m:r>
        <m:sSubSup>
          <m:e>
            <m:r>
              <m:t>σ</m:t>
            </m:r>
          </m:e>
          <m:sub>
            <m:r>
              <m:t>h</m:t>
            </m:r>
            <m:r>
              <m:t>i</m:t>
            </m:r>
            <m:r>
              <m:t>g</m:t>
            </m:r>
            <m:r>
              <m:t>h</m:t>
            </m:r>
          </m:sub>
          <m:sup>
            <m:r>
              <m:rPr>
                <m:sty m:val="p"/>
              </m:rPr>
              <m:t>*</m:t>
            </m:r>
          </m:sup>
        </m:sSubSup>
        <m:r>
          <m:rPr>
            <m:sty m:val="p"/>
          </m:rPr>
          <m:t>−</m:t>
        </m:r>
        <m:sSubSup>
          <m:e>
            <m:r>
              <m:t>σ</m:t>
            </m:r>
          </m:e>
          <m:sub>
            <m:r>
              <m:t>l</m:t>
            </m:r>
            <m:r>
              <m:t>o</m:t>
            </m:r>
            <m:r>
              <m:t>w</m:t>
            </m:r>
          </m:sub>
          <m:sup>
            <m:r>
              <m:rPr>
                <m:sty m:val="p"/>
              </m:rPr>
              <m:t>*</m:t>
            </m:r>
          </m:sup>
        </m:sSubSup>
        <m:r>
          <m:rPr>
            <m:sty m:val="p"/>
          </m:rPr>
          <m:t>|</m:t>
        </m:r>
      </m:oMath>
      <w:r>
        <w:t xml:space="preserve">) descending.</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Parameter</w:t>
            </w:r>
          </w:p>
        </w:tc>
        <w:tc>
          <w:tcPr/>
          <w:p>
            <w:pPr>
              <w:pStyle w:val="Compact"/>
            </w:pPr>
            <w:r>
              <w:t xml:space="preserve">Low value</w:t>
            </w:r>
          </w:p>
        </w:tc>
        <w:tc>
          <w:tcPr/>
          <w:p>
            <w:pPr>
              <w:pStyle w:val="Compact"/>
            </w:pPr>
            <m:oMath>
              <m:sSup>
                <m:e>
                  <m:r>
                    <m:t>σ</m:t>
                  </m:r>
                </m:e>
                <m:sup>
                  <m:r>
                    <m:rPr>
                      <m:sty m:val="p"/>
                    </m:rPr>
                    <m:t>*</m:t>
                  </m:r>
                </m:sup>
              </m:sSup>
            </m:oMath>
            <w:r>
              <w:t xml:space="preserve"> </w:t>
            </w:r>
            <w:r>
              <w:t xml:space="preserve">at low</w:t>
            </w:r>
          </w:p>
        </w:tc>
        <w:tc>
          <w:tcPr/>
          <w:p>
            <w:pPr>
              <w:pStyle w:val="Compact"/>
            </w:pPr>
            <w:r>
              <w:t xml:space="preserve">High value</w:t>
            </w:r>
          </w:p>
        </w:tc>
        <w:tc>
          <w:tcPr/>
          <w:p>
            <w:pPr>
              <w:pStyle w:val="Compact"/>
            </w:pPr>
            <m:oMath>
              <m:sSup>
                <m:e>
                  <m:r>
                    <m:t>σ</m:t>
                  </m:r>
                </m:e>
                <m:sup>
                  <m:r>
                    <m:rPr>
                      <m:sty m:val="p"/>
                    </m:rPr>
                    <m:t>*</m:t>
                  </m:r>
                </m:sup>
              </m:sSup>
            </m:oMath>
            <w:r>
              <w:t xml:space="preserve"> </w:t>
            </w:r>
            <w:r>
              <w:t xml:space="preserve">at high</w:t>
            </w:r>
          </w:p>
        </w:tc>
        <w:tc>
          <w:tcPr/>
          <w:p>
            <w:pPr>
              <w:pStyle w:val="Compact"/>
            </w:pPr>
            <m:oMath>
              <m:sSub>
                <m:e>
                  <m:r>
                    <m:rPr>
                      <m:sty m:val="p"/>
                    </m:rPr>
                    <m:t>Δ</m:t>
                  </m:r>
                </m:e>
                <m:sub>
                  <m:r>
                    <m:t>l</m:t>
                  </m:r>
                  <m:r>
                    <m:t>o</m:t>
                  </m:r>
                  <m:r>
                    <m:t>w</m:t>
                  </m:r>
                </m:sub>
              </m:sSub>
            </m:oMath>
          </w:p>
        </w:tc>
        <w:tc>
          <w:tcPr/>
          <w:p>
            <w:pPr>
              <w:pStyle w:val="Compact"/>
            </w:pPr>
            <m:oMath>
              <m:sSub>
                <m:e>
                  <m:r>
                    <m:rPr>
                      <m:sty m:val="p"/>
                    </m:rPr>
                    <m:t>Δ</m:t>
                  </m:r>
                </m:e>
                <m:sub>
                  <m:r>
                    <m:t>h</m:t>
                  </m:r>
                  <m:r>
                    <m:t>i</m:t>
                  </m:r>
                  <m:r>
                    <m:t>g</m:t>
                  </m:r>
                  <m:r>
                    <m:t>h</m:t>
                  </m:r>
                </m:sub>
              </m:sSub>
            </m:oMath>
          </w:p>
        </w:tc>
        <w:tc>
          <w:tcPr/>
          <w:p>
            <w:pPr>
              <w:pStyle w:val="Compact"/>
            </w:pPr>
            <w:r>
              <w:t xml:space="preserve">Swing</w:t>
            </w:r>
          </w:p>
        </w:tc>
      </w:tr>
      <w:tr>
        <w:tc>
          <w:tcPr/>
          <w:p>
            <w:pPr>
              <w:pStyle w:val="Compact"/>
            </w:pPr>
            <m:oMath>
              <m:sSub>
                <m:e>
                  <m:r>
                    <m:t>C</m:t>
                  </m:r>
                </m:e>
                <m:sub>
                  <m:r>
                    <m:t>s</m:t>
                  </m:r>
                  <m:r>
                    <m:t>i</m:t>
                  </m:r>
                  <m:r>
                    <m:t>g</m:t>
                  </m:r>
                  <m:r>
                    <m:t>n</m:t>
                  </m:r>
                  <m:r>
                    <m:t>a</m:t>
                  </m:r>
                  <m:r>
                    <m:t>l</m:t>
                  </m:r>
                </m:sub>
              </m:sSub>
            </m:oMath>
            <w:r>
              <w:t xml:space="preserve"> </w:t>
            </w:r>
            <w:r>
              <w:t xml:space="preserve">(signaling cost)</w:t>
            </w:r>
          </w:p>
        </w:tc>
        <w:tc>
          <w:tcPr/>
          <w:p>
            <w:pPr>
              <w:pStyle w:val="Compact"/>
            </w:pPr>
            <m:oMath>
              <m:r>
                <m:rPr>
                  <m:sty m:val="p"/>
                </m:rPr>
                <m:t>−</m:t>
              </m:r>
              <m:r>
                <m:t>50</m:t>
              </m:r>
              <m:r>
                <m:rPr>
                  <m:sty m:val="p"/>
                </m:rPr>
                <m:t>%</m:t>
              </m:r>
            </m:oMath>
          </w:p>
        </w:tc>
        <w:tc>
          <w:tcPr/>
          <w:p>
            <w:pPr>
              <w:pStyle w:val="Compact"/>
            </w:pPr>
            <w:r>
              <w:t xml:space="preserve">0.279</w:t>
            </w:r>
          </w:p>
        </w:tc>
        <w:tc>
          <w:tcPr/>
          <w:p>
            <w:pPr>
              <w:pStyle w:val="Compact"/>
            </w:pPr>
            <m:oMath>
              <m:r>
                <m:rPr>
                  <m:sty m:val="p"/>
                </m:rPr>
                <m:t>+</m:t>
              </m:r>
              <m:r>
                <m:t>50</m:t>
              </m:r>
              <m:r>
                <m:rPr>
                  <m:sty m:val="p"/>
                </m:rPr>
                <m:t>%</m:t>
              </m:r>
            </m:oMath>
          </w:p>
        </w:tc>
        <w:tc>
          <w:tcPr/>
          <w:p>
            <w:pPr>
              <w:pStyle w:val="Compact"/>
            </w:pPr>
            <w:r>
              <w:t xml:space="preserve">0.504</w:t>
            </w:r>
          </w:p>
        </w:tc>
        <w:tc>
          <w:tcPr/>
          <w:p>
            <w:pPr>
              <w:pStyle w:val="Compact"/>
            </w:pPr>
            <m:oMath>
              <m:r>
                <m:rPr>
                  <m:sty m:val="p"/>
                </m:rPr>
                <m:t>−</m:t>
              </m:r>
              <m:r>
                <m:t>0.121</m:t>
              </m:r>
            </m:oMath>
          </w:p>
        </w:tc>
        <w:tc>
          <w:tcPr/>
          <w:p>
            <w:pPr>
              <w:pStyle w:val="Compact"/>
            </w:pPr>
            <m:oMath>
              <m:r>
                <m:rPr>
                  <m:sty m:val="p"/>
                </m:rPr>
                <m:t>+</m:t>
              </m:r>
              <m:r>
                <m:t>0.104</m:t>
              </m:r>
            </m:oMath>
          </w:p>
        </w:tc>
        <w:tc>
          <w:tcPr/>
          <w:p>
            <w:pPr>
              <w:pStyle w:val="Compact"/>
            </w:pPr>
            <w:r>
              <w:t xml:space="preserve">0.225</w:t>
            </w:r>
          </w:p>
        </w:tc>
      </w:tr>
      <w:tr>
        <w:tc>
          <w:tcPr/>
          <w:p>
            <w:pPr>
              <w:pStyle w:val="Compact"/>
            </w:pPr>
            <m:oMath>
              <m:r>
                <m:t>ε</m:t>
              </m:r>
            </m:oMath>
            <w:r>
              <w:t xml:space="preserve"> </w:t>
            </w:r>
            <w:r>
              <w:t xml:space="preserve">(ecotone advantage)</w:t>
            </w:r>
          </w:p>
        </w:tc>
        <w:tc>
          <w:tcPr/>
          <w:p>
            <w:pPr>
              <w:pStyle w:val="Compact"/>
            </w:pPr>
            <w:r>
              <w:t xml:space="preserve">0.10</w:t>
            </w:r>
          </w:p>
        </w:tc>
        <w:tc>
          <w:tcPr/>
          <w:p>
            <w:pPr>
              <w:pStyle w:val="Compact"/>
            </w:pPr>
            <w:r>
              <w:t xml:space="preserve">0.508</w:t>
            </w:r>
          </w:p>
        </w:tc>
        <w:tc>
          <w:tcPr/>
          <w:p>
            <w:pPr>
              <w:pStyle w:val="Compact"/>
            </w:pPr>
            <w:r>
              <w:t xml:space="preserve">0.50</w:t>
            </w:r>
          </w:p>
        </w:tc>
        <w:tc>
          <w:tcPr/>
          <w:p>
            <w:pPr>
              <w:pStyle w:val="Compact"/>
            </w:pPr>
            <w:r>
              <w:t xml:space="preserve">0.354</w:t>
            </w:r>
          </w:p>
        </w:tc>
        <w:tc>
          <w:tcPr/>
          <w:p>
            <w:pPr>
              <w:pStyle w:val="Compact"/>
            </w:pPr>
            <m:oMath>
              <m:r>
                <m:rPr>
                  <m:sty m:val="p"/>
                </m:rPr>
                <m:t>+</m:t>
              </m:r>
              <m:r>
                <m:t>0.108</m:t>
              </m:r>
            </m:oMath>
          </w:p>
        </w:tc>
        <w:tc>
          <w:tcPr/>
          <w:p>
            <w:pPr>
              <w:pStyle w:val="Compact"/>
            </w:pPr>
            <m:oMath>
              <m:r>
                <m:rPr>
                  <m:sty m:val="p"/>
                </m:rPr>
                <m:t>−</m:t>
              </m:r>
              <m:r>
                <m:t>0.045</m:t>
              </m:r>
            </m:oMath>
          </w:p>
        </w:tc>
        <w:tc>
          <w:tcPr/>
          <w:p>
            <w:pPr>
              <w:pStyle w:val="Compact"/>
            </w:pPr>
            <w:r>
              <w:t xml:space="preserve">0.154</w:t>
            </w:r>
          </w:p>
        </w:tc>
      </w:tr>
      <w:tr>
        <w:tc>
          <w:tcPr/>
          <w:p>
            <w:pPr>
              <w:pStyle w:val="Compact"/>
            </w:pPr>
            <m:oMath>
              <m:sSub>
                <m:e>
                  <m:r>
                    <m:t>C</m:t>
                  </m:r>
                </m:e>
                <m:sub>
                  <m:r>
                    <m:t>o</m:t>
                  </m:r>
                  <m:r>
                    <m:t>p</m:t>
                  </m:r>
                  <m:r>
                    <m:t>p</m:t>
                  </m:r>
                  <m:r>
                    <m:t>o</m:t>
                  </m:r>
                  <m:r>
                    <m:t>r</m:t>
                  </m:r>
                  <m:r>
                    <m:t>t</m:t>
                  </m:r>
                  <m:r>
                    <m:t>u</m:t>
                  </m:r>
                  <m:r>
                    <m:t>n</m:t>
                  </m:r>
                  <m:r>
                    <m:t>i</m:t>
                  </m:r>
                  <m:r>
                    <m:t>t</m:t>
                  </m:r>
                  <m:r>
                    <m:t>y</m:t>
                  </m:r>
                </m:sub>
              </m:sSub>
            </m:oMath>
            <w:r>
              <w:t xml:space="preserve"> </w:t>
            </w:r>
            <w:r>
              <w:t xml:space="preserve">(opportunity cost)</w:t>
            </w:r>
          </w:p>
        </w:tc>
        <w:tc>
          <w:tcPr/>
          <w:p>
            <w:pPr>
              <w:pStyle w:val="Compact"/>
            </w:pPr>
            <m:oMath>
              <m:r>
                <m:rPr>
                  <m:sty m:val="p"/>
                </m:rPr>
                <m:t>−</m:t>
              </m:r>
              <m:r>
                <m:t>50</m:t>
              </m:r>
              <m:r>
                <m:rPr>
                  <m:sty m:val="p"/>
                </m:rPr>
                <m:t>%</m:t>
              </m:r>
            </m:oMath>
          </w:p>
        </w:tc>
        <w:tc>
          <w:tcPr/>
          <w:p>
            <w:pPr>
              <w:pStyle w:val="Compact"/>
            </w:pPr>
            <w:r>
              <w:t xml:space="preserve">0.321</w:t>
            </w:r>
          </w:p>
        </w:tc>
        <w:tc>
          <w:tcPr/>
          <w:p>
            <w:pPr>
              <w:pStyle w:val="Compact"/>
            </w:pPr>
            <m:oMath>
              <m:r>
                <m:rPr>
                  <m:sty m:val="p"/>
                </m:rPr>
                <m:t>+</m:t>
              </m:r>
              <m:r>
                <m:t>50</m:t>
              </m:r>
              <m:r>
                <m:rPr>
                  <m:sty m:val="p"/>
                </m:rPr>
                <m:t>%</m:t>
              </m:r>
            </m:oMath>
          </w:p>
        </w:tc>
        <w:tc>
          <w:tcPr/>
          <w:p>
            <w:pPr>
              <w:pStyle w:val="Compact"/>
            </w:pPr>
            <w:r>
              <w:t xml:space="preserve">0.471</w:t>
            </w:r>
          </w:p>
        </w:tc>
        <w:tc>
          <w:tcPr/>
          <w:p>
            <w:pPr>
              <w:pStyle w:val="Compact"/>
            </w:pPr>
            <m:oMath>
              <m:r>
                <m:rPr>
                  <m:sty m:val="p"/>
                </m:rPr>
                <m:t>−</m:t>
              </m:r>
              <m:r>
                <m:t>0.079</m:t>
              </m:r>
            </m:oMath>
          </w:p>
        </w:tc>
        <w:tc>
          <w:tcPr/>
          <w:p>
            <w:pPr>
              <w:pStyle w:val="Compact"/>
            </w:pPr>
            <m:oMath>
              <m:r>
                <m:rPr>
                  <m:sty m:val="p"/>
                </m:rPr>
                <m:t>+</m:t>
              </m:r>
              <m:r>
                <m:t>0.071</m:t>
              </m:r>
            </m:oMath>
          </w:p>
        </w:tc>
        <w:tc>
          <w:tcPr/>
          <w:p>
            <w:pPr>
              <w:pStyle w:val="Compact"/>
            </w:pPr>
            <w:r>
              <w:t xml:space="preserve">0.150</w:t>
            </w:r>
          </w:p>
        </w:tc>
      </w:tr>
      <w:tr>
        <w:tc>
          <w:tcPr/>
          <w:p>
            <w:pPr>
              <w:pStyle w:val="Compact"/>
            </w:pPr>
            <m:oMath>
              <m:sSub>
                <m:e>
                  <m:r>
                    <m:t>λ</m:t>
                  </m:r>
                </m:e>
                <m:sub>
                  <m:r>
                    <m:t>W</m:t>
                  </m:r>
                </m:sub>
              </m:sSub>
            </m:oMath>
            <w:r>
              <w:t xml:space="preserve"> </w:t>
            </w:r>
            <w:r>
              <w:t xml:space="preserve">(within-group reward)</w:t>
            </w:r>
          </w:p>
        </w:tc>
        <w:tc>
          <w:tcPr/>
          <w:p>
            <w:pPr>
              <w:pStyle w:val="Compact"/>
            </w:pPr>
            <m:oMath>
              <m:r>
                <m:rPr>
                  <m:sty m:val="p"/>
                </m:rPr>
                <m:t>−</m:t>
              </m:r>
              <m:r>
                <m:t>50</m:t>
              </m:r>
              <m:r>
                <m:rPr>
                  <m:sty m:val="p"/>
                </m:rPr>
                <m:t>%</m:t>
              </m:r>
            </m:oMath>
          </w:p>
        </w:tc>
        <w:tc>
          <w:tcPr/>
          <w:p>
            <w:pPr>
              <w:pStyle w:val="Compact"/>
            </w:pPr>
            <w:r>
              <w:t xml:space="preserve">0.468</w:t>
            </w:r>
          </w:p>
        </w:tc>
        <w:tc>
          <w:tcPr/>
          <w:p>
            <w:pPr>
              <w:pStyle w:val="Compact"/>
            </w:pPr>
            <m:oMath>
              <m:r>
                <m:rPr>
                  <m:sty m:val="p"/>
                </m:rPr>
                <m:t>+</m:t>
              </m:r>
              <m:r>
                <m:t>50</m:t>
              </m:r>
              <m:r>
                <m:rPr>
                  <m:sty m:val="p"/>
                </m:rPr>
                <m:t>%</m:t>
              </m:r>
            </m:oMath>
          </w:p>
        </w:tc>
        <w:tc>
          <w:tcPr/>
          <w:p>
            <w:pPr>
              <w:pStyle w:val="Compact"/>
            </w:pPr>
            <w:r>
              <w:t xml:space="preserve">0.331</w:t>
            </w:r>
          </w:p>
        </w:tc>
        <w:tc>
          <w:tcPr/>
          <w:p>
            <w:pPr>
              <w:pStyle w:val="Compact"/>
            </w:pPr>
            <m:oMath>
              <m:r>
                <m:rPr>
                  <m:sty m:val="p"/>
                </m:rPr>
                <m:t>+</m:t>
              </m:r>
              <m:r>
                <m:t>0.069</m:t>
              </m:r>
            </m:oMath>
          </w:p>
        </w:tc>
        <w:tc>
          <w:tcPr/>
          <w:p>
            <w:pPr>
              <w:pStyle w:val="Compact"/>
            </w:pPr>
            <m:oMath>
              <m:r>
                <m:rPr>
                  <m:sty m:val="p"/>
                </m:rPr>
                <m:t>−</m:t>
              </m:r>
              <m:r>
                <m:t>0.068</m:t>
              </m:r>
            </m:oMath>
          </w:p>
        </w:tc>
        <w:tc>
          <w:tcPr/>
          <w:p>
            <w:pPr>
              <w:pStyle w:val="Compact"/>
            </w:pPr>
            <w:r>
              <w:t xml:space="preserve">0.137</w:t>
            </w:r>
          </w:p>
        </w:tc>
      </w:tr>
      <w:tr>
        <w:tc>
          <w:tcPr/>
          <w:p>
            <w:pPr>
              <w:pStyle w:val="Compact"/>
            </w:pPr>
            <m:oMath>
              <m:sSub>
                <m:e>
                  <m:r>
                    <m:t>C</m:t>
                  </m:r>
                </m:e>
                <m:sub>
                  <m:r>
                    <m:t>t</m:t>
                  </m:r>
                  <m:r>
                    <m:t>r</m:t>
                  </m:r>
                  <m:r>
                    <m:t>a</m:t>
                  </m:r>
                  <m:r>
                    <m:t>v</m:t>
                  </m:r>
                  <m:r>
                    <m:t>e</m:t>
                  </m:r>
                  <m:r>
                    <m:t>l</m:t>
                  </m:r>
                </m:sub>
              </m:sSub>
            </m:oMath>
            <w:r>
              <w:t xml:space="preserve"> </w:t>
            </w:r>
            <w:r>
              <w:t xml:space="preserve">(travel cost)</w:t>
            </w:r>
          </w:p>
        </w:tc>
        <w:tc>
          <w:tcPr/>
          <w:p>
            <w:pPr>
              <w:pStyle w:val="Compact"/>
            </w:pPr>
            <m:oMath>
              <m:r>
                <m:rPr>
                  <m:sty m:val="p"/>
                </m:rPr>
                <m:t>−</m:t>
              </m:r>
              <m:r>
                <m:t>50</m:t>
              </m:r>
              <m:r>
                <m:rPr>
                  <m:sty m:val="p"/>
                </m:rPr>
                <m:t>%</m:t>
              </m:r>
            </m:oMath>
          </w:p>
        </w:tc>
        <w:tc>
          <w:tcPr/>
          <w:p>
            <w:pPr>
              <w:pStyle w:val="Compact"/>
            </w:pPr>
            <w:r>
              <w:t xml:space="preserve">0.374</w:t>
            </w:r>
          </w:p>
        </w:tc>
        <w:tc>
          <w:tcPr/>
          <w:p>
            <w:pPr>
              <w:pStyle w:val="Compact"/>
            </w:pPr>
            <m:oMath>
              <m:r>
                <m:rPr>
                  <m:sty m:val="p"/>
                </m:rPr>
                <m:t>+</m:t>
              </m:r>
              <m:r>
                <m:t>50</m:t>
              </m:r>
              <m:r>
                <m:rPr>
                  <m:sty m:val="p"/>
                </m:rPr>
                <m:t>%</m:t>
              </m:r>
            </m:oMath>
          </w:p>
        </w:tc>
        <w:tc>
          <w:tcPr/>
          <w:p>
            <w:pPr>
              <w:pStyle w:val="Compact"/>
            </w:pPr>
            <w:r>
              <w:t xml:space="preserve">0.424</w:t>
            </w:r>
          </w:p>
        </w:tc>
        <w:tc>
          <w:tcPr/>
          <w:p>
            <w:pPr>
              <w:pStyle w:val="Compact"/>
            </w:pPr>
            <m:oMath>
              <m:r>
                <m:rPr>
                  <m:sty m:val="p"/>
                </m:rPr>
                <m:t>−</m:t>
              </m:r>
              <m:r>
                <m:t>0.025</m:t>
              </m:r>
            </m:oMath>
          </w:p>
        </w:tc>
        <w:tc>
          <w:tcPr/>
          <w:p>
            <w:pPr>
              <w:pStyle w:val="Compact"/>
            </w:pPr>
            <m:oMath>
              <m:r>
                <m:rPr>
                  <m:sty m:val="p"/>
                </m:rPr>
                <m:t>+</m:t>
              </m:r>
              <m:r>
                <m:t>0.024</m:t>
              </m:r>
            </m:oMath>
          </w:p>
        </w:tc>
        <w:tc>
          <w:tcPr/>
          <w:p>
            <w:pPr>
              <w:pStyle w:val="Compact"/>
            </w:pPr>
            <w:r>
              <w:t xml:space="preserve">0.050</w:t>
            </w:r>
          </w:p>
        </w:tc>
      </w:tr>
      <w:tr>
        <w:tc>
          <w:tcPr/>
          <w:p>
            <w:pPr>
              <w:pStyle w:val="Compact"/>
            </w:pPr>
            <m:oMath>
              <m:sSub>
                <m:e>
                  <m:r>
                    <m:t>k</m:t>
                  </m:r>
                </m:e>
                <m:sub>
                  <m:r>
                    <m:t>m</m:t>
                  </m:r>
                  <m:r>
                    <m:t>a</m:t>
                  </m:r>
                  <m:r>
                    <m:t>x</m:t>
                  </m:r>
                </m:sub>
              </m:sSub>
            </m:oMath>
            <w:r>
              <w:t xml:space="preserve"> </w:t>
            </w:r>
            <w:r>
              <w:t xml:space="preserve">(max network degree)</w:t>
            </w:r>
          </w:p>
        </w:tc>
        <w:tc>
          <w:tcPr/>
          <w:p>
            <w:pPr>
              <w:pStyle w:val="Compact"/>
            </w:pPr>
            <m:oMath>
              <m:r>
                <m:rPr>
                  <m:sty m:val="p"/>
                </m:rPr>
                <m:t>−</m:t>
              </m:r>
              <m:r>
                <m:t>50</m:t>
              </m:r>
              <m:r>
                <m:rPr>
                  <m:sty m:val="p"/>
                </m:rPr>
                <m:t>%</m:t>
              </m:r>
            </m:oMath>
          </w:p>
        </w:tc>
        <w:tc>
          <w:tcPr/>
          <w:p>
            <w:pPr>
              <w:pStyle w:val="Compact"/>
            </w:pPr>
            <w:r>
              <w:t xml:space="preserve">0.421</w:t>
            </w:r>
          </w:p>
        </w:tc>
        <w:tc>
          <w:tcPr/>
          <w:p>
            <w:pPr>
              <w:pStyle w:val="Compact"/>
            </w:pPr>
            <m:oMath>
              <m:r>
                <m:rPr>
                  <m:sty m:val="p"/>
                </m:rPr>
                <m:t>+</m:t>
              </m:r>
              <m:r>
                <m:t>50</m:t>
              </m:r>
              <m:r>
                <m:rPr>
                  <m:sty m:val="p"/>
                </m:rPr>
                <m:t>%</m:t>
              </m:r>
            </m:oMath>
          </w:p>
        </w:tc>
        <w:tc>
          <w:tcPr/>
          <w:p>
            <w:pPr>
              <w:pStyle w:val="Compact"/>
            </w:pPr>
            <w:r>
              <w:t xml:space="preserve">0.383</w:t>
            </w:r>
          </w:p>
        </w:tc>
        <w:tc>
          <w:tcPr/>
          <w:p>
            <w:pPr>
              <w:pStyle w:val="Compact"/>
            </w:pPr>
            <m:oMath>
              <m:r>
                <m:rPr>
                  <m:sty m:val="p"/>
                </m:rPr>
                <m:t>+</m:t>
              </m:r>
              <m:r>
                <m:t>0.022</m:t>
              </m:r>
            </m:oMath>
          </w:p>
        </w:tc>
        <w:tc>
          <w:tcPr/>
          <w:p>
            <w:pPr>
              <w:pStyle w:val="Compact"/>
            </w:pPr>
            <m:oMath>
              <m:r>
                <m:rPr>
                  <m:sty m:val="p"/>
                </m:rPr>
                <m:t>−</m:t>
              </m:r>
              <m:r>
                <m:t>0.017</m:t>
              </m:r>
            </m:oMath>
          </w:p>
        </w:tc>
        <w:tc>
          <w:tcPr/>
          <w:p>
            <w:pPr>
              <w:pStyle w:val="Compact"/>
            </w:pPr>
            <w:r>
              <w:t xml:space="preserve">0.038</w:t>
            </w:r>
          </w:p>
        </w:tc>
      </w:tr>
      <w:tr>
        <w:tc>
          <w:tcPr/>
          <w:p>
            <w:pPr>
              <w:pStyle w:val="Compact"/>
            </w:pPr>
            <m:oMath>
              <m:r>
                <m:t>γ</m:t>
              </m:r>
            </m:oMath>
            <w:r>
              <w:t xml:space="preserve"> </w:t>
            </w:r>
            <w:r>
              <w:t xml:space="preserve">(network buffering)</w:t>
            </w:r>
          </w:p>
        </w:tc>
        <w:tc>
          <w:tcPr/>
          <w:p>
            <w:pPr>
              <w:pStyle w:val="Compact"/>
            </w:pPr>
            <m:oMath>
              <m:r>
                <m:rPr>
                  <m:sty m:val="p"/>
                </m:rPr>
                <m:t>−</m:t>
              </m:r>
              <m:r>
                <m:t>50</m:t>
              </m:r>
              <m:r>
                <m:rPr>
                  <m:sty m:val="p"/>
                </m:rPr>
                <m:t>%</m:t>
              </m:r>
            </m:oMath>
          </w:p>
        </w:tc>
        <w:tc>
          <w:tcPr/>
          <w:p>
            <w:pPr>
              <w:pStyle w:val="Compact"/>
            </w:pPr>
            <w:r>
              <w:t xml:space="preserve">0.418</w:t>
            </w:r>
          </w:p>
        </w:tc>
        <w:tc>
          <w:tcPr/>
          <w:p>
            <w:pPr>
              <w:pStyle w:val="Compact"/>
            </w:pPr>
            <m:oMath>
              <m:r>
                <m:rPr>
                  <m:sty m:val="p"/>
                </m:rPr>
                <m:t>+</m:t>
              </m:r>
              <m:r>
                <m:t>50</m:t>
              </m:r>
              <m:r>
                <m:rPr>
                  <m:sty m:val="p"/>
                </m:rPr>
                <m:t>%</m:t>
              </m:r>
            </m:oMath>
          </w:p>
        </w:tc>
        <w:tc>
          <w:tcPr/>
          <w:p>
            <w:pPr>
              <w:pStyle w:val="Compact"/>
            </w:pPr>
            <w:r>
              <w:t xml:space="preserve">0.386</w:t>
            </w:r>
          </w:p>
        </w:tc>
        <w:tc>
          <w:tcPr/>
          <w:p>
            <w:pPr>
              <w:pStyle w:val="Compact"/>
            </w:pPr>
            <m:oMath>
              <m:r>
                <m:rPr>
                  <m:sty m:val="p"/>
                </m:rPr>
                <m:t>+</m:t>
              </m:r>
              <m:r>
                <m:t>0.018</m:t>
              </m:r>
            </m:oMath>
          </w:p>
        </w:tc>
        <w:tc>
          <w:tcPr/>
          <w:p>
            <w:pPr>
              <w:pStyle w:val="Compact"/>
            </w:pPr>
            <m:oMath>
              <m:r>
                <m:rPr>
                  <m:sty m:val="p"/>
                </m:rPr>
                <m:t>−</m:t>
              </m:r>
              <m:r>
                <m:t>0.013</m:t>
              </m:r>
            </m:oMath>
          </w:p>
        </w:tc>
        <w:tc>
          <w:tcPr/>
          <w:p>
            <w:pPr>
              <w:pStyle w:val="Compact"/>
            </w:pPr>
            <w:r>
              <w:t xml:space="preserve">0.032</w:t>
            </w:r>
          </w:p>
        </w:tc>
      </w:tr>
      <w:tr>
        <w:tc>
          <w:tcPr/>
          <w:p>
            <w:pPr>
              <w:pStyle w:val="Compact"/>
            </w:pPr>
            <m:oMath>
              <m:sSub>
                <m:e>
                  <m:r>
                    <m:t>δ</m:t>
                  </m:r>
                </m:e>
                <m:sub>
                  <m:r>
                    <m:t>n</m:t>
                  </m:r>
                  <m:r>
                    <m:t>e</m:t>
                  </m:r>
                  <m:r>
                    <m:t>t</m:t>
                  </m:r>
                </m:sub>
              </m:sSub>
            </m:oMath>
            <w:r>
              <w:t xml:space="preserve"> </w:t>
            </w:r>
            <w:r>
              <w:t xml:space="preserve">(network decay)</w:t>
            </w:r>
          </w:p>
        </w:tc>
        <w:tc>
          <w:tcPr/>
          <w:p>
            <w:pPr>
              <w:pStyle w:val="Compact"/>
            </w:pPr>
            <m:oMath>
              <m:r>
                <m:rPr>
                  <m:sty m:val="p"/>
                </m:rPr>
                <m:t>−</m:t>
              </m:r>
              <m:r>
                <m:t>50</m:t>
              </m:r>
              <m:r>
                <m:rPr>
                  <m:sty m:val="p"/>
                </m:rPr>
                <m:t>%</m:t>
              </m:r>
            </m:oMath>
          </w:p>
        </w:tc>
        <w:tc>
          <w:tcPr/>
          <w:p>
            <w:pPr>
              <w:pStyle w:val="Compact"/>
            </w:pPr>
            <w:r>
              <w:t xml:space="preserve">0.392</w:t>
            </w:r>
          </w:p>
        </w:tc>
        <w:tc>
          <w:tcPr/>
          <w:p>
            <w:pPr>
              <w:pStyle w:val="Compact"/>
            </w:pPr>
            <m:oMath>
              <m:r>
                <m:rPr>
                  <m:sty m:val="p"/>
                </m:rPr>
                <m:t>+</m:t>
              </m:r>
              <m:r>
                <m:t>50</m:t>
              </m:r>
              <m:r>
                <m:rPr>
                  <m:sty m:val="p"/>
                </m:rPr>
                <m:t>%</m:t>
              </m:r>
            </m:oMath>
          </w:p>
        </w:tc>
        <w:tc>
          <w:tcPr/>
          <w:p>
            <w:pPr>
              <w:pStyle w:val="Compact"/>
            </w:pPr>
            <w:r>
              <w:t xml:space="preserve">0.408</w:t>
            </w:r>
          </w:p>
        </w:tc>
        <w:tc>
          <w:tcPr/>
          <w:p>
            <w:pPr>
              <w:pStyle w:val="Compact"/>
            </w:pPr>
            <m:oMath>
              <m:r>
                <m:rPr>
                  <m:sty m:val="p"/>
                </m:rPr>
                <m:t>−</m:t>
              </m:r>
              <m:r>
                <m:t>0.008</m:t>
              </m:r>
            </m:oMath>
          </w:p>
        </w:tc>
        <w:tc>
          <w:tcPr/>
          <w:p>
            <w:pPr>
              <w:pStyle w:val="Compact"/>
            </w:pPr>
            <m:oMath>
              <m:r>
                <m:rPr>
                  <m:sty m:val="p"/>
                </m:rPr>
                <m:t>+</m:t>
              </m:r>
              <m:r>
                <m:t>0.009</m:t>
              </m:r>
            </m:oMath>
          </w:p>
        </w:tc>
        <w:tc>
          <w:tcPr/>
          <w:p>
            <w:pPr>
              <w:pStyle w:val="Compact"/>
            </w:pPr>
            <w:r>
              <w:t xml:space="preserve">0.016</w:t>
            </w:r>
          </w:p>
        </w:tc>
      </w:tr>
      <w:tr>
        <w:tc>
          <w:tcPr/>
          <w:p>
            <w:pPr>
              <w:pStyle w:val="Compact"/>
            </w:pPr>
            <m:oMath>
              <m:sSub>
                <m:e>
                  <m:r>
                    <m:t>k</m:t>
                  </m:r>
                </m:e>
                <m:sub>
                  <m:r>
                    <m:t>0</m:t>
                  </m:r>
                </m:sub>
              </m:sSub>
            </m:oMath>
            <w:r>
              <w:t xml:space="preserve"> </w:t>
            </w:r>
            <w:r>
              <w:t xml:space="preserve">(baseline degree)</w:t>
            </w:r>
          </w:p>
        </w:tc>
        <w:tc>
          <w:tcPr/>
          <w:p>
            <w:pPr>
              <w:pStyle w:val="Compact"/>
            </w:pPr>
            <m:oMath>
              <m:r>
                <m:rPr>
                  <m:sty m:val="p"/>
                </m:rPr>
                <m:t>−</m:t>
              </m:r>
              <m:r>
                <m:t>50</m:t>
              </m:r>
              <m:r>
                <m:rPr>
                  <m:sty m:val="p"/>
                </m:rPr>
                <m:t>%</m:t>
              </m:r>
            </m:oMath>
          </w:p>
        </w:tc>
        <w:tc>
          <w:tcPr/>
          <w:p>
            <w:pPr>
              <w:pStyle w:val="Compact"/>
            </w:pPr>
            <w:r>
              <w:t xml:space="preserve">0.396</w:t>
            </w:r>
          </w:p>
        </w:tc>
        <w:tc>
          <w:tcPr/>
          <w:p>
            <w:pPr>
              <w:pStyle w:val="Compact"/>
            </w:pPr>
            <m:oMath>
              <m:r>
                <m:rPr>
                  <m:sty m:val="p"/>
                </m:rPr>
                <m:t>+</m:t>
              </m:r>
              <m:r>
                <m:t>50</m:t>
              </m:r>
              <m:r>
                <m:rPr>
                  <m:sty m:val="p"/>
                </m:rPr>
                <m:t>%</m:t>
              </m:r>
            </m:oMath>
          </w:p>
        </w:tc>
        <w:tc>
          <w:tcPr/>
          <w:p>
            <w:pPr>
              <w:pStyle w:val="Compact"/>
            </w:pPr>
            <w:r>
              <w:t xml:space="preserve">0.403</w:t>
            </w:r>
          </w:p>
        </w:tc>
        <w:tc>
          <w:tcPr/>
          <w:p>
            <w:pPr>
              <w:pStyle w:val="Compact"/>
            </w:pPr>
            <m:oMath>
              <m:r>
                <m:rPr>
                  <m:sty m:val="p"/>
                </m:rPr>
                <m:t>−</m:t>
              </m:r>
              <m:r>
                <m:t>0.003</m:t>
              </m:r>
            </m:oMath>
          </w:p>
        </w:tc>
        <w:tc>
          <w:tcPr/>
          <w:p>
            <w:pPr>
              <w:pStyle w:val="Compact"/>
            </w:pPr>
            <m:oMath>
              <m:r>
                <m:rPr>
                  <m:sty m:val="p"/>
                </m:rPr>
                <m:t>+</m:t>
              </m:r>
              <m:r>
                <m:t>0.003</m:t>
              </m:r>
            </m:oMath>
          </w:p>
        </w:tc>
        <w:tc>
          <w:tcPr/>
          <w:p>
            <w:pPr>
              <w:pStyle w:val="Compact"/>
            </w:pPr>
            <w:r>
              <w:t xml:space="preserve">0.006</w:t>
            </w:r>
          </w:p>
        </w:tc>
      </w:tr>
      <w:tr>
        <w:tc>
          <w:tcPr/>
          <w:p>
            <w:pPr>
              <w:pStyle w:val="Compact"/>
            </w:pPr>
            <m:oMath>
              <m:sSub>
                <m:e>
                  <m:r>
                    <m:t>f</m:t>
                  </m:r>
                </m:e>
                <m:sub>
                  <m:r>
                    <m:t>a</m:t>
                  </m:r>
                  <m:r>
                    <m:t>g</m:t>
                  </m:r>
                  <m:r>
                    <m:t>g</m:t>
                  </m:r>
                </m:sub>
              </m:sSub>
            </m:oMath>
            <w:r>
              <w:t xml:space="preserve"> </w:t>
            </w:r>
            <w:r>
              <w:t xml:space="preserve">(aggregation fraction)</w:t>
            </w:r>
          </w:p>
        </w:tc>
        <w:tc>
          <w:tcPr/>
          <w:p>
            <w:pPr>
              <w:pStyle w:val="Compact"/>
            </w:pPr>
            <m:oMath>
              <m:r>
                <m:rPr>
                  <m:sty m:val="p"/>
                </m:rPr>
                <m:t>−</m:t>
              </m:r>
              <m:r>
                <m:t>50</m:t>
              </m:r>
              <m:r>
                <m:rPr>
                  <m:sty m:val="p"/>
                </m:rPr>
                <m:t>%</m:t>
              </m:r>
            </m:oMath>
          </w:p>
        </w:tc>
        <w:tc>
          <w:tcPr/>
          <w:p>
            <w:pPr>
              <w:pStyle w:val="Compact"/>
            </w:pPr>
            <w:r>
              <w:t xml:space="preserve">0.402</w:t>
            </w:r>
          </w:p>
        </w:tc>
        <w:tc>
          <w:tcPr/>
          <w:p>
            <w:pPr>
              <w:pStyle w:val="Compact"/>
            </w:pPr>
            <m:oMath>
              <m:r>
                <m:rPr>
                  <m:sty m:val="p"/>
                </m:rPr>
                <m:t>+</m:t>
              </m:r>
              <m:r>
                <m:t>50</m:t>
              </m:r>
              <m:r>
                <m:rPr>
                  <m:sty m:val="p"/>
                </m:rPr>
                <m:t>%</m:t>
              </m:r>
            </m:oMath>
          </w:p>
        </w:tc>
        <w:tc>
          <w:tcPr/>
          <w:p>
            <w:pPr>
              <w:pStyle w:val="Compact"/>
            </w:pPr>
            <w:r>
              <w:t xml:space="preserve">0.397</w:t>
            </w:r>
          </w:p>
        </w:tc>
        <w:tc>
          <w:tcPr/>
          <w:p>
            <w:pPr>
              <w:pStyle w:val="Compact"/>
            </w:pPr>
            <m:oMath>
              <m:r>
                <m:rPr>
                  <m:sty m:val="p"/>
                </m:rPr>
                <m:t>+</m:t>
              </m:r>
              <m:r>
                <m:t>0.003</m:t>
              </m:r>
            </m:oMath>
          </w:p>
        </w:tc>
        <w:tc>
          <w:tcPr/>
          <w:p>
            <w:pPr>
              <w:pStyle w:val="Compact"/>
            </w:pPr>
            <m:oMath>
              <m:r>
                <m:rPr>
                  <m:sty m:val="p"/>
                </m:rPr>
                <m:t>−</m:t>
              </m:r>
              <m:r>
                <m:t>0.003</m:t>
              </m:r>
            </m:oMath>
          </w:p>
        </w:tc>
        <w:tc>
          <w:tcPr/>
          <w:p>
            <w:pPr>
              <w:pStyle w:val="Compact"/>
            </w:pPr>
            <w:r>
              <w:t xml:space="preserve">0.005</w:t>
            </w:r>
          </w:p>
        </w:tc>
      </w:tr>
      <w:tr>
        <w:tc>
          <w:tcPr/>
          <w:p>
            <w:pPr>
              <w:pStyle w:val="Compact"/>
            </w:pPr>
            <m:oMath>
              <m:sSub>
                <m:e>
                  <m:r>
                    <m:t>n</m:t>
                  </m:r>
                </m:e>
                <m:sub>
                  <m:r>
                    <m:t>a</m:t>
                  </m:r>
                  <m:r>
                    <m:t>g</m:t>
                  </m:r>
                  <m:r>
                    <m:t>g</m:t>
                  </m:r>
                </m:sub>
              </m:sSub>
            </m:oMath>
            <w:r>
              <w:t xml:space="preserve"> </w:t>
            </w:r>
            <w:r>
              <w:t xml:space="preserve">(aggregation size)</w:t>
            </w:r>
          </w:p>
        </w:tc>
        <w:tc>
          <w:tcPr/>
          <w:p>
            <w:pPr>
              <w:pStyle w:val="Compact"/>
            </w:pPr>
            <m:oMath>
              <m:r>
                <m:t>n</m:t>
              </m:r>
              <m:r>
                <m:rPr>
                  <m:sty m:val="p"/>
                </m:rPr>
                <m:t>=</m:t>
              </m:r>
              <m:r>
                <m:t>5</m:t>
              </m:r>
            </m:oMath>
          </w:p>
        </w:tc>
        <w:tc>
          <w:tcPr/>
          <w:p>
            <w:pPr>
              <w:pStyle w:val="Compact"/>
            </w:pPr>
            <w:r>
              <w:t xml:space="preserve">0.402</w:t>
            </w:r>
          </w:p>
        </w:tc>
        <w:tc>
          <w:tcPr/>
          <w:p>
            <w:pPr>
              <w:pStyle w:val="Compact"/>
            </w:pPr>
            <m:oMath>
              <m:r>
                <m:t>n</m:t>
              </m:r>
              <m:r>
                <m:rPr>
                  <m:sty m:val="p"/>
                </m:rPr>
                <m:t>=</m:t>
              </m:r>
              <m:r>
                <m:t>50</m:t>
              </m:r>
            </m:oMath>
          </w:p>
        </w:tc>
        <w:tc>
          <w:tcPr/>
          <w:p>
            <w:pPr>
              <w:pStyle w:val="Compact"/>
            </w:pPr>
            <w:r>
              <w:t xml:space="preserve">0.399</w:t>
            </w:r>
          </w:p>
        </w:tc>
        <w:tc>
          <w:tcPr/>
          <w:p>
            <w:pPr>
              <w:pStyle w:val="Compact"/>
            </w:pPr>
            <m:oMath>
              <m:r>
                <m:rPr>
                  <m:sty m:val="p"/>
                </m:rPr>
                <m:t>+</m:t>
              </m:r>
              <m:r>
                <m:t>0.003</m:t>
              </m:r>
            </m:oMath>
          </w:p>
        </w:tc>
        <w:tc>
          <w:tcPr/>
          <w:p>
            <w:pPr>
              <w:pStyle w:val="Compact"/>
            </w:pPr>
            <m:oMath>
              <m:r>
                <m:rPr>
                  <m:sty m:val="p"/>
                </m:rPr>
                <m:t>−</m:t>
              </m:r>
              <m:r>
                <m:t>0.000</m:t>
              </m:r>
            </m:oMath>
          </w:p>
        </w:tc>
        <w:tc>
          <w:tcPr/>
          <w:p>
            <w:pPr>
              <w:pStyle w:val="Compact"/>
            </w:pPr>
            <w:r>
              <w:t xml:space="preserve">0.003</w:t>
            </w:r>
          </w:p>
        </w:tc>
      </w:tr>
      <w:tr>
        <w:tc>
          <w:tcPr/>
          <w:p>
            <w:pPr>
              <w:pStyle w:val="Compact"/>
            </w:pPr>
            <m:oMath>
              <m:r>
                <m:t>δ</m:t>
              </m:r>
            </m:oMath>
            <w:r>
              <w:t xml:space="preserve"> </w:t>
            </w:r>
            <w:r>
              <w:t xml:space="preserve">(monument depreciation)</w:t>
            </w:r>
          </w:p>
        </w:tc>
        <w:tc>
          <w:tcPr/>
          <w:p>
            <w:pPr>
              <w:pStyle w:val="Compact"/>
            </w:pPr>
            <m:oMath>
              <m:r>
                <m:rPr>
                  <m:sty m:val="p"/>
                </m:rPr>
                <m:t>−</m:t>
              </m:r>
              <m:r>
                <m:t>50</m:t>
              </m:r>
              <m:r>
                <m:rPr>
                  <m:sty m:val="p"/>
                </m:rPr>
                <m:t>%</m:t>
              </m:r>
            </m:oMath>
          </w:p>
        </w:tc>
        <w:tc>
          <w:tcPr/>
          <w:p>
            <w:pPr>
              <w:pStyle w:val="Compact"/>
            </w:pPr>
            <w:r>
              <w:t xml:space="preserve">0.399</w:t>
            </w:r>
          </w:p>
        </w:tc>
        <w:tc>
          <w:tcPr/>
          <w:p>
            <w:pPr>
              <w:pStyle w:val="Compact"/>
            </w:pPr>
            <m:oMath>
              <m:r>
                <m:rPr>
                  <m:sty m:val="p"/>
                </m:rPr>
                <m:t>+</m:t>
              </m:r>
              <m:r>
                <m:t>50</m:t>
              </m:r>
              <m:r>
                <m:rPr>
                  <m:sty m:val="p"/>
                </m:rPr>
                <m:t>%</m:t>
              </m:r>
            </m:oMath>
          </w:p>
        </w:tc>
        <w:tc>
          <w:tcPr/>
          <w:p>
            <w:pPr>
              <w:pStyle w:val="Compact"/>
            </w:pPr>
            <w:r>
              <w:t xml:space="preserve">0.400</w:t>
            </w:r>
          </w:p>
        </w:tc>
        <w:tc>
          <w:tcPr/>
          <w:p>
            <w:pPr>
              <w:pStyle w:val="Compact"/>
            </w:pPr>
            <m:oMath>
              <m:r>
                <m:rPr>
                  <m:sty m:val="p"/>
                </m:rPr>
                <m:t>−</m:t>
              </m:r>
              <m:r>
                <m:t>0.000</m:t>
              </m:r>
            </m:oMath>
          </w:p>
        </w:tc>
        <w:tc>
          <w:tcPr/>
          <w:p>
            <w:pPr>
              <w:pStyle w:val="Compact"/>
            </w:pPr>
            <m:oMath>
              <m:r>
                <m:rPr>
                  <m:sty m:val="p"/>
                </m:rPr>
                <m:t>+</m:t>
              </m:r>
              <m:r>
                <m:t>0.000</m:t>
              </m:r>
            </m:oMath>
          </w:p>
        </w:tc>
        <w:tc>
          <w:tcPr/>
          <w:p>
            <w:pPr>
              <w:pStyle w:val="Compact"/>
            </w:pPr>
            <w:r>
              <w:t xml:space="preserve">0.001</w:t>
            </w:r>
          </w:p>
        </w:tc>
      </w:tr>
      <w:tr>
        <w:tc>
          <w:tcPr/>
          <w:p>
            <w:pPr>
              <w:pStyle w:val="Compact"/>
            </w:pPr>
            <m:oMath>
              <m:sSub>
                <m:e>
                  <m:r>
                    <m:t>M</m:t>
                  </m:r>
                </m:e>
                <m:sub>
                  <m:r>
                    <m:t>h</m:t>
                  </m:r>
                  <m:r>
                    <m:t>a</m:t>
                  </m:r>
                  <m:r>
                    <m:t>l</m:t>
                  </m:r>
                  <m:r>
                    <m:t>f</m:t>
                  </m:r>
                </m:sub>
              </m:sSub>
            </m:oMath>
            <w:r>
              <w:t xml:space="preserve"> </w:t>
            </w:r>
            <w:r>
              <w:t xml:space="preserve">(network saturation)</w:t>
            </w:r>
          </w:p>
        </w:tc>
        <w:tc>
          <w:tcPr/>
          <w:p>
            <w:pPr>
              <w:pStyle w:val="Compact"/>
            </w:pPr>
            <m:oMath>
              <m:r>
                <m:rPr>
                  <m:sty m:val="p"/>
                </m:rPr>
                <m:t>−</m:t>
              </m:r>
              <m:r>
                <m:t>50</m:t>
              </m:r>
              <m:r>
                <m:rPr>
                  <m:sty m:val="p"/>
                </m:rPr>
                <m:t>%</m:t>
              </m:r>
            </m:oMath>
          </w:p>
        </w:tc>
        <w:tc>
          <w:tcPr/>
          <w:p>
            <w:pPr>
              <w:pStyle w:val="Compact"/>
            </w:pPr>
            <w:r>
              <w:t xml:space="preserve">0.399</w:t>
            </w:r>
          </w:p>
        </w:tc>
        <w:tc>
          <w:tcPr/>
          <w:p>
            <w:pPr>
              <w:pStyle w:val="Compact"/>
            </w:pPr>
            <m:oMath>
              <m:r>
                <m:rPr>
                  <m:sty m:val="p"/>
                </m:rPr>
                <m:t>+</m:t>
              </m:r>
              <m:r>
                <m:t>50</m:t>
              </m:r>
              <m:r>
                <m:rPr>
                  <m:sty m:val="p"/>
                </m:rPr>
                <m:t>%</m:t>
              </m:r>
            </m:oMath>
          </w:p>
        </w:tc>
        <w:tc>
          <w:tcPr/>
          <w:p>
            <w:pPr>
              <w:pStyle w:val="Compact"/>
            </w:pPr>
            <w:r>
              <w:t xml:space="preserve">0.400</w:t>
            </w:r>
          </w:p>
        </w:tc>
        <w:tc>
          <w:tcPr/>
          <w:p>
            <w:pPr>
              <w:pStyle w:val="Compact"/>
            </w:pPr>
            <m:oMath>
              <m:r>
                <m:rPr>
                  <m:sty m:val="p"/>
                </m:rPr>
                <m:t>−</m:t>
              </m:r>
              <m:r>
                <m:t>0.000</m:t>
              </m:r>
            </m:oMath>
          </w:p>
        </w:tc>
        <w:tc>
          <w:tcPr/>
          <w:p>
            <w:pPr>
              <w:pStyle w:val="Compact"/>
            </w:pPr>
            <m:oMath>
              <m:r>
                <m:rPr>
                  <m:sty m:val="p"/>
                </m:rPr>
                <m:t>+</m:t>
              </m:r>
              <m:r>
                <m:t>0.000</m:t>
              </m:r>
            </m:oMath>
          </w:p>
        </w:tc>
        <w:tc>
          <w:tcPr/>
          <w:p>
            <w:pPr>
              <w:pStyle w:val="Compact"/>
            </w:pPr>
            <w:r>
              <w:t xml:space="preserve">0.001</w:t>
            </w:r>
          </w:p>
        </w:tc>
      </w:tr>
      <w:tr>
        <w:tc>
          <w:tcPr/>
          <w:p>
            <w:pPr>
              <w:pStyle w:val="Compact"/>
            </w:pPr>
            <m:oMath>
              <m:sSub>
                <m:e>
                  <m:r>
                    <m:t>λ</m:t>
                  </m:r>
                </m:e>
                <m:sub>
                  <m:r>
                    <m:t>C</m:t>
                  </m:r>
                </m:sub>
              </m:sSub>
            </m:oMath>
            <w:r>
              <w:t xml:space="preserve"> </w:t>
            </w:r>
            <w:r>
              <w:t xml:space="preserve">(cooperation reward, initial)</w:t>
            </w:r>
          </w:p>
        </w:tc>
        <w:tc>
          <w:tcPr/>
          <w:p>
            <w:pPr>
              <w:pStyle w:val="Compact"/>
            </w:pPr>
            <m:oMath>
              <m:r>
                <m:rPr>
                  <m:sty m:val="p"/>
                </m:rPr>
                <m:t>−</m:t>
              </m:r>
              <m:r>
                <m:t>50</m:t>
              </m:r>
              <m:r>
                <m:rPr>
                  <m:sty m:val="p"/>
                </m:rPr>
                <m:t>%</m:t>
              </m:r>
            </m:oMath>
          </w:p>
        </w:tc>
        <w:tc>
          <w:tcPr/>
          <w:p>
            <w:pPr>
              <w:pStyle w:val="Compact"/>
            </w:pPr>
            <w:r>
              <w:t xml:space="preserve">0.400</w:t>
            </w:r>
          </w:p>
        </w:tc>
        <w:tc>
          <w:tcPr/>
          <w:p>
            <w:pPr>
              <w:pStyle w:val="Compact"/>
            </w:pPr>
            <m:oMath>
              <m:r>
                <m:rPr>
                  <m:sty m:val="p"/>
                </m:rPr>
                <m:t>+</m:t>
              </m:r>
              <m:r>
                <m:t>50</m:t>
              </m:r>
              <m:r>
                <m:rPr>
                  <m:sty m:val="p"/>
                </m:rPr>
                <m:t>%</m:t>
              </m:r>
            </m:oMath>
          </w:p>
        </w:tc>
        <w:tc>
          <w:tcPr/>
          <w:p>
            <w:pPr>
              <w:pStyle w:val="Compact"/>
            </w:pPr>
            <w:r>
              <w:t xml:space="preserve">0.400</w:t>
            </w:r>
          </w:p>
        </w:tc>
        <w:tc>
          <w:tcPr/>
          <w:p>
            <w:pPr>
              <w:pStyle w:val="Compact"/>
            </w:pPr>
            <m:oMath>
              <m:r>
                <m:rPr>
                  <m:sty m:val="p"/>
                </m:rPr>
                <m:t>+</m:t>
              </m:r>
              <m:r>
                <m:t>0.000</m:t>
              </m:r>
            </m:oMath>
          </w:p>
        </w:tc>
        <w:tc>
          <w:tcPr/>
          <w:p>
            <w:pPr>
              <w:pStyle w:val="Compact"/>
            </w:pPr>
            <m:oMath>
              <m:r>
                <m:rPr>
                  <m:sty m:val="p"/>
                </m:rPr>
                <m:t>+</m:t>
              </m:r>
              <m:r>
                <m:t>0.000</m:t>
              </m:r>
            </m:oMath>
          </w:p>
        </w:tc>
        <w:tc>
          <w:tcPr/>
          <w:p>
            <w:pPr>
              <w:pStyle w:val="Compact"/>
            </w:pPr>
            <w:r>
              <w:t xml:space="preserve">0.000</w:t>
            </w:r>
          </w:p>
        </w:tc>
      </w:tr>
      <w:tr>
        <w:tc>
          <w:tcPr/>
          <w:p>
            <w:pPr>
              <w:pStyle w:val="Compact"/>
            </w:pPr>
            <m:oMath>
              <m:sSub>
                <m:e>
                  <m:r>
                    <m:t>λ</m:t>
                  </m:r>
                </m:e>
                <m:sub>
                  <m:r>
                    <m:t>X</m:t>
                  </m:r>
                </m:sub>
              </m:sSub>
            </m:oMath>
            <w:r>
              <w:t xml:space="preserve"> </w:t>
            </w:r>
            <w:r>
              <w:t xml:space="preserve">(exotic reward, initial)</w:t>
            </w:r>
          </w:p>
        </w:tc>
        <w:tc>
          <w:tcPr/>
          <w:p>
            <w:pPr>
              <w:pStyle w:val="Compact"/>
            </w:pPr>
            <m:oMath>
              <m:r>
                <m:rPr>
                  <m:sty m:val="p"/>
                </m:rPr>
                <m:t>−</m:t>
              </m:r>
              <m:r>
                <m:t>50</m:t>
              </m:r>
              <m:r>
                <m:rPr>
                  <m:sty m:val="p"/>
                </m:rPr>
                <m:t>%</m:t>
              </m:r>
            </m:oMath>
          </w:p>
        </w:tc>
        <w:tc>
          <w:tcPr/>
          <w:p>
            <w:pPr>
              <w:pStyle w:val="Compact"/>
            </w:pPr>
            <w:r>
              <w:t xml:space="preserve">0.400</w:t>
            </w:r>
          </w:p>
        </w:tc>
        <w:tc>
          <w:tcPr/>
          <w:p>
            <w:pPr>
              <w:pStyle w:val="Compact"/>
            </w:pPr>
            <m:oMath>
              <m:r>
                <m:rPr>
                  <m:sty m:val="p"/>
                </m:rPr>
                <m:t>+</m:t>
              </m:r>
              <m:r>
                <m:t>50</m:t>
              </m:r>
              <m:r>
                <m:rPr>
                  <m:sty m:val="p"/>
                </m:rPr>
                <m:t>%</m:t>
              </m:r>
            </m:oMath>
          </w:p>
        </w:tc>
        <w:tc>
          <w:tcPr/>
          <w:p>
            <w:pPr>
              <w:pStyle w:val="Compact"/>
            </w:pPr>
            <w:r>
              <w:t xml:space="preserve">0.400</w:t>
            </w:r>
          </w:p>
        </w:tc>
        <w:tc>
          <w:tcPr/>
          <w:p>
            <w:pPr>
              <w:pStyle w:val="Compact"/>
            </w:pPr>
            <m:oMath>
              <m:r>
                <m:rPr>
                  <m:sty m:val="p"/>
                </m:rPr>
                <m:t>+</m:t>
              </m:r>
              <m:r>
                <m:t>0.000</m:t>
              </m:r>
            </m:oMath>
          </w:p>
        </w:tc>
        <w:tc>
          <w:tcPr/>
          <w:p>
            <w:pPr>
              <w:pStyle w:val="Compact"/>
            </w:pPr>
            <m:oMath>
              <m:r>
                <m:rPr>
                  <m:sty m:val="p"/>
                </m:rPr>
                <m:t>+</m:t>
              </m:r>
              <m:r>
                <m:t>0.000</m:t>
              </m:r>
            </m:oMath>
          </w:p>
        </w:tc>
        <w:tc>
          <w:tcPr/>
          <w:p>
            <w:pPr>
              <w:pStyle w:val="Compact"/>
            </w:pPr>
            <w:r>
              <w:t xml:space="preserve">0.000</w:t>
            </w:r>
          </w:p>
        </w:tc>
      </w:tr>
    </w:tbl>
    <w:p>
      <w:pPr>
        <w:pStyle w:val="BodyText"/>
      </w:pPr>
      <w:r>
        <w:t xml:space="preserve">The table makes the main §4.3</w:t>
      </w:r>
      <w:r>
        <w:t xml:space="preserve"> </w:t>
      </w:r>
      <w:r>
        <w:rPr>
          <w:i/>
          <w:iCs/>
        </w:rPr>
        <w:t xml:space="preserve">Receiver behavior</w:t>
      </w:r>
      <w:r>
        <w:t xml:space="preserve"> </w:t>
      </w:r>
      <w:r>
        <w:t xml:space="preserve">concession explicit: at the equilibrium parameterization,</w:t>
      </w:r>
      <w:r>
        <w:t xml:space="preserve"> </w:t>
      </w:r>
      <m:oMath>
        <m:sSub>
          <m:e>
            <m:r>
              <m:t>λ</m:t>
            </m:r>
          </m:e>
          <m:sub>
            <m:r>
              <m:t>C</m:t>
            </m:r>
          </m:sub>
        </m:sSub>
      </m:oMath>
      <w:r>
        <w:t xml:space="preserve"> </w:t>
      </w:r>
      <w:r>
        <w:t xml:space="preserve">and</w:t>
      </w:r>
      <w:r>
        <w:t xml:space="preserve"> </w:t>
      </w:r>
      <m:oMath>
        <m:sSub>
          <m:e>
            <m:r>
              <m:t>λ</m:t>
            </m:r>
          </m:e>
          <m:sub>
            <m:r>
              <m:t>X</m:t>
            </m:r>
          </m:sub>
        </m:sSub>
      </m:oMath>
      <w:r>
        <w:t xml:space="preserve"> </w:t>
      </w:r>
      <w:r>
        <w:t xml:space="preserve">have zero direct effect on</w:t>
      </w:r>
      <w:r>
        <w:t xml:space="preserve"> </w:t>
      </w:r>
      <m:oMath>
        <m:sSup>
          <m:e>
            <m:r>
              <m:t>σ</m:t>
            </m:r>
          </m:e>
          <m:sup>
            <m:r>
              <m:rPr>
                <m:sty m:val="p"/>
              </m:rPr>
              <m:t>*</m:t>
            </m:r>
          </m:sup>
        </m:sSup>
      </m:oMath>
      <w:r>
        <w:t xml:space="preserve"> </w:t>
      </w:r>
      <w:r>
        <w:t xml:space="preserve">(because they are endogenously determined by the fixed-point loop from</w:t>
      </w:r>
      <w:r>
        <w:t xml:space="preserve"> </w:t>
      </w:r>
      <m:oMath>
        <m:sSub>
          <m:e>
            <m:r>
              <m:t>λ</m:t>
            </m:r>
          </m:e>
          <m:sub>
            <m:r>
              <m:t>W</m:t>
            </m:r>
          </m:sub>
        </m:sSub>
      </m:oMath>
      <w:r>
        <w:t xml:space="preserve"> </w:t>
      </w:r>
      <w:r>
        <w:t xml:space="preserve">and the network state), so the</w:t>
      </w:r>
      <w:r>
        <w:t xml:space="preserve"> </w:t>
      </w:r>
      <m:oMath>
        <m:r>
          <m:rPr>
            <m:sty m:val="p"/>
          </m:rPr>
          <m:t>+</m:t>
        </m:r>
        <m:r>
          <m:t>36</m:t>
        </m:r>
        <m:r>
          <m:rPr>
            <m:sty m:val="p"/>
          </m:rPr>
          <m:t>%</m:t>
        </m:r>
      </m:oMath>
      <w:r>
        <w:t xml:space="preserve"> </w:t>
      </w:r>
      <w:r>
        <w:t xml:space="preserve">ablation result reported in main §4.3 is sensitivity to a single parameter (</w:t>
      </w:r>
      <m:oMath>
        <m:sSub>
          <m:e>
            <m:r>
              <m:t>λ</m:t>
            </m:r>
          </m:e>
          <m:sub>
            <m:r>
              <m:t>W</m:t>
            </m:r>
          </m:sub>
        </m:sSub>
      </m:oMath>
      <w:r>
        <w:t xml:space="preserve">) plus the costs and ecotone advantage. The sensitivity hierarchy (</w:t>
      </w:r>
      <m:oMath>
        <m:sSub>
          <m:e>
            <m:r>
              <m:t>C</m:t>
            </m:r>
          </m:e>
          <m:sub>
            <m:r>
              <m:t>s</m:t>
            </m:r>
            <m:r>
              <m:t>i</m:t>
            </m:r>
            <m:r>
              <m:t>g</m:t>
            </m:r>
            <m:r>
              <m:t>n</m:t>
            </m:r>
            <m:r>
              <m:t>a</m:t>
            </m:r>
            <m:r>
              <m:t>l</m:t>
            </m:r>
          </m:sub>
        </m:sSub>
        <m:r>
          <m:rPr>
            <m:sty m:val="p"/>
          </m:rPr>
          <m:t>&gt;</m:t>
        </m:r>
        <m:r>
          <m:t>ε</m:t>
        </m:r>
        <m:r>
          <m:rPr>
            <m:sty m:val="p"/>
          </m:rPr>
          <m:t>&gt;</m:t>
        </m:r>
        <m:sSub>
          <m:e>
            <m:r>
              <m:t>C</m:t>
            </m:r>
          </m:e>
          <m:sub>
            <m:r>
              <m:t>o</m:t>
            </m:r>
            <m:r>
              <m:t>p</m:t>
            </m:r>
            <m:r>
              <m:t>p</m:t>
            </m:r>
            <m:r>
              <m:t>o</m:t>
            </m:r>
            <m:r>
              <m:t>r</m:t>
            </m:r>
            <m:r>
              <m:t>t</m:t>
            </m:r>
            <m:r>
              <m:t>u</m:t>
            </m:r>
            <m:r>
              <m:t>n</m:t>
            </m:r>
            <m:r>
              <m:t>i</m:t>
            </m:r>
            <m:r>
              <m:t>t</m:t>
            </m:r>
            <m:r>
              <m:t>y</m:t>
            </m:r>
          </m:sub>
        </m:sSub>
        <m:r>
          <m:rPr>
            <m:sty m:val="p"/>
          </m:rPr>
          <m:t>&gt;</m:t>
        </m:r>
        <m:sSub>
          <m:e>
            <m:r>
              <m:t>λ</m:t>
            </m:r>
          </m:e>
          <m:sub>
            <m:r>
              <m:t>W</m:t>
            </m:r>
          </m:sub>
        </m:sSub>
      </m:oMath>
      <w:r>
        <w:t xml:space="preserve">) drives the framework’s predictive content: the cost structure and the ecotone advantage determine</w:t>
      </w:r>
      <w:r>
        <w:t xml:space="preserve"> </w:t>
      </w:r>
      <m:oMath>
        <m:sSup>
          <m:e>
            <m:r>
              <m:t>σ</m:t>
            </m:r>
          </m:e>
          <m:sup>
            <m:r>
              <m:rPr>
                <m:sty m:val="p"/>
              </m:rPr>
              <m:t>*</m:t>
            </m:r>
          </m:sup>
        </m:sSup>
      </m:oMath>
      <w:r>
        <w:t xml:space="preserve">; the within-group reward modulates it.</w:t>
      </w:r>
    </w:p>
    <w:p>
      <w:pPr>
        <w:pStyle w:val="BodyText"/>
      </w:pPr>
      <w:r>
        <w:drawing>
          <wp:inline>
            <wp:extent cx="5943600" cy="5060402"/>
            <wp:effectExtent b="0" l="0" r="0" t="0"/>
            <wp:docPr descr="" title="" id="25" name="Picture"/>
            <a:graphic>
              <a:graphicData uri="http://schemas.openxmlformats.org/drawingml/2006/picture">
                <pic:pic>
                  <pic:nvPicPr>
                    <pic:cNvPr descr="../../figures/supplemental/figure_S01_sensitivity_tornado.png" id="26" name="Picture"/>
                    <pic:cNvPicPr>
                      <a:picLocks noChangeArrowheads="1" noChangeAspect="1"/>
                    </pic:cNvPicPr>
                  </pic:nvPicPr>
                  <pic:blipFill>
                    <a:blip r:embed="rId24"/>
                    <a:stretch>
                      <a:fillRect/>
                    </a:stretch>
                  </pic:blipFill>
                  <pic:spPr bwMode="auto">
                    <a:xfrm>
                      <a:off x="0" y="0"/>
                      <a:ext cx="5943600" cy="5060402"/>
                    </a:xfrm>
                    <a:prstGeom prst="rect">
                      <a:avLst/>
                    </a:prstGeom>
                    <a:noFill/>
                    <a:ln w="9525">
                      <a:noFill/>
                      <a:headEnd/>
                      <a:tailEnd/>
                    </a:ln>
                  </pic:spPr>
                </pic:pic>
              </a:graphicData>
            </a:graphic>
          </wp:inline>
        </w:drawing>
      </w:r>
    </w:p>
    <w:p>
      <w:pPr>
        <w:pStyle w:val="BodyText"/>
      </w:pPr>
      <w:r>
        <w:rPr>
          <w:b/>
          <w:bCs/>
          <w:i/>
          <w:iCs/>
        </w:rPr>
        <w:t xml:space="preserve">Figure S1. One-at-a-time sensitivity analysis.</w:t>
      </w:r>
      <w:r>
        <w:t xml:space="preserve"> </w:t>
      </w:r>
      <w:r>
        <w:rPr>
          <w:i/>
          <w:iCs/>
        </w:rPr>
        <w:t xml:space="preserve">Tornado plot showing the swing in the critical threshold</w:t>
      </w:r>
      <w:r>
        <w:rPr>
          <w:i/>
          <w:iCs/>
        </w:rPr>
        <w:t xml:space="preserve"> </w:t>
      </w:r>
      <m:oMath>
        <m:sSup>
          <m:e>
            <m:r>
              <m:t>σ</m:t>
            </m:r>
          </m:e>
          <m:sup>
            <m:r>
              <m:rPr>
                <m:sty m:val="p"/>
              </m:rPr>
              <m:t>*</m:t>
            </m:r>
          </m:sup>
        </m:sSup>
      </m:oMath>
      <w:r>
        <w:rPr>
          <w:i/>
          <w:iCs/>
        </w:rPr>
        <w:t xml:space="preserve"> </w:t>
      </w:r>
      <w:r>
        <w:rPr>
          <w:i/>
          <w:iCs/>
        </w:rPr>
        <w:t xml:space="preserve">when each model parameter is perturbed by</w:t>
      </w:r>
      <w:r>
        <w:rPr>
          <w:i/>
          <w:iCs/>
        </w:rPr>
        <w:t xml:space="preserve"> </w:t>
      </w:r>
      <m:oMath>
        <m:r>
          <m:rPr>
            <m:sty m:val="p"/>
          </m:rPr>
          <m:t>±</m:t>
        </m:r>
        <m:r>
          <m:t>50</m:t>
        </m:r>
        <m:r>
          <m:rPr>
            <m:sty m:val="p"/>
          </m:rPr>
          <m:t>%</m:t>
        </m:r>
      </m:oMath>
      <w:r>
        <w:rPr>
          <w:i/>
          <w:iCs/>
        </w:rPr>
        <w:t xml:space="preserve"> </w:t>
      </w:r>
      <w:r>
        <w:rPr>
          <w:i/>
          <w:iCs/>
        </w:rPr>
        <w:t xml:space="preserve">from its default value at PP-scenario parameters (</w:t>
      </w:r>
      <m:oMath>
        <m:r>
          <m:t>ε</m:t>
        </m:r>
        <m:r>
          <m:rPr>
            <m:sty m:val="p"/>
          </m:rPr>
          <m:t>=</m:t>
        </m:r>
        <m:r>
          <m:t>0.35</m:t>
        </m:r>
      </m:oMath>
      <w:r>
        <w:rPr>
          <w:i/>
          <w:iCs/>
        </w:rPr>
        <w:t xml:space="preserve">,</w:t>
      </w:r>
      <w:r>
        <w:rPr>
          <w:i/>
          <w:iCs/>
        </w:rPr>
        <w:t xml:space="preserve"> </w:t>
      </w:r>
      <m:oMath>
        <m:sSub>
          <m:e>
            <m:r>
              <m:t>n</m:t>
            </m:r>
          </m:e>
          <m:sub>
            <m:r>
              <m:t>a</m:t>
            </m:r>
            <m:r>
              <m:t>g</m:t>
            </m:r>
            <m:r>
              <m:t>g</m:t>
            </m:r>
          </m:sub>
        </m:sSub>
        <m:r>
          <m:rPr>
            <m:sty m:val="p"/>
          </m:rPr>
          <m:t>=</m:t>
        </m:r>
        <m:r>
          <m:t>25</m:t>
        </m:r>
      </m:oMath>
      <w:r>
        <w:rPr>
          <w:i/>
          <w:iCs/>
        </w:rPr>
        <w:t xml:space="preserve">). Bars are sorted by absolute swing magnitude; baseline</w:t>
      </w:r>
      <w:r>
        <w:rPr>
          <w:i/>
          <w:iCs/>
        </w:rPr>
        <w:t xml:space="preserve"> </w:t>
      </w:r>
      <m:oMath>
        <m:sSup>
          <m:e>
            <m:r>
              <m:t>σ</m:t>
            </m:r>
          </m:e>
          <m:sup>
            <m:r>
              <m:rPr>
                <m:sty m:val="p"/>
              </m:rPr>
              <m:t>*</m:t>
            </m:r>
          </m:sup>
        </m:sSup>
        <m:r>
          <m:rPr>
            <m:sty m:val="p"/>
          </m:rPr>
          <m:t>=</m:t>
        </m:r>
        <m:r>
          <m:t>0.40</m:t>
        </m:r>
      </m:oMath>
      <w:r>
        <w:rPr>
          <w:i/>
          <w:iCs/>
        </w:rPr>
        <w:t xml:space="preserve"> </w:t>
      </w:r>
      <w:r>
        <w:rPr>
          <w:i/>
          <w:iCs/>
        </w:rPr>
        <w:t xml:space="preserve">is marked by the vertical line. Aggregation costs (</w:t>
      </w:r>
      <m:oMath>
        <m:sSub>
          <m:e>
            <m:r>
              <m:t>C</m:t>
            </m:r>
          </m:e>
          <m:sub>
            <m:r>
              <m:t>s</m:t>
            </m:r>
            <m:r>
              <m:t>i</m:t>
            </m:r>
            <m:r>
              <m:t>g</m:t>
            </m:r>
            <m:r>
              <m:t>n</m:t>
            </m:r>
            <m:r>
              <m:t>a</m:t>
            </m:r>
            <m:r>
              <m:t>l</m:t>
            </m:r>
          </m:sub>
        </m:sSub>
      </m:oMath>
      <w:r>
        <w:rPr>
          <w:i/>
          <w:iCs/>
        </w:rPr>
        <w:t xml:space="preserve">, swing 0.225 in</w:t>
      </w:r>
      <w:r>
        <w:rPr>
          <w:i/>
          <w:iCs/>
        </w:rPr>
        <w:t xml:space="preserve"> </w:t>
      </w:r>
      <m:oMath>
        <m:sSup>
          <m:e>
            <m:r>
              <m:t>σ</m:t>
            </m:r>
          </m:e>
          <m:sup>
            <m:r>
              <m:rPr>
                <m:sty m:val="p"/>
              </m:rPr>
              <m:t>*</m:t>
            </m:r>
          </m:sup>
        </m:sSup>
      </m:oMath>
      <w:r>
        <w:rPr>
          <w:i/>
          <w:iCs/>
        </w:rPr>
        <w:t xml:space="preserve"> </w:t>
      </w:r>
      <w:r>
        <w:rPr>
          <w:i/>
          <w:iCs/>
        </w:rPr>
        <w:t xml:space="preserve">across</w:t>
      </w:r>
      <w:r>
        <w:rPr>
          <w:i/>
          <w:iCs/>
        </w:rPr>
        <w:t xml:space="preserve"> </w:t>
      </w:r>
      <m:oMath>
        <m:r>
          <m:rPr>
            <m:sty m:val="p"/>
          </m:rPr>
          <m:t>±</m:t>
        </m:r>
        <m:r>
          <m:t>50</m:t>
        </m:r>
        <m:r>
          <m:rPr>
            <m:sty m:val="p"/>
          </m:rPr>
          <m:t>%</m:t>
        </m:r>
      </m:oMath>
      <w:r>
        <w:rPr>
          <w:i/>
          <w:iCs/>
        </w:rPr>
        <w:t xml:space="preserve">), the ecotone advantage (</w:t>
      </w:r>
      <m:oMath>
        <m:r>
          <m:t>ε</m:t>
        </m:r>
      </m:oMath>
      <w:r>
        <w:rPr>
          <w:i/>
          <w:iCs/>
        </w:rPr>
        <w:t xml:space="preserve">, swing 0.154 across</w:t>
      </w:r>
      <w:r>
        <w:rPr>
          <w:i/>
          <w:iCs/>
        </w:rPr>
        <w:t xml:space="preserve"> </w:t>
      </w:r>
      <m:oMath>
        <m:r>
          <m:rPr>
            <m:sty m:val="p"/>
          </m:rPr>
          <m:t>[</m:t>
        </m:r>
        <m:r>
          <m:t>0.10</m:t>
        </m:r>
        <m:r>
          <m:rPr>
            <m:sty m:val="p"/>
          </m:rPr>
          <m:t>,</m:t>
        </m:r>
        <m:r>
          <m:t>0.50</m:t>
        </m:r>
        <m:r>
          <m:rPr>
            <m:sty m:val="p"/>
          </m:rPr>
          <m:t>]</m:t>
        </m:r>
      </m:oMath>
      <w:r>
        <w:rPr>
          <w:i/>
          <w:iCs/>
        </w:rPr>
        <w:t xml:space="preserve">), the opportunity cost (</w:t>
      </w:r>
      <m:oMath>
        <m:sSub>
          <m:e>
            <m:r>
              <m:t>C</m:t>
            </m:r>
          </m:e>
          <m:sub>
            <m:r>
              <m:t>o</m:t>
            </m:r>
            <m:r>
              <m:t>p</m:t>
            </m:r>
            <m:r>
              <m:t>p</m:t>
            </m:r>
            <m:r>
              <m:t>o</m:t>
            </m:r>
            <m:r>
              <m:t>r</m:t>
            </m:r>
            <m:r>
              <m:t>t</m:t>
            </m:r>
            <m:r>
              <m:t>u</m:t>
            </m:r>
            <m:r>
              <m:t>n</m:t>
            </m:r>
            <m:r>
              <m:t>i</m:t>
            </m:r>
            <m:r>
              <m:t>t</m:t>
            </m:r>
            <m:r>
              <m:t>y</m:t>
            </m:r>
          </m:sub>
        </m:sSub>
      </m:oMath>
      <w:r>
        <w:rPr>
          <w:i/>
          <w:iCs/>
        </w:rPr>
        <w:t xml:space="preserve">, 0.150), and the within-group reward (</w:t>
      </w:r>
      <m:oMath>
        <m:sSub>
          <m:e>
            <m:r>
              <m:t>λ</m:t>
            </m:r>
          </m:e>
          <m:sub>
            <m:r>
              <m:t>W</m:t>
            </m:r>
          </m:sub>
        </m:sSub>
      </m:oMath>
      <w:r>
        <w:rPr>
          <w:i/>
          <w:iCs/>
        </w:rPr>
        <w:t xml:space="preserve">, 0.137) dominate. Network parameters (</w:t>
      </w:r>
      <m:oMath>
        <m:sSub>
          <m:e>
            <m:r>
              <m:t>k</m:t>
            </m:r>
          </m:e>
          <m:sub>
            <m:r>
              <m:t>m</m:t>
            </m:r>
            <m:r>
              <m:t>a</m:t>
            </m:r>
            <m:r>
              <m:t>x</m:t>
            </m:r>
          </m:sub>
        </m:sSub>
      </m:oMath>
      <w:r>
        <w:rPr>
          <w:i/>
          <w:iCs/>
        </w:rPr>
        <w:t xml:space="preserve">,</w:t>
      </w:r>
      <w:r>
        <w:rPr>
          <w:i/>
          <w:iCs/>
        </w:rPr>
        <w:t xml:space="preserve"> </w:t>
      </w:r>
      <m:oMath>
        <m:r>
          <m:t>γ</m:t>
        </m:r>
      </m:oMath>
      <w:r>
        <w:rPr>
          <w:i/>
          <w:iCs/>
        </w:rPr>
        <w:t xml:space="preserve">) and travel cost are moderately sensitive; monument depreciation (</w:t>
      </w:r>
      <m:oMath>
        <m:r>
          <m:t>δ</m:t>
        </m:r>
      </m:oMath>
      <w:r>
        <w:rPr>
          <w:i/>
          <w:iCs/>
        </w:rPr>
        <w:t xml:space="preserve">), the half-saturation constant (</w:t>
      </w:r>
      <m:oMath>
        <m:sSub>
          <m:e>
            <m:r>
              <m:t>M</m:t>
            </m:r>
          </m:e>
          <m:sub>
            <m:r>
              <m:t>h</m:t>
            </m:r>
            <m:r>
              <m:t>a</m:t>
            </m:r>
            <m:r>
              <m:t>l</m:t>
            </m:r>
            <m:r>
              <m:t>f</m:t>
            </m:r>
          </m:sub>
        </m:sSub>
      </m:oMath>
      <w:r>
        <w:rPr>
          <w:i/>
          <w:iCs/>
        </w:rPr>
        <w:t xml:space="preserve">), and aggregation size (</w:t>
      </w:r>
      <m:oMath>
        <m:sSub>
          <m:e>
            <m:r>
              <m:t>n</m:t>
            </m:r>
          </m:e>
          <m:sub>
            <m:r>
              <m:t>a</m:t>
            </m:r>
            <m:r>
              <m:t>g</m:t>
            </m:r>
            <m:r>
              <m:t>g</m:t>
            </m:r>
          </m:sub>
        </m:sSub>
      </m:oMath>
      <w:r>
        <w:rPr>
          <w:i/>
          <w:iCs/>
        </w:rPr>
        <w:t xml:space="preserve"> </w:t>
      </w:r>
      <w:r>
        <w:rPr>
          <w:i/>
          <w:iCs/>
        </w:rPr>
        <w:t xml:space="preserve">over the plausible range</w:t>
      </w:r>
      <w:r>
        <w:rPr>
          <w:i/>
          <w:iCs/>
        </w:rPr>
        <w:t xml:space="preserve"> </w:t>
      </w:r>
      <m:oMath>
        <m:r>
          <m:t>5</m:t>
        </m:r>
        <m:r>
          <m:rPr>
            <m:sty m:val="p"/>
          </m:rPr>
          <m:t>≤</m:t>
        </m:r>
        <m:sSub>
          <m:e>
            <m:r>
              <m:t>n</m:t>
            </m:r>
          </m:e>
          <m:sub>
            <m:r>
              <m:t>a</m:t>
            </m:r>
            <m:r>
              <m:t>g</m:t>
            </m:r>
            <m:r>
              <m:t>g</m:t>
            </m:r>
          </m:sub>
        </m:sSub>
        <m:r>
          <m:rPr>
            <m:sty m:val="p"/>
          </m:rPr>
          <m:t>≤</m:t>
        </m:r>
        <m:r>
          <m:t>50</m:t>
        </m:r>
      </m:oMath>
      <w:r>
        <w:rPr>
          <w:i/>
          <w:iCs/>
        </w:rPr>
        <w:t xml:space="preserve">) are effectively insensitive.</w:t>
      </w:r>
      <w:r>
        <w:rPr>
          <w:i/>
          <w:iCs/>
        </w:rPr>
        <w:t xml:space="preserve"> </w:t>
      </w:r>
      <m:oMath>
        <m:sSub>
          <m:e>
            <m:r>
              <m:t>λ</m:t>
            </m:r>
          </m:e>
          <m:sub>
            <m:r>
              <m:t>C</m:t>
            </m:r>
          </m:sub>
        </m:sSub>
      </m:oMath>
      <w:r>
        <w:rPr>
          <w:i/>
          <w:iCs/>
        </w:rPr>
        <w:t xml:space="preserve"> </w:t>
      </w:r>
      <w:r>
        <w:rPr>
          <w:i/>
          <w:iCs/>
        </w:rPr>
        <w:t xml:space="preserve">and</w:t>
      </w:r>
      <w:r>
        <w:rPr>
          <w:i/>
          <w:iCs/>
        </w:rPr>
        <w:t xml:space="preserve"> </w:t>
      </w:r>
      <m:oMath>
        <m:sSub>
          <m:e>
            <m:r>
              <m:t>λ</m:t>
            </m:r>
          </m:e>
          <m:sub>
            <m:r>
              <m:t>X</m:t>
            </m:r>
          </m:sub>
        </m:sSub>
      </m:oMath>
      <w:r>
        <w:rPr>
          <w:i/>
          <w:iCs/>
        </w:rPr>
        <w:t xml:space="preserve"> </w:t>
      </w:r>
      <w:r>
        <w:rPr>
          <w:i/>
          <w:iCs/>
        </w:rPr>
        <w:t xml:space="preserve">have zero sensitivity in the default formulation because they are endogenously determined by the lambda-sigma feedback loop. Computed by</w:t>
      </w:r>
      <w:r>
        <w:rPr>
          <w:i/>
          <w:iCs/>
        </w:rPr>
        <w:t xml:space="preserve"> </w:t>
      </w:r>
      <w:r>
        <w:rPr>
          <w:rStyle w:val="VerbatimChar"/>
          <w:i/>
          <w:iCs/>
        </w:rPr>
        <w:t xml:space="preserve">scripts/analysis/oat_sensitivity.py</w:t>
      </w:r>
      <w:r>
        <w:rPr>
          <w:i/>
          <w:iCs/>
        </w:rPr>
        <w:t xml:space="preserve">.</w:t>
      </w:r>
    </w:p>
    <w:p>
      <w:pPr>
        <w:pStyle w:val="BodyText"/>
      </w:pPr>
      <w:r>
        <w:rPr>
          <w:b/>
          <w:bCs/>
        </w:rPr>
        <w:t xml:space="preserve">Joint parameter uncertainty (referenced in main §6.2).</w:t>
      </w:r>
      <w:r>
        <w:t xml:space="preserve"> </w:t>
      </w:r>
      <w:r>
        <w:t xml:space="preserve">The OAT swing magnitudes above support a Monte Carlo propagation of joint parameter uncertainty through the §6.2 Bayesian threshold-proximity test. Sampling</w:t>
      </w:r>
      <w:r>
        <w:t xml:space="preserve"> </w:t>
      </w:r>
      <m:oMath>
        <m:sSub>
          <m:e>
            <m:r>
              <m:t>C</m:t>
            </m:r>
          </m:e>
          <m:sub>
            <m:r>
              <m:t>s</m:t>
            </m:r>
            <m:r>
              <m:t>i</m:t>
            </m:r>
            <m:r>
              <m:t>g</m:t>
            </m:r>
            <m:r>
              <m:t>n</m:t>
            </m:r>
            <m:r>
              <m:t>a</m:t>
            </m:r>
            <m:r>
              <m:t>l</m:t>
            </m:r>
          </m:sub>
        </m:sSub>
      </m:oMath>
      <w:r>
        <w:t xml:space="preserve">,</w:t>
      </w:r>
      <w:r>
        <w:t xml:space="preserve"> </w:t>
      </w:r>
      <m:oMath>
        <m:sSub>
          <m:e>
            <m:r>
              <m:t>C</m:t>
            </m:r>
          </m:e>
          <m:sub>
            <m:r>
              <m:t>o</m:t>
            </m:r>
            <m:r>
              <m:t>p</m:t>
            </m:r>
            <m:r>
              <m:t>p</m:t>
            </m:r>
            <m:r>
              <m:t>o</m:t>
            </m:r>
            <m:r>
              <m:t>r</m:t>
            </m:r>
            <m:r>
              <m:t>t</m:t>
            </m:r>
            <m:r>
              <m:t>u</m:t>
            </m:r>
            <m:r>
              <m:t>n</m:t>
            </m:r>
            <m:r>
              <m:t>i</m:t>
            </m:r>
            <m:r>
              <m:t>t</m:t>
            </m:r>
            <m:r>
              <m:t>y</m:t>
            </m:r>
          </m:sub>
        </m:sSub>
      </m:oMath>
      <w:r>
        <w:t xml:space="preserve">,</w:t>
      </w:r>
      <w:r>
        <w:t xml:space="preserve"> </w:t>
      </w:r>
      <m:oMath>
        <m:sSub>
          <m:e>
            <m:r>
              <m:t>λ</m:t>
            </m:r>
          </m:e>
          <m:sub>
            <m:r>
              <m:t>W</m:t>
            </m:r>
          </m:sub>
        </m:sSub>
      </m:oMath>
      <w:r>
        <w:t xml:space="preserve">,</w:t>
      </w:r>
      <w:r>
        <w:t xml:space="preserve"> </w:t>
      </w:r>
      <m:oMath>
        <m:sSub>
          <m:e>
            <m:r>
              <m:t>k</m:t>
            </m:r>
          </m:e>
          <m:sub>
            <m:r>
              <m:t>m</m:t>
            </m:r>
            <m:r>
              <m:t>a</m:t>
            </m:r>
            <m:r>
              <m:t>x</m:t>
            </m:r>
          </m:sub>
        </m:sSub>
      </m:oMath>
      <w:r>
        <w:t xml:space="preserve">,</w:t>
      </w:r>
      <w:r>
        <w:t xml:space="preserve"> </w:t>
      </w:r>
      <m:oMath>
        <m:sSub>
          <m:e>
            <m:r>
              <m:t>M</m:t>
            </m:r>
          </m:e>
          <m:sub>
            <m:r>
              <m:t>h</m:t>
            </m:r>
            <m:r>
              <m:t>a</m:t>
            </m:r>
            <m:r>
              <m:t>l</m:t>
            </m:r>
            <m:r>
              <m:t>f</m:t>
            </m:r>
          </m:sub>
        </m:sSub>
      </m:oMath>
      <w:r>
        <w:t xml:space="preserve">, and</w:t>
      </w:r>
      <w:r>
        <w:t xml:space="preserve"> </w:t>
      </w:r>
      <m:oMath>
        <m:r>
          <m:t>γ</m:t>
        </m:r>
      </m:oMath>
      <w:r>
        <w:t xml:space="preserve"> </w:t>
      </w:r>
      <w:r>
        <w:t xml:space="preserve">from independent uniform priors at</w:t>
      </w:r>
      <w:r>
        <w:t xml:space="preserve"> </w:t>
      </w:r>
      <m:oMath>
        <m:r>
          <m:rPr>
            <m:sty m:val="p"/>
          </m:rPr>
          <m:t>±</m:t>
        </m:r>
        <m:r>
          <m:t>50</m:t>
        </m:r>
        <m:r>
          <m:rPr>
            <m:sty m:val="p"/>
          </m:rPr>
          <m:t>%</m:t>
        </m:r>
      </m:oMath>
      <w:r>
        <w:t xml:space="preserve"> </w:t>
      </w:r>
      <w:r>
        <w:t xml:space="preserve">around their default values, jointly with the §6.2 rubric priors on paleoclimate</w:t>
      </w:r>
      <w:r>
        <w:t xml:space="preserve"> </w:t>
      </w:r>
      <m:oMath>
        <m:r>
          <m:t>σ</m:t>
        </m:r>
      </m:oMath>
      <w:r>
        <w:t xml:space="preserve"> </w:t>
      </w:r>
      <w:r>
        <w:t xml:space="preserve">and ecotone</w:t>
      </w:r>
      <w:r>
        <w:t xml:space="preserve"> </w:t>
      </w:r>
      <m:oMath>
        <m:r>
          <m:t>ε</m:t>
        </m:r>
      </m:oMath>
      <w:r>
        <w:t xml:space="preserve">,</w:t>
      </w:r>
      <w:r>
        <w:t xml:space="preserve"> </w:t>
      </w:r>
      <m:oMath>
        <m:r>
          <m:t>N</m:t>
        </m:r>
        <m:r>
          <m:rPr>
            <m:sty m:val="p"/>
          </m:rPr>
          <m:t>=</m:t>
        </m:r>
        <m:r>
          <m:t>1</m:t>
        </m:r>
        <m:r>
          <m:rPr>
            <m:sty m:val="p"/>
          </m:rPr>
          <m:t>,</m:t>
        </m:r>
        <m:r>
          <m:t>000</m:t>
        </m:r>
      </m:oMath>
      <w:r>
        <w:t xml:space="preserve"> </w:t>
      </w:r>
      <w:r>
        <w:t xml:space="preserve">samples yield posterior</w:t>
      </w:r>
      <w:r>
        <w:t xml:space="preserve"> </w:t>
      </w:r>
      <m:oMath>
        <m:r>
          <m:t>P</m:t>
        </m:r>
        <m:r>
          <m:rPr>
            <m:sty m:val="p"/>
          </m:rPr>
          <m:t>(</m:t>
        </m:r>
        <m:sSub>
          <m:e>
            <m:r>
              <m:t>σ</m:t>
            </m:r>
          </m:e>
          <m:sub>
            <m:r>
              <m:t>e</m:t>
            </m:r>
            <m:r>
              <m:t>f</m:t>
            </m:r>
            <m:r>
              <m:t>f</m:t>
            </m:r>
          </m:sub>
        </m:sSub>
        <m:r>
          <m:rPr>
            <m:sty m:val="p"/>
          </m:rPr>
          <m:t>&gt;</m:t>
        </m:r>
        <m:sSup>
          <m:e>
            <m:r>
              <m:t>σ</m:t>
            </m:r>
          </m:e>
          <m:sup>
            <m:r>
              <m:rPr>
                <m:sty m:val="p"/>
              </m:rPr>
              <m:t>*</m:t>
            </m:r>
          </m:sup>
        </m:sSup>
        <m:r>
          <m:rPr>
            <m:sty m:val="p"/>
          </m:rPr>
          <m:t>)</m:t>
        </m:r>
        <m:r>
          <m:rPr>
            <m:sty m:val="p"/>
          </m:rPr>
          <m:t>=</m:t>
        </m:r>
        <m:r>
          <m:t>0.33</m:t>
        </m:r>
      </m:oMath>
      <w:r>
        <w:t xml:space="preserve">. This is comparable to the §6.2 baseline rubric-prior result of 0.36 (the propagation slightly raises</w:t>
      </w:r>
      <w:r>
        <w:t xml:space="preserve"> </w:t>
      </w:r>
      <m:oMath>
        <m:r>
          <m:t>P</m:t>
        </m:r>
      </m:oMath>
      <w:r>
        <w:t xml:space="preserve"> </w:t>
      </w:r>
      <w:r>
        <w:t xml:space="preserve">rather than lowers it because lower-cost samples bring</w:t>
      </w:r>
      <w:r>
        <w:t xml:space="preserve"> </w:t>
      </w:r>
      <m:oMath>
        <m:sSup>
          <m:e>
            <m:r>
              <m:t>σ</m:t>
            </m:r>
          </m:e>
          <m:sup>
            <m:r>
              <m:rPr>
                <m:sty m:val="p"/>
              </m:rPr>
              <m:t>*</m:t>
            </m:r>
          </m:sup>
        </m:sSup>
      </m:oMath>
      <w:r>
        <w:t xml:space="preserve"> </w:t>
      </w:r>
      <w:r>
        <w:t xml:space="preserve">down faster than they bring</w:t>
      </w:r>
      <w:r>
        <w:t xml:space="preserve"> </w:t>
      </w:r>
      <m:oMath>
        <m:sSub>
          <m:e>
            <m:r>
              <m:t>σ</m:t>
            </m:r>
          </m:e>
          <m:sub>
            <m:r>
              <m:t>e</m:t>
            </m:r>
            <m:r>
              <m:t>f</m:t>
            </m:r>
            <m:r>
              <m:t>f</m:t>
            </m:r>
          </m:sub>
        </m:sSub>
      </m:oMath>
      <w:r>
        <w:t xml:space="preserve"> </w:t>
      </w:r>
      <w:r>
        <w:t xml:space="preserve">down). The posterior on</w:t>
      </w:r>
      <w:r>
        <w:t xml:space="preserve"> </w:t>
      </w:r>
      <m:oMath>
        <m:sSub>
          <m:e>
            <m:r>
              <m:t>σ</m:t>
            </m:r>
          </m:e>
          <m:sub>
            <m:r>
              <m:t>e</m:t>
            </m:r>
            <m:r>
              <m:t>f</m:t>
            </m:r>
            <m:r>
              <m:t>f</m:t>
            </m:r>
          </m:sub>
        </m:sSub>
        <m:r>
          <m:rPr>
            <m:sty m:val="p"/>
          </m:rPr>
          <m:t>−</m:t>
        </m:r>
        <m:sSup>
          <m:e>
            <m:r>
              <m:t>σ</m:t>
            </m:r>
          </m:e>
          <m:sup>
            <m:r>
              <m:rPr>
                <m:sty m:val="p"/>
              </m:rPr>
              <m:t>*</m:t>
            </m:r>
          </m:sup>
        </m:sSup>
      </m:oMath>
      <w:r>
        <w:t xml:space="preserve"> </w:t>
      </w:r>
      <w:r>
        <w:t xml:space="preserve">has mean</w:t>
      </w:r>
      <w:r>
        <w:t xml:space="preserve"> </w:t>
      </w:r>
      <m:oMath>
        <m:r>
          <m:rPr>
            <m:sty m:val="p"/>
          </m:rPr>
          <m:t>−</m:t>
        </m:r>
        <m:r>
          <m:t>0.05</m:t>
        </m:r>
      </m:oMath>
      <w:r>
        <w:t xml:space="preserve"> </w:t>
      </w:r>
      <w:r>
        <w:t xml:space="preserve">with 95% CI</w:t>
      </w:r>
      <w:r>
        <w:t xml:space="preserve"> </w:t>
      </w:r>
      <m:oMath>
        <m:r>
          <m:rPr>
            <m:sty m:val="p"/>
          </m:rPr>
          <m:t>[</m:t>
        </m:r>
        <m:r>
          <m:rPr>
            <m:sty m:val="p"/>
          </m:rPr>
          <m:t>−</m:t>
        </m:r>
        <m:r>
          <m:t>0.26</m:t>
        </m:r>
        <m:r>
          <m:rPr>
            <m:sty m:val="p"/>
          </m:rPr>
          <m:t>,</m:t>
        </m:r>
        <m:r>
          <m:rPr>
            <m:sty m:val="p"/>
          </m:rPr>
          <m:t>+</m:t>
        </m:r>
        <m:r>
          <m:t>0.18</m:t>
        </m:r>
        <m:r>
          <m:rPr>
            <m:sty m:val="p"/>
          </m:rPr>
          <m:t>]</m:t>
        </m:r>
      </m:oMath>
      <w:r>
        <w:t xml:space="preserve">, straddling zero substantially. The conditioning caveat introduced in main §6.2 is therefore real but bounded: the §6.2 result is robust against adding parameter-set uncertainty over the</w:t>
      </w:r>
      <w:r>
        <w:t xml:space="preserve"> </w:t>
      </w:r>
      <m:oMath>
        <m:r>
          <m:rPr>
            <m:sty m:val="p"/>
          </m:rPr>
          <m:t>±</m:t>
        </m:r>
        <m:r>
          <m:t>50</m:t>
        </m:r>
        <m:r>
          <m:rPr>
            <m:sty m:val="p"/>
          </m:rPr>
          <m:t>%</m:t>
        </m:r>
      </m:oMath>
      <w:r>
        <w:t xml:space="preserve"> </w:t>
      </w:r>
      <w:r>
        <w:t xml:space="preserve">OAT range. Reproducible from</w:t>
      </w:r>
      <w:r>
        <w:t xml:space="preserve"> </w:t>
      </w:r>
      <w:r>
        <w:rPr>
          <w:rStyle w:val="VerbatimChar"/>
        </w:rPr>
        <w:t xml:space="preserve">scripts/analysis/joint_parameter_uncertainty.py</w:t>
      </w:r>
      <w:r>
        <w:t xml:space="preserve">; output in</w:t>
      </w:r>
      <w:r>
        <w:t xml:space="preserve"> </w:t>
      </w:r>
      <w:r>
        <w:rPr>
          <w:rStyle w:val="VerbatimChar"/>
        </w:rPr>
        <w:t xml:space="preserve">results/bayesian/joint_parameter_uncertainty.json</w:t>
      </w:r>
      <w:r>
        <w:t xml:space="preserve">.</w:t>
      </w:r>
    </w:p>
    <w:p>
      <w:pPr>
        <w:pStyle w:val="BodyText"/>
      </w:pPr>
      <w:r>
        <w:drawing>
          <wp:inline>
            <wp:extent cx="5943600" cy="2179935"/>
            <wp:effectExtent b="0" l="0" r="0" t="0"/>
            <wp:docPr descr="" title="" id="28" name="Picture"/>
            <a:graphic>
              <a:graphicData uri="http://schemas.openxmlformats.org/drawingml/2006/picture">
                <pic:pic>
                  <pic:nvPicPr>
                    <pic:cNvPr descr="../../figures/supplemental/figure_S02_joint_mc_diagnostic.png" id="29" name="Picture"/>
                    <pic:cNvPicPr>
                      <a:picLocks noChangeArrowheads="1" noChangeAspect="1"/>
                    </pic:cNvPicPr>
                  </pic:nvPicPr>
                  <pic:blipFill>
                    <a:blip r:embed="rId27"/>
                    <a:stretch>
                      <a:fillRect/>
                    </a:stretch>
                  </pic:blipFill>
                  <pic:spPr bwMode="auto">
                    <a:xfrm>
                      <a:off x="0" y="0"/>
                      <a:ext cx="5943600" cy="2179935"/>
                    </a:xfrm>
                    <a:prstGeom prst="rect">
                      <a:avLst/>
                    </a:prstGeom>
                    <a:noFill/>
                    <a:ln w="9525">
                      <a:noFill/>
                      <a:headEnd/>
                      <a:tailEnd/>
                    </a:ln>
                  </pic:spPr>
                </pic:pic>
              </a:graphicData>
            </a:graphic>
          </wp:inline>
        </w:drawing>
      </w:r>
    </w:p>
    <w:p>
      <w:pPr>
        <w:pStyle w:val="BodyText"/>
      </w:pPr>
      <w:r>
        <w:rPr>
          <w:b/>
          <w:bCs/>
          <w:i/>
          <w:iCs/>
        </w:rPr>
        <w:t xml:space="preserve">Figure S2. Joint Monte Carlo diagnostic for the §6.2 threshold-proximity test.</w:t>
      </w:r>
      <w:r>
        <w:t xml:space="preserve"> </w:t>
      </w:r>
      <w:r>
        <w:rPr>
          <w:i/>
          <w:iCs/>
        </w:rPr>
        <w:t xml:space="preserve">(A) Joint posterior on</w:t>
      </w:r>
      <w:r>
        <w:rPr>
          <w:i/>
          <w:iCs/>
        </w:rPr>
        <w:t xml:space="preserve"> </w:t>
      </w:r>
      <m:oMath>
        <m:r>
          <m:rPr>
            <m:sty m:val="p"/>
          </m:rPr>
          <m:t>(</m:t>
        </m:r>
        <m:sSub>
          <m:e>
            <m:r>
              <m:t>σ</m:t>
            </m:r>
          </m:e>
          <m:sub>
            <m:r>
              <m:t>e</m:t>
            </m:r>
            <m:r>
              <m:t>f</m:t>
            </m:r>
            <m:r>
              <m:t>f</m:t>
            </m:r>
          </m:sub>
        </m:sSub>
        <m:r>
          <m:rPr>
            <m:sty m:val="p"/>
          </m:rPr>
          <m:t>,</m:t>
        </m:r>
        <m:sSup>
          <m:e>
            <m:r>
              <m:t>σ</m:t>
            </m:r>
          </m:e>
          <m:sup>
            <m:r>
              <m:rPr>
                <m:sty m:val="p"/>
              </m:rPr>
              <m:t>*</m:t>
            </m:r>
          </m:sup>
        </m:sSup>
        <m:r>
          <m:rPr>
            <m:sty m:val="p"/>
          </m:rPr>
          <m:t>)</m:t>
        </m:r>
      </m:oMath>
      <w:r>
        <w:rPr>
          <w:i/>
          <w:iCs/>
        </w:rPr>
        <w:t xml:space="preserve"> </w:t>
      </w:r>
      <w:r>
        <w:rPr>
          <w:i/>
          <w:iCs/>
        </w:rPr>
        <w:t xml:space="preserve">across</w:t>
      </w:r>
      <w:r>
        <w:rPr>
          <w:i/>
          <w:iCs/>
        </w:rPr>
        <w:t xml:space="preserve"> </w:t>
      </w:r>
      <m:oMath>
        <m:r>
          <m:t>N</m:t>
        </m:r>
        <m:r>
          <m:rPr>
            <m:sty m:val="p"/>
          </m:rPr>
          <m:t>=</m:t>
        </m:r>
        <m:r>
          <m:t>1</m:t>
        </m:r>
        <m:r>
          <m:rPr>
            <m:sty m:val="p"/>
          </m:rPr>
          <m:t>,</m:t>
        </m:r>
        <m:r>
          <m:t>000</m:t>
        </m:r>
      </m:oMath>
      <w:r>
        <w:rPr>
          <w:i/>
          <w:iCs/>
        </w:rPr>
        <w:t xml:space="preserve"> </w:t>
      </w:r>
      <w:r>
        <w:rPr>
          <w:i/>
          <w:iCs/>
        </w:rPr>
        <w:t xml:space="preserve">samples drawn from the §6.2 rubric priors on paleoclimate</w:t>
      </w:r>
      <w:r>
        <w:rPr>
          <w:i/>
          <w:iCs/>
        </w:rPr>
        <w:t xml:space="preserve"> </w:t>
      </w:r>
      <m:oMath>
        <m:r>
          <m:t>σ</m:t>
        </m:r>
      </m:oMath>
      <w:r>
        <w:rPr>
          <w:i/>
          <w:iCs/>
        </w:rPr>
        <w:t xml:space="preserve"> </w:t>
      </w:r>
      <w:r>
        <w:rPr>
          <w:i/>
          <w:iCs/>
        </w:rPr>
        <w:t xml:space="preserve">and ecotone</w:t>
      </w:r>
      <w:r>
        <w:rPr>
          <w:i/>
          <w:iCs/>
        </w:rPr>
        <w:t xml:space="preserve"> </w:t>
      </w:r>
      <m:oMath>
        <m:r>
          <m:t>ε</m:t>
        </m:r>
      </m:oMath>
      <w:r>
        <w:rPr>
          <w:i/>
          <w:iCs/>
        </w:rPr>
        <w:t xml:space="preserve"> </w:t>
      </w:r>
      <w:r>
        <w:rPr>
          <w:i/>
          <w:iCs/>
        </w:rPr>
        <w:t xml:space="preserve">jointly with</w:t>
      </w:r>
      <w:r>
        <w:rPr>
          <w:i/>
          <w:iCs/>
        </w:rPr>
        <w:t xml:space="preserve"> </w:t>
      </w:r>
      <m:oMath>
        <m:r>
          <m:rPr>
            <m:sty m:val="p"/>
          </m:rPr>
          <m:t>±</m:t>
        </m:r>
        <m:r>
          <m:t>50</m:t>
        </m:r>
        <m:r>
          <m:rPr>
            <m:sty m:val="p"/>
          </m:rPr>
          <m:t>%</m:t>
        </m:r>
      </m:oMath>
      <w:r>
        <w:rPr>
          <w:i/>
          <w:iCs/>
        </w:rPr>
        <w:t xml:space="preserve"> </w:t>
      </w:r>
      <w:r>
        <w:rPr>
          <w:i/>
          <w:iCs/>
        </w:rPr>
        <w:t xml:space="preserve">uniform priors on the six model parameters that set</w:t>
      </w:r>
      <w:r>
        <w:rPr>
          <w:i/>
          <w:iCs/>
        </w:rPr>
        <w:t xml:space="preserve"> </w:t>
      </w:r>
      <m:oMath>
        <m:sSup>
          <m:e>
            <m:r>
              <m:t>σ</m:t>
            </m:r>
          </m:e>
          <m:sup>
            <m:r>
              <m:rPr>
                <m:sty m:val="p"/>
              </m:rPr>
              <m:t>*</m:t>
            </m:r>
          </m:sup>
        </m:sSup>
      </m:oMath>
      <w:r>
        <w:rPr>
          <w:i/>
          <w:iCs/>
        </w:rPr>
        <w:t xml:space="preserve"> </w:t>
      </w:r>
      <w:r>
        <w:rPr>
          <w:i/>
          <w:iCs/>
        </w:rPr>
        <w:t xml:space="preserve">(</w:t>
      </w:r>
      <m:oMath>
        <m:sSub>
          <m:e>
            <m:r>
              <m:t>C</m:t>
            </m:r>
          </m:e>
          <m:sub>
            <m:r>
              <m:t>s</m:t>
            </m:r>
            <m:r>
              <m:t>i</m:t>
            </m:r>
            <m:r>
              <m:t>g</m:t>
            </m:r>
            <m:r>
              <m:t>n</m:t>
            </m:r>
            <m:r>
              <m:t>a</m:t>
            </m:r>
            <m:r>
              <m:t>l</m:t>
            </m:r>
          </m:sub>
        </m:sSub>
      </m:oMath>
      <w:r>
        <w:rPr>
          <w:i/>
          <w:iCs/>
        </w:rPr>
        <w:t xml:space="preserve">,</w:t>
      </w:r>
      <w:r>
        <w:rPr>
          <w:i/>
          <w:iCs/>
        </w:rPr>
        <w:t xml:space="preserve"> </w:t>
      </w:r>
      <m:oMath>
        <m:sSub>
          <m:e>
            <m:r>
              <m:t>C</m:t>
            </m:r>
          </m:e>
          <m:sub>
            <m:r>
              <m:t>o</m:t>
            </m:r>
            <m:r>
              <m:t>p</m:t>
            </m:r>
            <m:r>
              <m:t>p</m:t>
            </m:r>
            <m:r>
              <m:t>o</m:t>
            </m:r>
            <m:r>
              <m:t>r</m:t>
            </m:r>
            <m:r>
              <m:t>t</m:t>
            </m:r>
            <m:r>
              <m:t>u</m:t>
            </m:r>
            <m:r>
              <m:t>n</m:t>
            </m:r>
            <m:r>
              <m:t>i</m:t>
            </m:r>
            <m:r>
              <m:t>t</m:t>
            </m:r>
            <m:r>
              <m:t>y</m:t>
            </m:r>
          </m:sub>
        </m:sSub>
      </m:oMath>
      <w:r>
        <w:rPr>
          <w:i/>
          <w:iCs/>
        </w:rPr>
        <w:t xml:space="preserve">,</w:t>
      </w:r>
      <w:r>
        <w:rPr>
          <w:i/>
          <w:iCs/>
        </w:rPr>
        <w:t xml:space="preserve"> </w:t>
      </w:r>
      <m:oMath>
        <m:sSub>
          <m:e>
            <m:r>
              <m:t>λ</m:t>
            </m:r>
          </m:e>
          <m:sub>
            <m:r>
              <m:t>W</m:t>
            </m:r>
          </m:sub>
        </m:sSub>
      </m:oMath>
      <w:r>
        <w:rPr>
          <w:i/>
          <w:iCs/>
        </w:rPr>
        <w:t xml:space="preserve">,</w:t>
      </w:r>
      <w:r>
        <w:rPr>
          <w:i/>
          <w:iCs/>
        </w:rPr>
        <w:t xml:space="preserve"> </w:t>
      </w:r>
      <m:oMath>
        <m:sSub>
          <m:e>
            <m:r>
              <m:t>k</m:t>
            </m:r>
          </m:e>
          <m:sub>
            <m:r>
              <m:t>m</m:t>
            </m:r>
            <m:r>
              <m:t>a</m:t>
            </m:r>
            <m:r>
              <m:t>x</m:t>
            </m:r>
          </m:sub>
        </m:sSub>
      </m:oMath>
      <w:r>
        <w:rPr>
          <w:i/>
          <w:iCs/>
        </w:rPr>
        <w:t xml:space="preserve">,</w:t>
      </w:r>
      <w:r>
        <w:rPr>
          <w:i/>
          <w:iCs/>
        </w:rPr>
        <w:t xml:space="preserve"> </w:t>
      </w:r>
      <m:oMath>
        <m:sSub>
          <m:e>
            <m:r>
              <m:t>M</m:t>
            </m:r>
          </m:e>
          <m:sub>
            <m:r>
              <m:t>h</m:t>
            </m:r>
            <m:r>
              <m:t>a</m:t>
            </m:r>
            <m:r>
              <m:t>l</m:t>
            </m:r>
            <m:r>
              <m:t>f</m:t>
            </m:r>
          </m:sub>
        </m:sSub>
      </m:oMath>
      <w:r>
        <w:rPr>
          <w:i/>
          <w:iCs/>
        </w:rPr>
        <w:t xml:space="preserve">,</w:t>
      </w:r>
      <w:r>
        <w:rPr>
          <w:i/>
          <w:iCs/>
        </w:rPr>
        <w:t xml:space="preserve"> </w:t>
      </w:r>
      <m:oMath>
        <m:r>
          <m:t>γ</m:t>
        </m:r>
      </m:oMath>
      <w:r>
        <w:rPr>
          <w:i/>
          <w:iCs/>
        </w:rPr>
        <w:t xml:space="preserve">). Red dashed line is</w:t>
      </w:r>
      <w:r>
        <w:rPr>
          <w:i/>
          <w:iCs/>
        </w:rPr>
        <w:t xml:space="preserve"> </w:t>
      </w:r>
      <m:oMath>
        <m:sSub>
          <m:e>
            <m:r>
              <m:t>σ</m:t>
            </m:r>
          </m:e>
          <m:sub>
            <m:r>
              <m:t>e</m:t>
            </m:r>
            <m:r>
              <m:t>f</m:t>
            </m:r>
            <m:r>
              <m:t>f</m:t>
            </m:r>
          </m:sub>
        </m:sSub>
        <m:r>
          <m:rPr>
            <m:sty m:val="p"/>
          </m:rPr>
          <m:t>=</m:t>
        </m:r>
        <m:sSup>
          <m:e>
            <m:r>
              <m:t>σ</m:t>
            </m:r>
          </m:e>
          <m:sup>
            <m:r>
              <m:rPr>
                <m:sty m:val="p"/>
              </m:rPr>
              <m:t>*</m:t>
            </m:r>
          </m:sup>
        </m:sSup>
      </m:oMath>
      <w:r>
        <w:rPr>
          <w:i/>
          <w:iCs/>
        </w:rPr>
        <w:t xml:space="preserve">. Blue points (above the line) are samples where aggregation is adaptive at the framework’s threshold criterion; gray points are below. The fraction above the line is</w:t>
      </w:r>
      <w:r>
        <w:rPr>
          <w:i/>
          <w:iCs/>
        </w:rPr>
        <w:t xml:space="preserve"> </w:t>
      </w:r>
      <m:oMath>
        <m:r>
          <m:t>P</m:t>
        </m:r>
        <m:r>
          <m:rPr>
            <m:sty m:val="p"/>
          </m:rPr>
          <m:t>(</m:t>
        </m:r>
        <m:sSub>
          <m:e>
            <m:r>
              <m:t>σ</m:t>
            </m:r>
          </m:e>
          <m:sub>
            <m:r>
              <m:t>e</m:t>
            </m:r>
            <m:r>
              <m:t>f</m:t>
            </m:r>
            <m:r>
              <m:t>f</m:t>
            </m:r>
          </m:sub>
        </m:sSub>
        <m:r>
          <m:rPr>
            <m:sty m:val="p"/>
          </m:rPr>
          <m:t>&gt;</m:t>
        </m:r>
        <m:sSup>
          <m:e>
            <m:r>
              <m:t>σ</m:t>
            </m:r>
          </m:e>
          <m:sup>
            <m:r>
              <m:rPr>
                <m:sty m:val="p"/>
              </m:rPr>
              <m:t>*</m:t>
            </m:r>
          </m:sup>
        </m:sSup>
        <m:r>
          <m:rPr>
            <m:sty m:val="p"/>
          </m:rPr>
          <m:t>)</m:t>
        </m:r>
        <m:r>
          <m:rPr>
            <m:sty m:val="p"/>
          </m:rPr>
          <m:t>=</m:t>
        </m:r>
        <m:r>
          <m:t>0.36</m:t>
        </m:r>
      </m:oMath>
      <w:r>
        <w:rPr>
          <w:i/>
          <w:iCs/>
        </w:rPr>
        <w:t xml:space="preserve"> </w:t>
      </w:r>
      <w:r>
        <w:rPr>
          <w:i/>
          <w:iCs/>
        </w:rPr>
        <w:t xml:space="preserve">at this MC seed (0.33-0.36 across seeds; the §6.2 prose reports the lower-bound seed result of 0.33). (B) Marginal posterior on</w:t>
      </w:r>
      <w:r>
        <w:rPr>
          <w:i/>
          <w:iCs/>
        </w:rPr>
        <w:t xml:space="preserve"> </w:t>
      </w:r>
      <m:oMath>
        <m:sSub>
          <m:e>
            <m:r>
              <m:t>σ</m:t>
            </m:r>
          </m:e>
          <m:sub>
            <m:r>
              <m:t>e</m:t>
            </m:r>
            <m:r>
              <m:t>f</m:t>
            </m:r>
            <m:r>
              <m:t>f</m:t>
            </m:r>
          </m:sub>
        </m:sSub>
        <m:r>
          <m:rPr>
            <m:sty m:val="p"/>
          </m:rPr>
          <m:t>−</m:t>
        </m:r>
        <m:sSup>
          <m:e>
            <m:r>
              <m:t>σ</m:t>
            </m:r>
          </m:e>
          <m:sup>
            <m:r>
              <m:rPr>
                <m:sty m:val="p"/>
              </m:rPr>
              <m:t>*</m:t>
            </m:r>
          </m:sup>
        </m:sSup>
      </m:oMath>
      <w:r>
        <w:rPr>
          <w:i/>
          <w:iCs/>
        </w:rPr>
        <w:t xml:space="preserve"> </w:t>
      </w:r>
      <w:r>
        <w:rPr>
          <w:i/>
          <w:iCs/>
        </w:rPr>
        <w:t xml:space="preserve">(blue) overlaid against the priors-only baseline at fixed default parameters (gray). Adding parameter-set uncertainty broadens the marginal moderately and raises</w:t>
      </w:r>
      <w:r>
        <w:rPr>
          <w:i/>
          <w:iCs/>
        </w:rPr>
        <w:t xml:space="preserve"> </w:t>
      </w:r>
      <m:oMath>
        <m:r>
          <m:t>P</m:t>
        </m:r>
      </m:oMath>
      <w:r>
        <w:rPr>
          <w:i/>
          <w:iCs/>
        </w:rPr>
        <w:t xml:space="preserve"> </w:t>
      </w:r>
      <w:r>
        <w:rPr>
          <w:i/>
          <w:iCs/>
        </w:rPr>
        <w:t xml:space="preserve">from 0.26 (priors only) to 0.36 (joint), confirming that the parameter-set conditioning caveat is real but bounded. Red dashed line at zero. (C) Per-parameter posterior 95% CI conditional on the above-threshold subset (blue bars) vs the full</w:t>
      </w:r>
      <w:r>
        <w:rPr>
          <w:i/>
          <w:iCs/>
        </w:rPr>
        <w:t xml:space="preserve"> </w:t>
      </w:r>
      <m:oMath>
        <m:r>
          <m:rPr>
            <m:sty m:val="p"/>
          </m:rPr>
          <m:t>±</m:t>
        </m:r>
        <m:r>
          <m:t>50</m:t>
        </m:r>
        <m:r>
          <m:rPr>
            <m:sty m:val="p"/>
          </m:rPr>
          <m:t>%</m:t>
        </m:r>
      </m:oMath>
      <w:r>
        <w:rPr>
          <w:i/>
          <w:iCs/>
        </w:rPr>
        <w:t xml:space="preserve"> </w:t>
      </w:r>
      <w:r>
        <w:rPr>
          <w:i/>
          <w:iCs/>
        </w:rPr>
        <w:t xml:space="preserve">prior support (gray bars). White circles mark posterior medians; red crosses mark default values. None of the parameters is strongly constrained to a sub-region of its prior support by the conditioning, indicating that the framework’s threshold-proximity claim is not driven by extreme values of any single parameter. Generated by</w:t>
      </w:r>
      <w:r>
        <w:rPr>
          <w:i/>
          <w:iCs/>
        </w:rPr>
        <w:t xml:space="preserve"> </w:t>
      </w:r>
      <w:r>
        <w:rPr>
          <w:rStyle w:val="VerbatimChar"/>
          <w:i/>
          <w:iCs/>
        </w:rPr>
        <w:t xml:space="preserve">scripts/figure_generation/create_figure_joint_mc_diagnostic.py</w:t>
      </w:r>
      <w:r>
        <w:rPr>
          <w:i/>
          <w:iCs/>
        </w:rPr>
        <w:t xml:space="preserve">.</w:t>
      </w:r>
    </w:p>
    <w:p>
      <w:pPr>
        <w:pStyle w:val="BodyText"/>
      </w:pPr>
      <w:r>
        <w:rPr>
          <w:b/>
          <w:bCs/>
        </w:rPr>
        <w:t xml:space="preserve">Convergence diagnostics under perturbed draws.</w:t>
      </w:r>
      <w:r>
        <w:t xml:space="preserve"> </w:t>
      </w:r>
      <w:r>
        <w:t xml:space="preserve">The</w:t>
      </w:r>
      <w:r>
        <w:t xml:space="preserve"> </w:t>
      </w:r>
      <m:oMath>
        <m:sSup>
          <m:e>
            <m:r>
              <m:t>σ</m:t>
            </m:r>
          </m:e>
          <m:sup>
            <m:r>
              <m:rPr>
                <m:sty m:val="p"/>
              </m:rPr>
              <m:t>*</m:t>
            </m:r>
          </m:sup>
        </m:sSup>
      </m:oMath>
      <w:r>
        <w:t xml:space="preserve"> </w:t>
      </w:r>
      <w:r>
        <w:t xml:space="preserve">computation at each Monte Carlo sample uses Brent’s-method root-finding applied to the lambda-sigma fixed-point equilibrium. The fixed-point iteration converges in 18 steps at default parameters; we verified that all 1,000 joint MC samples reached convergence within tolerance (</w:t>
      </w:r>
      <m:oMath>
        <m:r>
          <m:rPr>
            <m:sty m:val="p"/>
          </m:rPr>
          <m:t>∥</m:t>
        </m:r>
        <m:r>
          <m:rPr>
            <m:sty m:val="p"/>
          </m:rPr>
          <m:t>Δ</m:t>
        </m:r>
        <m:r>
          <m:t>λ</m:t>
        </m:r>
        <m:r>
          <m:rPr>
            <m:sty m:val="p"/>
          </m:rPr>
          <m:t>∥</m:t>
        </m:r>
        <m:r>
          <m:rPr>
            <m:sty m:val="p"/>
          </m:rPr>
          <m:t>&lt;</m:t>
        </m:r>
        <m:sSup>
          <m:e>
            <m:r>
              <m:t>10</m:t>
            </m:r>
          </m:e>
          <m:sup>
            <m:r>
              <m:rPr>
                <m:sty m:val="p"/>
              </m:rPr>
              <m:t>−</m:t>
            </m:r>
            <m:r>
              <m:t>6</m:t>
            </m:r>
          </m:sup>
        </m:sSup>
      </m:oMath>
      <w:r>
        <w:t xml:space="preserve">) within the iteration cap of 100 steps. Mean iteration count across the joint MC was 18.4 (SD 2.1, max 23); no sample failed to converge. Brent’s method bracketed a sign change in</w:t>
      </w:r>
      <w:r>
        <w:t xml:space="preserve"> </w:t>
      </w:r>
      <m:oMath>
        <m:sSub>
          <m:e>
            <m:r>
              <m:t>W</m:t>
            </m:r>
          </m:e>
          <m:sub>
            <m:r>
              <m:t>a</m:t>
            </m:r>
            <m:r>
              <m:t>g</m:t>
            </m:r>
            <m:r>
              <m:t>g</m:t>
            </m:r>
          </m:sub>
        </m:sSub>
        <m:r>
          <m:rPr>
            <m:sty m:val="p"/>
          </m:rPr>
          <m:t>(</m:t>
        </m:r>
        <m:r>
          <m:t>σ</m:t>
        </m:r>
        <m:r>
          <m:rPr>
            <m:sty m:val="p"/>
          </m:rPr>
          <m:t>)</m:t>
        </m:r>
        <m:r>
          <m:rPr>
            <m:sty m:val="p"/>
          </m:rPr>
          <m:t>−</m:t>
        </m:r>
        <m:sSub>
          <m:e>
            <m:r>
              <m:t>W</m:t>
            </m:r>
          </m:e>
          <m:sub>
            <m:r>
              <m:t>i</m:t>
            </m:r>
            <m:r>
              <m:t>n</m:t>
            </m:r>
            <m:r>
              <m:t>d</m:t>
            </m:r>
          </m:sub>
        </m:sSub>
        <m:r>
          <m:rPr>
            <m:sty m:val="p"/>
          </m:rPr>
          <m:t>(</m:t>
        </m:r>
        <m:r>
          <m:t>σ</m:t>
        </m:r>
        <m:r>
          <m:rPr>
            <m:sty m:val="p"/>
          </m:rPr>
          <m:t>)</m:t>
        </m:r>
      </m:oMath>
      <w:r>
        <w:t xml:space="preserve"> </w:t>
      </w:r>
      <w:r>
        <w:t xml:space="preserve">for all 1,000 samples and returned</w:t>
      </w:r>
      <w:r>
        <w:t xml:space="preserve"> </w:t>
      </w:r>
      <m:oMath>
        <m:sSup>
          <m:e>
            <m:r>
              <m:t>σ</m:t>
            </m:r>
          </m:e>
          <m:sup>
            <m:r>
              <m:rPr>
                <m:sty m:val="p"/>
              </m:rPr>
              <m:t>*</m:t>
            </m:r>
          </m:sup>
        </m:sSup>
      </m:oMath>
      <w:r>
        <w:t xml:space="preserve"> </w:t>
      </w:r>
      <w:r>
        <w:t xml:space="preserve">to within</w:t>
      </w:r>
      <w:r>
        <w:t xml:space="preserve"> </w:t>
      </w:r>
      <m:oMath>
        <m:sSup>
          <m:e>
            <m:r>
              <m:t>10</m:t>
            </m:r>
          </m:e>
          <m:sup>
            <m:r>
              <m:rPr>
                <m:sty m:val="p"/>
              </m:rPr>
              <m:t>−</m:t>
            </m:r>
            <m:r>
              <m:t>4</m:t>
            </m:r>
          </m:sup>
        </m:sSup>
      </m:oMath>
      <w:r>
        <w:t xml:space="preserve"> </w:t>
      </w:r>
      <w:r>
        <w:t xml:space="preserve">in</w:t>
      </w:r>
      <w:r>
        <w:t xml:space="preserve"> </w:t>
      </w:r>
      <m:oMath>
        <m:r>
          <m:t>σ</m:t>
        </m:r>
      </m:oMath>
      <w:r>
        <w:t xml:space="preserve"> </w:t>
      </w:r>
      <w:r>
        <w:t xml:space="preserve">space. Across the OAT swings (parameter perturbed to</w:t>
      </w:r>
      <w:r>
        <w:t xml:space="preserve"> </w:t>
      </w:r>
      <m:oMath>
        <m:r>
          <m:rPr>
            <m:sty m:val="p"/>
          </m:rPr>
          <m:t>±</m:t>
        </m:r>
        <m:r>
          <m:t>50</m:t>
        </m:r>
        <m:r>
          <m:rPr>
            <m:sty m:val="p"/>
          </m:rPr>
          <m:t>%</m:t>
        </m:r>
      </m:oMath>
      <w:r>
        <w:t xml:space="preserve">, all others held at default), the same fixed-point convergence holds: mean iteration count 17.6 (SD 1.8, max 22) across 26 parameter</w:t>
      </w:r>
      <w:r>
        <w:t xml:space="preserve"> </w:t>
      </w:r>
      <m:oMath>
        <m:r>
          <m:rPr>
            <m:sty m:val="p"/>
          </m:rPr>
          <m:t>×</m:t>
        </m:r>
      </m:oMath>
      <w:r>
        <w:t xml:space="preserve"> </w:t>
      </w:r>
      <w:r>
        <w:t xml:space="preserve">direction combinations, all within tolerance. The §6.2 joint posterior and the §S3.1 OAT swings are therefore not driven by non-convergence at the parameter extremes.</w:t>
      </w:r>
    </w:p>
    <w:bookmarkEnd w:id="30"/>
    <w:bookmarkStart w:id="31" w:name="s3.2-aggregation-size"/>
    <w:p>
      <w:pPr>
        <w:pStyle w:val="Heading3"/>
      </w:pPr>
      <w:r>
        <w:t xml:space="preserve">S3.2 Aggregation size</w:t>
      </w:r>
    </w:p>
    <w:p>
      <w:pPr>
        <w:pStyle w:val="FirstParagraph"/>
      </w:pPr>
      <w:r>
        <w:t xml:space="preserve">The critical threshold drops sharply with aggregation size, from</w:t>
      </w:r>
      <w:r>
        <w:t xml:space="preserve"> </w:t>
      </w:r>
      <m:oMath>
        <m:sSup>
          <m:e>
            <m:r>
              <m:t>σ</m:t>
            </m:r>
          </m:e>
          <m:sup>
            <m:r>
              <m:rPr>
                <m:sty m:val="p"/>
              </m:rPr>
              <m:t>*</m:t>
            </m:r>
          </m:sup>
        </m:sSup>
        <m:r>
          <m:rPr>
            <m:sty m:val="p"/>
          </m:rPr>
          <m:t>≈</m:t>
        </m:r>
        <m:r>
          <m:t>0.55</m:t>
        </m:r>
      </m:oMath>
      <w:r>
        <w:t xml:space="preserve"> </w:t>
      </w:r>
      <w:r>
        <w:t xml:space="preserve">at</w:t>
      </w:r>
      <w:r>
        <w:t xml:space="preserve"> </w:t>
      </w:r>
      <m:oMath>
        <m:r>
          <m:t>n</m:t>
        </m:r>
        <m:r>
          <m:rPr>
            <m:sty m:val="p"/>
          </m:rPr>
          <m:t>=</m:t>
        </m:r>
        <m:r>
          <m:t>10</m:t>
        </m:r>
      </m:oMath>
      <w:r>
        <w:t xml:space="preserve"> </w:t>
      </w:r>
      <w:r>
        <w:t xml:space="preserve">to</w:t>
      </w:r>
      <w:r>
        <w:t xml:space="preserve"> </w:t>
      </w:r>
      <m:oMath>
        <m:sSup>
          <m:e>
            <m:r>
              <m:t>σ</m:t>
            </m:r>
          </m:e>
          <m:sup>
            <m:r>
              <m:rPr>
                <m:sty m:val="p"/>
              </m:rPr>
              <m:t>*</m:t>
            </m:r>
          </m:sup>
        </m:sSup>
        <m:r>
          <m:rPr>
            <m:sty m:val="p"/>
          </m:rPr>
          <m:t>≈</m:t>
        </m:r>
        <m:r>
          <m:t>0.40</m:t>
        </m:r>
      </m:oMath>
      <w:r>
        <w:t xml:space="preserve"> </w:t>
      </w:r>
      <w:r>
        <w:t xml:space="preserve">at</w:t>
      </w:r>
      <w:r>
        <w:t xml:space="preserve"> </w:t>
      </w:r>
      <m:oMath>
        <m:r>
          <m:t>n</m:t>
        </m:r>
        <m:r>
          <m:rPr>
            <m:sty m:val="p"/>
          </m:rPr>
          <m:t>=</m:t>
        </m:r>
        <m:r>
          <m:t>25</m:t>
        </m:r>
      </m:oMath>
      <w:r>
        <w:t xml:space="preserve"> </w:t>
      </w:r>
      <w:r>
        <w:t xml:space="preserve">(Poverty Point ecotone advantage). Below</w:t>
      </w:r>
      <w:r>
        <w:t xml:space="preserve"> </w:t>
      </w:r>
      <m:oMath>
        <m:r>
          <m:t>n</m:t>
        </m:r>
        <m:r>
          <m:rPr>
            <m:sty m:val="p"/>
          </m:rPr>
          <m:t>=</m:t>
        </m:r>
        <m:r>
          <m:t>15</m:t>
        </m:r>
      </m:oMath>
      <w:r>
        <w:t xml:space="preserve">, even high uncertainty fails to make signaling adaptive, because cooperation benefits are insufficient to offset costs.</w:t>
      </w:r>
    </w:p>
    <w:bookmarkEnd w:id="31"/>
    <w:bookmarkStart w:id="32" w:name="s3.3-signaling-cost"/>
    <w:p>
      <w:pPr>
        <w:pStyle w:val="Heading3"/>
      </w:pPr>
      <w:r>
        <w:t xml:space="preserve">S3.3 Signaling cost</w:t>
      </w:r>
    </w:p>
    <w:p>
      <w:pPr>
        <w:pStyle w:val="FirstParagraph"/>
      </w:pPr>
      <w:r>
        <w:t xml:space="preserve">At low costs (</w:t>
      </w:r>
      <m:oMath>
        <m:sSub>
          <m:e>
            <m:r>
              <m:t>C</m:t>
            </m:r>
          </m:e>
          <m:sub>
            <m:r>
              <m:t>s</m:t>
            </m:r>
            <m:r>
              <m:t>i</m:t>
            </m:r>
            <m:r>
              <m:t>g</m:t>
            </m:r>
            <m:r>
              <m:t>n</m:t>
            </m:r>
            <m:r>
              <m:t>a</m:t>
            </m:r>
            <m:r>
              <m:t>l</m:t>
            </m:r>
          </m:sub>
        </m:sSub>
        <m:r>
          <m:rPr>
            <m:sty m:val="p"/>
          </m:rPr>
          <m:t>&lt;</m:t>
        </m:r>
        <m:r>
          <m:t>0.10</m:t>
        </m:r>
      </m:oMath>
      <w:r>
        <w:t xml:space="preserve">), aggregation becomes adaptive under mild uncertainty (</w:t>
      </w:r>
      <m:oMath>
        <m:sSup>
          <m:e>
            <m:r>
              <m:t>σ</m:t>
            </m:r>
          </m:e>
          <m:sup>
            <m:r>
              <m:rPr>
                <m:sty m:val="p"/>
              </m:rPr>
              <m:t>*</m:t>
            </m:r>
          </m:sup>
        </m:sSup>
        <m:r>
          <m:rPr>
            <m:sty m:val="p"/>
          </m:rPr>
          <m:t>&lt;</m:t>
        </m:r>
        <m:r>
          <m:t>0.45</m:t>
        </m:r>
      </m:oMath>
      <w:r>
        <w:t xml:space="preserve">). At high costs (</w:t>
      </w:r>
      <m:oMath>
        <m:r>
          <m:rPr>
            <m:sty m:val="p"/>
          </m:rPr>
          <m:t>&gt;</m:t>
        </m:r>
        <m:r>
          <m:t>0.30</m:t>
        </m:r>
      </m:oMath>
      <w:r>
        <w:t xml:space="preserve">), the threshold rises above 0.70. Sites or periods with reduced monument investment relative to Poverty Point may reflect either lower environmental uncertainty or higher signaling costs.</w:t>
      </w:r>
    </w:p>
    <w:bookmarkEnd w:id="32"/>
    <w:bookmarkStart w:id="33" w:name="s3.4-disease-costs"/>
    <w:p>
      <w:pPr>
        <w:pStyle w:val="Heading3"/>
      </w:pPr>
      <w:r>
        <w:t xml:space="preserve">S3.4 Disease costs</w:t>
      </w:r>
    </w:p>
    <w:p>
      <w:pPr>
        <w:pStyle w:val="FirstParagraph"/>
      </w:pPr>
      <w:r>
        <w:t xml:space="preserve">Adding a 5-10% disease cost to aggregation raises</w:t>
      </w:r>
      <w:r>
        <w:t xml:space="preserve"> </w:t>
      </w:r>
      <m:oMath>
        <m:sSup>
          <m:e>
            <m:r>
              <m:t>σ</m:t>
            </m:r>
          </m:e>
          <m:sup>
            <m:r>
              <m:rPr>
                <m:sty m:val="p"/>
              </m:rPr>
              <m:t>*</m:t>
            </m:r>
          </m:sup>
        </m:sSup>
      </m:oMath>
      <w:r>
        <w:t xml:space="preserve"> </w:t>
      </w:r>
      <w:r>
        <w:t xml:space="preserve">by approximately 0.03-0.06. Estimated Poverty Point regional uncertainty (~0.64) remains above the threshold under all disease-cost values within the ethnographic range.</w:t>
      </w:r>
    </w:p>
    <w:bookmarkEnd w:id="33"/>
    <w:bookmarkStart w:id="34" w:name="s3.5-ecotone-advantage"/>
    <w:p>
      <w:pPr>
        <w:pStyle w:val="Heading3"/>
      </w:pPr>
      <w:r>
        <w:t xml:space="preserve">S3.5 Ecotone advantage</w:t>
      </w:r>
    </w:p>
    <w:p>
      <w:pPr>
        <w:pStyle w:val="FirstParagraph"/>
      </w:pPr>
      <w:r>
        <w:t xml:space="preserve">The model is most sensitive to the asserted ecotone advantage. At</w:t>
      </w:r>
      <w:r>
        <w:t xml:space="preserve"> </w:t>
      </w:r>
      <m:oMath>
        <m:r>
          <m:t>ε</m:t>
        </m:r>
        <m:r>
          <m:rPr>
            <m:sty m:val="p"/>
          </m:rPr>
          <m:t>=</m:t>
        </m:r>
        <m:r>
          <m:t>0.20</m:t>
        </m:r>
      </m:oMath>
      <w:r>
        <w:t xml:space="preserve">,</w:t>
      </w:r>
      <w:r>
        <w:t xml:space="preserve"> </w:t>
      </w:r>
      <m:oMath>
        <m:sSup>
          <m:e>
            <m:r>
              <m:t>σ</m:t>
            </m:r>
          </m:e>
          <m:sup>
            <m:r>
              <m:rPr>
                <m:sty m:val="p"/>
              </m:rPr>
              <m:t>*</m:t>
            </m:r>
          </m:sup>
        </m:sSup>
      </m:oMath>
      <w:r>
        <w:t xml:space="preserve"> </w:t>
      </w:r>
      <w:r>
        <w:t xml:space="preserve">rises to ~0.50, still below typical regional estimates but with reduced margin. At</w:t>
      </w:r>
      <w:r>
        <w:t xml:space="preserve"> </w:t>
      </w:r>
      <m:oMath>
        <m:r>
          <m:t>ε</m:t>
        </m:r>
        <m:r>
          <m:rPr>
            <m:sty m:val="p"/>
          </m:rPr>
          <m:t>=</m:t>
        </m:r>
        <m:r>
          <m:t>0</m:t>
        </m:r>
      </m:oMath>
      <w:r>
        <w:t xml:space="preserve">,</w:t>
      </w:r>
      <w:r>
        <w:t xml:space="preserve"> </w:t>
      </w:r>
      <m:oMath>
        <m:sSup>
          <m:e>
            <m:r>
              <m:t>σ</m:t>
            </m:r>
          </m:e>
          <m:sup>
            <m:r>
              <m:rPr>
                <m:sty m:val="p"/>
              </m:rPr>
              <m:t>*</m:t>
            </m:r>
          </m:sup>
        </m:sSup>
      </m:oMath>
      <w:r>
        <w:t xml:space="preserve"> </w:t>
      </w:r>
      <w:r>
        <w:t xml:space="preserve">rises to ~0.57, comparable to mid-Holocene LMV</w:t>
      </w:r>
      <w:r>
        <w:t xml:space="preserve"> </w:t>
      </w:r>
      <m:oMath>
        <m:r>
          <m:t>σ</m:t>
        </m:r>
      </m:oMath>
      <w:r>
        <w:t xml:space="preserve"> </w:t>
      </w:r>
      <w:r>
        <w:t xml:space="preserve">estimates. The empirical operationalization of</w:t>
      </w:r>
      <w:r>
        <w:t xml:space="preserve"> </w:t>
      </w:r>
      <m:oMath>
        <m:r>
          <m:t>ε</m:t>
        </m:r>
      </m:oMath>
      <w:r>
        <w:t xml:space="preserve"> </w:t>
      </w:r>
      <w:r>
        <w:t xml:space="preserve">across LMV sites is developed in the regional empirical paper.</w:t>
      </w:r>
    </w:p>
    <w:bookmarkEnd w:id="34"/>
    <w:bookmarkStart w:id="35" w:name="s3.6-coupling-form-sensitivity"/>
    <w:p>
      <w:pPr>
        <w:pStyle w:val="Heading3"/>
      </w:pPr>
      <w:r>
        <w:t xml:space="preserve">S3.6 Coupling-form sensitivity</w:t>
      </w:r>
    </w:p>
    <w:p>
      <w:pPr>
        <w:pStyle w:val="FirstParagraph"/>
      </w:pPr>
      <w:r>
        <w:t xml:space="preserve">The aggregator fitness function combines vulnerability and shortfall severity through the multiplicative term</w:t>
      </w:r>
      <w:r>
        <w:t xml:space="preserve"> </w:t>
      </w:r>
      <m:oMath>
        <m:r>
          <m:rPr>
            <m:sty m:val="p"/>
          </m:rPr>
          <m:t>(</m:t>
        </m:r>
        <m:r>
          <m:t>1</m:t>
        </m:r>
        <m:r>
          <m:rPr>
            <m:sty m:val="p"/>
          </m:rPr>
          <m:t>−</m:t>
        </m:r>
        <m:r>
          <m:t>α</m:t>
        </m:r>
        <m:r>
          <m:rPr>
            <m:sty m:val="p"/>
          </m:rPr>
          <m:t>(</m:t>
        </m:r>
        <m:sSub>
          <m:e>
            <m:r>
              <m:t>k</m:t>
            </m:r>
          </m:e>
          <m:sub>
            <m:r>
              <m:t>e</m:t>
            </m:r>
            <m:r>
              <m:t>f</m:t>
            </m:r>
            <m:r>
              <m:t>f</m:t>
            </m:r>
          </m:sub>
        </m:sSub>
        <m:r>
          <m:rPr>
            <m:sty m:val="p"/>
          </m:rPr>
          <m:t>)</m:t>
        </m:r>
        <m:r>
          <m:rPr>
            <m:sty m:val="p"/>
          </m:rPr>
          <m:t>⋅</m:t>
        </m:r>
        <m:sSub>
          <m:e>
            <m:r>
              <m:t>σ</m:t>
            </m:r>
          </m:e>
          <m:sub>
            <m:r>
              <m:t>e</m:t>
            </m:r>
            <m:r>
              <m:t>f</m:t>
            </m:r>
            <m:r>
              <m:t>f</m:t>
            </m:r>
          </m:sub>
        </m:sSub>
        <m:r>
          <m:rPr>
            <m:sty m:val="p"/>
          </m:rPr>
          <m:t>)</m:t>
        </m:r>
      </m:oMath>
      <w:r>
        <w:t xml:space="preserve"> </w:t>
      </w:r>
      <w:r>
        <w:t xml:space="preserve">in</w:t>
      </w:r>
      <w:r>
        <w:t xml:space="preserve"> </w:t>
      </w:r>
      <m:oMath>
        <m:sSub>
          <m:e>
            <m:r>
              <m:t>W</m:t>
            </m:r>
          </m:e>
          <m:sub>
            <m:r>
              <m:t>a</m:t>
            </m:r>
            <m:r>
              <m:t>g</m:t>
            </m:r>
            <m:r>
              <m:t>g</m:t>
            </m:r>
          </m:sub>
        </m:sSub>
      </m:oMath>
      <w:r>
        <w:t xml:space="preserve">. The main text §3 (paragraph following the</w:t>
      </w:r>
      <w:r>
        <w:t xml:space="preserve"> </w:t>
      </w:r>
      <m:oMath>
        <m:r>
          <m:t>σ</m:t>
        </m:r>
      </m:oMath>
      <w:r>
        <w:t xml:space="preserve"> </w:t>
      </w:r>
      <w:r>
        <w:t xml:space="preserve">derivation) flags that this is one of three couplings discussed in the risk-pooling literature, the others being an additive form</w:t>
      </w:r>
      <w:r>
        <w:t xml:space="preserve"> </w:t>
      </w:r>
      <m:oMath>
        <m:r>
          <m:rPr>
            <m:sty m:val="p"/>
          </m:rPr>
          <m:t>(</m:t>
        </m:r>
        <m:r>
          <m:t>1</m:t>
        </m:r>
        <m:r>
          <m:rPr>
            <m:sty m:val="p"/>
          </m:rPr>
          <m:t>−</m:t>
        </m:r>
        <m:r>
          <m:t>α</m:t>
        </m:r>
        <m:r>
          <m:rPr>
            <m:sty m:val="p"/>
          </m:rPr>
          <m:t>−</m:t>
        </m:r>
        <m:sSub>
          <m:e>
            <m:r>
              <m:t>σ</m:t>
            </m:r>
          </m:e>
          <m:sub>
            <m:r>
              <m:t>e</m:t>
            </m:r>
            <m:r>
              <m:t>f</m:t>
            </m:r>
            <m:r>
              <m:t>f</m:t>
            </m:r>
          </m:sub>
        </m:sSub>
        <m:r>
          <m:rPr>
            <m:sty m:val="p"/>
          </m:rPr>
          <m:t>)</m:t>
        </m:r>
      </m:oMath>
      <w:r>
        <w:t xml:space="preserve"> </w:t>
      </w:r>
      <w:r>
        <w:t xml:space="preserve">and a hazard-composition form</w:t>
      </w:r>
      <w:r>
        <w:t xml:space="preserve"> </w:t>
      </w:r>
      <m:oMath>
        <m:r>
          <m:rPr>
            <m:sty m:val="p"/>
          </m:rPr>
          <m:t>(</m:t>
        </m:r>
        <m:r>
          <m:t>1</m:t>
        </m:r>
        <m:r>
          <m:rPr>
            <m:sty m:val="p"/>
          </m:rPr>
          <m:t>−</m:t>
        </m:r>
        <m:r>
          <m:t>α</m:t>
        </m:r>
        <m:r>
          <m:rPr>
            <m:sty m:val="p"/>
          </m:rPr>
          <m:t>)</m:t>
        </m:r>
        <m:r>
          <m:rPr>
            <m:sty m:val="p"/>
          </m:rPr>
          <m:t>(</m:t>
        </m:r>
        <m:r>
          <m:t>1</m:t>
        </m:r>
        <m:r>
          <m:rPr>
            <m:sty m:val="p"/>
          </m:rPr>
          <m:t>−</m:t>
        </m:r>
        <m:sSub>
          <m:e>
            <m:r>
              <m:t>σ</m:t>
            </m:r>
          </m:e>
          <m:sub>
            <m:r>
              <m:t>e</m:t>
            </m:r>
            <m:r>
              <m:t>f</m:t>
            </m:r>
            <m:r>
              <m:t>f</m:t>
            </m:r>
          </m:sub>
        </m:sSub>
        <m:r>
          <m:rPr>
            <m:sty m:val="p"/>
          </m:rPr>
          <m:t>)</m:t>
        </m:r>
      </m:oMath>
      <w:r>
        <w:t xml:space="preserve">. Here we document the result of substituting each alternative into the existing fitness machinery and explain why the multiplicative form is the principled choice given the meanings of the two factors.</w:t>
      </w:r>
    </w:p>
    <w:p>
      <w:pPr>
        <w:pStyle w:val="BodyText"/>
      </w:pPr>
      <w:r>
        <w:t xml:space="preserve">Computing</w:t>
      </w:r>
      <w:r>
        <w:t xml:space="preserve"> </w:t>
      </w:r>
      <m:oMath>
        <m:sSup>
          <m:e>
            <m:r>
              <m:t>σ</m:t>
            </m:r>
          </m:e>
          <m:sup>
            <m:r>
              <m:rPr>
                <m:sty m:val="p"/>
              </m:rPr>
              <m:t>*</m:t>
            </m:r>
          </m:sup>
        </m:sSup>
      </m:oMath>
      <w:r>
        <w:t xml:space="preserve"> </w:t>
      </w:r>
      <w:r>
        <w:t xml:space="preserve">under each coupling at PP-scenario parameters (</w:t>
      </w:r>
      <m:oMath>
        <m:r>
          <m:t>ε</m:t>
        </m:r>
        <m:r>
          <m:rPr>
            <m:sty m:val="p"/>
          </m:rPr>
          <m:t>=</m:t>
        </m:r>
        <m:r>
          <m:t>0.35</m:t>
        </m:r>
      </m:oMath>
      <w:r>
        <w:t xml:space="preserve">,</w:t>
      </w:r>
      <w:r>
        <w:t xml:space="preserve"> </w:t>
      </w:r>
      <m:oMath>
        <m:sSub>
          <m:e>
            <m:r>
              <m:t>n</m:t>
            </m:r>
          </m:e>
          <m:sub>
            <m:r>
              <m:t>a</m:t>
            </m:r>
            <m:r>
              <m:t>g</m:t>
            </m:r>
            <m:r>
              <m:t>g</m:t>
            </m:r>
          </m:sub>
        </m:sSub>
        <m:r>
          <m:rPr>
            <m:sty m:val="p"/>
          </m:rPr>
          <m:t>=</m:t>
        </m:r>
        <m:r>
          <m:t>25</m:t>
        </m:r>
      </m:oMath>
      <w:r>
        <w:t xml:space="preserve">, all other parameters at their default values) using Brent’s method on</w:t>
      </w:r>
      <w:r>
        <w:t xml:space="preserve"> </w:t>
      </w:r>
      <m:oMath>
        <m:sSub>
          <m:e>
            <m:r>
              <m:t>W</m:t>
            </m:r>
          </m:e>
          <m:sub>
            <m:r>
              <m:t>a</m:t>
            </m:r>
            <m:r>
              <m:t>g</m:t>
            </m:r>
            <m:r>
              <m:t>g</m:t>
            </m:r>
          </m:sub>
        </m:sSub>
        <m:r>
          <m:rPr>
            <m:sty m:val="p"/>
          </m:rPr>
          <m:t>(</m:t>
        </m:r>
        <m:r>
          <m:t>σ</m:t>
        </m:r>
        <m:r>
          <m:rPr>
            <m:sty m:val="p"/>
          </m:rPr>
          <m:t>)</m:t>
        </m:r>
        <m:r>
          <m:rPr>
            <m:sty m:val="p"/>
          </m:rPr>
          <m:t>−</m:t>
        </m:r>
        <m:sSub>
          <m:e>
            <m:r>
              <m:t>W</m:t>
            </m:r>
          </m:e>
          <m:sub>
            <m:r>
              <m:t>i</m:t>
            </m:r>
            <m:r>
              <m:t>n</m:t>
            </m:r>
            <m:r>
              <m:t>d</m:t>
            </m:r>
          </m:sub>
        </m:sSub>
        <m:r>
          <m:rPr>
            <m:sty m:val="p"/>
          </m:rPr>
          <m:t>(</m:t>
        </m:r>
        <m:r>
          <m:t>σ</m:t>
        </m:r>
        <m:r>
          <m:rPr>
            <m:sty m:val="p"/>
          </m:rPr>
          <m:t>)</m:t>
        </m:r>
      </m:oMath>
      <w:r>
        <w:t xml:space="preserve"> </w:t>
      </w:r>
      <w:r>
        <w:t xml:space="preserve">over</w:t>
      </w:r>
      <w:r>
        <w:t xml:space="preserve"> </w:t>
      </w:r>
      <m:oMath>
        <m:r>
          <m:t>σ</m:t>
        </m:r>
        <m:r>
          <m:rPr>
            <m:sty m:val="p"/>
          </m:rPr>
          <m:t>∈</m:t>
        </m:r>
        <m:r>
          <m:rPr>
            <m:sty m:val="p"/>
          </m:rPr>
          <m:t>[</m:t>
        </m:r>
        <m:r>
          <m:t>0.05</m:t>
        </m:r>
        <m:r>
          <m:rPr>
            <m:sty m:val="p"/>
          </m:rPr>
          <m:t>,</m:t>
        </m:r>
        <m:r>
          <m:t>1.5</m:t>
        </m:r>
        <m:r>
          <m:rPr>
            <m:sty m:val="p"/>
          </m:rPr>
          <m:t>]</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w:t>
            </w:r>
          </w:p>
        </w:tc>
        <w:tc>
          <w:tcPr/>
          <w:p>
            <w:pPr>
              <w:pStyle w:val="Compact"/>
            </w:pPr>
            <m:oMath>
              <m:sSub>
                <m:e>
                  <m:r>
                    <m:t>W</m:t>
                  </m:r>
                </m:e>
                <m:sub>
                  <m:r>
                    <m:t>a</m:t>
                  </m:r>
                  <m:r>
                    <m:t>g</m:t>
                  </m:r>
                  <m:r>
                    <m:t>g</m:t>
                  </m:r>
                </m:sub>
              </m:sSub>
            </m:oMath>
            <w:r>
              <w:t xml:space="preserve"> </w:t>
            </w:r>
            <w:r>
              <w:t xml:space="preserve">shortfall factor</w:t>
            </w:r>
          </w:p>
        </w:tc>
        <w:tc>
          <w:tcPr/>
          <w:p>
            <w:pPr>
              <w:pStyle w:val="Compact"/>
            </w:pPr>
            <m:oMath>
              <m:sSup>
                <m:e>
                  <m:r>
                    <m:t>σ</m:t>
                  </m:r>
                </m:e>
                <m:sup>
                  <m:r>
                    <m:rPr>
                      <m:sty m:val="p"/>
                    </m:rPr>
                    <m:t>*</m:t>
                  </m:r>
                </m:sup>
              </m:sSup>
            </m:oMath>
          </w:p>
        </w:tc>
      </w:tr>
      <w:tr>
        <w:tc>
          <w:tcPr/>
          <w:p>
            <w:pPr>
              <w:pStyle w:val="Compact"/>
            </w:pPr>
            <w:r>
              <w:t xml:space="preserve">Multiplicative (default)</w:t>
            </w:r>
          </w:p>
        </w:tc>
        <w:tc>
          <w:tcPr/>
          <w:p>
            <w:pPr>
              <w:pStyle w:val="Compact"/>
            </w:pPr>
            <m:oMath>
              <m:r>
                <m:t>1</m:t>
              </m:r>
              <m:r>
                <m:rPr>
                  <m:sty m:val="p"/>
                </m:rPr>
                <m:t>−</m:t>
              </m:r>
              <m:r>
                <m:t>α</m:t>
              </m:r>
              <m:r>
                <m:rPr>
                  <m:sty m:val="p"/>
                </m:rPr>
                <m:t>⋅</m:t>
              </m:r>
              <m:sSub>
                <m:e>
                  <m:r>
                    <m:t>σ</m:t>
                  </m:r>
                </m:e>
                <m:sub>
                  <m:r>
                    <m:t>e</m:t>
                  </m:r>
                  <m:r>
                    <m:t>f</m:t>
                  </m:r>
                  <m:r>
                    <m:t>f</m:t>
                  </m:r>
                </m:sub>
              </m:sSub>
            </m:oMath>
          </w:p>
        </w:tc>
        <w:tc>
          <w:tcPr/>
          <w:p>
            <w:pPr>
              <w:pStyle w:val="Compact"/>
            </w:pPr>
            <m:oMath>
              <m:r>
                <m:t>0.400</m:t>
              </m:r>
            </m:oMath>
          </w:p>
        </w:tc>
      </w:tr>
      <w:tr>
        <w:tc>
          <w:tcPr/>
          <w:p>
            <w:pPr>
              <w:pStyle w:val="Compact"/>
            </w:pPr>
            <w:r>
              <w:t xml:space="preserve">Additive</w:t>
            </w:r>
          </w:p>
        </w:tc>
        <w:tc>
          <w:tcPr/>
          <w:p>
            <w:pPr>
              <w:pStyle w:val="Compact"/>
            </w:pPr>
            <m:oMath>
              <m:r>
                <m:t>1</m:t>
              </m:r>
              <m:r>
                <m:rPr>
                  <m:sty m:val="p"/>
                </m:rPr>
                <m:t>−</m:t>
              </m:r>
              <m:r>
                <m:t>α</m:t>
              </m:r>
              <m:r>
                <m:rPr>
                  <m:sty m:val="p"/>
                </m:rPr>
                <m:t>−</m:t>
              </m:r>
              <m:sSub>
                <m:e>
                  <m:r>
                    <m:t>σ</m:t>
                  </m:r>
                </m:e>
                <m:sub>
                  <m:r>
                    <m:t>e</m:t>
                  </m:r>
                  <m:r>
                    <m:t>f</m:t>
                  </m:r>
                  <m:r>
                    <m:t>f</m:t>
                  </m:r>
                </m:sub>
              </m:sSub>
            </m:oMath>
          </w:p>
        </w:tc>
        <w:tc>
          <w:tcPr/>
          <w:p>
            <w:pPr>
              <w:pStyle w:val="Compact"/>
            </w:pPr>
            <w:r>
              <w:t xml:space="preserve">degenerate (see below)</w:t>
            </w:r>
          </w:p>
        </w:tc>
      </w:tr>
      <w:tr>
        <w:tc>
          <w:tcPr/>
          <w:p>
            <w:pPr>
              <w:pStyle w:val="Compact"/>
            </w:pPr>
            <w:r>
              <w:t xml:space="preserve">Hazard composition</w:t>
            </w:r>
          </w:p>
        </w:tc>
        <w:tc>
          <w:tcPr/>
          <w:p>
            <w:pPr>
              <w:pStyle w:val="Compact"/>
            </w:pPr>
            <m:oMath>
              <m:r>
                <m:rPr>
                  <m:sty m:val="p"/>
                </m:rPr>
                <m:t>(</m:t>
              </m:r>
              <m:r>
                <m:t>1</m:t>
              </m:r>
              <m:r>
                <m:rPr>
                  <m:sty m:val="p"/>
                </m:rPr>
                <m:t>−</m:t>
              </m:r>
              <m:r>
                <m:t>α</m:t>
              </m:r>
              <m:r>
                <m:rPr>
                  <m:sty m:val="p"/>
                </m:rPr>
                <m:t>)</m:t>
              </m:r>
              <m:r>
                <m:rPr>
                  <m:sty m:val="p"/>
                </m:rPr>
                <m:t>(</m:t>
              </m:r>
              <m:r>
                <m:t>1</m:t>
              </m:r>
              <m:r>
                <m:rPr>
                  <m:sty m:val="p"/>
                </m:rPr>
                <m:t>−</m:t>
              </m:r>
              <m:sSub>
                <m:e>
                  <m:r>
                    <m:t>σ</m:t>
                  </m:r>
                </m:e>
                <m:sub>
                  <m:r>
                    <m:t>e</m:t>
                  </m:r>
                  <m:r>
                    <m:t>f</m:t>
                  </m:r>
                  <m:r>
                    <m:t>f</m:t>
                  </m:r>
                </m:sub>
              </m:sSub>
              <m:r>
                <m:rPr>
                  <m:sty m:val="p"/>
                </m:rPr>
                <m:t>)</m:t>
              </m:r>
            </m:oMath>
          </w:p>
        </w:tc>
        <w:tc>
          <w:tcPr/>
          <w:p>
            <w:pPr>
              <w:pStyle w:val="Compact"/>
            </w:pPr>
            <m:oMath>
              <m:r>
                <m:t>0.875</m:t>
              </m:r>
            </m:oMath>
          </w:p>
        </w:tc>
      </w:tr>
    </w:tbl>
    <w:p>
      <w:pPr>
        <w:pStyle w:val="BodyText"/>
      </w:pPr>
      <w:r>
        <w:t xml:space="preserve">The additive form has no meaningful</w:t>
      </w:r>
      <w:r>
        <w:t xml:space="preserve"> </w:t>
      </w:r>
      <m:oMath>
        <m:sSup>
          <m:e>
            <m:r>
              <m:t>σ</m:t>
            </m:r>
          </m:e>
          <m:sup>
            <m:r>
              <m:rPr>
                <m:sty m:val="p"/>
              </m:rPr>
              <m:t>*</m:t>
            </m:r>
          </m:sup>
        </m:sSup>
      </m:oMath>
      <w:r>
        <w:t xml:space="preserve"> </w:t>
      </w:r>
      <w:r>
        <w:t xml:space="preserve">in the empirically relevant range. The survival factor</w:t>
      </w:r>
      <w:r>
        <w:t xml:space="preserve"> </w:t>
      </w:r>
      <m:oMath>
        <m:r>
          <m:t>1</m:t>
        </m:r>
        <m:r>
          <m:rPr>
            <m:sty m:val="p"/>
          </m:rPr>
          <m:t>−</m:t>
        </m:r>
        <m:r>
          <m:t>α</m:t>
        </m:r>
        <m:r>
          <m:rPr>
            <m:sty m:val="p"/>
          </m:rPr>
          <m:t>−</m:t>
        </m:r>
        <m:sSub>
          <m:e>
            <m:r>
              <m:t>σ</m:t>
            </m:r>
          </m:e>
          <m:sub>
            <m:r>
              <m:t>e</m:t>
            </m:r>
            <m:r>
              <m:t>f</m:t>
            </m:r>
            <m:r>
              <m:t>f</m:t>
            </m:r>
          </m:sub>
        </m:sSub>
      </m:oMath>
      <w:r>
        <w:t xml:space="preserve"> </w:t>
      </w:r>
      <w:r>
        <w:t xml:space="preserve">goes negative as soon as</w:t>
      </w:r>
      <w:r>
        <w:t xml:space="preserve"> </w:t>
      </w:r>
      <m:oMath>
        <m:sSub>
          <m:e>
            <m:r>
              <m:t>σ</m:t>
            </m:r>
          </m:e>
          <m:sub>
            <m:r>
              <m:t>e</m:t>
            </m:r>
            <m:r>
              <m:t>f</m:t>
            </m:r>
            <m:r>
              <m:t>f</m:t>
            </m:r>
          </m:sub>
        </m:sSub>
        <m:r>
          <m:rPr>
            <m:sty m:val="p"/>
          </m:rPr>
          <m:t>&gt;</m:t>
        </m:r>
        <m:r>
          <m:t>1</m:t>
        </m:r>
        <m:r>
          <m:rPr>
            <m:sty m:val="p"/>
          </m:rPr>
          <m:t>−</m:t>
        </m:r>
        <m:r>
          <m:t>α</m:t>
        </m:r>
      </m:oMath>
      <w:r>
        <w:t xml:space="preserve">, and at the equilibrium</w:t>
      </w:r>
      <w:r>
        <w:t xml:space="preserve"> </w:t>
      </w:r>
      <m:oMath>
        <m:r>
          <m:t>α</m:t>
        </m:r>
        <m:r>
          <m:rPr>
            <m:sty m:val="p"/>
          </m:rPr>
          <m:t>(</m:t>
        </m:r>
        <m:sSub>
          <m:e>
            <m:r>
              <m:t>k</m:t>
            </m:r>
          </m:e>
          <m:sub>
            <m:r>
              <m:t>e</m:t>
            </m:r>
            <m:r>
              <m:t>f</m:t>
            </m:r>
            <m:r>
              <m:t>f</m:t>
            </m:r>
          </m:sub>
        </m:sSub>
        <m:r>
          <m:rPr>
            <m:sty m:val="p"/>
          </m:rPr>
          <m:t>)</m:t>
        </m:r>
        <m:r>
          <m:rPr>
            <m:sty m:val="p"/>
          </m:rPr>
          <m:t>≈</m:t>
        </m:r>
        <m:r>
          <m:t>0.82</m:t>
        </m:r>
      </m:oMath>
      <w:r>
        <w:t xml:space="preserve"> </w:t>
      </w:r>
      <w:r>
        <w:t xml:space="preserve">for aggregators (and</w:t>
      </w:r>
      <w:r>
        <w:t xml:space="preserve"> </w:t>
      </w:r>
      <m:oMath>
        <m:r>
          <m:t>β</m:t>
        </m:r>
        <m:r>
          <m:rPr>
            <m:sty m:val="p"/>
          </m:rPr>
          <m:t>(</m:t>
        </m:r>
        <m:sSub>
          <m:e>
            <m:r>
              <m:t>k</m:t>
            </m:r>
          </m:e>
          <m:sub>
            <m:r>
              <m:t>0</m:t>
            </m:r>
          </m:sub>
        </m:sSub>
        <m:r>
          <m:rPr>
            <m:sty m:val="p"/>
          </m:rPr>
          <m:t>)</m:t>
        </m:r>
        <m:r>
          <m:rPr>
            <m:sty m:val="p"/>
          </m:rPr>
          <m:t>≈</m:t>
        </m:r>
        <m:r>
          <m:t>0.985</m:t>
        </m:r>
      </m:oMath>
      <w:r>
        <w:t xml:space="preserve"> </w:t>
      </w:r>
      <w:r>
        <w:t xml:space="preserve">for independents), this happens almost immediately. The Brent-method root-finder returns the upper bracket value of 1.5 as an artifact:</w:t>
      </w:r>
      <w:r>
        <w:t xml:space="preserve"> </w:t>
      </w:r>
      <m:oMath>
        <m:sSub>
          <m:e>
            <m:r>
              <m:t>W</m:t>
            </m:r>
          </m:e>
          <m:sub>
            <m:r>
              <m:t>a</m:t>
            </m:r>
            <m:r>
              <m:t>g</m:t>
            </m:r>
            <m:r>
              <m:t>g</m:t>
            </m:r>
          </m:sub>
        </m:sSub>
      </m:oMath>
      <w:r>
        <w:t xml:space="preserve"> </w:t>
      </w:r>
      <w:r>
        <w:t xml:space="preserve">saturates at the signaling-benefit floor</w:t>
      </w:r>
      <w:r>
        <w:t xml:space="preserve"> </w:t>
      </w:r>
      <m:oMath>
        <m:r>
          <m:t>B</m:t>
        </m:r>
        <m:r>
          <m:rPr>
            <m:sty m:val="p"/>
          </m:rPr>
          <m:t>(</m:t>
        </m:r>
        <m:r>
          <m:t>λ</m:t>
        </m:r>
        <m:r>
          <m:rPr>
            <m:sty m:val="p"/>
          </m:rPr>
          <m:t>)</m:t>
        </m:r>
      </m:oMath>
      <w:r>
        <w:t xml:space="preserve"> </w:t>
      </w:r>
      <w:r>
        <w:t xml:space="preserve">throughout the range while</w:t>
      </w:r>
      <w:r>
        <w:t xml:space="preserve"> </w:t>
      </w:r>
      <m:oMath>
        <m:sSub>
          <m:e>
            <m:r>
              <m:t>W</m:t>
            </m:r>
          </m:e>
          <m:sub>
            <m:r>
              <m:t>i</m:t>
            </m:r>
            <m:r>
              <m:t>n</m:t>
            </m:r>
            <m:r>
              <m:t>d</m:t>
            </m:r>
          </m:sub>
        </m:sSub>
      </m:oMath>
      <w:r>
        <w:t xml:space="preserve"> </w:t>
      </w:r>
      <w:r>
        <w:t xml:space="preserve">collapses to zero only at the upper end, producing a nominal sign change at the boundary that is not a substantive threshold. The hazard-composition form returns a finite</w:t>
      </w:r>
      <w:r>
        <w:t xml:space="preserve"> </w:t>
      </w:r>
      <m:oMath>
        <m:sSup>
          <m:e>
            <m:r>
              <m:t>σ</m:t>
            </m:r>
          </m:e>
          <m:sup>
            <m:r>
              <m:rPr>
                <m:sty m:val="p"/>
              </m:rPr>
              <m:t>*</m:t>
            </m:r>
          </m:sup>
        </m:sSup>
        <m:r>
          <m:rPr>
            <m:sty m:val="p"/>
          </m:rPr>
          <m:t>=</m:t>
        </m:r>
        <m:r>
          <m:t>0.875</m:t>
        </m:r>
      </m:oMath>
      <w:r>
        <w:t xml:space="preserve">, far above the multiplicative threshold and far above any plausible LMV</w:t>
      </w:r>
      <w:r>
        <w:t xml:space="preserve"> </w:t>
      </w:r>
      <m:oMath>
        <m:r>
          <m:t>σ</m:t>
        </m:r>
      </m:oMath>
      <w:r>
        <w:t xml:space="preserve">.</w:t>
      </w:r>
    </w:p>
    <w:p>
      <w:pPr>
        <w:pStyle w:val="BodyText"/>
      </w:pPr>
      <w:r>
        <w:t xml:space="preserve">Neither alternative is a clean drop-in replacement, and the reason is conceptual rather than numerical:</w:t>
      </w:r>
      <w:r>
        <w:t xml:space="preserve"> </w:t>
      </w:r>
      <m:oMath>
        <m:r>
          <m:t>α</m:t>
        </m:r>
      </m:oMath>
      <w:r>
        <w:t xml:space="preserve"> </w:t>
      </w:r>
      <w:r>
        <w:t xml:space="preserve">is a</w:t>
      </w:r>
      <w:r>
        <w:t xml:space="preserve"> </w:t>
      </w:r>
      <w:r>
        <w:rPr>
          <w:i/>
          <w:iCs/>
        </w:rPr>
        <w:t xml:space="preserve">vulnerability coefficient</w:t>
      </w:r>
      <w:r>
        <w:t xml:space="preserve"> </w:t>
      </w:r>
      <w:r>
        <w:t xml:space="preserve">on</w:t>
      </w:r>
      <w:r>
        <w:t xml:space="preserve"> </w:t>
      </w:r>
      <m:oMath>
        <m:r>
          <m:rPr>
            <m:sty m:val="p"/>
          </m:rPr>
          <m:t>(</m:t>
        </m:r>
        <m:r>
          <m:t>0</m:t>
        </m:r>
        <m:r>
          <m:rPr>
            <m:sty m:val="p"/>
          </m:rPr>
          <m:t>,</m:t>
        </m:r>
        <m:r>
          <m:t>1</m:t>
        </m:r>
        <m:r>
          <m:rPr>
            <m:sty m:val="p"/>
          </m:rPr>
          <m:t>]</m:t>
        </m:r>
      </m:oMath>
      <w:r>
        <w:t xml:space="preserve"> </w:t>
      </w:r>
      <w:r>
        <w:t xml:space="preserve">that modulates the magnitude of a shortfall-induced loss, not a fractional loss in its own right and not an independent hazard rate. Combining it additively with</w:t>
      </w:r>
      <w:r>
        <w:t xml:space="preserve"> </w:t>
      </w:r>
      <m:oMath>
        <m:sSub>
          <m:e>
            <m:r>
              <m:t>σ</m:t>
            </m:r>
          </m:e>
          <m:sub>
            <m:r>
              <m:t>e</m:t>
            </m:r>
            <m:r>
              <m:t>f</m:t>
            </m:r>
            <m:r>
              <m:t>f</m:t>
            </m:r>
          </m:sub>
        </m:sSub>
      </m:oMath>
      <w:r>
        <w:t xml:space="preserve"> </w:t>
      </w:r>
      <w:r>
        <w:t xml:space="preserve">presupposes that both denote fractional losses on the same scale, which is not what</w:t>
      </w:r>
      <w:r>
        <w:t xml:space="preserve"> </w:t>
      </w:r>
      <m:oMath>
        <m:r>
          <m:t>α</m:t>
        </m:r>
      </m:oMath>
      <w:r>
        <w:t xml:space="preserve"> </w:t>
      </w:r>
      <w:r>
        <w:t xml:space="preserve">represents in the framework. Combining it via hazard composition presupposes that</w:t>
      </w:r>
      <w:r>
        <w:t xml:space="preserve"> </w:t>
      </w:r>
      <m:oMath>
        <m:r>
          <m:t>α</m:t>
        </m:r>
      </m:oMath>
      <w:r>
        <w:t xml:space="preserve"> </w:t>
      </w:r>
      <w:r>
        <w:t xml:space="preserve">and</w:t>
      </w:r>
      <w:r>
        <w:t xml:space="preserve"> </w:t>
      </w:r>
      <m:oMath>
        <m:sSub>
          <m:e>
            <m:r>
              <m:t>σ</m:t>
            </m:r>
          </m:e>
          <m:sub>
            <m:r>
              <m:t>e</m:t>
            </m:r>
            <m:r>
              <m:t>f</m:t>
            </m:r>
            <m:r>
              <m:t>f</m:t>
            </m:r>
          </m:sub>
        </m:sSub>
      </m:oMath>
      <w:r>
        <w:t xml:space="preserve"> </w:t>
      </w:r>
      <w:r>
        <w:t xml:space="preserve">are independent survival probabilities, which is also not what they represent (the network buffers the</w:t>
      </w:r>
      <w:r>
        <w:t xml:space="preserve"> </w:t>
      </w:r>
      <w:r>
        <w:rPr>
          <w:i/>
          <w:iCs/>
        </w:rPr>
        <w:t xml:space="preserve">magnitude</w:t>
      </w:r>
      <w:r>
        <w:t xml:space="preserve"> </w:t>
      </w:r>
      <w:r>
        <w:t xml:space="preserve">of the same shortfall, not a separate hazard). The multiplicative form</w:t>
      </w:r>
      <w:r>
        <w:t xml:space="preserve"> </w:t>
      </w:r>
      <m:oMath>
        <m:r>
          <m:t>α</m:t>
        </m:r>
        <m:r>
          <m:rPr>
            <m:sty m:val="p"/>
          </m:rPr>
          <m:t>⋅</m:t>
        </m:r>
        <m:sSub>
          <m:e>
            <m:r>
              <m:t>σ</m:t>
            </m:r>
          </m:e>
          <m:sub>
            <m:r>
              <m:t>e</m:t>
            </m:r>
            <m:r>
              <m:t>f</m:t>
            </m:r>
            <m:r>
              <m:t>f</m:t>
            </m:r>
          </m:sub>
        </m:sSub>
      </m:oMath>
      <w:r>
        <w:t xml:space="preserve"> </w:t>
      </w:r>
      <w:r>
        <w:t xml:space="preserve">is the unique form consistent with the framework’s substantive interpretation:</w:t>
      </w:r>
      <w:r>
        <w:t xml:space="preserve"> </w:t>
      </w:r>
      <w:r>
        <w:t xml:space="preserve">“fraction of productivity lost equals vulnerability times severity.”</w:t>
      </w:r>
    </w:p>
    <w:p>
      <w:pPr>
        <w:pStyle w:val="BodyText"/>
      </w:pPr>
      <w:r>
        <w:t xml:space="preserve">A fair coupling-form sensitivity analysis would therefore require reformulating</w:t>
      </w:r>
      <w:r>
        <w:t xml:space="preserve"> </w:t>
      </w:r>
      <m:oMath>
        <m:r>
          <m:t>α</m:t>
        </m:r>
      </m:oMath>
      <w:r>
        <w:t xml:space="preserve"> </w:t>
      </w:r>
      <w:r>
        <w:t xml:space="preserve">and</w:t>
      </w:r>
      <w:r>
        <w:t xml:space="preserve"> </w:t>
      </w:r>
      <m:oMath>
        <m:sSub>
          <m:e>
            <m:r>
              <m:t>σ</m:t>
            </m:r>
          </m:e>
          <m:sub>
            <m:r>
              <m:t>e</m:t>
            </m:r>
            <m:r>
              <m:t>f</m:t>
            </m:r>
            <m:r>
              <m:t>f</m:t>
            </m:r>
          </m:sub>
        </m:sSub>
      </m:oMath>
      <w:r>
        <w:t xml:space="preserve"> </w:t>
      </w:r>
      <w:r>
        <w:t xml:space="preserve">as probability-like quantities on a common scale (e.g., redefining</w:t>
      </w:r>
      <w:r>
        <w:t xml:space="preserve"> </w:t>
      </w:r>
      <m:oMath>
        <m:r>
          <m:t>α</m:t>
        </m:r>
      </m:oMath>
      <w:r>
        <w:t xml:space="preserve"> </w:t>
      </w:r>
      <w:r>
        <w:t xml:space="preserve">as the probability that a shortfall reduces band productivity below a survival threshold), which is a different model rather than a functional-form perturbation of this one. We have not implemented that reformulation here. The result we do report is that direct substitution of additive or hazard couplings into the existing parameterization produces either degenerate (additive) or substantially shifted (hazard) thresholds, confirming that the phase-transition structure is generic to the framework but that the specific location of</w:t>
      </w:r>
      <w:r>
        <w:t xml:space="preserve"> </w:t>
      </w:r>
      <m:oMath>
        <m:sSup>
          <m:e>
            <m:r>
              <m:t>σ</m:t>
            </m:r>
          </m:e>
          <m:sup>
            <m:r>
              <m:rPr>
                <m:sty m:val="p"/>
              </m:rPr>
              <m:t>*</m:t>
            </m:r>
          </m:sup>
        </m:sSup>
      </m:oMath>
      <w:r>
        <w:t xml:space="preserve"> </w:t>
      </w:r>
      <w:r>
        <w:t xml:space="preserve">is functional-form dependent. The empirical comparisons in §6 use the multiplicative coupling throughout. Reproducible from</w:t>
      </w:r>
      <w:r>
        <w:t xml:space="preserve"> </w:t>
      </w:r>
      <w:r>
        <w:rPr>
          <w:rStyle w:val="VerbatimChar"/>
        </w:rPr>
        <w:t xml:space="preserve">scripts/analysis/coupling_sensitivity.py</w:t>
      </w:r>
      <w:r>
        <w:t xml:space="preserve">.</w:t>
      </w:r>
    </w:p>
    <w:p>
      <w:r>
        <w:pict>
          <v:rect style="width:0;height:1.5pt" o:hralign="center" o:hrstd="t" o:hr="t"/>
        </w:pict>
      </w:r>
    </w:p>
    <w:bookmarkEnd w:id="35"/>
    <w:bookmarkEnd w:id="36"/>
    <w:bookmarkStart w:id="46" w:name="s4.-supplemental-theoretical-figures"/>
    <w:p>
      <w:pPr>
        <w:pStyle w:val="Heading2"/>
      </w:pPr>
      <w:r>
        <w:t xml:space="preserve">S4. Supplemental theoretical figures</w:t>
      </w:r>
    </w:p>
    <w:p>
      <w:pPr>
        <w:pStyle w:val="FirstParagraph"/>
      </w:pPr>
      <w:r>
        <w:t xml:space="preserve">In addition to the figures referenced inline above (and to the multilevel-selection decomposition, ecotone advantage schematic, and agent-based model architecture in main-text Figures 3, 4, and 6 respectively):</w:t>
      </w:r>
    </w:p>
    <w:p>
      <w:pPr>
        <w:pStyle w:val="BodyText"/>
      </w:pPr>
      <w:r>
        <w:drawing>
          <wp:inline>
            <wp:extent cx="5943600" cy="5746734"/>
            <wp:effectExtent b="0" l="0" r="0" t="0"/>
            <wp:docPr descr="" title="" id="38" name="Picture"/>
            <a:graphic>
              <a:graphicData uri="http://schemas.openxmlformats.org/drawingml/2006/picture">
                <pic:pic>
                  <pic:nvPicPr>
                    <pic:cNvPr descr="../../figures/supplemental/figure_S03_conceptual_signaling_system.png" id="39" name="Picture"/>
                    <pic:cNvPicPr>
                      <a:picLocks noChangeArrowheads="1" noChangeAspect="1"/>
                    </pic:cNvPicPr>
                  </pic:nvPicPr>
                  <pic:blipFill>
                    <a:blip r:embed="rId37"/>
                    <a:stretch>
                      <a:fillRect/>
                    </a:stretch>
                  </pic:blipFill>
                  <pic:spPr bwMode="auto">
                    <a:xfrm>
                      <a:off x="0" y="0"/>
                      <a:ext cx="5943600" cy="5746734"/>
                    </a:xfrm>
                    <a:prstGeom prst="rect">
                      <a:avLst/>
                    </a:prstGeom>
                    <a:noFill/>
                    <a:ln w="9525">
                      <a:noFill/>
                      <a:headEnd/>
                      <a:tailEnd/>
                    </a:ln>
                  </pic:spPr>
                </pic:pic>
              </a:graphicData>
            </a:graphic>
          </wp:inline>
        </w:drawing>
      </w:r>
    </w:p>
    <w:p>
      <w:pPr>
        <w:pStyle w:val="BodyText"/>
      </w:pPr>
      <w:r>
        <w:rPr>
          <w:b/>
          <w:bCs/>
          <w:i/>
          <w:iCs/>
        </w:rPr>
        <w:t xml:space="preserve">Figure S3. The aggregation-based signaling system.</w:t>
      </w:r>
      <w:r>
        <w:t xml:space="preserve"> </w:t>
      </w:r>
      <w:r>
        <w:rPr>
          <w:i/>
          <w:iCs/>
        </w:rPr>
        <w:t xml:space="preserve">Schematic of the core model structure. Aggregator bands (orange) travel to the central aggregation site, invest in monument construction, and form reciprocal obligation ties (dashed green). Independent bands (purple) remain in their home territories. Exotic materials flow to the site from distant sources.</w:t>
      </w:r>
    </w:p>
    <w:p>
      <w:pPr>
        <w:pStyle w:val="BodyText"/>
      </w:pPr>
      <w:r>
        <w:drawing>
          <wp:inline>
            <wp:extent cx="5943600" cy="4002950"/>
            <wp:effectExtent b="0" l="0" r="0" t="0"/>
            <wp:docPr descr="" title="" id="41" name="Picture"/>
            <a:graphic>
              <a:graphicData uri="http://schemas.openxmlformats.org/drawingml/2006/picture">
                <pic:pic>
                  <pic:nvPicPr>
                    <pic:cNvPr descr="../../figures/supplemental/figure_S04_network_feedback_loop.png" id="42" name="Picture"/>
                    <pic:cNvPicPr>
                      <a:picLocks noChangeArrowheads="1" noChangeAspect="1"/>
                    </pic:cNvPicPr>
                  </pic:nvPicPr>
                  <pic:blipFill>
                    <a:blip r:embed="rId40"/>
                    <a:stretch>
                      <a:fillRect/>
                    </a:stretch>
                  </pic:blipFill>
                  <pic:spPr bwMode="auto">
                    <a:xfrm>
                      <a:off x="0" y="0"/>
                      <a:ext cx="5943600" cy="4002950"/>
                    </a:xfrm>
                    <a:prstGeom prst="rect">
                      <a:avLst/>
                    </a:prstGeom>
                    <a:noFill/>
                    <a:ln w="9525">
                      <a:noFill/>
                      <a:headEnd/>
                      <a:tailEnd/>
                    </a:ln>
                  </pic:spPr>
                </pic:pic>
              </a:graphicData>
            </a:graphic>
          </wp:inline>
        </w:drawing>
      </w:r>
    </w:p>
    <w:p>
      <w:pPr>
        <w:pStyle w:val="BodyText"/>
      </w:pPr>
      <w:r>
        <w:rPr>
          <w:b/>
          <w:bCs/>
          <w:i/>
          <w:iCs/>
        </w:rPr>
        <w:t xml:space="preserve">Figure S4. Network feedback loop.</w:t>
      </w:r>
      <w:r>
        <w:t xml:space="preserve"> </w:t>
      </w:r>
      <w:r>
        <w:rPr>
          <w:i/>
          <w:iCs/>
        </w:rPr>
        <w:t xml:space="preserve">Monument investment</w:t>
      </w:r>
      <w:r>
        <w:rPr>
          <w:i/>
          <w:iCs/>
        </w:rPr>
        <w:t xml:space="preserve"> </w:t>
      </w:r>
      <m:oMath>
        <m:sSub>
          <m:e>
            <m:r>
              <m:t>I</m:t>
            </m:r>
          </m:e>
          <m:sub>
            <m:r>
              <m:t>g</m:t>
            </m:r>
          </m:sub>
        </m:sSub>
      </m:oMath>
      <w:r>
        <w:rPr>
          <w:i/>
          <w:iCs/>
        </w:rPr>
        <w:t xml:space="preserve"> </w:t>
      </w:r>
      <w:r>
        <w:rPr>
          <w:i/>
          <w:iCs/>
        </w:rPr>
        <w:t xml:space="preserve">builds cumulative stock</w:t>
      </w:r>
      <w:r>
        <w:rPr>
          <w:i/>
          <w:iCs/>
        </w:rPr>
        <w:t xml:space="preserve"> </w:t>
      </w:r>
      <m:oMath>
        <m:sSub>
          <m:e>
            <m:r>
              <m:t>M</m:t>
            </m:r>
          </m:e>
          <m:sub>
            <m:r>
              <m:t>g</m:t>
            </m:r>
          </m:sub>
        </m:sSub>
      </m:oMath>
      <w:r>
        <w:rPr>
          <w:i/>
          <w:iCs/>
        </w:rPr>
        <w:t xml:space="preserve">, which attracts cooperation partners and expands network degree</w:t>
      </w:r>
      <w:r>
        <w:rPr>
          <w:i/>
          <w:iCs/>
        </w:rPr>
        <w:t xml:space="preserve"> </w:t>
      </w:r>
      <m:oMath>
        <m:r>
          <m:t>k</m:t>
        </m:r>
        <m:r>
          <m:rPr>
            <m:sty m:val="p"/>
          </m:rPr>
          <m:t>(</m:t>
        </m:r>
        <m:sSub>
          <m:e>
            <m:r>
              <m:t>M</m:t>
            </m:r>
          </m:e>
          <m:sub>
            <m:r>
              <m:t>g</m:t>
            </m:r>
          </m:sub>
        </m:sSub>
        <m:r>
          <m:rPr>
            <m:sty m:val="p"/>
          </m:rPr>
          <m:t>)</m:t>
        </m:r>
      </m:oMath>
      <w:r>
        <w:rPr>
          <w:i/>
          <w:iCs/>
        </w:rPr>
        <w:t xml:space="preserve">. Higher network degree reduces vulnerability</w:t>
      </w:r>
      <w:r>
        <w:rPr>
          <w:i/>
          <w:iCs/>
        </w:rPr>
        <w:t xml:space="preserve"> </w:t>
      </w:r>
      <m:oMath>
        <m:r>
          <m:t>α</m:t>
        </m:r>
        <m:r>
          <m:rPr>
            <m:sty m:val="p"/>
          </m:rPr>
          <m:t>(</m:t>
        </m:r>
        <m:r>
          <m:t>k</m:t>
        </m:r>
        <m:r>
          <m:rPr>
            <m:sty m:val="p"/>
          </m:rPr>
          <m:t>)</m:t>
        </m:r>
      </m:oMath>
      <w:r>
        <w:rPr>
          <w:i/>
          <w:iCs/>
        </w:rPr>
        <w:t xml:space="preserve">, raising the cooperation-network signaling component</w:t>
      </w:r>
      <w:r>
        <w:rPr>
          <w:i/>
          <w:iCs/>
        </w:rPr>
        <w:t xml:space="preserve"> </w:t>
      </w:r>
      <m:oMath>
        <m:sSub>
          <m:e>
            <m:r>
              <m:t>λ</m:t>
            </m:r>
          </m:e>
          <m:sub>
            <m:r>
              <m:t>X</m:t>
            </m:r>
          </m:sub>
        </m:sSub>
      </m:oMath>
      <w:r>
        <w:rPr>
          <w:i/>
          <w:iCs/>
        </w:rPr>
        <w:t xml:space="preserve">, which raises optimal investment</w:t>
      </w:r>
      <w:r>
        <w:rPr>
          <w:i/>
          <w:iCs/>
        </w:rPr>
        <w:t xml:space="preserve"> </w:t>
      </w:r>
      <m:oMath>
        <m:sSup>
          <m:e>
            <m:r>
              <m:t>x</m:t>
            </m:r>
          </m:e>
          <m:sup>
            <m:r>
              <m:rPr>
                <m:sty m:val="p"/>
              </m:rPr>
              <m:t>*</m:t>
            </m:r>
          </m:sup>
        </m:sSup>
        <m:r>
          <m:rPr>
            <m:sty m:val="p"/>
          </m:rPr>
          <m:t>(</m:t>
        </m:r>
        <m:r>
          <m:t>q</m:t>
        </m:r>
        <m:r>
          <m:rPr>
            <m:sty m:val="p"/>
          </m:rPr>
          <m:t>)</m:t>
        </m:r>
      </m:oMath>
      <w:r>
        <w:rPr>
          <w:i/>
          <w:iCs/>
        </w:rPr>
        <w:t xml:space="preserve">, completing the feedback. Resolved by fixed-point iteration.</w:t>
      </w:r>
    </w:p>
    <w:p>
      <w:pPr>
        <w:pStyle w:val="BodyText"/>
      </w:pPr>
      <w:r>
        <w:drawing>
          <wp:inline>
            <wp:extent cx="5943600" cy="3670712"/>
            <wp:effectExtent b="0" l="0" r="0" t="0"/>
            <wp:docPr descr="" title="" id="44" name="Picture"/>
            <a:graphic>
              <a:graphicData uri="http://schemas.openxmlformats.org/drawingml/2006/picture">
                <pic:pic>
                  <pic:nvPicPr>
                    <pic:cNvPr descr="../../figures/supplemental/figure_S05_predictions_summary.png" id="45" name="Picture"/>
                    <pic:cNvPicPr>
                      <a:picLocks noChangeArrowheads="1" noChangeAspect="1"/>
                    </pic:cNvPicPr>
                  </pic:nvPicPr>
                  <pic:blipFill>
                    <a:blip r:embed="rId43"/>
                    <a:stretch>
                      <a:fillRect/>
                    </a:stretch>
                  </pic:blipFill>
                  <pic:spPr bwMode="auto">
                    <a:xfrm>
                      <a:off x="0" y="0"/>
                      <a:ext cx="5943600" cy="3670712"/>
                    </a:xfrm>
                    <a:prstGeom prst="rect">
                      <a:avLst/>
                    </a:prstGeom>
                    <a:noFill/>
                    <a:ln w="9525">
                      <a:noFill/>
                      <a:headEnd/>
                      <a:tailEnd/>
                    </a:ln>
                  </pic:spPr>
                </pic:pic>
              </a:graphicData>
            </a:graphic>
          </wp:inline>
        </w:drawing>
      </w:r>
    </w:p>
    <w:p>
      <w:pPr>
        <w:pStyle w:val="BodyText"/>
      </w:pPr>
      <w:r>
        <w:rPr>
          <w:b/>
          <w:bCs/>
          <w:i/>
          <w:iCs/>
        </w:rPr>
        <w:t xml:space="preserve">Figure S5. Testable predictions summary.</w:t>
      </w:r>
      <w:r>
        <w:t xml:space="preserve"> </w:t>
      </w:r>
      <w:r>
        <w:rPr>
          <w:i/>
          <w:iCs/>
        </w:rPr>
        <w:t xml:space="preserve">Six-panel schematic illustrating the framework’s predictions across the categories enumerated in §S8. Top row: (left) temporal — pulsed construction tempo with episodes at the timescale of band turnover, not steady accumulation; (center) spatial — concentration at high-</w:t>
      </w:r>
      <m:oMath>
        <m:r>
          <m:t>ε</m:t>
        </m:r>
      </m:oMath>
      <w:r>
        <w:rPr>
          <w:i/>
          <w:iCs/>
        </w:rPr>
        <w:t xml:space="preserve"> </w:t>
      </w:r>
      <w:r>
        <w:rPr>
          <w:i/>
          <w:iCs/>
        </w:rPr>
        <w:t xml:space="preserve">confluence locations with above-threshold</w:t>
      </w:r>
      <w:r>
        <w:rPr>
          <w:i/>
          <w:iCs/>
        </w:rPr>
        <w:t xml:space="preserve"> </w:t>
      </w:r>
      <m:oMath>
        <m:r>
          <m:t>σ</m:t>
        </m:r>
      </m:oMath>
      <w:r>
        <w:rPr>
          <w:i/>
          <w:iCs/>
        </w:rPr>
        <w:t xml:space="preserve">, absence at low-</w:t>
      </w:r>
      <m:oMath>
        <m:r>
          <m:t>ε</m:t>
        </m:r>
      </m:oMath>
      <w:r>
        <w:rPr>
          <w:i/>
          <w:iCs/>
        </w:rPr>
        <w:t xml:space="preserve"> </w:t>
      </w:r>
      <w:r>
        <w:rPr>
          <w:i/>
          <w:iCs/>
        </w:rPr>
        <w:t xml:space="preserve">or below-threshold settings; (right) material — non-local geochemically traceable exotic goods accumulating at the gathering, with asymmetric flow into the site rather than reciprocal exchange. Bottom row: (left) demographic — population dynamics tied to threshold-crossing rather than continuous in environmental uncertainty; (center) network — cooperation-network density tracking with</w:t>
      </w:r>
      <w:r>
        <w:rPr>
          <w:i/>
          <w:iCs/>
        </w:rPr>
        <w:t xml:space="preserve"> </w:t>
      </w:r>
      <m:oMath>
        <m:sSub>
          <m:e>
            <m:r>
              <m:t>σ</m:t>
            </m:r>
          </m:e>
          <m:sub>
            <m:r>
              <m:t>e</m:t>
            </m:r>
            <m:r>
              <m:t>f</m:t>
            </m:r>
            <m:r>
              <m:t>f</m:t>
            </m:r>
          </m:sub>
        </m:sSub>
      </m:oMath>
      <w:r>
        <w:rPr>
          <w:i/>
          <w:iCs/>
        </w:rPr>
        <w:t xml:space="preserve"> </w:t>
      </w:r>
      <w:r>
        <w:rPr>
          <w:i/>
          <w:iCs/>
        </w:rPr>
        <w:t xml:space="preserve">at the gathering site; (right) cross-cultural — signaling threshold present at adjacent eastern Archaic monument-builders (Stallings, Green River, Mulberry Creek) where local</w:t>
      </w:r>
      <w:r>
        <w:rPr>
          <w:i/>
          <w:iCs/>
        </w:rPr>
        <w:t xml:space="preserve"> </w:t>
      </w:r>
      <m:oMath>
        <m:r>
          <m:t>ε</m:t>
        </m:r>
      </m:oMath>
      <w:r>
        <w:rPr>
          <w:i/>
          <w:iCs/>
        </w:rPr>
        <w:t xml:space="preserve"> </w:t>
      </w:r>
      <w:r>
        <w:rPr>
          <w:i/>
          <w:iCs/>
        </w:rPr>
        <w:t xml:space="preserve">and</w:t>
      </w:r>
      <w:r>
        <w:rPr>
          <w:i/>
          <w:iCs/>
        </w:rPr>
        <w:t xml:space="preserve"> </w:t>
      </w:r>
      <m:oMath>
        <m:r>
          <m:t>σ</m:t>
        </m:r>
      </m:oMath>
      <w:r>
        <w:rPr>
          <w:i/>
          <w:iCs/>
        </w:rPr>
        <w:t xml:space="preserve"> </w:t>
      </w:r>
      <w:r>
        <w:rPr>
          <w:i/>
          <w:iCs/>
        </w:rPr>
        <w:t xml:space="preserve">exceed the framework’s bounds, absent in western Archaic settings where prairie dominance reduces ecotone integration.</w:t>
      </w:r>
    </w:p>
    <w:p>
      <w:r>
        <w:pict>
          <v:rect style="width:0;height:1.5pt" o:hralign="center" o:hrstd="t" o:hr="t"/>
        </w:pict>
      </w:r>
    </w:p>
    <w:bookmarkEnd w:id="46"/>
    <w:bookmarkStart w:id="49" w:name="X465b2bbca3bb02ad49f290e18c81cf7849187fc"/>
    <w:p>
      <w:pPr>
        <w:pStyle w:val="Heading2"/>
      </w:pPr>
      <w:r>
        <w:t xml:space="preserve">S5. Priority extensions to the framework structure</w:t>
      </w:r>
    </w:p>
    <w:p>
      <w:pPr>
        <w:pStyle w:val="FirstParagraph"/>
      </w:pPr>
      <w:r>
        <w:t xml:space="preserve">This section reports two unnumbered structural-architecture extensions: a near-threshold parameter sweep of the signaling apparatus (§S5.1), and a restructured network-saturation function that lets the cooperation-network channel remain non-trivial at equilibrium (§S5.2). The six numbered empirical extensions (regime-switching, per-event labor scaling, regional spatially-explicit ABM, water-route catchment, predicted scale ratios, seasonally resolved ABM) appear together in §S17 below.</w:t>
      </w:r>
    </w:p>
    <w:bookmarkStart w:id="47" w:name="Xb5a80c2d0d6139fd84ef3217cd827b9f26329e4"/>
    <w:p>
      <w:pPr>
        <w:pStyle w:val="Heading3"/>
      </w:pPr>
      <w:r>
        <w:t xml:space="preserve">S5.1 Near-threshold parameter sweep of the full signaling apparatus</w:t>
      </w:r>
    </w:p>
    <w:p>
      <w:pPr>
        <w:pStyle w:val="FirstParagraph"/>
      </w:pPr>
      <w:r>
        <w:t xml:space="preserve">The full signaling apparatus is implemented in main §2.2 (signal-conditional partner formation, tie-strength-weighted shortfall help, direct</w:t>
      </w:r>
      <w:r>
        <w:t xml:space="preserve"> </w:t>
      </w:r>
      <m:oMath>
        <m:sSub>
          <m:e>
            <m:r>
              <m:t>σ</m:t>
            </m:r>
          </m:e>
          <m:sub>
            <m:r>
              <m:t>e</m:t>
            </m:r>
            <m:r>
              <m:t>f</m:t>
            </m:r>
            <m:r>
              <m:t>f</m:t>
            </m:r>
          </m:sub>
        </m:sSub>
      </m:oMath>
      <w:r>
        <w:t xml:space="preserve"> </w:t>
      </w:r>
      <w:r>
        <w:t xml:space="preserve">coupling). We test whether removing the apparatus produces measurable threshold shifts in parameter regimes near</w:t>
      </w:r>
      <w:r>
        <w:t xml:space="preserve"> </w:t>
      </w:r>
      <m:oMath>
        <m:sSup>
          <m:e>
            <m:r>
              <m:t>σ</m:t>
            </m:r>
          </m:e>
          <m:sup>
            <m:r>
              <m:rPr>
                <m:sty m:val="p"/>
              </m:rPr>
              <m:t>*</m:t>
            </m:r>
          </m:sup>
        </m:sSup>
      </m:oMath>
      <w:r>
        <w:t xml:space="preserve">, where small fitness differentials matter most.</w:t>
      </w:r>
    </w:p>
    <w:p>
      <w:pPr>
        <w:pStyle w:val="BodyText"/>
      </w:pPr>
      <w:r>
        <w:t xml:space="preserve">In plain terms: removing the signaling apparatus does two things to the analytical equilibrium. It raises the uncertainty threshold needed to make aggregation adaptive (from</w:t>
      </w:r>
      <w:r>
        <w:t xml:space="preserve"> </w:t>
      </w:r>
      <m:oMath>
        <m:r>
          <m:t>σ</m:t>
        </m:r>
        <m:r>
          <m:rPr>
            <m:sty m:val="p"/>
          </m:rPr>
          <m:t>≈</m:t>
        </m:r>
        <m:r>
          <m:t>0.40</m:t>
        </m:r>
      </m:oMath>
      <w:r>
        <w:t xml:space="preserve"> </w:t>
      </w:r>
      <w:r>
        <w:t xml:space="preserve">to</w:t>
      </w:r>
      <w:r>
        <w:t xml:space="preserve"> </w:t>
      </w:r>
      <m:oMath>
        <m:r>
          <m:t>σ</m:t>
        </m:r>
        <m:r>
          <m:rPr>
            <m:sty m:val="p"/>
          </m:rPr>
          <m:t>≈</m:t>
        </m:r>
        <m:r>
          <m:t>0.54</m:t>
        </m:r>
      </m:oMath>
      <w:r>
        <w:t xml:space="preserve">), and it shrinks how much monument stock eventually accumulates by an order of magnitude. A</w:t>
      </w:r>
      <w:r>
        <w:t xml:space="preserve"> </w:t>
      </w:r>
      <m:oMath>
        <m:r>
          <m:t>σ</m:t>
        </m:r>
      </m:oMath>
      <w:r>
        <w:t xml:space="preserve"> </w:t>
      </w:r>
      <w:r>
        <w:t xml:space="preserve">sweep across</w:t>
      </w:r>
      <w:r>
        <w:t xml:space="preserve"> </w:t>
      </w:r>
      <m:oMath>
        <m:r>
          <m:rPr>
            <m:sty m:val="p"/>
          </m:rPr>
          <m:t>[</m:t>
        </m:r>
        <m:r>
          <m:t>0.30</m:t>
        </m:r>
        <m:r>
          <m:rPr>
            <m:sty m:val="p"/>
          </m:rPr>
          <m:t>,</m:t>
        </m:r>
        <m:r>
          <m:t>0.65</m:t>
        </m:r>
        <m:r>
          <m:rPr>
            <m:sty m:val="p"/>
          </m:rPr>
          <m:t>]</m:t>
        </m:r>
      </m:oMath>
      <w:r>
        <w:t xml:space="preserve"> </w:t>
      </w:r>
      <w:r>
        <w:t xml:space="preserve">at PP-equivalent parameters (</w:t>
      </w:r>
      <m:oMath>
        <m:r>
          <m:t>ε</m:t>
        </m:r>
        <m:r>
          <m:rPr>
            <m:sty m:val="p"/>
          </m:rPr>
          <m:t>=</m:t>
        </m:r>
        <m:r>
          <m:t>0.35</m:t>
        </m:r>
      </m:oMath>
      <w:r>
        <w:t xml:space="preserve">,</w:t>
      </w:r>
      <w:r>
        <w:t xml:space="preserve"> </w:t>
      </w:r>
      <m:oMath>
        <m:sSub>
          <m:e>
            <m:r>
              <m:t>n</m:t>
            </m:r>
          </m:e>
          <m:sub>
            <m:r>
              <m:t>a</m:t>
            </m:r>
            <m:r>
              <m:t>g</m:t>
            </m:r>
            <m:r>
              <m:t>g</m:t>
            </m:r>
          </m:sub>
        </m:sSub>
        <m:r>
          <m:rPr>
            <m:sty m:val="p"/>
          </m:rPr>
          <m:t>=</m:t>
        </m:r>
        <m:r>
          <m:t>25</m:t>
        </m:r>
      </m:oMath>
      <w:r>
        <w:t xml:space="preserve">) compares the analytical equilibrium under signal-conditional (</w:t>
      </w:r>
      <m:oMath>
        <m:sSub>
          <m:e>
            <m:r>
              <m:t>λ</m:t>
            </m:r>
          </m:e>
          <m:sub>
            <m:r>
              <m:t>W</m:t>
            </m:r>
          </m:sub>
        </m:sSub>
        <m:r>
          <m:rPr>
            <m:sty m:val="p"/>
          </m:rPr>
          <m:t>=</m:t>
        </m:r>
        <m:r>
          <m:t>0.15</m:t>
        </m:r>
      </m:oMath>
      <w:r>
        <w:t xml:space="preserve">) and signal-blind (</w:t>
      </w:r>
      <m:oMath>
        <m:sSub>
          <m:e>
            <m:r>
              <m:t>λ</m:t>
            </m:r>
          </m:e>
          <m:sub>
            <m:r>
              <m:t>W</m:t>
            </m:r>
          </m:sub>
        </m:sSub>
        <m:r>
          <m:rPr>
            <m:sty m:val="p"/>
          </m:rPr>
          <m:t>=</m:t>
        </m:r>
        <m:r>
          <m:t>0</m:t>
        </m:r>
      </m:oMath>
      <w:r>
        <w:t xml:space="preserve">) parameterizations. Results: signal-conditional gives</w:t>
      </w:r>
      <w:r>
        <w:t xml:space="preserve"> </w:t>
      </w:r>
      <m:oMath>
        <m:sSubSup>
          <m:e>
            <m:r>
              <m:t>σ</m:t>
            </m:r>
          </m:e>
          <m:sub>
            <m:r>
              <m:rPr>
                <m:nor/>
                <m:sty m:val="p"/>
              </m:rPr>
              <m:t>signal</m:t>
            </m:r>
          </m:sub>
          <m:sup>
            <m:r>
              <m:rPr>
                <m:sty m:val="p"/>
              </m:rPr>
              <m:t>*</m:t>
            </m:r>
          </m:sup>
        </m:sSubSup>
        <m:r>
          <m:rPr>
            <m:sty m:val="p"/>
          </m:rPr>
          <m:t>=</m:t>
        </m:r>
        <m:r>
          <m:t>0.400</m:t>
        </m:r>
      </m:oMath>
      <w:r>
        <w:t xml:space="preserve"> </w:t>
      </w:r>
      <w:r>
        <w:t xml:space="preserve">and equilibrium</w:t>
      </w:r>
      <w:r>
        <w:t xml:space="preserve"> </w:t>
      </w:r>
      <m:oMath>
        <m:sSub>
          <m:e>
            <m:r>
              <m:t>M</m:t>
            </m:r>
          </m:e>
          <m:sub>
            <m:r>
              <m:t>g</m:t>
            </m:r>
          </m:sub>
        </m:sSub>
        <m:r>
          <m:rPr>
            <m:sty m:val="p"/>
          </m:rPr>
          <m:t>=</m:t>
        </m:r>
        <m:r>
          <m:t>129.78</m:t>
        </m:r>
      </m:oMath>
      <w:r>
        <w:t xml:space="preserve">; signal-blind gives</w:t>
      </w:r>
      <w:r>
        <w:t xml:space="preserve"> </w:t>
      </w:r>
      <m:oMath>
        <m:sSubSup>
          <m:e>
            <m:r>
              <m:t>σ</m:t>
            </m:r>
          </m:e>
          <m:sub>
            <m:r>
              <m:rPr>
                <m:nor/>
                <m:sty m:val="p"/>
              </m:rPr>
              <m:t>blind</m:t>
            </m:r>
          </m:sub>
          <m:sup>
            <m:r>
              <m:rPr>
                <m:sty m:val="p"/>
              </m:rPr>
              <m:t>*</m:t>
            </m:r>
          </m:sup>
        </m:sSubSup>
        <m:r>
          <m:rPr>
            <m:sty m:val="p"/>
          </m:rPr>
          <m:t>=</m:t>
        </m:r>
        <m:r>
          <m:t>0.543</m:t>
        </m:r>
      </m:oMath>
      <w:r>
        <w:t xml:space="preserve"> </w:t>
      </w:r>
      <w:r>
        <w:t xml:space="preserve">and equilibrium</w:t>
      </w:r>
      <w:r>
        <w:t xml:space="preserve"> </w:t>
      </w:r>
      <m:oMath>
        <m:sSub>
          <m:e>
            <m:r>
              <m:t>M</m:t>
            </m:r>
          </m:e>
          <m:sub>
            <m:r>
              <m:t>g</m:t>
            </m:r>
          </m:sub>
        </m:sSub>
        <m:r>
          <m:rPr>
            <m:sty m:val="p"/>
          </m:rPr>
          <m:t>=</m:t>
        </m:r>
        <m:r>
          <m:t>11.83</m:t>
        </m:r>
      </m:oMath>
      <w:r>
        <w:t xml:space="preserve"> </w:t>
      </w:r>
      <w:r>
        <w:t xml:space="preserve">(an 11</w:t>
      </w:r>
      <m:oMath>
        <m:r>
          <m:rPr>
            <m:sty m:val="p"/>
          </m:rPr>
          <m:t>×</m:t>
        </m:r>
      </m:oMath>
      <w:r>
        <w:t xml:space="preserve"> </w:t>
      </w:r>
      <w:r>
        <w:t xml:space="preserve">reduction in attainable monument stock).</w:t>
      </w:r>
    </w:p>
    <w:p>
      <w:pPr>
        <w:pStyle w:val="BodyText"/>
      </w:pPr>
      <w:r>
        <w:t xml:space="preserve">Six</w:t>
      </w:r>
      <w:r>
        <w:t xml:space="preserve"> </w:t>
      </w:r>
      <m:oMath>
        <m:r>
          <m:t>σ</m:t>
        </m:r>
      </m:oMath>
      <w:r>
        <w:t xml:space="preserve"> </w:t>
      </w:r>
      <w:r>
        <w:t xml:space="preserve">values in the sweep range</w:t>
      </w:r>
      <w:r>
        <w:t xml:space="preserve"> </w:t>
      </w:r>
      <m:oMath>
        <m:r>
          <m:rPr>
            <m:sty m:val="p"/>
          </m:rPr>
          <m:t>[</m:t>
        </m:r>
        <m:r>
          <m:t>0.40</m:t>
        </m:r>
        <m:r>
          <m:rPr>
            <m:sty m:val="p"/>
          </m:rPr>
          <m:t>,</m:t>
        </m:r>
        <m:r>
          <m:t>0.525</m:t>
        </m:r>
        <m:r>
          <m:rPr>
            <m:sty m:val="p"/>
          </m:rPr>
          <m:t>]</m:t>
        </m:r>
      </m:oMath>
      <w:r>
        <w:t xml:space="preserve"> </w:t>
      </w:r>
      <w:r>
        <w:t xml:space="preserve">flip regime classification across the ablation: with signaling, those</w:t>
      </w:r>
      <w:r>
        <w:t xml:space="preserve"> </w:t>
      </w:r>
      <m:oMath>
        <m:r>
          <m:t>σ</m:t>
        </m:r>
      </m:oMath>
      <w:r>
        <w:t xml:space="preserve"> </w:t>
      </w:r>
      <w:r>
        <w:t xml:space="preserve">values are above threshold (aggregation adaptive); without, they are below threshold (independent foraging adaptive). At</w:t>
      </w:r>
      <w:r>
        <w:t xml:space="preserve"> </w:t>
      </w:r>
      <m:oMath>
        <m:r>
          <m:t>σ</m:t>
        </m:r>
        <m:r>
          <m:rPr>
            <m:sty m:val="p"/>
          </m:rPr>
          <m:t>=</m:t>
        </m:r>
        <m:r>
          <m:t>0.64</m:t>
        </m:r>
      </m:oMath>
      <w:r>
        <w:t xml:space="preserve"> </w:t>
      </w:r>
      <w:r>
        <w:t xml:space="preserve">(PP-equivalent), both are above their respective thresholds and the equilibrium</w:t>
      </w:r>
      <w:r>
        <w:t xml:space="preserve"> </w:t>
      </w:r>
      <m:oMath>
        <m:sSub>
          <m:e>
            <m:r>
              <m:t>M</m:t>
            </m:r>
          </m:e>
          <m:sub>
            <m:r>
              <m:t>g</m:t>
            </m:r>
          </m:sub>
        </m:sSub>
      </m:oMath>
      <w:r>
        <w:t xml:space="preserve"> </w:t>
      </w:r>
      <w:r>
        <w:t xml:space="preserve">comparison is between the same 129.78 vs 11.83 (signaling produces 11</w:t>
      </w:r>
      <m:oMath>
        <m:r>
          <m:rPr>
            <m:sty m:val="p"/>
          </m:rPr>
          <m:t>×</m:t>
        </m:r>
      </m:oMath>
      <w:r>
        <w:t xml:space="preserve"> </w:t>
      </w:r>
      <w:r>
        <w:t xml:space="preserve">more equilibrium monument); the equilibrium difference is therefore not a function of</w:t>
      </w:r>
      <w:r>
        <w:t xml:space="preserve"> </w:t>
      </w:r>
      <m:oMath>
        <m:r>
          <m:t>σ</m:t>
        </m:r>
      </m:oMath>
      <w:r>
        <w:t xml:space="preserve"> </w:t>
      </w:r>
      <w:r>
        <w:t xml:space="preserve">but of whether the apparatus is engaged at all.</w:t>
      </w:r>
    </w:p>
    <w:p>
      <w:pPr>
        <w:pStyle w:val="BodyText"/>
      </w:pPr>
      <w:r>
        <w:t xml:space="preserve">The substantive point: the signaling apparatus expands the parameter region in which aggregation is adaptive by widening the threshold by 0.143 in</w:t>
      </w:r>
      <w:r>
        <w:t xml:space="preserve"> </w:t>
      </w:r>
      <m:oMath>
        <m:r>
          <m:t>σ</m:t>
        </m:r>
      </m:oMath>
      <w:r>
        <w:t xml:space="preserve"> </w:t>
      </w:r>
      <w:r>
        <w:t xml:space="preserve">space, and amplifies the equilibrium monument stock 11</w:t>
      </w:r>
      <m:oMath>
        <m:r>
          <m:rPr>
            <m:sty m:val="p"/>
          </m:rPr>
          <m:t>×</m:t>
        </m:r>
      </m:oMath>
      <w:r>
        <w:t xml:space="preserve"> </w:t>
      </w:r>
      <w:r>
        <w:t xml:space="preserve">when present. Sites at</w:t>
      </w:r>
      <w:r>
        <w:t xml:space="preserve"> </w:t>
      </w:r>
      <m:oMath>
        <m:r>
          <m:t>σ</m:t>
        </m:r>
        <m:r>
          <m:rPr>
            <m:sty m:val="p"/>
          </m:rPr>
          <m:t>≈</m:t>
        </m:r>
        <m:r>
          <m:t>0.56</m:t>
        </m:r>
      </m:oMath>
      <w:r>
        <w:t xml:space="preserve">,</w:t>
      </w:r>
      <w:r>
        <w:t xml:space="preserve"> </w:t>
      </w:r>
      <m:oMath>
        <m:r>
          <m:t>ε</m:t>
        </m:r>
        <m:r>
          <m:rPr>
            <m:sty m:val="p"/>
          </m:rPr>
          <m:t>≈</m:t>
        </m:r>
        <m:r>
          <m:t>0.43</m:t>
        </m:r>
      </m:oMath>
      <w:r>
        <w:t xml:space="preserve"> </w:t>
      </w:r>
      <w:r>
        <w:t xml:space="preserve">(mid-Holocene LMV-equivalent) are in the 0.40-0.55 flip zone: with the apparatus, they are above threshold; without it, they sit just at or below. This converts the main §4.3 within-model consistency check (signaling lowers threshold) into a near-threshold prediction (signaling matters for whether aggregation occurs in the small-</w:t>
      </w:r>
      <m:oMath>
        <m:r>
          <m:rPr>
            <m:sty m:val="p"/>
          </m:rPr>
          <m:t>(</m:t>
        </m:r>
        <m:r>
          <m:t>σ</m:t>
        </m:r>
        <m:r>
          <m:rPr>
            <m:sty m:val="p"/>
          </m:rPr>
          <m:t>−</m:t>
        </m:r>
        <m:sSup>
          <m:e>
            <m:r>
              <m:t>σ</m:t>
            </m:r>
          </m:e>
          <m:sup>
            <m:r>
              <m:rPr>
                <m:sty m:val="p"/>
              </m:rPr>
              <m:t>*</m:t>
            </m:r>
          </m:sup>
        </m:sSup>
        <m:r>
          <m:rPr>
            <m:sty m:val="p"/>
          </m:rPr>
          <m:t>)</m:t>
        </m:r>
      </m:oMath>
      <w:r>
        <w:t xml:space="preserve"> </w:t>
      </w:r>
      <w:r>
        <w:t xml:space="preserve">margin range, not just for whether more monument accumulates above threshold).</w:t>
      </w:r>
    </w:p>
    <w:p>
      <w:pPr>
        <w:pStyle w:val="BodyText"/>
      </w:pPr>
      <w:r>
        <w:t xml:space="preserve">Reproducible from</w:t>
      </w:r>
      <w:r>
        <w:t xml:space="preserve"> </w:t>
      </w:r>
      <w:r>
        <w:rPr>
          <w:rStyle w:val="VerbatimChar"/>
        </w:rPr>
        <w:t xml:space="preserve">scripts/analysis/near_threshold_ablation.py</w:t>
      </w:r>
      <w:r>
        <w:t xml:space="preserve">; outputs in</w:t>
      </w:r>
      <w:r>
        <w:t xml:space="preserve"> </w:t>
      </w:r>
      <w:r>
        <w:rPr>
          <w:rStyle w:val="VerbatimChar"/>
        </w:rPr>
        <w:t xml:space="preserve">results/sensitivity/near_threshold_ablation.json</w:t>
      </w:r>
      <w:r>
        <w:t xml:space="preserve">. The full ABM-level near-threshold sweep (with stochastic regime flipping rather than analytical equilibrium) remains as future work.</w:t>
      </w:r>
    </w:p>
    <w:bookmarkEnd w:id="47"/>
    <w:bookmarkStart w:id="48" w:name="X8d309c750d29232fd401609fae8e37de683ad6a"/>
    <w:p>
      <w:pPr>
        <w:pStyle w:val="Heading3"/>
      </w:pPr>
      <w:r>
        <w:t xml:space="preserve">S5.2 Restructured network-saturation function</w:t>
      </w:r>
    </w:p>
    <w:p>
      <w:pPr>
        <w:pStyle w:val="FirstParagraph"/>
      </w:pPr>
      <w:r>
        <w:t xml:space="preserve">In plain terms: the original</w:t>
      </w:r>
      <w:r>
        <w:t xml:space="preserve"> </w:t>
      </w:r>
      <m:oMath>
        <m:sSub>
          <m:e>
            <m:r>
              <m:t>λ</m:t>
            </m:r>
          </m:e>
          <m:sub>
            <m:r>
              <m:t>X</m:t>
            </m:r>
          </m:sub>
        </m:sSub>
      </m:oMath>
      <w:r>
        <w:t xml:space="preserve"> </w:t>
      </w:r>
      <w:r>
        <w:t xml:space="preserve">is a</w:t>
      </w:r>
      <w:r>
        <w:t xml:space="preserve"> </w:t>
      </w:r>
      <w:r>
        <w:rPr>
          <w:i/>
          <w:iCs/>
        </w:rPr>
        <w:t xml:space="preserve">marginal-benefit</w:t>
      </w:r>
      <w:r>
        <w:t xml:space="preserve"> </w:t>
      </w:r>
      <w:r>
        <w:t xml:space="preserve">term, measuring the</w:t>
      </w:r>
      <w:r>
        <w:t xml:space="preserve"> </w:t>
      </w:r>
      <w:r>
        <w:rPr>
          <w:i/>
          <w:iCs/>
        </w:rPr>
        <w:t xml:space="preserve">additional</w:t>
      </w:r>
      <w:r>
        <w:t xml:space="preserve"> </w:t>
      </w:r>
      <w:r>
        <w:t xml:space="preserve">network value from one more unit of monument; this goes to zero as the network saturates because adding one more partner contributes diminishingly to a band that already has many. The restructured form keeps the marginal piece and adds a second term proportional to the</w:t>
      </w:r>
      <w:r>
        <w:t xml:space="preserve"> </w:t>
      </w:r>
      <w:r>
        <w:rPr>
          <w:i/>
          <w:iCs/>
        </w:rPr>
        <w:t xml:space="preserve">total</w:t>
      </w:r>
      <w:r>
        <w:t xml:space="preserve"> </w:t>
      </w:r>
      <w:r>
        <w:t xml:space="preserve">network-value-times-monument-quality, which remains non-trivial at equilibrium. The partial-derivative notation</w:t>
      </w:r>
      <w:r>
        <w:t xml:space="preserve"> </w:t>
      </w:r>
      <m:oMath>
        <m:r>
          <m:rPr>
            <m:sty m:val="p"/>
          </m:rPr>
          <m:t>(</m:t>
        </m:r>
        <m:r>
          <m:rPr>
            <m:sty m:val="p"/>
          </m:rPr>
          <m:t>∂</m:t>
        </m:r>
        <m:r>
          <m:t>k</m:t>
        </m:r>
        <m:r>
          <m:rPr>
            <m:sty m:val="p"/>
          </m:rPr>
          <m:t>/</m:t>
        </m:r>
        <m:r>
          <m:rPr>
            <m:sty m:val="p"/>
          </m:rPr>
          <m:t>∂</m:t>
        </m:r>
        <m:sSub>
          <m:e>
            <m:r>
              <m:t>M</m:t>
            </m:r>
          </m:e>
          <m:sub>
            <m:r>
              <m:t>g</m:t>
            </m:r>
          </m:sub>
        </m:sSub>
        <m:r>
          <m:rPr>
            <m:sty m:val="p"/>
          </m:rPr>
          <m:t>)</m:t>
        </m:r>
      </m:oMath>
      <w:r>
        <w:t xml:space="preserve"> </w:t>
      </w:r>
      <w:r>
        <w:t xml:space="preserve">can be read informally as</w:t>
      </w:r>
      <w:r>
        <w:t xml:space="preserve"> </w:t>
      </w:r>
      <w:r>
        <w:t xml:space="preserve">“rate of change of</w:t>
      </w:r>
      <w:r>
        <w:t xml:space="preserve"> </w:t>
      </w:r>
      <m:oMath>
        <m:r>
          <m:t>k</m:t>
        </m:r>
      </m:oMath>
      <w:r>
        <w:t xml:space="preserve"> </w:t>
      </w:r>
      <w:r>
        <w:t xml:space="preserve">with</w:t>
      </w:r>
      <w:r>
        <w:t xml:space="preserve"> </w:t>
      </w:r>
      <m:oMath>
        <m:sSub>
          <m:e>
            <m:r>
              <m:t>M</m:t>
            </m:r>
          </m:e>
          <m:sub>
            <m:r>
              <m:t>g</m:t>
            </m:r>
          </m:sub>
        </m:sSub>
      </m:oMath>
      <w:r>
        <w:t xml:space="preserve">.”</w:t>
      </w:r>
      <w:r>
        <w:t xml:space="preserve"> </w:t>
      </w:r>
      <w:r>
        <w:t xml:space="preserve">Formally, at the original parameterization</w:t>
      </w:r>
      <w:r>
        <w:t xml:space="preserve"> </w:t>
      </w:r>
      <m:oMath>
        <m:sSub>
          <m:e>
            <m:r>
              <m:t>λ</m:t>
            </m:r>
          </m:e>
          <m:sub>
            <m:r>
              <m:t>C</m:t>
            </m:r>
          </m:sub>
        </m:sSub>
      </m:oMath>
      <w:r>
        <w:t xml:space="preserve"> </w:t>
      </w:r>
      <w:r>
        <w:t xml:space="preserve">and</w:t>
      </w:r>
      <w:r>
        <w:t xml:space="preserve"> </w:t>
      </w:r>
      <m:oMath>
        <m:sSub>
          <m:e>
            <m:r>
              <m:t>λ</m:t>
            </m:r>
          </m:e>
          <m:sub>
            <m:r>
              <m:t>X</m:t>
            </m:r>
          </m:sub>
        </m:sSub>
      </m:oMath>
      <w:r>
        <w:t xml:space="preserve"> </w:t>
      </w:r>
      <w:r>
        <w:t xml:space="preserve">collapse to near-zero at equilibrium (saturation of</w:t>
      </w:r>
      <w:r>
        <w:t xml:space="preserve"> </w:t>
      </w:r>
      <m:oMath>
        <m:r>
          <m:t>k</m:t>
        </m:r>
        <m:r>
          <m:rPr>
            <m:sty m:val="p"/>
          </m:rPr>
          <m:t>(</m:t>
        </m:r>
        <m:sSub>
          <m:e>
            <m:r>
              <m:t>M</m:t>
            </m:r>
          </m:e>
          <m:sub>
            <m:r>
              <m:t>g</m:t>
            </m:r>
          </m:sub>
        </m:sSub>
        <m:r>
          <m:rPr>
            <m:sty m:val="p"/>
          </m:rPr>
          <m:t>)</m:t>
        </m:r>
      </m:oMath>
      <w:r>
        <w:t xml:space="preserve"> </w:t>
      </w:r>
      <w:r>
        <w:t xml:space="preserve">at large</w:t>
      </w:r>
      <w:r>
        <w:t xml:space="preserve"> </w:t>
      </w:r>
      <m:oMath>
        <m:sSub>
          <m:e>
            <m:r>
              <m:t>M</m:t>
            </m:r>
          </m:e>
          <m:sub>
            <m:r>
              <m:t>g</m:t>
            </m:r>
          </m:sub>
        </m:sSub>
      </m:oMath>
      <w:r>
        <w:t xml:space="preserve"> </w:t>
      </w:r>
      <w:r>
        <w:t xml:space="preserve">makes their marginal contributions vanish), so the signaling-vs-cooperation ablation reduces to the effect of removing</w:t>
      </w:r>
      <w:r>
        <w:t xml:space="preserve"> </w:t>
      </w:r>
      <m:oMath>
        <m:sSub>
          <m:e>
            <m:r>
              <m:t>λ</m:t>
            </m:r>
          </m:e>
          <m:sub>
            <m:r>
              <m:t>W</m:t>
            </m:r>
          </m:sub>
        </m:sSub>
      </m:oMath>
      <w:r>
        <w:t xml:space="preserve"> </w:t>
      </w:r>
      <w:r>
        <w:t xml:space="preserve">alone. We add a non-marginal</w:t>
      </w:r>
      <w:r>
        <w:t xml:space="preserve"> </w:t>
      </w:r>
      <w:r>
        <w:t xml:space="preserve">“network-density value”</w:t>
      </w:r>
      <w:r>
        <w:t xml:space="preserve"> </w:t>
      </w:r>
      <w:r>
        <w:t xml:space="preserve">term to</w:t>
      </w:r>
      <w:r>
        <w:t xml:space="preserve"> </w:t>
      </w:r>
      <m:oMath>
        <m:sSub>
          <m:e>
            <m:r>
              <m:t>λ</m:t>
            </m:r>
          </m:e>
          <m:sub>
            <m:r>
              <m:t>X</m:t>
            </m:r>
          </m:sub>
        </m:sSub>
      </m:oMath>
      <w:r>
        <w:t xml:space="preserve"> </w:t>
      </w:r>
      <w:r>
        <w:t xml:space="preserve">proportional to the equilibrium survival benefit, weighted by a parameter</w:t>
      </w:r>
      <w:r>
        <w:t xml:space="preserve"> </w:t>
      </w:r>
      <m:oMath>
        <m:sSub>
          <m:e>
            <m:r>
              <m:t>ξ</m:t>
            </m:r>
          </m:e>
          <m:sub>
            <m:r>
              <m:t>X</m:t>
            </m:r>
          </m:sub>
        </m:sSub>
      </m:oMath>
      <w:r>
        <w:t xml:space="preserve"> </w:t>
      </w:r>
      <w:r>
        <w:t xml:space="preserve">and a saturating monument-quality multiplier</w:t>
      </w:r>
      <w:r>
        <w:t xml:space="preserve"> </w:t>
      </w:r>
      <m:oMath>
        <m:r>
          <m:t>Q</m:t>
        </m:r>
        <m:r>
          <m:rPr>
            <m:sty m:val="p"/>
          </m:rPr>
          <m:t>(</m:t>
        </m:r>
        <m:sSub>
          <m:e>
            <m:r>
              <m:t>M</m:t>
            </m:r>
          </m:e>
          <m:sub>
            <m:r>
              <m:t>g</m:t>
            </m:r>
          </m:sub>
        </m:sSub>
        <m:r>
          <m:rPr>
            <m:sty m:val="p"/>
          </m:rPr>
          <m:t>)</m:t>
        </m:r>
        <m:r>
          <m:rPr>
            <m:sty m:val="p"/>
          </m:rPr>
          <m:t>=</m:t>
        </m:r>
        <m:sSub>
          <m:e>
            <m:r>
              <m:t>M</m:t>
            </m:r>
          </m:e>
          <m:sub>
            <m:r>
              <m:t>g</m:t>
            </m:r>
          </m:sub>
        </m:sSub>
        <m:r>
          <m:rPr>
            <m:sty m:val="p"/>
          </m:rPr>
          <m:t>/</m:t>
        </m:r>
        <m:r>
          <m:rPr>
            <m:sty m:val="p"/>
          </m:rPr>
          <m:t>(</m:t>
        </m:r>
        <m:sSub>
          <m:e>
            <m:r>
              <m:t>M</m:t>
            </m:r>
          </m:e>
          <m:sub>
            <m:r>
              <m:t>g</m:t>
            </m:r>
          </m:sub>
        </m:sSub>
        <m:r>
          <m:rPr>
            <m:sty m:val="p"/>
          </m:rPr>
          <m:t>+</m:t>
        </m:r>
        <m:sSub>
          <m:e>
            <m:r>
              <m:t>M</m:t>
            </m:r>
          </m:e>
          <m:sub>
            <m:r>
              <m:t>q</m:t>
            </m:r>
            <m:r>
              <m:t>u</m:t>
            </m:r>
            <m:r>
              <m:t>a</m:t>
            </m:r>
            <m:r>
              <m:t>l</m:t>
            </m:r>
            <m:r>
              <m:t>i</m:t>
            </m:r>
            <m:r>
              <m:t>t</m:t>
            </m:r>
            <m:r>
              <m:t>y</m:t>
            </m:r>
          </m:sub>
        </m:sSub>
        <m:r>
          <m:rPr>
            <m:sty m:val="p"/>
          </m:rPr>
          <m:t>)</m:t>
        </m:r>
      </m:oMath>
      <w:r>
        <w:t xml:space="preserve"> </w:t>
      </w:r>
      <w:r>
        <w:t xml:space="preserve">with</w:t>
      </w:r>
      <w:r>
        <w:t xml:space="preserve"> </w:t>
      </w:r>
      <m:oMath>
        <m:sSub>
          <m:e>
            <m:r>
              <m:t>M</m:t>
            </m:r>
          </m:e>
          <m:sub>
            <m:r>
              <m:t>q</m:t>
            </m:r>
            <m:r>
              <m:t>u</m:t>
            </m:r>
            <m:r>
              <m:t>a</m:t>
            </m:r>
            <m:r>
              <m:t>l</m:t>
            </m:r>
            <m:r>
              <m:t>i</m:t>
            </m:r>
            <m:r>
              <m:t>t</m:t>
            </m:r>
            <m:r>
              <m:t>y</m:t>
            </m:r>
          </m:sub>
        </m:sSub>
        <m:r>
          <m:rPr>
            <m:sty m:val="p"/>
          </m:rPr>
          <m:t>=</m:t>
        </m:r>
        <m:r>
          <m:t>50</m:t>
        </m:r>
      </m:oMath>
      <w:r>
        <w:t xml:space="preserve">:</w:t>
      </w:r>
    </w:p>
    <w:p>
      <w:pPr>
        <w:pStyle w:val="BodyText"/>
      </w:pPr>
      <m:oMathPara>
        <m:oMathParaPr>
          <m:jc m:val="center"/>
        </m:oMathParaPr>
        <m:oMath>
          <m:sSub>
            <m:e>
              <m:r>
                <m:t>λ</m:t>
              </m:r>
            </m:e>
            <m:sub>
              <m:r>
                <m:t>X</m:t>
              </m:r>
            </m:sub>
          </m:sSub>
          <m:r>
            <m:rPr>
              <m:sty m:val="p"/>
            </m:rPr>
            <m:t>=</m:t>
          </m:r>
          <m:r>
            <m:rPr>
              <m:sty m:val="p"/>
            </m:rPr>
            <m:t>(</m:t>
          </m:r>
          <m:r>
            <m:rPr>
              <m:sty m:val="p"/>
            </m:rPr>
            <m:t>∂</m:t>
          </m:r>
          <m:r>
            <m:t>k</m:t>
          </m:r>
          <m:r>
            <m:rPr>
              <m:sty m:val="p"/>
            </m:rPr>
            <m:t>/</m:t>
          </m:r>
          <m:r>
            <m:rPr>
              <m:sty m:val="p"/>
            </m:rPr>
            <m:t>∂</m:t>
          </m:r>
          <m:sSub>
            <m:e>
              <m:r>
                <m:t>M</m:t>
              </m:r>
            </m:e>
            <m:sub>
              <m:r>
                <m:t>g</m:t>
              </m:r>
            </m:sub>
          </m:sSub>
          <m:r>
            <m:rPr>
              <m:sty m:val="p"/>
            </m:rPr>
            <m:t>)</m:t>
          </m:r>
          <m:r>
            <m:rPr>
              <m:sty m:val="p"/>
            </m:rPr>
            <m:t>(</m:t>
          </m:r>
          <m:r>
            <m:rPr>
              <m:sty m:val="p"/>
            </m:rPr>
            <m:t>∂</m:t>
          </m:r>
          <m:r>
            <m:t>S</m:t>
          </m:r>
          <m:r>
            <m:rPr>
              <m:sty m:val="p"/>
            </m:rPr>
            <m:t>/</m:t>
          </m:r>
          <m:r>
            <m:rPr>
              <m:sty m:val="p"/>
            </m:rPr>
            <m:t>∂</m:t>
          </m:r>
          <m:r>
            <m:t>k</m:t>
          </m:r>
          <m:r>
            <m:rPr>
              <m:sty m:val="p"/>
            </m:rPr>
            <m:t>)</m:t>
          </m:r>
          <m:r>
            <m:rPr>
              <m:sty m:val="p"/>
            </m:rPr>
            <m:t>+</m:t>
          </m:r>
          <m:sSub>
            <m:e>
              <m:r>
                <m:t>ξ</m:t>
              </m:r>
            </m:e>
            <m:sub>
              <m:r>
                <m:t>X</m:t>
              </m:r>
            </m:sub>
          </m:sSub>
          <m:r>
            <m:rPr>
              <m:sty m:val="p"/>
            </m:rPr>
            <m:t>⋅</m:t>
          </m:r>
          <m:r>
            <m:t>S</m:t>
          </m:r>
          <m:r>
            <m:rPr>
              <m:sty m:val="p"/>
            </m:rPr>
            <m:t>(</m:t>
          </m:r>
          <m:r>
            <m:t>k</m:t>
          </m:r>
          <m:r>
            <m:rPr>
              <m:sty m:val="p"/>
            </m:rPr>
            <m:t>,</m:t>
          </m:r>
          <m:r>
            <m:t>σ</m:t>
          </m:r>
          <m:r>
            <m:rPr>
              <m:sty m:val="p"/>
            </m:rPr>
            <m:t>)</m:t>
          </m:r>
          <m:r>
            <m:rPr>
              <m:sty m:val="p"/>
            </m:rPr>
            <m:t>⋅</m:t>
          </m:r>
          <m:r>
            <m:t>Q</m:t>
          </m:r>
          <m:r>
            <m:rPr>
              <m:sty m:val="p"/>
            </m:rPr>
            <m:t>(</m:t>
          </m:r>
          <m:sSub>
            <m:e>
              <m:r>
                <m:t>M</m:t>
              </m:r>
            </m:e>
            <m:sub>
              <m:r>
                <m:t>g</m:t>
              </m:r>
            </m:sub>
          </m:sSub>
          <m:r>
            <m:rPr>
              <m:sty m:val="p"/>
            </m:rPr>
            <m:t>)</m:t>
          </m:r>
        </m:oMath>
      </m:oMathPara>
    </w:p>
    <w:p>
      <w:pPr>
        <w:pStyle w:val="FirstParagraph"/>
      </w:pPr>
      <w:r>
        <w:t xml:space="preserve">At</w:t>
      </w:r>
      <w:r>
        <w:t xml:space="preserve"> </w:t>
      </w:r>
      <m:oMath>
        <m:sSub>
          <m:e>
            <m:r>
              <m:t>ξ</m:t>
            </m:r>
          </m:e>
          <m:sub>
            <m:r>
              <m:t>X</m:t>
            </m:r>
          </m:sub>
        </m:sSub>
        <m:r>
          <m:rPr>
            <m:sty m:val="p"/>
          </m:rPr>
          <m:t>=</m:t>
        </m:r>
        <m:r>
          <m:t>0</m:t>
        </m:r>
      </m:oMath>
      <w:r>
        <w:t xml:space="preserve"> </w:t>
      </w:r>
      <w:r>
        <w:t xml:space="preserve">(default), this reduces to the original saturating form. At</w:t>
      </w:r>
      <w:r>
        <w:t xml:space="preserve"> </w:t>
      </w:r>
      <m:oMath>
        <m:sSub>
          <m:e>
            <m:r>
              <m:t>ξ</m:t>
            </m:r>
          </m:e>
          <m:sub>
            <m:r>
              <m:t>X</m:t>
            </m:r>
          </m:sub>
        </m:sSub>
        <m:r>
          <m:rPr>
            <m:sty m:val="p"/>
          </m:rPr>
          <m:t>=</m:t>
        </m:r>
        <m:r>
          <m:t>0.5</m:t>
        </m:r>
      </m:oMath>
      <w:r>
        <w:t xml:space="preserve">, the non-marginal term contributes</w:t>
      </w:r>
      <w:r>
        <w:t xml:space="preserve"> </w:t>
      </w:r>
      <m:oMath>
        <m:r>
          <m:rPr>
            <m:sty m:val="p"/>
          </m:rPr>
          <m:t>∼</m:t>
        </m:r>
        <m:r>
          <m:t>0.03</m:t>
        </m:r>
      </m:oMath>
      <w:r>
        <w:t xml:space="preserve"> </w:t>
      </w:r>
      <w:r>
        <w:t xml:space="preserve">at equilibrium, giving</w:t>
      </w:r>
      <w:r>
        <w:t xml:space="preserve"> </w:t>
      </w:r>
      <m:oMath>
        <m:sSub>
          <m:e>
            <m:r>
              <m:t>λ</m:t>
            </m:r>
          </m:e>
          <m:sub>
            <m:r>
              <m:t>X</m:t>
            </m:r>
          </m:sub>
        </m:sSub>
        <m:r>
          <m:rPr>
            <m:sty m:val="p"/>
          </m:rPr>
          <m:t>(</m:t>
        </m:r>
        <m:sSub>
          <m:e>
            <m:r>
              <m:t>M</m:t>
            </m:r>
          </m:e>
          <m:sub>
            <m:sSub>
              <m:e>
                <m:r>
                  <m:t>g</m:t>
                </m:r>
              </m:e>
              <m:sub>
                <m:r>
                  <m:t>e</m:t>
                </m:r>
                <m:r>
                  <m:t>q</m:t>
                </m:r>
              </m:sub>
            </m:sSub>
          </m:sub>
        </m:sSub>
        <m:r>
          <m:rPr>
            <m:sty m:val="p"/>
          </m:rPr>
          <m:t>)</m:t>
        </m:r>
        <m:r>
          <m:rPr>
            <m:sty m:val="p"/>
          </m:rPr>
          <m:t>=</m:t>
        </m:r>
        <m:r>
          <m:t>0.033</m:t>
        </m:r>
      </m:oMath>
      <w:r>
        <w:t xml:space="preserve"> </w:t>
      </w:r>
      <w:r>
        <w:t xml:space="preserve">vs the original</w:t>
      </w:r>
      <w:r>
        <w:t xml:space="preserve"> </w:t>
      </w:r>
      <m:oMath>
        <m:r>
          <m:rPr>
            <m:sty m:val="p"/>
          </m:rPr>
          <m:t>∼</m:t>
        </m:r>
        <m:r>
          <m:t>0.000</m:t>
        </m:r>
      </m:oMath>
      <w:r>
        <w:t xml:space="preserve">. Sweeping</w:t>
      </w:r>
      <w:r>
        <w:t xml:space="preserve"> </w:t>
      </w:r>
      <m:oMath>
        <m:sSub>
          <m:e>
            <m:r>
              <m:t>ξ</m:t>
            </m:r>
          </m:e>
          <m:sub>
            <m:r>
              <m:t>X</m:t>
            </m:r>
          </m:sub>
        </m:sSub>
        <m:r>
          <m:rPr>
            <m:sty m:val="p"/>
          </m:rPr>
          <m:t>∈</m:t>
        </m:r>
        <m:r>
          <m:rPr>
            <m:sty m:val="p"/>
          </m:rPr>
          <m:t>{</m:t>
        </m:r>
        <m:r>
          <m:t>0</m:t>
        </m:r>
        <m:r>
          <m:rPr>
            <m:sty m:val="p"/>
          </m:rPr>
          <m:t>,</m:t>
        </m:r>
        <m:r>
          <m:t>0.25</m:t>
        </m:r>
        <m:r>
          <m:rPr>
            <m:sty m:val="p"/>
          </m:rPr>
          <m:t>,</m:t>
        </m:r>
        <m:r>
          <m:t>0.50</m:t>
        </m:r>
        <m:r>
          <m:rPr>
            <m:sty m:val="p"/>
          </m:rPr>
          <m:t>}</m:t>
        </m:r>
      </m:oMath>
      <w:r>
        <w:t xml:space="preserve"> </w:t>
      </w:r>
      <w:r>
        <w:t xml:space="preserve">at PP-equivalent parameters: the threshold shift from full apparatus to signal-blind (</w:t>
      </w:r>
      <m:oMath>
        <m:sSub>
          <m:e>
            <m:r>
              <m:t>λ</m:t>
            </m:r>
          </m:e>
          <m:sub>
            <m:r>
              <m:t>W</m:t>
            </m:r>
          </m:sub>
        </m:sSub>
        <m:r>
          <m:rPr>
            <m:sty m:val="p"/>
          </m:rPr>
          <m:t>=</m:t>
        </m:r>
        <m:r>
          <m:t>0</m:t>
        </m:r>
      </m:oMath>
      <w:r>
        <w:t xml:space="preserve">) ablation is +36.0%, +36.8%, +37.2% respectively, essentially unchanged. The qualitative result (signaling lowers the threshold by ~36%) is robust to the structural change.</w:t>
      </w:r>
    </w:p>
    <w:p>
      <w:pPr>
        <w:pStyle w:val="BodyText"/>
      </w:pPr>
      <w:r>
        <w:t xml:space="preserve">What the restructured formulation provides is</w:t>
      </w:r>
      <w:r>
        <w:t xml:space="preserve"> </w:t>
      </w:r>
      <w:r>
        <w:rPr>
          <w:i/>
          <w:iCs/>
        </w:rPr>
        <w:t xml:space="preserve">interpretive</w:t>
      </w:r>
      <w:r>
        <w:t xml:space="preserve">: under</w:t>
      </w:r>
      <w:r>
        <w:t xml:space="preserve"> </w:t>
      </w:r>
      <m:oMath>
        <m:sSub>
          <m:e>
            <m:r>
              <m:t>ξ</m:t>
            </m:r>
          </m:e>
          <m:sub>
            <m:r>
              <m:t>X</m:t>
            </m:r>
          </m:sub>
        </m:sSub>
        <m:r>
          <m:rPr>
            <m:sty m:val="p"/>
          </m:rPr>
          <m:t>=</m:t>
        </m:r>
        <m:r>
          <m:t>0.5</m:t>
        </m:r>
      </m:oMath>
      <w:r>
        <w:t xml:space="preserve">, the ablation removes</w:t>
      </w:r>
      <w:r>
        <w:t xml:space="preserve"> </w:t>
      </w:r>
      <m:oMath>
        <m:sSub>
          <m:e>
            <m:r>
              <m:t>λ</m:t>
            </m:r>
          </m:e>
          <m:sub>
            <m:r>
              <m:t>W</m:t>
            </m:r>
          </m:sub>
        </m:sSub>
      </m:oMath>
      <w:r>
        <w:t xml:space="preserve"> </w:t>
      </w:r>
      <w:r>
        <w:t xml:space="preserve">from a system in which</w:t>
      </w:r>
      <w:r>
        <w:t xml:space="preserve"> </w:t>
      </w:r>
      <m:oMath>
        <m:sSub>
          <m:e>
            <m:r>
              <m:t>λ</m:t>
            </m:r>
          </m:e>
          <m:sub>
            <m:r>
              <m:t>X</m:t>
            </m:r>
          </m:sub>
        </m:sSub>
        <m:r>
          <m:rPr>
            <m:sty m:val="p"/>
          </m:rPr>
          <m:t>=</m:t>
        </m:r>
        <m:r>
          <m:t>0.032</m:t>
        </m:r>
      </m:oMath>
      <w:r>
        <w:t xml:space="preserve"> </w:t>
      </w:r>
      <w:r>
        <w:t xml:space="preserve">is also doing real cooperation-network work (the residual</w:t>
      </w:r>
      <w:r>
        <w:t xml:space="preserve"> </w:t>
      </w:r>
      <m:oMath>
        <m:sSub>
          <m:e>
            <m:r>
              <m:t>λ</m:t>
            </m:r>
          </m:e>
          <m:sub>
            <m:r>
              <m:t>X</m:t>
            </m:r>
          </m:sub>
        </m:sSub>
      </m:oMath>
      <w:r>
        <w:t xml:space="preserve"> </w:t>
      </w:r>
      <w:r>
        <w:t xml:space="preserve">with the apparatus removed is itself non-trivial). The signaling-vs-cooperation discrimination is therefore genuine: removing within-group prestige signaling (</w:t>
      </w:r>
      <m:oMath>
        <m:sSub>
          <m:e>
            <m:r>
              <m:t>λ</m:t>
            </m:r>
          </m:e>
          <m:sub>
            <m:r>
              <m:t>W</m:t>
            </m:r>
          </m:sub>
        </m:sSub>
      </m:oMath>
      <w:r>
        <w:t xml:space="preserve">) shifts the threshold by ~37% even when cooperation-network signaling (</w:t>
      </w:r>
      <m:oMath>
        <m:sSub>
          <m:e>
            <m:r>
              <m:t>λ</m:t>
            </m:r>
          </m:e>
          <m:sub>
            <m:r>
              <m:t>X</m:t>
            </m:r>
          </m:sub>
        </m:sSub>
      </m:oMath>
      <w:r>
        <w:t xml:space="preserve">) provides 0.032 of residual incentive.</w:t>
      </w:r>
    </w:p>
    <w:p>
      <w:pPr>
        <w:pStyle w:val="BodyText"/>
      </w:pPr>
      <w:r>
        <w:t xml:space="preserve">The choice of</w:t>
      </w:r>
      <w:r>
        <w:t xml:space="preserve"> </w:t>
      </w:r>
      <m:oMath>
        <m:sSub>
          <m:e>
            <m:r>
              <m:t>ξ</m:t>
            </m:r>
          </m:e>
          <m:sub>
            <m:r>
              <m:t>X</m:t>
            </m:r>
          </m:sub>
        </m:sSub>
        <m:r>
          <m:rPr>
            <m:sty m:val="p"/>
          </m:rPr>
          <m:t>=</m:t>
        </m:r>
        <m:r>
          <m:t>0.5</m:t>
        </m:r>
      </m:oMath>
      <w:r>
        <w:t xml:space="preserve"> </w:t>
      </w:r>
      <w:r>
        <w:t xml:space="preserve">as a defensible upper bound is informed by the Bliege Bird and Smith (2005) framework where signal quality multiplies per-partnership value; further empirical grounding via ethnographic data on signal-quality-mediated partner choice premia would tighten the parameter. Reproducible from</w:t>
      </w:r>
      <w:r>
        <w:t xml:space="preserve"> </w:t>
      </w:r>
      <w:r>
        <w:rPr>
          <w:rStyle w:val="VerbatimChar"/>
        </w:rPr>
        <w:t xml:space="preserve">scripts/analysis/restructured_saturation_test.py</w:t>
      </w:r>
      <w:r>
        <w:t xml:space="preserve">; outputs in</w:t>
      </w:r>
      <w:r>
        <w:t xml:space="preserve"> </w:t>
      </w:r>
      <w:r>
        <w:rPr>
          <w:rStyle w:val="VerbatimChar"/>
        </w:rPr>
        <w:t xml:space="preserve">results/sensitivity/restructured_saturation_test.json</w:t>
      </w:r>
      <w:r>
        <w:t xml:space="preserve">.</w:t>
      </w:r>
    </w:p>
    <w:p>
      <w:r>
        <w:pict>
          <v:rect style="width:0;height:1.5pt" o:hralign="center" o:hrstd="t" o:hr="t"/>
        </w:pict>
      </w:r>
    </w:p>
    <w:bookmarkEnd w:id="48"/>
    <w:bookmarkEnd w:id="49"/>
    <w:bookmarkStart w:id="50" w:name="Xed97e753e5c5342931c94c50e5d17c63b92aa4d"/>
    <w:p>
      <w:pPr>
        <w:pStyle w:val="Heading2"/>
      </w:pPr>
      <w:r>
        <w:t xml:space="preserve">S6. Zone-access scoring rubric for Table 2</w:t>
      </w:r>
    </w:p>
    <w:p>
      <w:pPr>
        <w:pStyle w:val="FirstParagraph"/>
      </w:pPr>
      <w:r>
        <w:t xml:space="preserve">The Shannon ecotone-diversity index in main-text Table 2 is computed from per-site weights</w:t>
      </w:r>
      <w:r>
        <w:t xml:space="preserve"> </w:t>
      </w:r>
      <m:oMath>
        <m:sSub>
          <m:e>
            <m:r>
              <m:t>w</m:t>
            </m:r>
          </m:e>
          <m:sub>
            <m:r>
              <m:t>z</m:t>
            </m:r>
          </m:sub>
        </m:sSub>
        <m:r>
          <m:rPr>
            <m:sty m:val="p"/>
          </m:rPr>
          <m:t>∈</m:t>
        </m:r>
        <m:r>
          <m:rPr>
            <m:sty m:val="p"/>
          </m:rPr>
          <m:t>[</m:t>
        </m:r>
        <m:r>
          <m:t>0</m:t>
        </m:r>
        <m:r>
          <m:rPr>
            <m:sty m:val="p"/>
          </m:rPr>
          <m:t>,</m:t>
        </m:r>
        <m:r>
          <m:t>1</m:t>
        </m:r>
        <m:r>
          <m:rPr>
            <m:sty m:val="p"/>
          </m:rPr>
          <m:t>]</m:t>
        </m:r>
      </m:oMath>
      <w:r>
        <w:t xml:space="preserve"> </w:t>
      </w:r>
      <w:r>
        <w:t xml:space="preserve">for five resource zones</w:t>
      </w:r>
      <w:r>
        <w:t xml:space="preserve"> </w:t>
      </w:r>
      <m:oMath>
        <m:r>
          <m:t>z</m:t>
        </m:r>
      </m:oMath>
      <w:r>
        <w:t xml:space="preserve">: aquatic (rivers, bayous, oxbows), upland (terraces, ridges), drainage (perennial streams, deltaic networks), mast (hardwood forest), and prairie (grassland or savanna mosaic). Weights are assigned from published site descriptions according to the following rubric:</w:t>
      </w:r>
    </w:p>
    <w:tbl>
      <w:tblPr>
        <w:tblStyle w:val="Table"/>
        <w:tblW w:type="pct" w:w="5000"/>
        <w:tblLayout w:type="fixed"/>
        <w:tblLook w:firstRow="1" w:lastRow="0" w:firstColumn="0" w:lastColumn="0" w:noHBand="0" w:noVBand="0" w:val="0020"/>
      </w:tblPr>
      <w:tblGrid>
        <w:gridCol w:w="2112"/>
        <w:gridCol w:w="3168"/>
        <w:gridCol w:w="2640"/>
      </w:tblGrid>
      <w:tr>
        <w:trPr>
          <w:tblHeader w:val="on"/>
        </w:trPr>
        <w:tc>
          <w:tcPr/>
          <w:p>
            <w:pPr>
              <w:pStyle w:val="Compact"/>
            </w:pPr>
            <w:r>
              <w:t xml:space="preserve">Weight</w:t>
            </w:r>
          </w:p>
        </w:tc>
        <w:tc>
          <w:tcPr/>
          <w:p>
            <w:pPr>
              <w:pStyle w:val="Compact"/>
            </w:pPr>
            <w:r>
              <w:t xml:space="preserve">Definition</w:t>
            </w:r>
          </w:p>
        </w:tc>
        <w:tc>
          <w:tcPr/>
          <w:p>
            <w:pPr>
              <w:pStyle w:val="Compact"/>
            </w:pPr>
            <w:r>
              <w:t xml:space="preserve">Examples</w:t>
            </w:r>
          </w:p>
        </w:tc>
      </w:tr>
      <w:tr>
        <w:tc>
          <w:tcPr/>
          <w:p>
            <w:pPr>
              <w:pStyle w:val="Compact"/>
            </w:pPr>
            <w:r>
              <w:t xml:space="preserve">1.0</w:t>
            </w:r>
          </w:p>
        </w:tc>
        <w:tc>
          <w:tcPr/>
          <w:p>
            <w:pPr>
              <w:pStyle w:val="Compact"/>
            </w:pPr>
            <w:r>
              <w:t xml:space="preserve">Direct, abundant access; zone is a primary feature of the site catchment</w:t>
            </w:r>
          </w:p>
        </w:tc>
        <w:tc>
          <w:tcPr/>
          <w:p>
            <w:pPr>
              <w:pStyle w:val="Compact"/>
            </w:pPr>
            <w:r>
              <w:t xml:space="preserve">Bayou Maçon at Poverty Point (aquatic, drainage); Macon Ridge at PP (upland)</w:t>
            </w:r>
          </w:p>
        </w:tc>
      </w:tr>
      <w:tr>
        <w:tc>
          <w:tcPr/>
          <w:p>
            <w:pPr>
              <w:pStyle w:val="Compact"/>
            </w:pPr>
            <w:r>
              <w:t xml:space="preserve">0.7-0.8</w:t>
            </w:r>
          </w:p>
        </w:tc>
        <w:tc>
          <w:tcPr/>
          <w:p>
            <w:pPr>
              <w:pStyle w:val="Compact"/>
            </w:pPr>
            <w:r>
              <w:t xml:space="preserve">Substantial access; zone is reachable within a typical daily forager radius (~5-10 km) but seasonally constrained, partially obstructed, or less abundant than primary zones</w:t>
            </w:r>
          </w:p>
        </w:tc>
        <w:tc>
          <w:tcPr/>
          <w:p>
            <w:pPr>
              <w:pStyle w:val="Compact"/>
            </w:pPr>
            <w:r>
              <w:t xml:space="preserve">Watson Brake’s Ouachita River backwater (aquatic); Lower Jackson’s adjacent Macon Ridge upland (upland)</w:t>
            </w:r>
          </w:p>
        </w:tc>
      </w:tr>
      <w:tr>
        <w:tc>
          <w:tcPr/>
          <w:p>
            <w:pPr>
              <w:pStyle w:val="Compact"/>
            </w:pPr>
            <w:r>
              <w:t xml:space="preserve">0.4-0.5</w:t>
            </w:r>
          </w:p>
        </w:tc>
        <w:tc>
          <w:tcPr/>
          <w:p>
            <w:pPr>
              <w:pStyle w:val="Compact"/>
            </w:pPr>
            <w:r>
              <w:t xml:space="preserve">Limited access; zone is reachable but at higher travel cost, lower abundance, or peripheral to site catchment</w:t>
            </w:r>
          </w:p>
        </w:tc>
        <w:tc>
          <w:tcPr/>
          <w:p>
            <w:pPr>
              <w:pStyle w:val="Compact"/>
            </w:pPr>
            <w:r>
              <w:t xml:space="preserve">Jaketown’s distant upland edges (upland 0.3); J.W. Copes’s small drainage component (drainage 0.4)</w:t>
            </w:r>
          </w:p>
        </w:tc>
      </w:tr>
      <w:tr>
        <w:tc>
          <w:tcPr/>
          <w:p>
            <w:pPr>
              <w:pStyle w:val="Compact"/>
            </w:pPr>
            <w:r>
              <w:t xml:space="preserve">0.0-0.3</w:t>
            </w:r>
          </w:p>
        </w:tc>
        <w:tc>
          <w:tcPr/>
          <w:p>
            <w:pPr>
              <w:pStyle w:val="Compact"/>
            </w:pPr>
            <w:r>
              <w:t xml:space="preserve">Absent or trivially accessible</w:t>
            </w:r>
          </w:p>
        </w:tc>
        <w:tc>
          <w:tcPr/>
          <w:p>
            <w:pPr>
              <w:pStyle w:val="Compact"/>
            </w:pPr>
            <w:r>
              <w:t xml:space="preserve">Claiborne’s coastal-only setting (upland 0.0, mast 0.3); prairie zone for most LMV-interior sites</w:t>
            </w:r>
          </w:p>
        </w:tc>
      </w:tr>
    </w:tbl>
    <w:p>
      <w:pPr>
        <w:pStyle w:val="BodyText"/>
      </w:pPr>
      <w:r>
        <w:t xml:space="preserve">Sources for each site’s weighting: Poverty Point (Webb 1982; Gibson 2000; Saucier 1981; Jackson 1986, 1989; H. Ward 1998); Watson Brake (Saunders et al. 2005); Lower Jackson (Saunders et al. 2001); Frenchman’s Bend (described in Saunders et al. 2005); J.W. Copes (Jackson 1981, 1989); Jaketown (Ward et al. 2022; Grooms et al. 2023); Claiborne (Sassaman 2005; Webb 1982). The Shannon entropy</w:t>
      </w:r>
      <w:r>
        <w:t xml:space="preserve"> </w:t>
      </w:r>
      <m:oMath>
        <m:r>
          <m:t>H</m:t>
        </m:r>
        <m:r>
          <m:rPr>
            <m:sty m:val="p"/>
          </m:rPr>
          <m:t>=</m:t>
        </m:r>
        <m:r>
          <m:rPr>
            <m:sty m:val="p"/>
          </m:rPr>
          <m:t>−</m:t>
        </m:r>
        <m:nary>
          <m:naryPr>
            <m:chr m:val="∑"/>
            <m:limLoc m:val="undOvr"/>
            <m:subHide m:val="off"/>
            <m:supHide m:val="on"/>
          </m:naryPr>
          <m:sub>
            <m:r>
              <m:t>z</m:t>
            </m:r>
          </m:sub>
          <m:sup>
            <m:r>
              <m:t>​</m:t>
            </m:r>
          </m:sup>
          <m:e>
            <m:sSub>
              <m:e>
                <m:r>
                  <m:t>p</m:t>
                </m:r>
              </m:e>
              <m:sub>
                <m:r>
                  <m:t>z</m:t>
                </m:r>
              </m:sub>
            </m:sSub>
          </m:e>
        </m:nary>
        <m:r>
          <m:rPr>
            <m:sty m:val="p"/>
          </m:rPr>
          <m:t>ln</m:t>
        </m:r>
        <m:sSub>
          <m:e>
            <m:r>
              <m:t>p</m:t>
            </m:r>
          </m:e>
          <m:sub>
            <m:r>
              <m:t>z</m:t>
            </m:r>
          </m:sub>
        </m:sSub>
      </m:oMath>
      <w:r>
        <w:t xml:space="preserve"> </w:t>
      </w:r>
      <w:r>
        <w:t xml:space="preserve">where</w:t>
      </w:r>
      <w:r>
        <w:t xml:space="preserve"> </w:t>
      </w:r>
      <m:oMath>
        <m:sSub>
          <m:e>
            <m:r>
              <m:t>p</m:t>
            </m:r>
          </m:e>
          <m:sub>
            <m:r>
              <m:t>z</m:t>
            </m:r>
          </m:sub>
        </m:sSub>
        <m:r>
          <m:rPr>
            <m:sty m:val="p"/>
          </m:rPr>
          <m:t>=</m:t>
        </m:r>
        <m:sSub>
          <m:e>
            <m:r>
              <m:t>w</m:t>
            </m:r>
          </m:e>
          <m:sub>
            <m:r>
              <m:t>z</m:t>
            </m:r>
          </m:sub>
        </m:sSub>
        <m:r>
          <m:rPr>
            <m:sty m:val="p"/>
          </m:rPr>
          <m:t>/</m:t>
        </m:r>
        <m:nary>
          <m:naryPr>
            <m:chr m:val="∑"/>
            <m:limLoc m:val="undOvr"/>
            <m:subHide m:val="off"/>
            <m:supHide m:val="on"/>
          </m:naryPr>
          <m:sub>
            <m:r>
              <m:t>z</m:t>
            </m:r>
          </m:sub>
          <m:sup>
            <m:r>
              <m:t>​</m:t>
            </m:r>
          </m:sup>
          <m:e>
            <m:sSub>
              <m:e>
                <m:r>
                  <m:t>w</m:t>
                </m:r>
              </m:e>
              <m:sub>
                <m:r>
                  <m:t>z</m:t>
                </m:r>
              </m:sub>
            </m:sSub>
          </m:e>
        </m:nary>
      </m:oMath>
      <w:r>
        <w:t xml:space="preserve">, and</w:t>
      </w:r>
      <w:r>
        <w:t xml:space="preserve"> </w:t>
      </w:r>
      <m:oMath>
        <m:r>
          <m:t>ε</m:t>
        </m:r>
        <m:r>
          <m:rPr>
            <m:sty m:val="p"/>
          </m:rPr>
          <m:t>=</m:t>
        </m:r>
        <m:r>
          <m:rPr>
            <m:sty m:val="p"/>
          </m:rPr>
          <m:t>(</m:t>
        </m:r>
        <m:r>
          <m:t>H</m:t>
        </m:r>
        <m:r>
          <m:rPr>
            <m:sty m:val="p"/>
          </m:rPr>
          <m:t>/</m:t>
        </m:r>
        <m:sSub>
          <m:e>
            <m:r>
              <m:t>H</m:t>
            </m:r>
          </m:e>
          <m:sub>
            <m:r>
              <m:t>m</m:t>
            </m:r>
            <m:r>
              <m:t>a</m:t>
            </m:r>
            <m:r>
              <m:t>x</m:t>
            </m:r>
          </m:sub>
        </m:sSub>
        <m:r>
          <m:rPr>
            <m:sty m:val="p"/>
          </m:rPr>
          <m:t>)</m:t>
        </m:r>
        <m:r>
          <m:rPr>
            <m:sty m:val="p"/>
          </m:rPr>
          <m:t>×</m:t>
        </m:r>
        <m:r>
          <m:t>0.5</m:t>
        </m:r>
      </m:oMath>
      <w:r>
        <w:t xml:space="preserve"> </w:t>
      </w:r>
      <w:r>
        <w:t xml:space="preserve">with</w:t>
      </w:r>
      <w:r>
        <w:t xml:space="preserve"> </w:t>
      </w:r>
      <m:oMath>
        <m:sSub>
          <m:e>
            <m:r>
              <m:t>H</m:t>
            </m:r>
          </m:e>
          <m:sub>
            <m:r>
              <m:t>m</m:t>
            </m:r>
            <m:r>
              <m:t>a</m:t>
            </m:r>
            <m:r>
              <m:t>x</m:t>
            </m:r>
          </m:sub>
        </m:sSub>
        <m:r>
          <m:rPr>
            <m:sty m:val="p"/>
          </m:rPr>
          <m:t>=</m:t>
        </m:r>
        <m:r>
          <m:rPr>
            <m:sty m:val="p"/>
          </m:rPr>
          <m:t>ln</m:t>
        </m:r>
        <m:r>
          <m:t>5</m:t>
        </m:r>
        <m:r>
          <m:rPr>
            <m:sty m:val="p"/>
          </m:rPr>
          <m:t>≈</m:t>
        </m:r>
        <m:r>
          <m:t>1.609</m:t>
        </m:r>
      </m:oMath>
      <w:r>
        <w:t xml:space="preserve">. The 0.5 ceiling is set to match the upper boundary of the model’s tested</w:t>
      </w:r>
      <w:r>
        <w:t xml:space="preserve"> </w:t>
      </w:r>
      <m:oMath>
        <m:r>
          <m:t>ε</m:t>
        </m:r>
      </m:oMath>
      <w:r>
        <w:t xml:space="preserve"> </w:t>
      </w:r>
      <w:r>
        <w:t xml:space="preserve">range (§S8.5 below); a weighting that uses ε = H/H_max directly (so PP would have ε = 0.98) would push the predicted threshold</w:t>
      </w:r>
      <w:r>
        <w:t xml:space="preserve"> </w:t>
      </w:r>
      <m:oMath>
        <m:sSup>
          <m:e>
            <m:r>
              <m:t>σ</m:t>
            </m:r>
          </m:e>
          <m:sup>
            <m:r>
              <m:rPr>
                <m:sty m:val="p"/>
              </m:rPr>
              <m:t>*</m:t>
            </m:r>
          </m:sup>
        </m:sSup>
      </m:oMath>
      <w:r>
        <w:t xml:space="preserve"> </w:t>
      </w:r>
      <w:r>
        <w:t xml:space="preserve">values closer to zero and would cause more sites to register as well above threshold without changing the rank order.</w:t>
      </w:r>
    </w:p>
    <w:p>
      <w:pPr>
        <w:pStyle w:val="BodyText"/>
      </w:pPr>
      <w:r>
        <w:rPr>
          <w:b/>
          <w:bCs/>
        </w:rPr>
        <w:t xml:space="preserve">Per-site weights used for Table 2.</w:t>
      </w:r>
      <w:r>
        <w:t xml:space="preserve"> </w:t>
      </w:r>
      <w:r>
        <w:t xml:space="preserve">The following weight vectors</w:t>
      </w:r>
      <w:r>
        <w:t xml:space="preserve"> </w:t>
      </w:r>
      <m:oMath>
        <m:r>
          <m:rPr>
            <m:sty m:val="p"/>
          </m:rPr>
          <m:t>(</m:t>
        </m:r>
        <m:sSub>
          <m:e>
            <m:r>
              <m:t>w</m:t>
            </m:r>
          </m:e>
          <m:sub>
            <m:r>
              <m:t>a</m:t>
            </m:r>
          </m:sub>
        </m:sSub>
        <m:r>
          <m:rPr>
            <m:sty m:val="p"/>
          </m:rPr>
          <m:t>,</m:t>
        </m:r>
        <m:sSub>
          <m:e>
            <m:r>
              <m:t>w</m:t>
            </m:r>
          </m:e>
          <m:sub>
            <m:r>
              <m:t>u</m:t>
            </m:r>
          </m:sub>
        </m:sSub>
        <m:r>
          <m:rPr>
            <m:sty m:val="p"/>
          </m:rPr>
          <m:t>,</m:t>
        </m:r>
        <m:sSub>
          <m:e>
            <m:r>
              <m:t>w</m:t>
            </m:r>
          </m:e>
          <m:sub>
            <m:r>
              <m:t>d</m:t>
            </m:r>
          </m:sub>
        </m:sSub>
        <m:r>
          <m:rPr>
            <m:sty m:val="p"/>
          </m:rPr>
          <m:t>,</m:t>
        </m:r>
        <m:sSub>
          <m:e>
            <m:r>
              <m:t>w</m:t>
            </m:r>
          </m:e>
          <m:sub>
            <m:r>
              <m:t>m</m:t>
            </m:r>
          </m:sub>
        </m:sSub>
        <m:r>
          <m:rPr>
            <m:sty m:val="p"/>
          </m:rPr>
          <m:t>,</m:t>
        </m:r>
        <m:sSub>
          <m:e>
            <m:r>
              <m:t>w</m:t>
            </m:r>
          </m:e>
          <m:sub>
            <m:r>
              <m:t>p</m:t>
            </m:r>
          </m:sub>
        </m:sSub>
        <m:r>
          <m:rPr>
            <m:sty m:val="p"/>
          </m:rPr>
          <m:t>)</m:t>
        </m:r>
      </m:oMath>
      <w:r>
        <w:t xml:space="preserve"> </w:t>
      </w:r>
      <w:r>
        <w:t xml:space="preserve">for aquatic, upland, drainage, mast, and prairie zones are the actual values used to compute the Shannon</w:t>
      </w:r>
      <w:r>
        <w:t xml:space="preserve"> </w:t>
      </w:r>
      <m:oMath>
        <m:r>
          <m:t>H</m:t>
        </m:r>
      </m:oMath>
      <w:r>
        <w:t xml:space="preserve"> </w:t>
      </w:r>
      <w:r>
        <w:t xml:space="preserve">values reported in main-text Table 2. They are derived from the published sources cited above per the rubric.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Site</w:t>
            </w:r>
          </w:p>
        </w:tc>
        <w:tc>
          <w:tcPr/>
          <w:p>
            <w:pPr>
              <w:pStyle w:val="Compact"/>
            </w:pPr>
            <m:oMath>
              <m:sSub>
                <m:e>
                  <m:r>
                    <m:t>w</m:t>
                  </m:r>
                </m:e>
                <m:sub>
                  <m:r>
                    <m:t>a</m:t>
                  </m:r>
                </m:sub>
              </m:sSub>
            </m:oMath>
          </w:p>
        </w:tc>
        <w:tc>
          <w:tcPr/>
          <w:p>
            <w:pPr>
              <w:pStyle w:val="Compact"/>
            </w:pPr>
            <m:oMath>
              <m:sSub>
                <m:e>
                  <m:r>
                    <m:t>w</m:t>
                  </m:r>
                </m:e>
                <m:sub>
                  <m:r>
                    <m:t>u</m:t>
                  </m:r>
                </m:sub>
              </m:sSub>
            </m:oMath>
          </w:p>
        </w:tc>
        <w:tc>
          <w:tcPr/>
          <w:p>
            <w:pPr>
              <w:pStyle w:val="Compact"/>
            </w:pPr>
            <m:oMath>
              <m:sSub>
                <m:e>
                  <m:r>
                    <m:t>w</m:t>
                  </m:r>
                </m:e>
                <m:sub>
                  <m:r>
                    <m:t>d</m:t>
                  </m:r>
                </m:sub>
              </m:sSub>
            </m:oMath>
          </w:p>
        </w:tc>
        <w:tc>
          <w:tcPr/>
          <w:p>
            <w:pPr>
              <w:pStyle w:val="Compact"/>
            </w:pPr>
            <m:oMath>
              <m:sSub>
                <m:e>
                  <m:r>
                    <m:t>w</m:t>
                  </m:r>
                </m:e>
                <m:sub>
                  <m:r>
                    <m:t>m</m:t>
                  </m:r>
                </m:sub>
              </m:sSub>
            </m:oMath>
          </w:p>
        </w:tc>
        <w:tc>
          <w:tcPr/>
          <w:p>
            <w:pPr>
              <w:pStyle w:val="Compact"/>
            </w:pPr>
            <m:oMath>
              <m:sSub>
                <m:e>
                  <m:r>
                    <m:t>w</m:t>
                  </m:r>
                </m:e>
                <m:sub>
                  <m:r>
                    <m:t>p</m:t>
                  </m:r>
                </m:sub>
              </m:sSub>
            </m:oMath>
          </w:p>
        </w:tc>
      </w:tr>
      <w:tr>
        <w:tc>
          <w:tcPr/>
          <w:p>
            <w:pPr>
              <w:pStyle w:val="Compact"/>
            </w:pPr>
            <w:r>
              <w:t xml:space="preserve">Poverty Point (16WC5)</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0.5</w:t>
            </w:r>
          </w:p>
        </w:tc>
      </w:tr>
      <w:tr>
        <w:tc>
          <w:tcPr/>
          <w:p>
            <w:pPr>
              <w:pStyle w:val="Compact"/>
            </w:pPr>
            <w:r>
              <w:t xml:space="preserve">Lower Jackson (16WC10)</w:t>
            </w:r>
          </w:p>
        </w:tc>
        <w:tc>
          <w:tcPr/>
          <w:p>
            <w:pPr>
              <w:pStyle w:val="Compact"/>
            </w:pPr>
            <w:r>
              <w:t xml:space="preserve">1.0</w:t>
            </w:r>
          </w:p>
        </w:tc>
        <w:tc>
          <w:tcPr/>
          <w:p>
            <w:pPr>
              <w:pStyle w:val="Compact"/>
            </w:pPr>
            <w:r>
              <w:t xml:space="preserve">0.9</w:t>
            </w:r>
          </w:p>
        </w:tc>
        <w:tc>
          <w:tcPr/>
          <w:p>
            <w:pPr>
              <w:pStyle w:val="Compact"/>
            </w:pPr>
            <w:r>
              <w:t xml:space="preserve">0.9</w:t>
            </w:r>
          </w:p>
        </w:tc>
        <w:tc>
          <w:tcPr/>
          <w:p>
            <w:pPr>
              <w:pStyle w:val="Compact"/>
            </w:pPr>
            <w:r>
              <w:t xml:space="preserve">1.0</w:t>
            </w:r>
          </w:p>
        </w:tc>
        <w:tc>
          <w:tcPr/>
          <w:p>
            <w:pPr>
              <w:pStyle w:val="Compact"/>
            </w:pPr>
            <w:r>
              <w:t xml:space="preserve">0.3</w:t>
            </w:r>
          </w:p>
        </w:tc>
      </w:tr>
      <w:tr>
        <w:tc>
          <w:tcPr/>
          <w:p>
            <w:pPr>
              <w:pStyle w:val="Compact"/>
            </w:pPr>
            <w:r>
              <w:t xml:space="preserve">Watson Brake (16OU175)</w:t>
            </w:r>
          </w:p>
        </w:tc>
        <w:tc>
          <w:tcPr/>
          <w:p>
            <w:pPr>
              <w:pStyle w:val="Compact"/>
            </w:pPr>
            <w:r>
              <w:t xml:space="preserve">0.8</w:t>
            </w:r>
          </w:p>
        </w:tc>
        <w:tc>
          <w:tcPr/>
          <w:p>
            <w:pPr>
              <w:pStyle w:val="Compact"/>
            </w:pPr>
            <w:r>
              <w:t xml:space="preserve">0.7</w:t>
            </w:r>
          </w:p>
        </w:tc>
        <w:tc>
          <w:tcPr/>
          <w:p>
            <w:pPr>
              <w:pStyle w:val="Compact"/>
            </w:pPr>
            <w:r>
              <w:t xml:space="preserve">0.7</w:t>
            </w:r>
          </w:p>
        </w:tc>
        <w:tc>
          <w:tcPr/>
          <w:p>
            <w:pPr>
              <w:pStyle w:val="Compact"/>
            </w:pPr>
            <w:r>
              <w:t xml:space="preserve">0.8</w:t>
            </w:r>
          </w:p>
        </w:tc>
        <w:tc>
          <w:tcPr/>
          <w:p>
            <w:pPr>
              <w:pStyle w:val="Compact"/>
            </w:pPr>
            <w:r>
              <w:t xml:space="preserve">0.0</w:t>
            </w:r>
          </w:p>
        </w:tc>
      </w:tr>
      <w:tr>
        <w:tc>
          <w:tcPr/>
          <w:p>
            <w:pPr>
              <w:pStyle w:val="Compact"/>
            </w:pPr>
            <w:r>
              <w:t xml:space="preserve">Caney (16CT5)</w:t>
            </w:r>
          </w:p>
        </w:tc>
        <w:tc>
          <w:tcPr/>
          <w:p>
            <w:pPr>
              <w:pStyle w:val="Compact"/>
            </w:pPr>
            <w:r>
              <w:t xml:space="preserve">0.9</w:t>
            </w:r>
          </w:p>
        </w:tc>
        <w:tc>
          <w:tcPr/>
          <w:p>
            <w:pPr>
              <w:pStyle w:val="Compact"/>
            </w:pPr>
            <w:r>
              <w:t xml:space="preserve">0.6</w:t>
            </w:r>
          </w:p>
        </w:tc>
        <w:tc>
          <w:tcPr/>
          <w:p>
            <w:pPr>
              <w:pStyle w:val="Compact"/>
            </w:pPr>
            <w:r>
              <w:t xml:space="preserve">0.8</w:t>
            </w:r>
          </w:p>
        </w:tc>
        <w:tc>
          <w:tcPr/>
          <w:p>
            <w:pPr>
              <w:pStyle w:val="Compact"/>
            </w:pPr>
            <w:r>
              <w:t xml:space="preserve">0.8</w:t>
            </w:r>
          </w:p>
        </w:tc>
        <w:tc>
          <w:tcPr/>
          <w:p>
            <w:pPr>
              <w:pStyle w:val="Compact"/>
            </w:pPr>
            <w:r>
              <w:t xml:space="preserve">0.0</w:t>
            </w:r>
          </w:p>
        </w:tc>
      </w:tr>
      <w:tr>
        <w:tc>
          <w:tcPr/>
          <w:p>
            <w:pPr>
              <w:pStyle w:val="Compact"/>
            </w:pPr>
            <w:r>
              <w:t xml:space="preserve">Frenchman’s Bend (16OU259)</w:t>
            </w:r>
          </w:p>
        </w:tc>
        <w:tc>
          <w:tcPr/>
          <w:p>
            <w:pPr>
              <w:pStyle w:val="Compact"/>
            </w:pPr>
            <w:r>
              <w:t xml:space="preserve">0.7</w:t>
            </w:r>
          </w:p>
        </w:tc>
        <w:tc>
          <w:tcPr/>
          <w:p>
            <w:pPr>
              <w:pStyle w:val="Compact"/>
            </w:pPr>
            <w:r>
              <w:t xml:space="preserve">0.5</w:t>
            </w:r>
          </w:p>
        </w:tc>
        <w:tc>
          <w:tcPr/>
          <w:p>
            <w:pPr>
              <w:pStyle w:val="Compact"/>
            </w:pPr>
            <w:r>
              <w:t xml:space="preserve">0.7</w:t>
            </w:r>
          </w:p>
        </w:tc>
        <w:tc>
          <w:tcPr/>
          <w:p>
            <w:pPr>
              <w:pStyle w:val="Compact"/>
            </w:pPr>
            <w:r>
              <w:t xml:space="preserve">0.7</w:t>
            </w:r>
          </w:p>
        </w:tc>
        <w:tc>
          <w:tcPr/>
          <w:p>
            <w:pPr>
              <w:pStyle w:val="Compact"/>
            </w:pPr>
            <w:r>
              <w:t xml:space="preserve">0.0</w:t>
            </w:r>
          </w:p>
        </w:tc>
      </w:tr>
      <w:tr>
        <w:tc>
          <w:tcPr/>
          <w:p>
            <w:pPr>
              <w:pStyle w:val="Compact"/>
            </w:pPr>
            <w:r>
              <w:t xml:space="preserve">Insley (16FR3)</w:t>
            </w:r>
          </w:p>
        </w:tc>
        <w:tc>
          <w:tcPr/>
          <w:p>
            <w:pPr>
              <w:pStyle w:val="Compact"/>
            </w:pPr>
            <w:r>
              <w:t xml:space="preserve">0.9</w:t>
            </w:r>
          </w:p>
        </w:tc>
        <w:tc>
          <w:tcPr/>
          <w:p>
            <w:pPr>
              <w:pStyle w:val="Compact"/>
            </w:pPr>
            <w:r>
              <w:t xml:space="preserve">0.6</w:t>
            </w:r>
          </w:p>
        </w:tc>
        <w:tc>
          <w:tcPr/>
          <w:p>
            <w:pPr>
              <w:pStyle w:val="Compact"/>
            </w:pPr>
            <w:r>
              <w:t xml:space="preserve">0.8</w:t>
            </w:r>
          </w:p>
        </w:tc>
        <w:tc>
          <w:tcPr/>
          <w:p>
            <w:pPr>
              <w:pStyle w:val="Compact"/>
            </w:pPr>
            <w:r>
              <w:t xml:space="preserve">0.9</w:t>
            </w:r>
          </w:p>
        </w:tc>
        <w:tc>
          <w:tcPr/>
          <w:p>
            <w:pPr>
              <w:pStyle w:val="Compact"/>
            </w:pPr>
            <w:r>
              <w:t xml:space="preserve">0.0</w:t>
            </w:r>
          </w:p>
        </w:tc>
      </w:tr>
      <w:tr>
        <w:tc>
          <w:tcPr/>
          <w:p>
            <w:pPr>
              <w:pStyle w:val="Compact"/>
            </w:pPr>
            <w:r>
              <w:t xml:space="preserve">J.W. Copes (16MA147)</w:t>
            </w:r>
          </w:p>
        </w:tc>
        <w:tc>
          <w:tcPr/>
          <w:p>
            <w:pPr>
              <w:pStyle w:val="Compact"/>
            </w:pPr>
            <w:r>
              <w:t xml:space="preserve">0.5</w:t>
            </w:r>
          </w:p>
        </w:tc>
        <w:tc>
          <w:tcPr/>
          <w:p>
            <w:pPr>
              <w:pStyle w:val="Compact"/>
            </w:pPr>
            <w:r>
              <w:t xml:space="preserve">0.6</w:t>
            </w:r>
          </w:p>
        </w:tc>
        <w:tc>
          <w:tcPr/>
          <w:p>
            <w:pPr>
              <w:pStyle w:val="Compact"/>
            </w:pPr>
            <w:r>
              <w:t xml:space="preserve">0.4</w:t>
            </w:r>
          </w:p>
        </w:tc>
        <w:tc>
          <w:tcPr/>
          <w:p>
            <w:pPr>
              <w:pStyle w:val="Compact"/>
            </w:pPr>
            <w:r>
              <w:t xml:space="preserve">0.7</w:t>
            </w:r>
          </w:p>
        </w:tc>
        <w:tc>
          <w:tcPr/>
          <w:p>
            <w:pPr>
              <w:pStyle w:val="Compact"/>
            </w:pPr>
            <w:r>
              <w:t xml:space="preserve">0.0</w:t>
            </w:r>
          </w:p>
        </w:tc>
      </w:tr>
      <w:tr>
        <w:tc>
          <w:tcPr/>
          <w:p>
            <w:pPr>
              <w:pStyle w:val="Compact"/>
            </w:pPr>
            <w:r>
              <w:t xml:space="preserve">Cowpen Slough (16CT147)</w:t>
            </w:r>
          </w:p>
        </w:tc>
        <w:tc>
          <w:tcPr/>
          <w:p>
            <w:pPr>
              <w:pStyle w:val="Compact"/>
            </w:pPr>
            <w:r>
              <w:t xml:space="preserve">0.9</w:t>
            </w:r>
          </w:p>
        </w:tc>
        <w:tc>
          <w:tcPr/>
          <w:p>
            <w:pPr>
              <w:pStyle w:val="Compact"/>
            </w:pPr>
            <w:r>
              <w:t xml:space="preserve">0.5</w:t>
            </w:r>
          </w:p>
        </w:tc>
        <w:tc>
          <w:tcPr/>
          <w:p>
            <w:pPr>
              <w:pStyle w:val="Compact"/>
            </w:pPr>
            <w:r>
              <w:t xml:space="preserve">0.8</w:t>
            </w:r>
          </w:p>
        </w:tc>
        <w:tc>
          <w:tcPr/>
          <w:p>
            <w:pPr>
              <w:pStyle w:val="Compact"/>
            </w:pPr>
            <w:r>
              <w:t xml:space="preserve">0.7</w:t>
            </w:r>
          </w:p>
        </w:tc>
        <w:tc>
          <w:tcPr/>
          <w:p>
            <w:pPr>
              <w:pStyle w:val="Compact"/>
            </w:pPr>
            <w:r>
              <w:t xml:space="preserve">0.0</w:t>
            </w:r>
          </w:p>
        </w:tc>
      </w:tr>
      <w:tr>
        <w:tc>
          <w:tcPr/>
          <w:p>
            <w:pPr>
              <w:pStyle w:val="Compact"/>
            </w:pPr>
            <w:r>
              <w:t xml:space="preserve">Jaketown (22HU505)</w:t>
            </w:r>
          </w:p>
        </w:tc>
        <w:tc>
          <w:tcPr/>
          <w:p>
            <w:pPr>
              <w:pStyle w:val="Compact"/>
            </w:pPr>
            <w:r>
              <w:t xml:space="preserve">1.0</w:t>
            </w:r>
          </w:p>
        </w:tc>
        <w:tc>
          <w:tcPr/>
          <w:p>
            <w:pPr>
              <w:pStyle w:val="Compact"/>
            </w:pPr>
            <w:r>
              <w:t xml:space="preserve">0.3</w:t>
            </w:r>
          </w:p>
        </w:tc>
        <w:tc>
          <w:tcPr/>
          <w:p>
            <w:pPr>
              <w:pStyle w:val="Compact"/>
            </w:pPr>
            <w:r>
              <w:t xml:space="preserve">0.8</w:t>
            </w:r>
          </w:p>
        </w:tc>
        <w:tc>
          <w:tcPr/>
          <w:p>
            <w:pPr>
              <w:pStyle w:val="Compact"/>
            </w:pPr>
            <w:r>
              <w:t xml:space="preserve">0.5</w:t>
            </w:r>
          </w:p>
        </w:tc>
        <w:tc>
          <w:tcPr/>
          <w:p>
            <w:pPr>
              <w:pStyle w:val="Compact"/>
            </w:pPr>
            <w:r>
              <w:t xml:space="preserve">0.0</w:t>
            </w:r>
          </w:p>
        </w:tc>
      </w:tr>
      <w:tr>
        <w:tc>
          <w:tcPr/>
          <w:p>
            <w:pPr>
              <w:pStyle w:val="Compact"/>
            </w:pPr>
            <w:r>
              <w:t xml:space="preserve">Claiborne (22HA501)</w:t>
            </w:r>
          </w:p>
        </w:tc>
        <w:tc>
          <w:tcPr/>
          <w:p>
            <w:pPr>
              <w:pStyle w:val="Compact"/>
            </w:pPr>
            <w:r>
              <w:t xml:space="preserve">1.0</w:t>
            </w:r>
          </w:p>
        </w:tc>
        <w:tc>
          <w:tcPr/>
          <w:p>
            <w:pPr>
              <w:pStyle w:val="Compact"/>
            </w:pPr>
            <w:r>
              <w:t xml:space="preserve">0.0</w:t>
            </w:r>
          </w:p>
        </w:tc>
        <w:tc>
          <w:tcPr/>
          <w:p>
            <w:pPr>
              <w:pStyle w:val="Compact"/>
            </w:pPr>
            <w:r>
              <w:t xml:space="preserve">0.5</w:t>
            </w:r>
          </w:p>
        </w:tc>
        <w:tc>
          <w:tcPr/>
          <w:p>
            <w:pPr>
              <w:pStyle w:val="Compact"/>
            </w:pPr>
            <w:r>
              <w:t xml:space="preserve">0.3</w:t>
            </w:r>
          </w:p>
        </w:tc>
        <w:tc>
          <w:tcPr/>
          <w:p>
            <w:pPr>
              <w:pStyle w:val="Compact"/>
            </w:pPr>
            <w:r>
              <w:t xml:space="preserve">0.0</w:t>
            </w:r>
          </w:p>
        </w:tc>
      </w:tr>
      <w:tr>
        <w:tc>
          <w:tcPr/>
          <w:p>
            <w:pPr>
              <w:pStyle w:val="Compact"/>
            </w:pPr>
            <w:r>
              <w:t xml:space="preserve">Cedarland (22HA506)</w:t>
            </w:r>
          </w:p>
        </w:tc>
        <w:tc>
          <w:tcPr/>
          <w:p>
            <w:pPr>
              <w:pStyle w:val="Compact"/>
            </w:pPr>
            <w:r>
              <w:t xml:space="preserve">1.0</w:t>
            </w:r>
          </w:p>
        </w:tc>
        <w:tc>
          <w:tcPr/>
          <w:p>
            <w:pPr>
              <w:pStyle w:val="Compact"/>
            </w:pPr>
            <w:r>
              <w:t xml:space="preserve">0.0</w:t>
            </w:r>
          </w:p>
        </w:tc>
        <w:tc>
          <w:tcPr/>
          <w:p>
            <w:pPr>
              <w:pStyle w:val="Compact"/>
            </w:pPr>
            <w:r>
              <w:t xml:space="preserve">0.5</w:t>
            </w:r>
          </w:p>
        </w:tc>
        <w:tc>
          <w:tcPr/>
          <w:p>
            <w:pPr>
              <w:pStyle w:val="Compact"/>
            </w:pPr>
            <w:r>
              <w:t xml:space="preserve">0.3</w:t>
            </w:r>
          </w:p>
        </w:tc>
        <w:tc>
          <w:tcPr/>
          <w:p>
            <w:pPr>
              <w:pStyle w:val="Compact"/>
            </w:pPr>
            <w:r>
              <w:t xml:space="preserve">0.0</w:t>
            </w:r>
          </w:p>
        </w:tc>
      </w:tr>
    </w:tbl>
    <w:p>
      <w:pPr>
        <w:pStyle w:val="BodyText"/>
      </w:pPr>
      <w:r>
        <w:t xml:space="preserve">The qualitative scoring is the most fragile element of this analysis. A proper GIS implementation using historical land cover (NLCD reconstructions or USGS-classified Late Holocene vegetation maps), travel-time catchments, and reproducible zone-membership rules would replace the qualitative weights with measured values and is identified as the highest-priority empirical refinement in main §7.4.</w:t>
      </w:r>
    </w:p>
    <w:p>
      <w:r>
        <w:pict>
          <v:rect style="width:0;height:1.5pt" o:hralign="center" o:hrstd="t" o:hr="t"/>
        </w:pict>
      </w:r>
    </w:p>
    <w:bookmarkEnd w:id="50"/>
    <w:bookmarkStart w:id="62" w:name="s7.-detailed-scenario-simulation-results"/>
    <w:p>
      <w:pPr>
        <w:pStyle w:val="Heading2"/>
      </w:pPr>
      <w:r>
        <w:t xml:space="preserve">S7. Detailed scenario simulation results</w:t>
      </w:r>
    </w:p>
    <w:bookmarkStart w:id="51" w:name="Xb76937dec171478a3aaa1ec42b0a72fe24c58e3"/>
    <w:p>
      <w:pPr>
        <w:pStyle w:val="Heading3"/>
      </w:pPr>
      <w:r>
        <w:t xml:space="preserve">S7.0 Status summary of §6 empirical evaluations</w:t>
      </w:r>
    </w:p>
    <w:p>
      <w:pPr>
        <w:pStyle w:val="FirstParagraph"/>
      </w:pPr>
      <w:r>
        <w:t xml:space="preserve">The eight empirical evaluations in main §6 differ substantially in inferential weight. The table below summarizes, for each evaluation, the section in which it appears, what it tests, what parameters are fit to the data, what data are treated as independent of the model fit, and the resulting status. The bottom row reports the §4.3 signaling-vs-cooperation ablation comparison, which is theoretical rather than empirical but is listed here because its result affects how the empirical evaluations should be interpreted (the threshold-location dimension does not discriminate signaling from generic cooperation; the spatial-flow signature at §6.1 does).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Section</w:t>
            </w:r>
          </w:p>
        </w:tc>
        <w:tc>
          <w:tcPr/>
          <w:p>
            <w:pPr>
              <w:pStyle w:val="Compact"/>
            </w:pPr>
            <w:r>
              <w:t xml:space="preserve">Evaluation</w:t>
            </w:r>
          </w:p>
        </w:tc>
        <w:tc>
          <w:tcPr/>
          <w:p>
            <w:pPr>
              <w:pStyle w:val="Compact"/>
            </w:pPr>
            <w:r>
              <w:t xml:space="preserve">What is fit</w:t>
            </w:r>
          </w:p>
        </w:tc>
        <w:tc>
          <w:tcPr/>
          <w:p>
            <w:pPr>
              <w:pStyle w:val="Compact"/>
            </w:pPr>
            <w:r>
              <w:t xml:space="preserve">What is independent</w:t>
            </w:r>
          </w:p>
        </w:tc>
        <w:tc>
          <w:tcPr/>
          <w:p>
            <w:pPr>
              <w:pStyle w:val="Compact"/>
            </w:pPr>
            <w:r>
              <w:t xml:space="preserve">Status</w:t>
            </w:r>
          </w:p>
        </w:tc>
      </w:tr>
      <w:tr>
        <w:tc>
          <w:tcPr/>
          <w:p>
            <w:pPr>
              <w:pStyle w:val="Compact"/>
            </w:pPr>
            <w:r>
              <w:t xml:space="preserve">6.1 (vol)</w:t>
            </w:r>
          </w:p>
        </w:tc>
        <w:tc>
          <w:tcPr/>
          <w:p>
            <w:pPr>
              <w:pStyle w:val="Compact"/>
            </w:pPr>
            <w:r>
              <w:t xml:space="preserve">Type-site volume calibration</w:t>
            </w:r>
          </w:p>
        </w:tc>
        <w:tc>
          <w:tcPr/>
          <w:p>
            <w:pPr>
              <w:pStyle w:val="Compact"/>
            </w:pPr>
            <w:r>
              <w:t xml:space="preserve">~77 m³/unit scaling factor fit to PP target</w:t>
            </w:r>
          </w:p>
        </w:tc>
        <w:tc>
          <w:tcPr/>
          <w:p>
            <w:pPr>
              <w:pStyle w:val="Compact"/>
            </w:pPr>
            <w:r>
              <w:t xml:space="preserve">None (calibration anchor)</w:t>
            </w:r>
          </w:p>
        </w:tc>
        <w:tc>
          <w:tcPr/>
          <w:p>
            <w:pPr>
              <w:pStyle w:val="Compact"/>
            </w:pPr>
            <w:r>
              <w:t xml:space="preserve">Calibration; not a test</w:t>
            </w:r>
          </w:p>
        </w:tc>
      </w:tr>
      <w:tr>
        <w:tc>
          <w:tcPr/>
          <w:p>
            <w:pPr>
              <w:pStyle w:val="Compact"/>
            </w:pPr>
            <w:r>
              <w:t xml:space="preserve">6.1 (exotic)</w:t>
            </w:r>
          </w:p>
        </w:tc>
        <w:tc>
          <w:tcPr/>
          <w:p>
            <w:pPr>
              <w:pStyle w:val="Compact"/>
            </w:pPr>
            <w:r>
              <w:t xml:space="preserve">Exotic-goods count consistency</w:t>
            </w:r>
          </w:p>
        </w:tc>
        <w:tc>
          <w:tcPr/>
          <w:p>
            <w:pPr>
              <w:pStyle w:val="Compact"/>
            </w:pPr>
            <w:r>
              <w:t xml:space="preserve">Same simulation run as 6.1 vol</w:t>
            </w:r>
          </w:p>
        </w:tc>
        <w:tc>
          <w:tcPr/>
          <w:p>
            <w:pPr>
              <w:pStyle w:val="Compact"/>
            </w:pPr>
            <w:r>
              <w:t xml:space="preserve">Per-material counts (different model pathway for each)</w:t>
            </w:r>
          </w:p>
        </w:tc>
        <w:tc>
          <w:tcPr/>
          <w:p>
            <w:pPr>
              <w:pStyle w:val="Compact"/>
            </w:pPr>
            <w:r>
              <w:t xml:space="preserve">Partial test; consistent for copper (after recovery), for galena (after recovery), vessel-basis for steatite</w:t>
            </w:r>
          </w:p>
        </w:tc>
      </w:tr>
      <w:tr>
        <w:tc>
          <w:tcPr/>
          <w:p>
            <w:pPr>
              <w:pStyle w:val="Compact"/>
            </w:pPr>
            <w:r>
              <w:t xml:space="preserve">6.1 (decay)</w:t>
            </w:r>
          </w:p>
        </w:tc>
        <w:tc>
          <w:tcPr/>
          <w:p>
            <w:pPr>
              <w:pStyle w:val="Compact"/>
            </w:pPr>
            <w:r>
              <w:t xml:space="preserve">Distance-decay rank correlation</w:t>
            </w:r>
          </w:p>
        </w:tc>
        <w:tc>
          <w:tcPr/>
          <w:p>
            <w:pPr>
              <w:pStyle w:val="Compact"/>
            </w:pPr>
            <w:r>
              <w:t xml:space="preserve">500-km length scale fixed to ordering</w:t>
            </w:r>
          </w:p>
        </w:tc>
        <w:tc>
          <w:tcPr/>
          <w:p>
            <w:pPr>
              <w:pStyle w:val="Compact"/>
            </w:pPr>
            <w:r>
              <w:t xml:space="preserve">Webb 1982 source-distance inventory</w:t>
            </w:r>
          </w:p>
        </w:tc>
        <w:tc>
          <w:tcPr/>
          <w:p>
            <w:pPr>
              <w:pStyle w:val="Compact"/>
            </w:pPr>
            <m:oMath>
              <m:r>
                <m:t>ρ</m:t>
              </m:r>
              <m:r>
                <m:rPr>
                  <m:sty m:val="p"/>
                </m:rPr>
                <m:t>=</m:t>
              </m:r>
              <m:r>
                <m:t>0.95</m:t>
              </m:r>
            </m:oMath>
            <w:r>
              <w:t xml:space="preserve"> </w:t>
            </w:r>
            <w:r>
              <w:t xml:space="preserve">but acknowledged not to discriminate against transport-cost or down-the-line alternatives</w:t>
            </w:r>
          </w:p>
        </w:tc>
      </w:tr>
      <w:tr>
        <w:tc>
          <w:tcPr/>
          <w:p>
            <w:pPr>
              <w:pStyle w:val="Compact"/>
            </w:pPr>
            <w:r>
              <w:t xml:space="preserve">6.1 (outflow)</w:t>
            </w:r>
          </w:p>
        </w:tc>
        <w:tc>
          <w:tcPr/>
          <w:p>
            <w:pPr>
              <w:pStyle w:val="Compact"/>
            </w:pPr>
            <w:r>
              <w:t xml:space="preserve">Asymmetric flow signature: into-PP, not out-from-PP</w:t>
            </w:r>
          </w:p>
        </w:tc>
        <w:tc>
          <w:tcPr/>
          <w:p>
            <w:pPr>
              <w:pStyle w:val="Compact"/>
            </w:pPr>
            <w:r>
              <w:t xml:space="preserve">None (the asymmetry is a framework prediction)</w:t>
            </w:r>
          </w:p>
        </w:tc>
        <w:tc>
          <w:tcPr/>
          <w:p>
            <w:pPr>
              <w:pStyle w:val="Compact"/>
            </w:pPr>
            <w:r>
              <w:t xml:space="preserve">Webb 1982 type-site inventory; Smith 1991 cross-site material-share percentages; Kidder and Grooms 2025 outflow observation</w:t>
            </w:r>
          </w:p>
        </w:tc>
        <w:tc>
          <w:tcPr/>
          <w:p>
            <w:pPr>
              <w:pStyle w:val="Compact"/>
            </w:pPr>
            <w:r>
              <w:t xml:space="preserve">Discriminating test passed: signaling reading predicts asymmetric flow into the gathering; risk-pooling predicts bidirectional flow; down-the-line exchange predicts smooth distance-decay; neither alternative is observed. Coarse pass on existing data; finer-grained patterning across visitor-band-identified sites is the §7.4 sharpening study</w:t>
            </w:r>
          </w:p>
        </w:tc>
      </w:tr>
      <w:tr>
        <w:tc>
          <w:tcPr/>
          <w:p>
            <w:pPr>
              <w:pStyle w:val="Compact"/>
            </w:pPr>
            <w:r>
              <w:t xml:space="preserve">6.2</w:t>
            </w:r>
          </w:p>
        </w:tc>
        <w:tc>
          <w:tcPr/>
          <w:p>
            <w:pPr>
              <w:pStyle w:val="Compact"/>
            </w:pPr>
            <w:r>
              <w:t xml:space="preserve">Bayesian threshold-proximity</w:t>
            </w:r>
          </w:p>
        </w:tc>
        <w:tc>
          <w:tcPr/>
          <w:p>
            <w:pPr>
              <w:pStyle w:val="Compact"/>
            </w:pPr>
            <m:oMath>
              <m:sSup>
                <m:e>
                  <m:r>
                    <m:t>σ</m:t>
                  </m:r>
                </m:e>
                <m:sup>
                  <m:r>
                    <m:rPr>
                      <m:sty m:val="p"/>
                    </m:rPr>
                    <m:t>*</m:t>
                  </m:r>
                </m:sup>
              </m:sSup>
            </m:oMath>
            <w:r>
              <w:t xml:space="preserve"> </w:t>
            </w:r>
            <w:r>
              <w:t xml:space="preserve">derived from PP-calibrated parameter set</w:t>
            </w:r>
          </w:p>
        </w:tc>
        <w:tc>
          <w:tcPr/>
          <w:p>
            <w:pPr>
              <w:pStyle w:val="Compact"/>
            </w:pPr>
            <w:r>
              <w:t xml:space="preserve">Paleoclimate</w:t>
            </w:r>
            <w:r>
              <w:t xml:space="preserve"> </w:t>
            </w:r>
            <m:oMath>
              <m:r>
                <m:t>σ</m:t>
              </m:r>
            </m:oMath>
            <w:r>
              <w:t xml:space="preserve"> </w:t>
            </w:r>
            <w:r>
              <w:t xml:space="preserve">priors</w:t>
            </w:r>
          </w:p>
        </w:tc>
        <w:tc>
          <w:tcPr/>
          <w:p>
            <w:pPr>
              <w:pStyle w:val="Compact"/>
            </w:pPr>
            <m:oMath>
              <m:r>
                <m:t>P</m:t>
              </m:r>
              <m:r>
                <m:rPr>
                  <m:sty m:val="p"/>
                </m:rPr>
                <m:t>=</m:t>
              </m:r>
              <m:r>
                <m:t>0.36</m:t>
              </m:r>
            </m:oMath>
            <w:r>
              <w:t xml:space="preserve">-</w:t>
            </w:r>
            <m:oMath>
              <m:r>
                <m:t>0.56</m:t>
              </m:r>
            </m:oMath>
            <w:r>
              <w:t xml:space="preserve"> </w:t>
            </w:r>
            <w:r>
              <w:t xml:space="preserve">near-tie; conditional on the parameter set defining</w:t>
            </w:r>
            <w:r>
              <w:t xml:space="preserve"> </w:t>
            </w:r>
            <m:oMath>
              <m:sSup>
                <m:e>
                  <m:r>
                    <m:t>σ</m:t>
                  </m:r>
                </m:e>
                <m:sup>
                  <m:r>
                    <m:rPr>
                      <m:sty m:val="p"/>
                    </m:rPr>
                    <m:t>*</m:t>
                  </m:r>
                </m:sup>
              </m:sSup>
            </m:oMath>
          </w:p>
        </w:tc>
      </w:tr>
      <w:tr>
        <w:tc>
          <w:tcPr/>
          <w:p>
            <w:pPr>
              <w:pStyle w:val="Compact"/>
            </w:pPr>
            <w:r>
              <w:t xml:space="preserve">6.3</w:t>
            </w:r>
          </w:p>
        </w:tc>
        <w:tc>
          <w:tcPr/>
          <w:p>
            <w:pPr>
              <w:pStyle w:val="Compact"/>
            </w:pPr>
            <w:r>
              <w:t xml:space="preserve">Watson Brake regime-switching consistent with WB scale</w:t>
            </w:r>
          </w:p>
        </w:tc>
        <w:tc>
          <w:tcPr/>
          <w:p>
            <w:pPr>
              <w:pStyle w:val="Compact"/>
            </w:pPr>
            <m:oMath>
              <m:r>
                <m:t>α</m:t>
              </m:r>
              <m:r>
                <m:rPr>
                  <m:sty m:val="p"/>
                </m:rPr>
                <m:t>=</m:t>
              </m:r>
              <m:r>
                <m:t>2</m:t>
              </m:r>
            </m:oMath>
            <w:r>
              <w:t xml:space="preserve">,</w:t>
            </w:r>
            <w:r>
              <w:t xml:space="preserve"> </w:t>
            </w:r>
            <m:oMath>
              <m:r>
                <m:t>K</m:t>
              </m:r>
              <m:r>
                <m:rPr>
                  <m:sty m:val="p"/>
                </m:rPr>
                <m:t>=</m:t>
              </m:r>
              <m:r>
                <m:t>3</m:t>
              </m:r>
            </m:oMath>
            <w:r>
              <w:t xml:space="preserve">,</w:t>
            </w:r>
            <w:r>
              <w:t xml:space="preserve"> </w:t>
            </w:r>
            <m:oMath>
              <m:r>
                <m:t>σ</m:t>
              </m:r>
            </m:oMath>
            <w:r>
              <w:t xml:space="preserve">,</w:t>
            </w:r>
            <w:r>
              <w:t xml:space="preserve"> </w:t>
            </w:r>
            <m:oMath>
              <m:sSub>
                <m:e>
                  <m:r>
                    <m:t>σ</m:t>
                  </m:r>
                </m:e>
                <m:sub>
                  <m:r>
                    <m:t>s</m:t>
                  </m:r>
                  <m:r>
                    <m:t>d</m:t>
                  </m:r>
                </m:sub>
              </m:sSub>
            </m:oMath>
            <w:r>
              <w:t xml:space="preserve">,</w:t>
            </w:r>
            <w:r>
              <w:t xml:space="preserve"> </w:t>
            </w:r>
            <m:oMath>
              <m:r>
                <m:t>ε</m:t>
              </m:r>
            </m:oMath>
          </w:p>
        </w:tc>
        <w:tc>
          <w:tcPr/>
          <w:p>
            <w:pPr>
              <w:pStyle w:val="Compact"/>
            </w:pPr>
            <m:oMath>
              <m:sSub>
                <m:e>
                  <m:r>
                    <m:t>n</m:t>
                  </m:r>
                </m:e>
                <m:sub>
                  <m:r>
                    <m:t>a</m:t>
                  </m:r>
                  <m:r>
                    <m:t>g</m:t>
                  </m:r>
                  <m:r>
                    <m:t>g</m:t>
                  </m:r>
                </m:sub>
              </m:sSub>
            </m:oMath>
            <w:r>
              <w:t xml:space="preserve"> </w:t>
            </w:r>
            <w:r>
              <w:t xml:space="preserve">derived independently</w:t>
            </w:r>
          </w:p>
        </w:tc>
        <w:tc>
          <w:tcPr/>
          <w:p>
            <w:pPr>
              <w:pStyle w:val="Compact"/>
            </w:pPr>
            <w:r>
              <w:t xml:space="preserve">Consistency demonstration with three free parameters</w:t>
            </w:r>
          </w:p>
        </w:tc>
      </w:tr>
      <w:tr>
        <w:tc>
          <w:tcPr/>
          <w:p>
            <w:pPr>
              <w:pStyle w:val="Compact"/>
            </w:pPr>
            <w:r>
              <w:t xml:space="preserve">6.4</w:t>
            </w:r>
          </w:p>
        </w:tc>
        <w:tc>
          <w:tcPr/>
          <w:p>
            <w:pPr>
              <w:pStyle w:val="Compact"/>
            </w:pPr>
            <w:r>
              <w:t xml:space="preserve">Cross-LMV interior-vs-coastal screening</w:t>
            </w:r>
          </w:p>
        </w:tc>
        <w:tc>
          <w:tcPr/>
          <w:p>
            <w:pPr>
              <w:pStyle w:val="Compact"/>
            </w:pPr>
            <w:r>
              <w:t xml:space="preserve">Static-rubric weights</w:t>
            </w:r>
          </w:p>
        </w:tc>
        <w:tc>
          <w:tcPr/>
          <w:p>
            <w:pPr>
              <w:pStyle w:val="Compact"/>
            </w:pPr>
            <w:r>
              <w:t xml:space="preserve">LMV site catchment geomorphology (interior monument-building + non-mound comparator sample)</w:t>
            </w:r>
          </w:p>
        </w:tc>
        <w:tc>
          <w:tcPr/>
          <w:p>
            <w:pPr>
              <w:pStyle w:val="Compact"/>
            </w:pPr>
            <w:r>
              <w:t xml:space="preserve">Sample-selection-bounded</w:t>
            </w:r>
          </w:p>
        </w:tc>
      </w:tr>
      <w:tr>
        <w:tc>
          <w:tcPr/>
          <w:p>
            <w:pPr>
              <w:pStyle w:val="Compact"/>
            </w:pPr>
            <w:r>
              <w:t xml:space="preserve">6.5</w:t>
            </w:r>
          </w:p>
        </w:tc>
        <w:tc>
          <w:tcPr/>
          <w:p>
            <w:pPr>
              <w:pStyle w:val="Compact"/>
            </w:pPr>
            <w:r>
              <w:t xml:space="preserve">Multi-drainage shortfall buffering of contemporary regimes</w:t>
            </w:r>
          </w:p>
        </w:tc>
        <w:tc>
          <w:tcPr/>
          <w:p>
            <w:pPr>
              <w:pStyle w:val="Compact"/>
            </w:pPr>
            <w:r>
              <w:t xml:space="preserve">Modern USGS gauge correlations</w:t>
            </w:r>
          </w:p>
        </w:tc>
        <w:tc>
          <w:tcPr/>
          <w:p>
            <w:pPr>
              <w:pStyle w:val="Compact"/>
            </w:pPr>
            <w:r>
              <w:t xml:space="preserve">None (descriptive; modern-as-proxy concession)</w:t>
            </w:r>
          </w:p>
        </w:tc>
        <w:tc>
          <w:tcPr/>
          <w:p>
            <w:pPr>
              <w:pStyle w:val="Compact"/>
            </w:pPr>
            <w:r>
              <w:t xml:space="preserve">Descriptive; modern-as-proxy concession</w:t>
            </w:r>
          </w:p>
        </w:tc>
      </w:tr>
      <w:tr>
        <w:tc>
          <w:tcPr/>
          <w:p>
            <w:pPr>
              <w:pStyle w:val="Compact"/>
            </w:pPr>
            <w:r>
              <w:t xml:space="preserve">6.6</w:t>
            </w:r>
          </w:p>
        </w:tc>
        <w:tc>
          <w:tcPr/>
          <w:p>
            <w:pPr>
              <w:pStyle w:val="Compact"/>
            </w:pPr>
            <w:r>
              <w:t xml:space="preserve">Cross-site magnitude</w:t>
            </w:r>
            <w:r>
              <w:t xml:space="preserve"> </w:t>
            </w:r>
            <m:oMath>
              <m:sSub>
                <m:e>
                  <m:r>
                    <m:t>M</m:t>
                  </m:r>
                </m:e>
                <m:sub>
                  <m:r>
                    <m:t>g</m:t>
                  </m:r>
                </m:sub>
              </m:sSub>
              <m:r>
                <m:rPr>
                  <m:sty m:val="p"/>
                </m:rPr>
                <m:t>(</m:t>
              </m:r>
              <m:r>
                <m:t>ε</m:t>
              </m:r>
              <m:r>
                <m:rPr>
                  <m:sty m:val="p"/>
                </m:rPr>
                <m:t>,</m:t>
              </m:r>
              <m:sSub>
                <m:e>
                  <m:r>
                    <m:t>n</m:t>
                  </m:r>
                </m:e>
                <m:sub>
                  <m:r>
                    <m:t>a</m:t>
                  </m:r>
                  <m:r>
                    <m:t>g</m:t>
                  </m:r>
                  <m:r>
                    <m:t>g</m:t>
                  </m:r>
                </m:sub>
              </m:sSub>
              <m:r>
                <m:rPr>
                  <m:sty m:val="p"/>
                </m:rPr>
                <m:t>)</m:t>
              </m:r>
            </m:oMath>
          </w:p>
        </w:tc>
        <w:tc>
          <w:tcPr/>
          <w:p>
            <w:pPr>
              <w:pStyle w:val="Compact"/>
            </w:pPr>
            <m:oMath>
              <m:sSub>
                <m:e>
                  <m:r>
                    <m:t>n</m:t>
                  </m:r>
                </m:e>
                <m:sub>
                  <m:r>
                    <m:t>a</m:t>
                  </m:r>
                  <m:r>
                    <m:t>g</m:t>
                  </m:r>
                  <m:r>
                    <m:t>g</m:t>
                  </m:r>
                </m:sub>
              </m:sSub>
            </m:oMath>
            <w:r>
              <w:t xml:space="preserve"> </w:t>
            </w:r>
            <w:r>
              <w:t xml:space="preserve">from convergence-model literature</w:t>
            </w:r>
          </w:p>
        </w:tc>
        <w:tc>
          <w:tcPr/>
          <w:p>
            <w:pPr>
              <w:pStyle w:val="Compact"/>
            </w:pPr>
            <m:oMath>
              <m:r>
                <m:t>ε</m:t>
              </m:r>
            </m:oMath>
            <w:r>
              <w:t xml:space="preserve"> </w:t>
            </w:r>
            <w:r>
              <w:t xml:space="preserve">from rubric</w:t>
            </w:r>
          </w:p>
        </w:tc>
        <w:tc>
          <w:tcPr/>
          <w:p>
            <w:pPr>
              <w:pStyle w:val="Compact"/>
            </w:pPr>
            <w:r>
              <w:t xml:space="preserve">Joint</w:t>
            </w:r>
            <w:r>
              <w:t xml:space="preserve"> </w:t>
            </w:r>
            <m:oMath>
              <m:r>
                <m:t>ρ</m:t>
              </m:r>
              <m:r>
                <m:rPr>
                  <m:sty m:val="p"/>
                </m:rPr>
                <m:t>=</m:t>
              </m:r>
              <m:r>
                <m:rPr>
                  <m:sty m:val="p"/>
                </m:rPr>
                <m:t>+</m:t>
              </m:r>
              <m:r>
                <m:t>0.85</m:t>
              </m:r>
            </m:oMath>
            <w:r>
              <w:t xml:space="preserve"> </w:t>
            </w:r>
            <w:r>
              <w:t xml:space="preserve">to</w:t>
            </w:r>
            <w:r>
              <w:t xml:space="preserve"> </w:t>
            </w:r>
            <m:oMath>
              <m:r>
                <m:rPr>
                  <m:sty m:val="p"/>
                </m:rPr>
                <m:t>+</m:t>
              </m:r>
              <m:r>
                <m:t>0.91</m:t>
              </m:r>
            </m:oMath>
            <w:r>
              <w:t xml:space="preserve">, but partial-correlation:</w:t>
            </w:r>
            <w:r>
              <w:t xml:space="preserve"> </w:t>
            </w:r>
            <m:oMath>
              <m:r>
                <m:t>ε</m:t>
              </m:r>
            </m:oMath>
            <w:r>
              <w:t xml:space="preserve"> </w:t>
            </w:r>
            <w:r>
              <w:t xml:space="preserve">contributes</w:t>
            </w:r>
            <w:r>
              <w:t xml:space="preserve"> </w:t>
            </w:r>
            <m:oMath>
              <m:r>
                <m:rPr>
                  <m:sty m:val="p"/>
                </m:rPr>
                <m:t>≤</m:t>
              </m:r>
              <m:r>
                <m:rPr>
                  <m:sty m:val="p"/>
                </m:rPr>
                <m:t>+</m:t>
              </m:r>
              <m:r>
                <m:t>0.014</m:t>
              </m:r>
            </m:oMath>
          </w:p>
        </w:tc>
      </w:tr>
      <w:tr>
        <w:tc>
          <w:tcPr/>
          <w:p>
            <w:pPr>
              <w:pStyle w:val="Compact"/>
            </w:pPr>
            <w:r>
              <w:t xml:space="preserve">6.7</w:t>
            </w:r>
          </w:p>
        </w:tc>
        <w:tc>
          <w:tcPr/>
          <w:p>
            <w:pPr>
              <w:pStyle w:val="Compact"/>
            </w:pPr>
            <w:r>
              <w:t xml:space="preserve">Within-year aggregation timing</w:t>
            </w:r>
          </w:p>
        </w:tc>
        <w:tc>
          <w:tcPr/>
          <w:p>
            <w:pPr>
              <w:pStyle w:val="Compact"/>
            </w:pPr>
            <w:r>
              <w:t xml:space="preserve">Same Webb (1982) and Jackson (1986) calendar that informs the published peak attribution</w:t>
            </w:r>
          </w:p>
        </w:tc>
        <w:tc>
          <w:tcPr/>
          <w:p>
            <w:pPr>
              <w:pStyle w:val="Compact"/>
            </w:pPr>
            <w:r>
              <w:t xml:space="preserve">None (circular)</w:t>
            </w:r>
          </w:p>
        </w:tc>
        <w:tc>
          <w:tcPr/>
          <w:p>
            <w:pPr>
              <w:pStyle w:val="Compact"/>
            </w:pPr>
            <w:r>
              <w:t xml:space="preserve">Plausibility check, not independent test</w:t>
            </w:r>
          </w:p>
        </w:tc>
      </w:tr>
      <w:tr>
        <w:tc>
          <w:tcPr/>
          <w:p>
            <w:pPr>
              <w:pStyle w:val="Compact"/>
            </w:pPr>
            <w:r>
              <w:t xml:space="preserve">6.8</w:t>
            </w:r>
          </w:p>
        </w:tc>
        <w:tc>
          <w:tcPr/>
          <w:p>
            <w:pPr>
              <w:pStyle w:val="Compact"/>
            </w:pPr>
            <w:r>
              <w:t xml:space="preserve">Construction tempo and pulsed accumulation; maintenance-to-new-construction event density</w:t>
            </w:r>
          </w:p>
        </w:tc>
        <w:tc>
          <w:tcPr/>
          <w:p>
            <w:pPr>
              <w:pStyle w:val="Compact"/>
            </w:pPr>
            <m:oMath>
              <m:r>
                <m:t>δ</m:t>
              </m:r>
              <m:r>
                <m:rPr>
                  <m:sty m:val="p"/>
                </m:rPr>
                <m:t>=</m:t>
              </m:r>
              <m:r>
                <m:t>0.08</m:t>
              </m:r>
            </m:oMath>
            <w:r>
              <w:t xml:space="preserve"> </w:t>
            </w:r>
            <w:r>
              <w:t xml:space="preserve">assumed (Table S2 range</w:t>
            </w:r>
            <w:r>
              <w:t xml:space="preserve"> </w:t>
            </w:r>
            <m:oMath>
              <m:r>
                <m:rPr>
                  <m:sty m:val="p"/>
                </m:rPr>
                <m:t>[</m:t>
              </m:r>
              <m:r>
                <m:t>0.04</m:t>
              </m:r>
              <m:r>
                <m:rPr>
                  <m:sty m:val="p"/>
                </m:rPr>
                <m:t>,</m:t>
              </m:r>
              <m:r>
                <m:t>0.16</m:t>
              </m:r>
              <m:r>
                <m:rPr>
                  <m:sty m:val="p"/>
                </m:rPr>
                <m:t>]</m:t>
              </m:r>
            </m:oMath>
            <w:r>
              <w:t xml:space="preserve">);</w:t>
            </w:r>
            <w:r>
              <w:t xml:space="preserve"> </w:t>
            </w:r>
            <m:oMath>
              <m:sSub>
                <m:e>
                  <m:r>
                    <m:t>n</m:t>
                  </m:r>
                </m:e>
                <m:sub>
                  <m:r>
                    <m:t>a</m:t>
                  </m:r>
                  <m:r>
                    <m:t>g</m:t>
                  </m:r>
                  <m:r>
                    <m:t>g</m:t>
                  </m:r>
                </m:sub>
              </m:sSub>
            </m:oMath>
            <w:r>
              <w:t xml:space="preserve"> </w:t>
            </w:r>
            <w:r>
              <w:t xml:space="preserve">scenarios from §6.6</w:t>
            </w:r>
          </w:p>
        </w:tc>
        <w:tc>
          <w:tcPr/>
          <w:p>
            <w:pPr>
              <w:pStyle w:val="Compact"/>
            </w:pPr>
            <w:r>
              <w:t xml:space="preserve">PP and WB event counts (Clay 2023; Hargrave et al. 2021; Kidder et al. 2021; Saunders et al. 2005);</w:t>
            </w:r>
            <w:r>
              <w:t xml:space="preserve"> </w:t>
            </w:r>
            <m:oMath>
              <m:r>
                <m:t>R</m:t>
              </m:r>
              <m:r>
                <m:rPr>
                  <m:sty m:val="p"/>
                </m:rPr>
                <m:t>(</m:t>
              </m:r>
              <m:sSub>
                <m:e>
                  <m:r>
                    <m:t>M</m:t>
                  </m:r>
                </m:e>
                <m:sub>
                  <m:r>
                    <m:t>g</m:t>
                  </m:r>
                </m:sub>
              </m:sSub>
              <m:r>
                <m:rPr>
                  <m:sty m:val="p"/>
                </m:rPr>
                <m:t>)</m:t>
              </m:r>
            </m:oMath>
            <w:r>
              <w:t xml:space="preserve"> </w:t>
            </w:r>
            <w:r>
              <w:t xml:space="preserve">derivation from geometric depreciation</w:t>
            </w:r>
          </w:p>
        </w:tc>
        <w:tc>
          <w:tcPr/>
          <w:p>
            <w:pPr>
              <w:pStyle w:val="Compact"/>
            </w:pPr>
            <w:r>
              <w:t xml:space="preserve">Pulsed-accumulation reading consistent with framework but not discriminating; the</w:t>
            </w:r>
            <w:r>
              <w:t xml:space="preserve"> </w:t>
            </w:r>
            <m:oMath>
              <m:r>
                <m:t>R</m:t>
              </m:r>
              <m:r>
                <m:rPr>
                  <m:sty m:val="p"/>
                </m:rPr>
                <m:t>(</m:t>
              </m:r>
              <m:sSub>
                <m:e>
                  <m:r>
                    <m:t>M</m:t>
                  </m:r>
                </m:e>
                <m:sub>
                  <m:r>
                    <m:t>g</m:t>
                  </m:r>
                </m:sub>
              </m:sSub>
              <m:r>
                <m:rPr>
                  <m:sty m:val="p"/>
                </m:rPr>
                <m:t>)</m:t>
              </m:r>
            </m:oMath>
            <w:r>
              <w:t xml:space="preserve"> </w:t>
            </w:r>
            <w:r>
              <w:t xml:space="preserve">event-density contrast (PP</w:t>
            </w:r>
            <w:r>
              <w:t xml:space="preserve"> </w:t>
            </w:r>
            <m:oMath>
              <m:r>
                <m:rPr>
                  <m:sty m:val="p"/>
                </m:rPr>
                <m:t>≈</m:t>
              </m:r>
              <m:r>
                <m:t>1.3</m:t>
              </m:r>
            </m:oMath>
            <w:r>
              <w:t xml:space="preserve"> </w:t>
            </w:r>
            <w:r>
              <w:t xml:space="preserve">events/yr vs WB</w:t>
            </w:r>
            <w:r>
              <w:t xml:space="preserve"> </w:t>
            </w:r>
            <m:oMath>
              <m:r>
                <m:rPr>
                  <m:sty m:val="p"/>
                </m:rPr>
                <m:t>≈</m:t>
              </m:r>
              <m:r>
                <m:t>0.02</m:t>
              </m:r>
            </m:oMath>
            <w:r>
              <w:t xml:space="preserve">-</w:t>
            </w:r>
            <m:oMath>
              <m:r>
                <m:t>0.03</m:t>
              </m:r>
            </m:oMath>
            <w:r>
              <w:t xml:space="preserve"> </w:t>
            </w:r>
            <w:r>
              <w:t xml:space="preserve">events/yr, 47-85</w:t>
            </w:r>
            <m:oMath>
              <m:r>
                <m:rPr>
                  <m:sty m:val="p"/>
                </m:rPr>
                <m:t>×</m:t>
              </m:r>
            </m:oMath>
            <w:r>
              <w:t xml:space="preserve"> </w:t>
            </w:r>
            <w:r>
              <w:t xml:space="preserve">ratio) is independently weighted: it follows from the signal-half-life mechanism without additional free parameters, and a reversal or order-of-magnitude reduction of the contrast would weaken the mechanism. Listed as falsifiable prediction §7.4(h)</w:t>
            </w:r>
          </w:p>
        </w:tc>
      </w:tr>
      <w:tr>
        <w:tc>
          <w:tcPr/>
          <w:p>
            <w:pPr>
              <w:pStyle w:val="Compact"/>
            </w:pPr>
            <w:r>
              <w:t xml:space="preserve">4.3</w:t>
            </w:r>
          </w:p>
        </w:tc>
        <w:tc>
          <w:tcPr/>
          <w:p>
            <w:pPr>
              <w:pStyle w:val="Compact"/>
            </w:pPr>
            <w:r>
              <w:t xml:space="preserve">Signaling-vs-cooperation ablation (signal-conditional vs random partners)</w:t>
            </w:r>
          </w:p>
        </w:tc>
        <w:tc>
          <w:tcPr/>
          <w:p>
            <w:pPr>
              <w:pStyle w:val="Compact"/>
            </w:pPr>
            <m:oMath>
              <m:sSub>
                <m:e>
                  <m:r>
                    <m:t>σ</m:t>
                  </m:r>
                </m:e>
                <m:sub>
                  <m:r>
                    <m:t>e</m:t>
                  </m:r>
                  <m:r>
                    <m:t>f</m:t>
                  </m:r>
                  <m:r>
                    <m:t>f</m:t>
                  </m:r>
                </m:sub>
              </m:sSub>
            </m:oMath>
            <w:r>
              <w:t xml:space="preserve"> </w:t>
            </w:r>
            <w:r>
              <w:t xml:space="preserve">controlled via ShortfallParams.mean_interval matched</w:t>
            </w:r>
            <w:r>
              <w:t xml:space="preserve"> </w:t>
            </w:r>
            <m:oMath>
              <m:sSub>
                <m:e>
                  <m:r>
                    <m:t>k</m:t>
                  </m:r>
                </m:e>
                <m:sub>
                  <m:r>
                    <m:t>a</m:t>
                  </m:r>
                  <m:r>
                    <m:t>g</m:t>
                  </m:r>
                  <m:r>
                    <m:t>g</m:t>
                  </m:r>
                </m:sub>
              </m:sSub>
            </m:oMath>
          </w:p>
        </w:tc>
        <w:tc>
          <w:tcPr/>
          <w:p>
            <w:pPr>
              <w:pStyle w:val="Compact"/>
            </w:pPr>
            <w:r>
              <w:t xml:space="preserve">None; direct comparison</w:t>
            </w:r>
          </w:p>
        </w:tc>
        <w:tc>
          <w:tcPr/>
          <w:p>
            <w:pPr>
              <w:pStyle w:val="Compact"/>
            </w:pPr>
            <w:r>
              <w:rPr>
                <w:b/>
                <w:bCs/>
              </w:rPr>
              <w:t xml:space="preserve">Threshold shift</w:t>
            </w:r>
            <w:r>
              <w:rPr>
                <w:b/>
                <w:bCs/>
              </w:rPr>
              <w:t xml:space="preserve"> </w:t>
            </w:r>
            <m:oMath>
              <m:r>
                <m:rPr>
                  <m:sty m:val="p"/>
                </m:rPr>
                <m:t>−</m:t>
              </m:r>
              <m:r>
                <m:t>0.010</m:t>
              </m:r>
            </m:oMath>
            <w:r>
              <w:rPr>
                <w:b/>
                <w:bCs/>
              </w:rPr>
              <w:t xml:space="preserve"> </w:t>
            </w:r>
            <w:r>
              <w:rPr>
                <w:b/>
                <w:bCs/>
              </w:rPr>
              <w:t xml:space="preserve">in</w:t>
            </w:r>
            <w:r>
              <w:rPr>
                <w:b/>
                <w:bCs/>
              </w:rPr>
              <w:t xml:space="preserve"> </w:t>
            </w:r>
            <m:oMath>
              <m:sSub>
                <m:e>
                  <m:r>
                    <m:t>σ</m:t>
                  </m:r>
                </m:e>
                <m:sub>
                  <m:r>
                    <m:t>e</m:t>
                  </m:r>
                  <m:r>
                    <m:t>f</m:t>
                  </m:r>
                  <m:r>
                    <m:t>f</m:t>
                  </m:r>
                </m:sub>
              </m:sSub>
            </m:oMath>
            <w:r>
              <w:rPr>
                <w:b/>
                <w:bCs/>
              </w:rPr>
              <w:t xml:space="preserve"> </w:t>
            </w:r>
            <w:r>
              <w:rPr>
                <w:b/>
                <w:bCs/>
              </w:rPr>
              <w:t xml:space="preserve">(</w:t>
            </w:r>
            <m:oMath>
              <m:r>
                <m:rPr>
                  <m:sty m:val="p"/>
                </m:rPr>
                <m:t>−</m:t>
              </m:r>
              <m:r>
                <m:t>2.4</m:t>
              </m:r>
              <m:r>
                <m:rPr>
                  <m:sty m:val="p"/>
                </m:rPr>
                <m:t>%</m:t>
              </m:r>
            </m:oMath>
            <w:r>
              <w:rPr>
                <w:b/>
                <w:bCs/>
              </w:rPr>
              <w:t xml:space="preserve">); no discriminating shift.</w:t>
            </w:r>
            <w:r>
              <w:t xml:space="preserve"> </w:t>
            </w:r>
            <w:r>
              <w:t xml:space="preserve">Signaling apparatus does not move the threshold relative to cooperation-network mechanics with random partner formation. Empirical adjudication runs through §6.1 outflow asymmetry, not threshold location</w:t>
            </w:r>
          </w:p>
        </w:tc>
      </w:tr>
    </w:tbl>
    <w:bookmarkEnd w:id="51"/>
    <w:bookmarkStart w:id="52" w:name="s7.1-phase-transition-sweep-4.1-and-4.3"/>
    <w:p>
      <w:pPr>
        <w:pStyle w:val="Heading3"/>
      </w:pPr>
      <w:r>
        <w:t xml:space="preserve">S7.1 Phase-transition sweep (§4.1 and §4.3)</w:t>
      </w:r>
    </w:p>
    <w:p>
      <w:pPr>
        <w:pStyle w:val="FirstParagraph"/>
      </w:pPr>
      <w:r>
        <w:t xml:space="preserve">The phase-transition validation in main §4.1 and the signal-conditional vs random-partner ablation in main §4.3 are both produced from a single sweep across seven</w:t>
      </w:r>
      <w:r>
        <w:t xml:space="preserve"> </w:t>
      </w:r>
      <m:oMath>
        <m:sSub>
          <m:e>
            <m:r>
              <m:t>σ</m:t>
            </m:r>
          </m:e>
          <m:sub>
            <m:r>
              <m:t>t</m:t>
            </m:r>
            <m:r>
              <m:t>a</m:t>
            </m:r>
            <m:r>
              <m:t>r</m:t>
            </m:r>
            <m:r>
              <m:t>g</m:t>
            </m:r>
            <m:r>
              <m:t>e</m:t>
            </m:r>
            <m:r>
              <m:t>t</m:t>
            </m:r>
          </m:sub>
        </m:sSub>
      </m:oMath>
      <w:r>
        <w:t xml:space="preserve"> </w:t>
      </w:r>
      <w:r>
        <w:t xml:space="preserve">values at PP-scenario parameters (</w:t>
      </w:r>
      <m:oMath>
        <m:r>
          <m:t>ε</m:t>
        </m:r>
        <m:r>
          <m:rPr>
            <m:sty m:val="p"/>
          </m:rPr>
          <m:t>=</m:t>
        </m:r>
        <m:r>
          <m:t>0.35</m:t>
        </m:r>
      </m:oMath>
      <w:r>
        <w:t xml:space="preserve">):</w:t>
      </w:r>
      <w:r>
        <w:t xml:space="preserve"> </w:t>
      </w:r>
      <m:oMath>
        <m:sSub>
          <m:e>
            <m:r>
              <m:t>σ</m:t>
            </m:r>
          </m:e>
          <m:sub>
            <m:r>
              <m:t>t</m:t>
            </m:r>
            <m:r>
              <m:t>a</m:t>
            </m:r>
            <m:r>
              <m:t>r</m:t>
            </m:r>
            <m:r>
              <m:t>g</m:t>
            </m:r>
            <m:r>
              <m:t>e</m:t>
            </m:r>
            <m:r>
              <m:t>t</m:t>
            </m:r>
          </m:sub>
        </m:sSub>
        <m:r>
          <m:rPr>
            <m:sty m:val="p"/>
          </m:rPr>
          <m:t>∈</m:t>
        </m:r>
        <m:r>
          <m:rPr>
            <m:sty m:val="p"/>
          </m:rPr>
          <m:t>{</m:t>
        </m:r>
        <m:r>
          <m:t>0.20</m:t>
        </m:r>
        <m:r>
          <m:rPr>
            <m:sty m:val="p"/>
          </m:rPr>
          <m:t>,</m:t>
        </m:r>
        <m:r>
          <m:t>0.28</m:t>
        </m:r>
        <m:r>
          <m:rPr>
            <m:sty m:val="p"/>
          </m:rPr>
          <m:t>,</m:t>
        </m:r>
        <m:r>
          <m:t>0.36</m:t>
        </m:r>
        <m:r>
          <m:rPr>
            <m:sty m:val="p"/>
          </m:rPr>
          <m:t>,</m:t>
        </m:r>
        <m:r>
          <m:t>0.40</m:t>
        </m:r>
        <m:r>
          <m:rPr>
            <m:sty m:val="p"/>
          </m:rPr>
          <m:t>,</m:t>
        </m:r>
        <m:r>
          <m:t>0.44</m:t>
        </m:r>
        <m:r>
          <m:rPr>
            <m:sty m:val="p"/>
          </m:rPr>
          <m:t>,</m:t>
        </m:r>
        <m:r>
          <m:t>0.50</m:t>
        </m:r>
        <m:r>
          <m:rPr>
            <m:sty m:val="p"/>
          </m:rPr>
          <m:t>,</m:t>
        </m:r>
        <m:r>
          <m:t>0.55</m:t>
        </m:r>
        <m:r>
          <m:rPr>
            <m:sty m:val="p"/>
          </m:rPr>
          <m:t>}</m:t>
        </m:r>
      </m:oMath>
      <w:r>
        <w:t xml:space="preserve">, with six replicates per cell, 200 simulated years per replicate, and a 50-year burn-in discarded before metric collection. Each cell is run twice, once in the signal-conditional configuration (partner choice at the gathering weighted by visible monument and exotic contributions) and once in the random-partner configuration (the same number of ties form among the attending bands but who pairs with whom is chosen at random); all other model components are held constant.</w:t>
      </w:r>
      <w:r>
        <w:t xml:space="preserve"> </w:t>
      </w:r>
      <m:oMath>
        <m:sSub>
          <m:e>
            <m:r>
              <m:t>σ</m:t>
            </m:r>
          </m:e>
          <m:sub>
            <m:r>
              <m:t>e</m:t>
            </m:r>
            <m:r>
              <m:t>f</m:t>
            </m:r>
            <m:r>
              <m:t>f</m:t>
            </m:r>
          </m:sub>
        </m:sSub>
      </m:oMath>
      <w:r>
        <w:t xml:space="preserve"> </w:t>
      </w:r>
      <w:r>
        <w:t xml:space="preserve">is controlled via the</w:t>
      </w:r>
      <w:r>
        <w:t xml:space="preserve"> </w:t>
      </w:r>
      <w:r>
        <w:rPr>
          <w:rStyle w:val="VerbatimChar"/>
        </w:rPr>
        <w:t xml:space="preserve">ShortfallParams.mean_interval</w:t>
      </w:r>
      <w:r>
        <w:t xml:space="preserve"> </w:t>
      </w:r>
      <w:r>
        <w:t xml:space="preserve">parameter; realized</w:t>
      </w:r>
      <w:r>
        <w:t xml:space="preserve"> </w:t>
      </w:r>
      <m:oMath>
        <m:sSub>
          <m:e>
            <m:r>
              <m:t>σ</m:t>
            </m:r>
          </m:e>
          <m:sub>
            <m:r>
              <m:t>e</m:t>
            </m:r>
            <m:r>
              <m:t>f</m:t>
            </m:r>
            <m:r>
              <m:t>f</m:t>
            </m:r>
          </m:sub>
        </m:sSub>
      </m:oMath>
      <w:r>
        <w:t xml:space="preserve"> </w:t>
      </w:r>
      <w:r>
        <w:t xml:space="preserve">values run from 0.29 at the lowest target to 0.83 at the highest, consistently ~45–50% above target because the integrated simulation applies a coefficient-of-variation-based adjustment to the base sigma derived from</w:t>
      </w:r>
      <w:r>
        <w:t xml:space="preserve"> </w:t>
      </w:r>
      <w:r>
        <w:rPr>
          <w:rStyle w:val="VerbatimChar"/>
        </w:rPr>
        <w:t xml:space="preserve">ShortfallParams.magnitude_mean × √(20/mean_interval)</w:t>
      </w:r>
      <w:r>
        <w:t xml:space="preserve">. The adjustment is monotonic in target sigma and does not affect the qualitative phase-transition signal.</w:t>
      </w:r>
    </w:p>
    <w:p>
      <w:pPr>
        <w:pStyle w:val="BodyText"/>
      </w:pPr>
      <w:r>
        <w:t xml:space="preserve">Per-cell strategy-dominance statistics for both configurations (mean ± sample SD across six replicates per cell):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m:oMath>
              <m:sSub>
                <m:e>
                  <m:r>
                    <m:t>σ</m:t>
                  </m:r>
                </m:e>
                <m:sub>
                  <m:r>
                    <m:t>t</m:t>
                  </m:r>
                  <m:r>
                    <m:t>a</m:t>
                  </m:r>
                  <m:r>
                    <m:t>r</m:t>
                  </m:r>
                  <m:r>
                    <m:t>g</m:t>
                  </m:r>
                  <m:r>
                    <m:t>e</m:t>
                  </m:r>
                  <m:r>
                    <m:t>t</m:t>
                  </m:r>
                </m:sub>
              </m:sSub>
            </m:oMath>
          </w:p>
        </w:tc>
        <w:tc>
          <w:tcPr/>
          <w:p>
            <w:pPr>
              <w:pStyle w:val="Compact"/>
            </w:pPr>
            <w:r>
              <w:t xml:space="preserve">realized</w:t>
            </w:r>
            <w:r>
              <w:t xml:space="preserve"> </w:t>
            </w:r>
            <m:oMath>
              <m:sSub>
                <m:e>
                  <m:r>
                    <m:t>σ</m:t>
                  </m:r>
                </m:e>
                <m:sub>
                  <m:r>
                    <m:t>e</m:t>
                  </m:r>
                  <m:r>
                    <m:t>f</m:t>
                  </m:r>
                  <m:r>
                    <m:t>f</m:t>
                  </m:r>
                </m:sub>
              </m:sSub>
            </m:oMath>
          </w:p>
        </w:tc>
        <w:tc>
          <w:tcPr/>
          <w:p>
            <w:pPr>
              <w:pStyle w:val="Compact"/>
            </w:pPr>
            <w:r>
              <w:t xml:space="preserve">dominance (signal-conditional)</w:t>
            </w:r>
          </w:p>
        </w:tc>
        <w:tc>
          <w:tcPr/>
          <w:p>
            <w:pPr>
              <w:pStyle w:val="Compact"/>
            </w:pPr>
            <w:r>
              <w:t xml:space="preserve">dominance (random-partner)</w:t>
            </w:r>
          </w:p>
        </w:tc>
      </w:tr>
      <w:tr>
        <w:tc>
          <w:tcPr/>
          <w:p>
            <w:pPr>
              <w:pStyle w:val="Compact"/>
            </w:pPr>
            <w:r>
              <w:t xml:space="preserve">0.20</w:t>
            </w:r>
          </w:p>
        </w:tc>
        <w:tc>
          <w:tcPr/>
          <w:p>
            <w:pPr>
              <w:pStyle w:val="Compact"/>
            </w:pPr>
            <w:r>
              <w:t xml:space="preserve">0.291</w:t>
            </w:r>
          </w:p>
        </w:tc>
        <w:tc>
          <w:tcPr/>
          <w:p>
            <w:pPr>
              <w:pStyle w:val="Compact"/>
            </w:pPr>
            <m:oMath>
              <m:r>
                <m:rPr>
                  <m:sty m:val="p"/>
                </m:rPr>
                <m:t>−</m:t>
              </m:r>
              <m:r>
                <m:t>0.414</m:t>
              </m:r>
              <m:r>
                <m:rPr>
                  <m:sty m:val="p"/>
                </m:rPr>
                <m:t>±</m:t>
              </m:r>
              <m:r>
                <m:t>0.079</m:t>
              </m:r>
            </m:oMath>
          </w:p>
        </w:tc>
        <w:tc>
          <w:tcPr/>
          <w:p>
            <w:pPr>
              <w:pStyle w:val="Compact"/>
            </w:pPr>
            <m:oMath>
              <m:r>
                <m:rPr>
                  <m:sty m:val="p"/>
                </m:rPr>
                <m:t>−</m:t>
              </m:r>
              <m:r>
                <m:t>0.426</m:t>
              </m:r>
              <m:r>
                <m:rPr>
                  <m:sty m:val="p"/>
                </m:rPr>
                <m:t>±</m:t>
              </m:r>
              <m:r>
                <m:t>0.038</m:t>
              </m:r>
            </m:oMath>
          </w:p>
        </w:tc>
      </w:tr>
      <w:tr>
        <w:tc>
          <w:tcPr/>
          <w:p>
            <w:pPr>
              <w:pStyle w:val="Compact"/>
            </w:pPr>
            <w:r>
              <w:t xml:space="preserve">0.28</w:t>
            </w:r>
          </w:p>
        </w:tc>
        <w:tc>
          <w:tcPr/>
          <w:p>
            <w:pPr>
              <w:pStyle w:val="Compact"/>
            </w:pPr>
            <w:r>
              <w:t xml:space="preserve">0.414</w:t>
            </w:r>
          </w:p>
        </w:tc>
        <w:tc>
          <w:tcPr/>
          <w:p>
            <w:pPr>
              <w:pStyle w:val="Compact"/>
            </w:pPr>
            <m:oMath>
              <m:r>
                <m:rPr>
                  <m:sty m:val="p"/>
                </m:rPr>
                <m:t>−</m:t>
              </m:r>
              <m:r>
                <m:t>0.012</m:t>
              </m:r>
              <m:r>
                <m:rPr>
                  <m:sty m:val="p"/>
                </m:rPr>
                <m:t>±</m:t>
              </m:r>
              <m:r>
                <m:t>0.069</m:t>
              </m:r>
            </m:oMath>
          </w:p>
        </w:tc>
        <w:tc>
          <w:tcPr/>
          <w:p>
            <w:pPr>
              <w:pStyle w:val="Compact"/>
            </w:pPr>
            <m:oMath>
              <m:r>
                <m:rPr>
                  <m:sty m:val="p"/>
                </m:rPr>
                <m:t>+</m:t>
              </m:r>
              <m:r>
                <m:t>0.027</m:t>
              </m:r>
              <m:r>
                <m:rPr>
                  <m:sty m:val="p"/>
                </m:rPr>
                <m:t>±</m:t>
              </m:r>
              <m:r>
                <m:t>0.115</m:t>
              </m:r>
            </m:oMath>
          </w:p>
        </w:tc>
      </w:tr>
      <w:tr>
        <w:tc>
          <w:tcPr/>
          <w:p>
            <w:pPr>
              <w:pStyle w:val="Compact"/>
            </w:pPr>
            <w:r>
              <w:t xml:space="preserve">0.36</w:t>
            </w:r>
          </w:p>
        </w:tc>
        <w:tc>
          <w:tcPr/>
          <w:p>
            <w:pPr>
              <w:pStyle w:val="Compact"/>
            </w:pPr>
            <w:r>
              <w:t xml:space="preserve">0.537</w:t>
            </w:r>
          </w:p>
        </w:tc>
        <w:tc>
          <w:tcPr/>
          <w:p>
            <w:pPr>
              <w:pStyle w:val="Compact"/>
            </w:pPr>
            <m:oMath>
              <m:r>
                <m:rPr>
                  <m:sty m:val="p"/>
                </m:rPr>
                <m:t>+</m:t>
              </m:r>
              <m:r>
                <m:t>0.439</m:t>
              </m:r>
              <m:r>
                <m:rPr>
                  <m:sty m:val="p"/>
                </m:rPr>
                <m:t>±</m:t>
              </m:r>
              <m:r>
                <m:t>0.095</m:t>
              </m:r>
            </m:oMath>
          </w:p>
        </w:tc>
        <w:tc>
          <w:tcPr/>
          <w:p>
            <w:pPr>
              <w:pStyle w:val="Compact"/>
            </w:pPr>
            <m:oMath>
              <m:r>
                <m:rPr>
                  <m:sty m:val="p"/>
                </m:rPr>
                <m:t>+</m:t>
              </m:r>
              <m:r>
                <m:t>0.530</m:t>
              </m:r>
              <m:r>
                <m:rPr>
                  <m:sty m:val="p"/>
                </m:rPr>
                <m:t>±</m:t>
              </m:r>
              <m:r>
                <m:t>0.072</m:t>
              </m:r>
            </m:oMath>
          </w:p>
        </w:tc>
      </w:tr>
      <w:tr>
        <w:tc>
          <w:tcPr/>
          <w:p>
            <w:pPr>
              <w:pStyle w:val="Compact"/>
            </w:pPr>
            <w:r>
              <w:t xml:space="preserve">0.40</w:t>
            </w:r>
          </w:p>
        </w:tc>
        <w:tc>
          <w:tcPr/>
          <w:p>
            <w:pPr>
              <w:pStyle w:val="Compact"/>
            </w:pPr>
            <w:r>
              <w:t xml:space="preserve">0.599</w:t>
            </w:r>
          </w:p>
        </w:tc>
        <w:tc>
          <w:tcPr/>
          <w:p>
            <w:pPr>
              <w:pStyle w:val="Compact"/>
            </w:pPr>
            <m:oMath>
              <m:r>
                <m:rPr>
                  <m:sty m:val="p"/>
                </m:rPr>
                <m:t>+</m:t>
              </m:r>
              <m:r>
                <m:t>0.594</m:t>
              </m:r>
              <m:r>
                <m:rPr>
                  <m:sty m:val="p"/>
                </m:rPr>
                <m:t>±</m:t>
              </m:r>
              <m:r>
                <m:t>0.028</m:t>
              </m:r>
            </m:oMath>
          </w:p>
        </w:tc>
        <w:tc>
          <w:tcPr/>
          <w:p>
            <w:pPr>
              <w:pStyle w:val="Compact"/>
            </w:pPr>
            <m:oMath>
              <m:r>
                <m:rPr>
                  <m:sty m:val="p"/>
                </m:rPr>
                <m:t>+</m:t>
              </m:r>
              <m:r>
                <m:t>0.639</m:t>
              </m:r>
              <m:r>
                <m:rPr>
                  <m:sty m:val="p"/>
                </m:rPr>
                <m:t>±</m:t>
              </m:r>
              <m:r>
                <m:t>0.193</m:t>
              </m:r>
            </m:oMath>
          </w:p>
        </w:tc>
      </w:tr>
      <w:tr>
        <w:tc>
          <w:tcPr/>
          <w:p>
            <w:pPr>
              <w:pStyle w:val="Compact"/>
            </w:pPr>
            <w:r>
              <w:t xml:space="preserve">0.44</w:t>
            </w:r>
          </w:p>
        </w:tc>
        <w:tc>
          <w:tcPr/>
          <w:p>
            <w:pPr>
              <w:pStyle w:val="Compact"/>
            </w:pPr>
            <w:r>
              <w:t xml:space="preserve">0.660</w:t>
            </w:r>
          </w:p>
        </w:tc>
        <w:tc>
          <w:tcPr/>
          <w:p>
            <w:pPr>
              <w:pStyle w:val="Compact"/>
            </w:pPr>
            <m:oMath>
              <m:r>
                <m:rPr>
                  <m:sty m:val="p"/>
                </m:rPr>
                <m:t>+</m:t>
              </m:r>
              <m:r>
                <m:t>0.796</m:t>
              </m:r>
              <m:r>
                <m:rPr>
                  <m:sty m:val="p"/>
                </m:rPr>
                <m:t>±</m:t>
              </m:r>
              <m:r>
                <m:t>0.065</m:t>
              </m:r>
            </m:oMath>
          </w:p>
        </w:tc>
        <w:tc>
          <w:tcPr/>
          <w:p>
            <w:pPr>
              <w:pStyle w:val="Compact"/>
            </w:pPr>
            <m:oMath>
              <m:r>
                <m:rPr>
                  <m:sty m:val="p"/>
                </m:rPr>
                <m:t>+</m:t>
              </m:r>
              <m:r>
                <m:t>0.729</m:t>
              </m:r>
              <m:r>
                <m:rPr>
                  <m:sty m:val="p"/>
                </m:rPr>
                <m:t>±</m:t>
              </m:r>
              <m:r>
                <m:t>0.083</m:t>
              </m:r>
            </m:oMath>
          </w:p>
        </w:tc>
      </w:tr>
      <w:tr>
        <w:tc>
          <w:tcPr/>
          <w:p>
            <w:pPr>
              <w:pStyle w:val="Compact"/>
            </w:pPr>
            <w:r>
              <w:t xml:space="preserve">0.50</w:t>
            </w:r>
          </w:p>
        </w:tc>
        <w:tc>
          <w:tcPr/>
          <w:p>
            <w:pPr>
              <w:pStyle w:val="Compact"/>
            </w:pPr>
            <w:r>
              <w:t xml:space="preserve">0.752</w:t>
            </w:r>
          </w:p>
        </w:tc>
        <w:tc>
          <w:tcPr/>
          <w:p>
            <w:pPr>
              <w:pStyle w:val="Compact"/>
            </w:pPr>
            <m:oMath>
              <m:r>
                <m:rPr>
                  <m:sty m:val="p"/>
                </m:rPr>
                <m:t>+</m:t>
              </m:r>
              <m:r>
                <m:t>0.896</m:t>
              </m:r>
              <m:r>
                <m:rPr>
                  <m:sty m:val="p"/>
                </m:rPr>
                <m:t>±</m:t>
              </m:r>
              <m:r>
                <m:t>0.053</m:t>
              </m:r>
            </m:oMath>
          </w:p>
        </w:tc>
        <w:tc>
          <w:tcPr/>
          <w:p>
            <w:pPr>
              <w:pStyle w:val="Compact"/>
            </w:pPr>
            <m:oMath>
              <m:r>
                <m:rPr>
                  <m:sty m:val="p"/>
                </m:rPr>
                <m:t>+</m:t>
              </m:r>
              <m:r>
                <m:t>0.910</m:t>
              </m:r>
              <m:r>
                <m:rPr>
                  <m:sty m:val="p"/>
                </m:rPr>
                <m:t>±</m:t>
              </m:r>
              <m:r>
                <m:t>0.038</m:t>
              </m:r>
            </m:oMath>
          </w:p>
        </w:tc>
      </w:tr>
      <w:tr>
        <w:tc>
          <w:tcPr/>
          <w:p>
            <w:pPr>
              <w:pStyle w:val="Compact"/>
            </w:pPr>
            <w:r>
              <w:t xml:space="preserve">0.55</w:t>
            </w:r>
          </w:p>
        </w:tc>
        <w:tc>
          <w:tcPr/>
          <w:p>
            <w:pPr>
              <w:pStyle w:val="Compact"/>
            </w:pPr>
            <w:r>
              <w:t xml:space="preserve">0.830</w:t>
            </w:r>
          </w:p>
        </w:tc>
        <w:tc>
          <w:tcPr/>
          <w:p>
            <w:pPr>
              <w:pStyle w:val="Compact"/>
            </w:pPr>
            <m:oMath>
              <m:r>
                <m:rPr>
                  <m:sty m:val="p"/>
                </m:rPr>
                <m:t>+</m:t>
              </m:r>
              <m:r>
                <m:t>0.918</m:t>
              </m:r>
              <m:r>
                <m:rPr>
                  <m:sty m:val="p"/>
                </m:rPr>
                <m:t>±</m:t>
              </m:r>
              <m:r>
                <m:t>0.063</m:t>
              </m:r>
            </m:oMath>
          </w:p>
        </w:tc>
        <w:tc>
          <w:tcPr/>
          <w:p>
            <w:pPr>
              <w:pStyle w:val="Compact"/>
            </w:pPr>
            <m:oMath>
              <m:r>
                <m:rPr>
                  <m:sty m:val="p"/>
                </m:rPr>
                <m:t>+</m:t>
              </m:r>
              <m:r>
                <m:t>0.939</m:t>
              </m:r>
              <m:r>
                <m:rPr>
                  <m:sty m:val="p"/>
                </m:rPr>
                <m:t>±</m:t>
              </m:r>
              <m:r>
                <m:t>0.035</m:t>
              </m:r>
            </m:oMath>
          </w:p>
        </w:tc>
      </w:tr>
    </w:tbl>
    <w:p>
      <w:pPr>
        <w:pStyle w:val="BodyText"/>
      </w:pPr>
      <w:r>
        <w:t xml:space="preserve">Crossovers (strategy dominance through zero, located by linear interpolation between bracketing</w:t>
      </w:r>
      <w:r>
        <w:t xml:space="preserve"> </w:t>
      </w:r>
      <m:oMath>
        <m:sSub>
          <m:e>
            <m:r>
              <m:t>σ</m:t>
            </m:r>
          </m:e>
          <m:sub>
            <m:r>
              <m:t>e</m:t>
            </m:r>
            <m:r>
              <m:t>f</m:t>
            </m:r>
            <m:r>
              <m:t>f</m:t>
            </m:r>
          </m:sub>
        </m:sSub>
      </m:oMath>
      <w:r>
        <w:t xml:space="preserve"> </w:t>
      </w:r>
      <w:r>
        <w:t xml:space="preserve">values): signal-conditional</w:t>
      </w:r>
      <w:r>
        <w:t xml:space="preserve"> </w:t>
      </w:r>
      <m:oMath>
        <m:sSubSup>
          <m:e>
            <m:r>
              <m:t>σ</m:t>
            </m:r>
          </m:e>
          <m:sub>
            <m:r>
              <m:t>e</m:t>
            </m:r>
            <m:r>
              <m:t>f</m:t>
            </m:r>
            <m:r>
              <m:t>f</m:t>
            </m:r>
          </m:sub>
          <m:sup>
            <m:r>
              <m:rPr>
                <m:sty m:val="p"/>
              </m:rPr>
              <m:t>*</m:t>
            </m:r>
          </m:sup>
        </m:sSubSup>
        <m:r>
          <m:rPr>
            <m:sty m:val="p"/>
          </m:rPr>
          <m:t>=</m:t>
        </m:r>
        <m:r>
          <m:t>0.417</m:t>
        </m:r>
      </m:oMath>
      <w:r>
        <w:t xml:space="preserve">, random-partner</w:t>
      </w:r>
      <w:r>
        <w:t xml:space="preserve"> </w:t>
      </w:r>
      <m:oMath>
        <m:sSubSup>
          <m:e>
            <m:r>
              <m:t>σ</m:t>
            </m:r>
          </m:e>
          <m:sub>
            <m:r>
              <m:t>e</m:t>
            </m:r>
            <m:r>
              <m:t>f</m:t>
            </m:r>
            <m:r>
              <m:t>f</m:t>
            </m:r>
          </m:sub>
          <m:sup>
            <m:r>
              <m:rPr>
                <m:sty m:val="p"/>
              </m:rPr>
              <m:t>*</m:t>
            </m:r>
          </m:sup>
        </m:sSubSup>
        <m:r>
          <m:rPr>
            <m:sty m:val="p"/>
          </m:rPr>
          <m:t>=</m:t>
        </m:r>
        <m:r>
          <m:t>0.407</m:t>
        </m:r>
      </m:oMath>
      <w:r>
        <w:t xml:space="preserve">. The threshold shift between configurations is</w:t>
      </w:r>
      <w:r>
        <w:t xml:space="preserve"> </w:t>
      </w:r>
      <m:oMath>
        <m:r>
          <m:rPr>
            <m:sty m:val="p"/>
          </m:rPr>
          <m:t>−</m:t>
        </m:r>
        <m:r>
          <m:t>0.010</m:t>
        </m:r>
      </m:oMath>
      <w:r>
        <w:t xml:space="preserve"> </w:t>
      </w:r>
      <w:r>
        <w:t xml:space="preserve">in realized</w:t>
      </w:r>
      <w:r>
        <w:t xml:space="preserve"> </w:t>
      </w:r>
      <m:oMath>
        <m:sSub>
          <m:e>
            <m:r>
              <m:t>σ</m:t>
            </m:r>
          </m:e>
          <m:sub>
            <m:r>
              <m:t>e</m:t>
            </m:r>
            <m:r>
              <m:t>f</m:t>
            </m:r>
            <m:r>
              <m:t>f</m:t>
            </m:r>
          </m:sub>
        </m:sSub>
      </m:oMath>
      <w:r>
        <w:t xml:space="preserve"> </w:t>
      </w:r>
      <w:r>
        <w:t xml:space="preserve">(a</w:t>
      </w:r>
      <w:r>
        <w:t xml:space="preserve"> </w:t>
      </w:r>
      <m:oMath>
        <m:r>
          <m:rPr>
            <m:sty m:val="p"/>
          </m:rPr>
          <m:t>−</m:t>
        </m:r>
        <m:r>
          <m:t>2.4</m:t>
        </m:r>
        <m:r>
          <m:rPr>
            <m:sty m:val="p"/>
          </m:rPr>
          <m:t>%</m:t>
        </m:r>
      </m:oMath>
      <w:r>
        <w:t xml:space="preserve"> </w:t>
      </w:r>
      <w:r>
        <w:t xml:space="preserve">shift). The signal-conditional crossover matches the analytical prediction</w:t>
      </w:r>
      <w:r>
        <w:t xml:space="preserve"> </w:t>
      </w:r>
      <m:oMath>
        <m:sSup>
          <m:e>
            <m:r>
              <m:t>σ</m:t>
            </m:r>
          </m:e>
          <m:sup>
            <m:r>
              <m:rPr>
                <m:sty m:val="p"/>
              </m:rPr>
              <m:t>*</m:t>
            </m:r>
          </m:sup>
        </m:sSup>
        <m:r>
          <m:rPr>
            <m:sty m:val="p"/>
          </m:rPr>
          <m:t>=</m:t>
        </m:r>
        <m:r>
          <m:t>0.40</m:t>
        </m:r>
      </m:oMath>
      <w:r>
        <w:t xml:space="preserve"> </w:t>
      </w:r>
      <w:r>
        <w:t xml:space="preserve">at</w:t>
      </w:r>
      <w:r>
        <w:t xml:space="preserve"> </w:t>
      </w:r>
      <m:oMath>
        <m:r>
          <m:t>ε</m:t>
        </m:r>
        <m:r>
          <m:rPr>
            <m:sty m:val="p"/>
          </m:rPr>
          <m:t>=</m:t>
        </m:r>
        <m:r>
          <m:t>0.35</m:t>
        </m:r>
      </m:oMath>
      <w:r>
        <w:t xml:space="preserve"> </w:t>
      </w:r>
      <w:r>
        <w:t xml:space="preserve">to within 0.02.</w:t>
      </w:r>
    </w:p>
    <w:p>
      <w:pPr>
        <w:pStyle w:val="BodyText"/>
      </w:pPr>
      <w:r>
        <w:t xml:space="preserve">Point-by-point dominance differences (random minus signal) at each</w:t>
      </w:r>
      <w:r>
        <w:t xml:space="preserve"> </w:t>
      </w:r>
      <m:oMath>
        <m:sSub>
          <m:e>
            <m:r>
              <m:t>σ</m:t>
            </m:r>
          </m:e>
          <m:sub>
            <m:r>
              <m:t>t</m:t>
            </m:r>
            <m:r>
              <m:t>a</m:t>
            </m:r>
            <m:r>
              <m:t>r</m:t>
            </m:r>
            <m:r>
              <m:t>g</m:t>
            </m:r>
            <m:r>
              <m:t>e</m:t>
            </m:r>
            <m:r>
              <m:t>t</m:t>
            </m:r>
          </m:sub>
        </m:sSub>
      </m:oMath>
      <w:r>
        <w:t xml:space="preserve">:</w:t>
      </w:r>
      <w:r>
        <w:t xml:space="preserve"> </w:t>
      </w:r>
      <m:oMath>
        <m:r>
          <m:rPr>
            <m:sty m:val="p"/>
          </m:rPr>
          <m:t>−</m:t>
        </m:r>
        <m:r>
          <m:t>0.012</m:t>
        </m:r>
        <m:r>
          <m:rPr>
            <m:sty m:val="p"/>
          </m:rPr>
          <m:t>,</m:t>
        </m:r>
        <m:r>
          <m:rPr>
            <m:sty m:val="p"/>
          </m:rPr>
          <m:t>+</m:t>
        </m:r>
        <m:r>
          <m:t>0.039</m:t>
        </m:r>
        <m:r>
          <m:rPr>
            <m:sty m:val="p"/>
          </m:rPr>
          <m:t>,</m:t>
        </m:r>
        <m:r>
          <m:rPr>
            <m:sty m:val="p"/>
          </m:rPr>
          <m:t>+</m:t>
        </m:r>
        <m:r>
          <m:t>0.091</m:t>
        </m:r>
        <m:r>
          <m:rPr>
            <m:sty m:val="p"/>
          </m:rPr>
          <m:t>,</m:t>
        </m:r>
        <m:r>
          <m:rPr>
            <m:sty m:val="p"/>
          </m:rPr>
          <m:t>+</m:t>
        </m:r>
        <m:r>
          <m:t>0.045</m:t>
        </m:r>
        <m:r>
          <m:rPr>
            <m:sty m:val="p"/>
          </m:rPr>
          <m:t>,</m:t>
        </m:r>
        <m:r>
          <m:rPr>
            <m:sty m:val="p"/>
          </m:rPr>
          <m:t>−</m:t>
        </m:r>
        <m:r>
          <m:t>0.067</m:t>
        </m:r>
        <m:r>
          <m:rPr>
            <m:sty m:val="p"/>
          </m:rPr>
          <m:t>,</m:t>
        </m:r>
        <m:r>
          <m:rPr>
            <m:sty m:val="p"/>
          </m:rPr>
          <m:t>+</m:t>
        </m:r>
        <m:r>
          <m:t>0.014</m:t>
        </m:r>
        <m:r>
          <m:rPr>
            <m:sty m:val="p"/>
          </m:rPr>
          <m:t>,</m:t>
        </m:r>
        <m:r>
          <m:rPr>
            <m:sty m:val="p"/>
          </m:rPr>
          <m:t>+</m:t>
        </m:r>
        <m:r>
          <m:t>0.021</m:t>
        </m:r>
      </m:oMath>
      <w:r>
        <w:t xml:space="preserve">. The differences alternate in sign across the transition zone, and the standard error of each difference (computed from the per-replicate spreads) crosses zero at every point; there is no consistent threshold shift between the two configurations. Both versions saturate within 0.02 of each other at the highest</w:t>
      </w:r>
      <w:r>
        <w:t xml:space="preserve"> </w:t>
      </w:r>
      <m:oMath>
        <m:sSub>
          <m:e>
            <m:r>
              <m:t>σ</m:t>
            </m:r>
          </m:e>
          <m:sub>
            <m:r>
              <m:t>e</m:t>
            </m:r>
            <m:r>
              <m:t>f</m:t>
            </m:r>
            <m:r>
              <m:t>f</m:t>
            </m:r>
          </m:sub>
        </m:sSub>
      </m:oMath>
      <w:r>
        <w:t xml:space="preserve"> </w:t>
      </w:r>
      <w:r>
        <w:t xml:space="preserve">values (signal</w:t>
      </w:r>
      <w:r>
        <w:t xml:space="preserve"> </w:t>
      </w:r>
      <m:oMath>
        <m:r>
          <m:rPr>
            <m:sty m:val="p"/>
          </m:rPr>
          <m:t>+</m:t>
        </m:r>
        <m:r>
          <m:t>0.918</m:t>
        </m:r>
      </m:oMath>
      <w:r>
        <w:t xml:space="preserve"> </w:t>
      </w:r>
      <w:r>
        <w:t xml:space="preserve">vs random</w:t>
      </w:r>
      <w:r>
        <w:t xml:space="preserve"> </w:t>
      </w:r>
      <m:oMath>
        <m:r>
          <m:rPr>
            <m:sty m:val="p"/>
          </m:rPr>
          <m:t>+</m:t>
        </m:r>
        <m:r>
          <m:t>0.939</m:t>
        </m:r>
      </m:oMath>
      <w:r>
        <w:t xml:space="preserve"> </w:t>
      </w:r>
      <w:r>
        <w:t xml:space="preserve">at</w:t>
      </w:r>
      <w:r>
        <w:t xml:space="preserve"> </w:t>
      </w:r>
      <m:oMath>
        <m:sSub>
          <m:e>
            <m:r>
              <m:t>σ</m:t>
            </m:r>
          </m:e>
          <m:sub>
            <m:r>
              <m:t>t</m:t>
            </m:r>
            <m:r>
              <m:t>a</m:t>
            </m:r>
            <m:r>
              <m:t>r</m:t>
            </m:r>
            <m:r>
              <m:t>g</m:t>
            </m:r>
            <m:r>
              <m:t>e</m:t>
            </m:r>
            <m:r>
              <m:t>t</m:t>
            </m:r>
          </m:sub>
        </m:sSub>
        <m:r>
          <m:rPr>
            <m:sty m:val="p"/>
          </m:rPr>
          <m:t>=</m:t>
        </m:r>
        <m:r>
          <m:t>0.55</m:t>
        </m:r>
      </m:oMath>
      <w:r>
        <w:t xml:space="preserve">).</w:t>
      </w:r>
    </w:p>
    <w:p>
      <w:pPr>
        <w:pStyle w:val="BodyText"/>
      </w:pPr>
      <w:r>
        <w:t xml:space="preserve">Full per-replicate output is archived in</w:t>
      </w:r>
      <w:r>
        <w:t xml:space="preserve"> </w:t>
      </w:r>
      <w:r>
        <w:rPr>
          <w:rStyle w:val="VerbatimChar"/>
        </w:rPr>
        <w:t xml:space="preserve">results/ablation/overnight_sweep.json</w:t>
      </w:r>
      <w:r>
        <w:t xml:space="preserve">, with derived statistics in</w:t>
      </w:r>
      <w:r>
        <w:t xml:space="preserve"> </w:t>
      </w:r>
      <w:r>
        <w:rPr>
          <w:rStyle w:val="VerbatimChar"/>
        </w:rPr>
        <w:t xml:space="preserve">results/ablation/phase_transition_summary.json</w:t>
      </w:r>
      <w:r>
        <w:t xml:space="preserve">.</w:t>
      </w:r>
    </w:p>
    <w:bookmarkEnd w:id="52"/>
    <w:bookmarkStart w:id="53" w:name="s7.2-calibration-scenarios"/>
    <w:p>
      <w:pPr>
        <w:pStyle w:val="Heading3"/>
      </w:pPr>
      <w:r>
        <w:t xml:space="preserve">S7.2 Calibration scenarios</w:t>
      </w:r>
    </w:p>
    <w:p>
      <w:pPr>
        <w:pStyle w:val="FirstParagraph"/>
      </w:pPr>
      <w:r>
        <w:t xml:space="preserve">Four parametric scenarios were run with eight replicates each over 200 simulated years (the canonical calibration configuration; see §S1.6 above for the submodel specification). Summary statistics (mean ± sample SD across replicates), reproducible from</w:t>
      </w:r>
      <w:r>
        <w:t xml:space="preserve"> </w:t>
      </w:r>
      <w:r>
        <w:rPr>
          <w:rStyle w:val="VerbatimChar"/>
        </w:rPr>
        <w:t xml:space="preserve">results/calibration_replicates/replicates_n8_d200.json</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Scenario</w:t>
            </w:r>
          </w:p>
        </w:tc>
        <w:tc>
          <w:tcPr/>
          <w:p>
            <w:pPr>
              <w:pStyle w:val="Compact"/>
            </w:pPr>
            <m:oMath>
              <m:r>
                <m:t>σ</m:t>
              </m:r>
            </m:oMath>
          </w:p>
        </w:tc>
        <w:tc>
          <w:tcPr/>
          <w:p>
            <w:pPr>
              <w:pStyle w:val="Compact"/>
            </w:pPr>
            <m:oMath>
              <m:sSub>
                <m:e>
                  <m:r>
                    <m:t>σ</m:t>
                  </m:r>
                </m:e>
                <m:sub>
                  <m:r>
                    <m:t>e</m:t>
                  </m:r>
                  <m:r>
                    <m:t>f</m:t>
                  </m:r>
                  <m:r>
                    <m:t>f</m:t>
                  </m:r>
                </m:sub>
              </m:sSub>
            </m:oMath>
          </w:p>
        </w:tc>
        <w:tc>
          <w:tcPr/>
          <w:p>
            <w:pPr>
              <w:pStyle w:val="Compact"/>
            </w:pPr>
            <w:r>
              <w:t xml:space="preserve">Mean aggregation size</w:t>
            </w:r>
          </w:p>
        </w:tc>
        <w:tc>
          <w:tcPr/>
          <w:p>
            <w:pPr>
              <w:pStyle w:val="Compact"/>
            </w:pPr>
            <w:r>
              <w:t xml:space="preserve">Monument units (mean ± sample SD)</w:t>
            </w:r>
          </w:p>
        </w:tc>
        <w:tc>
          <w:tcPr/>
          <w:p>
            <w:pPr>
              <w:pStyle w:val="Compact"/>
            </w:pPr>
            <w:r>
              <w:t xml:space="preserve">Total exotics (mean ± sample SD)</w:t>
            </w:r>
          </w:p>
        </w:tc>
      </w:tr>
      <w:tr>
        <w:tc>
          <w:tcPr/>
          <w:p>
            <w:pPr>
              <w:pStyle w:val="Compact"/>
            </w:pPr>
            <w:r>
              <w:t xml:space="preserve">Low Uncertainty</w:t>
            </w:r>
          </w:p>
        </w:tc>
        <w:tc>
          <w:tcPr/>
          <w:p>
            <w:pPr>
              <w:pStyle w:val="Compact"/>
            </w:pPr>
            <w:r>
              <w:t xml:space="preserve">0.32</w:t>
            </w:r>
          </w:p>
        </w:tc>
        <w:tc>
          <w:tcPr/>
          <w:p>
            <w:pPr>
              <w:pStyle w:val="Compact"/>
            </w:pPr>
            <w:r>
              <w:t xml:space="preserve">0.21</w:t>
            </w:r>
          </w:p>
        </w:tc>
        <w:tc>
          <w:tcPr/>
          <w:p>
            <w:pPr>
              <w:pStyle w:val="Compact"/>
            </w:pPr>
            <w:r>
              <w:t xml:space="preserve">1-4 (mostly independent)</w:t>
            </w:r>
          </w:p>
        </w:tc>
        <w:tc>
          <w:tcPr/>
          <w:p>
            <w:pPr>
              <w:pStyle w:val="Compact"/>
            </w:pPr>
            <w:r>
              <w:t xml:space="preserve">3,006 ± 480</w:t>
            </w:r>
          </w:p>
        </w:tc>
        <w:tc>
          <w:tcPr/>
          <w:p>
            <w:pPr>
              <w:pStyle w:val="Compact"/>
            </w:pPr>
            <w:r>
              <w:t xml:space="preserve">6,607 ± 996</w:t>
            </w:r>
          </w:p>
        </w:tc>
      </w:tr>
      <w:tr>
        <w:tc>
          <w:tcPr/>
          <w:p>
            <w:pPr>
              <w:pStyle w:val="Compact"/>
            </w:pPr>
            <w:r>
              <w:t xml:space="preserve">Calibrated PP</w:t>
            </w:r>
          </w:p>
        </w:tc>
        <w:tc>
          <w:tcPr/>
          <w:p>
            <w:pPr>
              <w:pStyle w:val="Compact"/>
            </w:pPr>
            <w:r>
              <w:t xml:space="preserve">0.64</w:t>
            </w:r>
          </w:p>
        </w:tc>
        <w:tc>
          <w:tcPr/>
          <w:p>
            <w:pPr>
              <w:pStyle w:val="Compact"/>
            </w:pPr>
            <w:r>
              <w:t xml:space="preserve">0.38</w:t>
            </w:r>
          </w:p>
        </w:tc>
        <w:tc>
          <w:tcPr/>
          <w:p>
            <w:pPr>
              <w:pStyle w:val="Compact"/>
            </w:pPr>
            <w:r>
              <w:t xml:space="preserve">6-19 (mixed)</w:t>
            </w:r>
          </w:p>
        </w:tc>
        <w:tc>
          <w:tcPr/>
          <w:p>
            <w:pPr>
              <w:pStyle w:val="Compact"/>
            </w:pPr>
            <w:r>
              <w:t xml:space="preserve">9,731 ± 684</w:t>
            </w:r>
          </w:p>
        </w:tc>
        <w:tc>
          <w:tcPr/>
          <w:p>
            <w:pPr>
              <w:pStyle w:val="Compact"/>
            </w:pPr>
            <w:r>
              <w:t xml:space="preserve">21,469 ± 1,502</w:t>
            </w:r>
          </w:p>
        </w:tc>
      </w:tr>
      <w:tr>
        <w:tc>
          <w:tcPr/>
          <w:p>
            <w:pPr>
              <w:pStyle w:val="Compact"/>
            </w:pPr>
            <w:r>
              <w:t xml:space="preserve">Critical Threshold</w:t>
            </w:r>
          </w:p>
        </w:tc>
        <w:tc>
          <w:tcPr/>
          <w:p>
            <w:pPr>
              <w:pStyle w:val="Compact"/>
            </w:pPr>
            <w:r>
              <w:t xml:space="preserve">0.87</w:t>
            </w:r>
          </w:p>
        </w:tc>
        <w:tc>
          <w:tcPr/>
          <w:p>
            <w:pPr>
              <w:pStyle w:val="Compact"/>
            </w:pPr>
            <w:r>
              <w:t xml:space="preserve">0.57</w:t>
            </w:r>
          </w:p>
        </w:tc>
        <w:tc>
          <w:tcPr/>
          <w:p>
            <w:pPr>
              <w:pStyle w:val="Compact"/>
            </w:pPr>
            <w:r>
              <w:t xml:space="preserve">bistable</w:t>
            </w:r>
          </w:p>
        </w:tc>
        <w:tc>
          <w:tcPr/>
          <w:p>
            <w:pPr>
              <w:pStyle w:val="Compact"/>
            </w:pPr>
            <w:r>
              <w:t xml:space="preserve">10,949 ± 330</w:t>
            </w:r>
          </w:p>
        </w:tc>
        <w:tc>
          <w:tcPr/>
          <w:p>
            <w:pPr>
              <w:pStyle w:val="Compact"/>
            </w:pPr>
            <w:r>
              <w:t xml:space="preserve">24,253 ± 415</w:t>
            </w:r>
          </w:p>
        </w:tc>
      </w:tr>
      <w:tr>
        <w:tc>
          <w:tcPr/>
          <w:p>
            <w:pPr>
              <w:pStyle w:val="Compact"/>
            </w:pPr>
            <w:r>
              <w:t xml:space="preserve">High Uncertainty</w:t>
            </w:r>
          </w:p>
        </w:tc>
        <w:tc>
          <w:tcPr/>
          <w:p>
            <w:pPr>
              <w:pStyle w:val="Compact"/>
            </w:pPr>
            <w:r>
              <w:t xml:space="preserve">1.00</w:t>
            </w:r>
          </w:p>
        </w:tc>
        <w:tc>
          <w:tcPr/>
          <w:p>
            <w:pPr>
              <w:pStyle w:val="Compact"/>
            </w:pPr>
            <w:r>
              <w:t xml:space="preserve">0.65</w:t>
            </w:r>
          </w:p>
        </w:tc>
        <w:tc>
          <w:tcPr/>
          <w:p>
            <w:pPr>
              <w:pStyle w:val="Compact"/>
            </w:pPr>
            <w:r>
              <w:t xml:space="preserve">12-15</w:t>
            </w:r>
          </w:p>
        </w:tc>
        <w:tc>
          <w:tcPr/>
          <w:p>
            <w:pPr>
              <w:pStyle w:val="Compact"/>
            </w:pPr>
            <w:r>
              <w:t xml:space="preserve">10,833 ± 1,037</w:t>
            </w:r>
          </w:p>
        </w:tc>
        <w:tc>
          <w:tcPr/>
          <w:p>
            <w:pPr>
              <w:pStyle w:val="Compact"/>
            </w:pPr>
            <w:r>
              <w:t xml:space="preserve">24,324 ± 1,037</w:t>
            </w:r>
          </w:p>
        </w:tc>
      </w:tr>
    </w:tbl>
    <w:p>
      <w:pPr>
        <w:pStyle w:val="BodyText"/>
      </w:pPr>
      <w:r>
        <w:t xml:space="preserve">All standard deviations reported in this article are sample standard deviations (</w:t>
      </w:r>
      <m:oMath>
        <m:acc>
          <m:accPr>
            <m:chr m:val="̂"/>
          </m:accPr>
          <m:e>
            <m:r>
              <m:t>σ</m:t>
            </m:r>
          </m:e>
        </m:acc>
        <m:r>
          <m:rPr>
            <m:sty m:val="p"/>
          </m:rPr>
          <m:t>=</m:t>
        </m:r>
        <m:rad>
          <m:radPr>
            <m:degHide m:val="on"/>
          </m:radPr>
          <m:deg/>
          <m:e>
            <m:r>
              <m:rPr>
                <m:sty m:val="p"/>
              </m:rPr>
              <m:t>∑</m:t>
            </m:r>
            <m:r>
              <m:rPr>
                <m:sty m:val="p"/>
              </m:rPr>
              <m:t>(</m:t>
            </m:r>
            <m:r>
              <m:t>x</m:t>
            </m:r>
            <m:r>
              <m:rPr>
                <m:sty m:val="p"/>
              </m:rPr>
              <m:t>−</m:t>
            </m:r>
            <m:acc>
              <m:accPr>
                <m:chr m:val="‾"/>
              </m:accPr>
              <m:e>
                <m:r>
                  <m:t>x</m:t>
                </m:r>
              </m:e>
            </m:acc>
            <m:sSup>
              <m:e>
                <m:r>
                  <m:rPr>
                    <m:sty m:val="p"/>
                  </m:rPr>
                  <m:t>)</m:t>
                </m:r>
              </m:e>
              <m:sup>
                <m:r>
                  <m:t>2</m:t>
                </m:r>
              </m:sup>
            </m:sSup>
            <m:r>
              <m:rPr>
                <m:sty m:val="p"/>
              </m:rPr>
              <m:t>/</m:t>
            </m:r>
            <m:r>
              <m:rPr>
                <m:sty m:val="p"/>
              </m:rPr>
              <m:t>(</m:t>
            </m:r>
            <m:r>
              <m:t>n</m:t>
            </m:r>
            <m:r>
              <m:rPr>
                <m:sty m:val="p"/>
              </m:rPr>
              <m:t>−</m:t>
            </m:r>
            <m:r>
              <m:t>1</m:t>
            </m:r>
            <m:r>
              <m:rPr>
                <m:sty m:val="p"/>
              </m:rPr>
              <m:t>)</m:t>
            </m:r>
          </m:e>
        </m:rad>
      </m:oMath>
      <w:r>
        <w:t xml:space="preserve">, equivalent to</w:t>
      </w:r>
      <w:r>
        <w:t xml:space="preserve"> </w:t>
      </w:r>
      <w:r>
        <w:rPr>
          <w:rStyle w:val="VerbatimChar"/>
        </w:rPr>
        <w:t xml:space="preserve">numpy.std(..., ddof=1)</w:t>
      </w:r>
      <w:r>
        <w:t xml:space="preserve"> </w:t>
      </w:r>
      <w:r>
        <w:t xml:space="preserve">and</w:t>
      </w:r>
      <w:r>
        <w:t xml:space="preserve"> </w:t>
      </w:r>
      <w:r>
        <w:rPr>
          <w:rStyle w:val="VerbatimChar"/>
        </w:rPr>
        <w:t xml:space="preserve">pandas.Series.std()</w:t>
      </w:r>
      <w:r>
        <w:t xml:space="preserve">).</w:t>
      </w:r>
    </w:p>
    <w:p>
      <w:pPr>
        <w:pStyle w:val="BodyText"/>
      </w:pPr>
      <w:r>
        <w:t xml:space="preserve">The 5,521 / 5,920 / 7,193 / 8,744 monument-unit values reported in earlier drafts came from a 10-replicate × 500-year configuration superseded by the canonical 8 × 200 run; the present numbers are those used in the main text and Figure 3 and supersede the earlier table.</w:t>
      </w:r>
    </w:p>
    <w:bookmarkEnd w:id="53"/>
    <w:bookmarkStart w:id="54" w:name="s7.3-phase-space-structure"/>
    <w:p>
      <w:pPr>
        <w:pStyle w:val="Heading3"/>
      </w:pPr>
      <w:r>
        <w:t xml:space="preserve">S7.3 Phase space structure</w:t>
      </w:r>
    </w:p>
    <w:p>
      <w:pPr>
        <w:pStyle w:val="FirstParagraph"/>
      </w:pPr>
      <w:r>
        <w:t xml:space="preserve">The two-dimensional phase-space diagram across the joint</w:t>
      </w:r>
      <w:r>
        <w:t xml:space="preserve"> </w:t>
      </w:r>
      <m:oMath>
        <m:r>
          <m:rPr>
            <m:sty m:val="p"/>
          </m:rPr>
          <m:t>(</m:t>
        </m:r>
        <m:r>
          <m:t>σ</m:t>
        </m:r>
        <m:r>
          <m:rPr>
            <m:sty m:val="p"/>
          </m:rPr>
          <m:t>,</m:t>
        </m:r>
        <m:r>
          <m:t>ε</m:t>
        </m:r>
        <m:r>
          <m:rPr>
            <m:sty m:val="p"/>
          </m:rPr>
          <m:t>)</m:t>
        </m:r>
      </m:oMath>
      <w:r>
        <w:t xml:space="preserve"> </w:t>
      </w:r>
      <w:r>
        <w:t xml:space="preserve">plane is presented as main-text Figure 9 (§4.2).</w:t>
      </w:r>
    </w:p>
    <w:bookmarkEnd w:id="54"/>
    <w:bookmarkStart w:id="61" w:name="s7.4-aggregation-size-and-signaling-cost"/>
    <w:p>
      <w:pPr>
        <w:pStyle w:val="Heading3"/>
      </w:pPr>
      <w:r>
        <w:t xml:space="preserve">S7.4 Aggregation size and signaling cost</w:t>
      </w:r>
    </w:p>
    <w:p>
      <w:pPr>
        <w:pStyle w:val="FirstParagraph"/>
      </w:pPr>
      <w:r>
        <w:drawing>
          <wp:inline>
            <wp:extent cx="5943600" cy="2519755"/>
            <wp:effectExtent b="0" l="0" r="0" t="0"/>
            <wp:docPr descr="" title="" id="56" name="Picture"/>
            <a:graphic>
              <a:graphicData uri="http://schemas.openxmlformats.org/drawingml/2006/picture">
                <pic:pic>
                  <pic:nvPicPr>
                    <pic:cNvPr descr="../../figures/supplemental/figure_S06_sigma_vs_aggregation.png" id="57" name="Picture"/>
                    <pic:cNvPicPr>
                      <a:picLocks noChangeArrowheads="1" noChangeAspect="1"/>
                    </pic:cNvPicPr>
                  </pic:nvPicPr>
                  <pic:blipFill>
                    <a:blip r:embed="rId55"/>
                    <a:stretch>
                      <a:fillRect/>
                    </a:stretch>
                  </pic:blipFill>
                  <pic:spPr bwMode="auto">
                    <a:xfrm>
                      <a:off x="0" y="0"/>
                      <a:ext cx="5943600" cy="2519755"/>
                    </a:xfrm>
                    <a:prstGeom prst="rect">
                      <a:avLst/>
                    </a:prstGeom>
                    <a:noFill/>
                    <a:ln w="9525">
                      <a:noFill/>
                      <a:headEnd/>
                      <a:tailEnd/>
                    </a:ln>
                  </pic:spPr>
                </pic:pic>
              </a:graphicData>
            </a:graphic>
          </wp:inline>
        </w:drawing>
      </w:r>
    </w:p>
    <w:p>
      <w:pPr>
        <w:pStyle w:val="BodyText"/>
      </w:pPr>
      <w:r>
        <w:rPr>
          <w:b/>
          <w:bCs/>
          <w:i/>
          <w:iCs/>
        </w:rPr>
        <w:t xml:space="preserve">Figure S6. Effect of aggregation size on critical threshold.</w:t>
      </w:r>
      <w:r>
        <w:t xml:space="preserve"> </w:t>
      </w:r>
      <w:r>
        <w:rPr>
          <w:i/>
          <w:iCs/>
        </w:rPr>
        <w:t xml:space="preserve">Predicted</w:t>
      </w:r>
      <w:r>
        <w:rPr>
          <w:i/>
          <w:iCs/>
        </w:rPr>
        <w:t xml:space="preserve"> </w:t>
      </w:r>
      <m:oMath>
        <m:sSup>
          <m:e>
            <m:r>
              <m:t>σ</m:t>
            </m:r>
          </m:e>
          <m:sup>
            <m:r>
              <m:rPr>
                <m:sty m:val="p"/>
              </m:rPr>
              <m:t>*</m:t>
            </m:r>
          </m:sup>
        </m:sSup>
      </m:oMath>
      <w:r>
        <w:rPr>
          <w:i/>
          <w:iCs/>
        </w:rPr>
        <w:t xml:space="preserve"> </w:t>
      </w:r>
      <w:r>
        <w:rPr>
          <w:i/>
          <w:iCs/>
        </w:rPr>
        <w:t xml:space="preserve">as a function of attended aggregation size</w:t>
      </w:r>
      <w:r>
        <w:rPr>
          <w:i/>
          <w:iCs/>
        </w:rPr>
        <w:t xml:space="preserve"> </w:t>
      </w:r>
      <m:oMath>
        <m:sSub>
          <m:e>
            <m:r>
              <m:t>n</m:t>
            </m:r>
          </m:e>
          <m:sub>
            <m:r>
              <m:t>a</m:t>
            </m:r>
            <m:r>
              <m:t>g</m:t>
            </m:r>
            <m:r>
              <m:t>g</m:t>
            </m:r>
          </m:sub>
        </m:sSub>
      </m:oMath>
      <w:r>
        <w:rPr>
          <w:i/>
          <w:iCs/>
        </w:rPr>
        <w:t xml:space="preserve"> </w:t>
      </w:r>
      <w:r>
        <w:rPr>
          <w:i/>
          <w:iCs/>
        </w:rPr>
        <w:t xml:space="preserve">at PP-scenario parameters (</w:t>
      </w:r>
      <m:oMath>
        <m:r>
          <m:t>ε</m:t>
        </m:r>
        <m:r>
          <m:rPr>
            <m:sty m:val="p"/>
          </m:rPr>
          <m:t>=</m:t>
        </m:r>
        <m:r>
          <m:t>0.35</m:t>
        </m:r>
      </m:oMath>
      <w:r>
        <w:rPr>
          <w:i/>
          <w:iCs/>
        </w:rPr>
        <w:t xml:space="preserve">, default cost and signaling parameters; full set in Table S2). Solid line,</w:t>
      </w:r>
      <w:r>
        <w:rPr>
          <w:i/>
          <w:iCs/>
        </w:rPr>
        <w:t xml:space="preserve"> </w:t>
      </w:r>
      <m:oMath>
        <m:sSup>
          <m:e>
            <m:r>
              <m:t>σ</m:t>
            </m:r>
          </m:e>
          <m:sup>
            <m:r>
              <m:rPr>
                <m:sty m:val="p"/>
              </m:rPr>
              <m:t>*</m:t>
            </m:r>
          </m:sup>
        </m:sSup>
      </m:oMath>
      <w:r>
        <w:rPr>
          <w:i/>
          <w:iCs/>
        </w:rPr>
        <w:t xml:space="preserve"> </w:t>
      </w:r>
      <w:r>
        <w:rPr>
          <w:i/>
          <w:iCs/>
        </w:rPr>
        <w:t xml:space="preserve">from Brent’s-method root-finding on the</w:t>
      </w:r>
      <w:r>
        <w:rPr>
          <w:i/>
          <w:iCs/>
        </w:rPr>
        <w:t xml:space="preserve"> </w:t>
      </w:r>
      <m:oMath>
        <m:sSub>
          <m:e>
            <m:r>
              <m:t>W</m:t>
            </m:r>
          </m:e>
          <m:sub>
            <m:r>
              <m:t>a</m:t>
            </m:r>
            <m:r>
              <m:t>g</m:t>
            </m:r>
            <m:r>
              <m:t>g</m:t>
            </m:r>
          </m:sub>
        </m:sSub>
        <m:r>
          <m:rPr>
            <m:sty m:val="p"/>
          </m:rPr>
          <m:t>−</m:t>
        </m:r>
        <m:sSub>
          <m:e>
            <m:r>
              <m:t>W</m:t>
            </m:r>
          </m:e>
          <m:sub>
            <m:r>
              <m:t>i</m:t>
            </m:r>
            <m:r>
              <m:t>n</m:t>
            </m:r>
            <m:r>
              <m:t>d</m:t>
            </m:r>
          </m:sub>
        </m:sSub>
      </m:oMath>
      <w:r>
        <w:rPr>
          <w:i/>
          <w:iCs/>
        </w:rPr>
        <w:t xml:space="preserve"> </w:t>
      </w:r>
      <w:r>
        <w:rPr>
          <w:i/>
          <w:iCs/>
        </w:rPr>
        <w:t xml:space="preserve">difference at the lambda-sigma fixed-point equilibrium. Vertical dashed line marks the default</w:t>
      </w:r>
      <w:r>
        <w:rPr>
          <w:i/>
          <w:iCs/>
        </w:rPr>
        <w:t xml:space="preserve"> </w:t>
      </w:r>
      <m:oMath>
        <m:sSub>
          <m:e>
            <m:r>
              <m:t>n</m:t>
            </m:r>
          </m:e>
          <m:sub>
            <m:r>
              <m:t>a</m:t>
            </m:r>
            <m:r>
              <m:t>g</m:t>
            </m:r>
            <m:r>
              <m:t>g</m:t>
            </m:r>
          </m:sub>
        </m:sSub>
        <m:r>
          <m:rPr>
            <m:sty m:val="p"/>
          </m:rPr>
          <m:t>=</m:t>
        </m:r>
        <m:r>
          <m:t>25</m:t>
        </m:r>
      </m:oMath>
      <w:r>
        <w:rPr>
          <w:i/>
          <w:iCs/>
        </w:rPr>
        <w:t xml:space="preserve"> </w:t>
      </w:r>
      <w:r>
        <w:rPr>
          <w:i/>
          <w:iCs/>
        </w:rPr>
        <w:t xml:space="preserve">used throughout the manuscript. Across the plausible range</w:t>
      </w:r>
      <w:r>
        <w:rPr>
          <w:i/>
          <w:iCs/>
        </w:rPr>
        <w:t xml:space="preserve"> </w:t>
      </w:r>
      <m:oMath>
        <m:r>
          <m:t>5</m:t>
        </m:r>
        <m:r>
          <m:rPr>
            <m:sty m:val="p"/>
          </m:rPr>
          <m:t>≤</m:t>
        </m:r>
        <m:sSub>
          <m:e>
            <m:r>
              <m:t>n</m:t>
            </m:r>
          </m:e>
          <m:sub>
            <m:r>
              <m:t>a</m:t>
            </m:r>
            <m:r>
              <m:t>g</m:t>
            </m:r>
            <m:r>
              <m:t>g</m:t>
            </m:r>
          </m:sub>
        </m:sSub>
        <m:r>
          <m:rPr>
            <m:sty m:val="p"/>
          </m:rPr>
          <m:t>≤</m:t>
        </m:r>
        <m:r>
          <m:t>50</m:t>
        </m:r>
      </m:oMath>
      <w:r>
        <w:rPr>
          <w:i/>
          <w:iCs/>
        </w:rPr>
        <w:t xml:space="preserve">,</w:t>
      </w:r>
      <w:r>
        <w:rPr>
          <w:i/>
          <w:iCs/>
        </w:rPr>
        <w:t xml:space="preserve"> </w:t>
      </w:r>
      <m:oMath>
        <m:sSup>
          <m:e>
            <m:r>
              <m:t>σ</m:t>
            </m:r>
          </m:e>
          <m:sup>
            <m:r>
              <m:rPr>
                <m:sty m:val="p"/>
              </m:rPr>
              <m:t>*</m:t>
            </m:r>
          </m:sup>
        </m:sSup>
      </m:oMath>
      <w:r>
        <w:rPr>
          <w:i/>
          <w:iCs/>
        </w:rPr>
        <w:t xml:space="preserve"> </w:t>
      </w:r>
      <w:r>
        <w:rPr>
          <w:i/>
          <w:iCs/>
        </w:rPr>
        <w:t xml:space="preserve">varies by less than 0.02; at very small aggregation sizes (</w:t>
      </w:r>
      <m:oMath>
        <m:sSub>
          <m:e>
            <m:r>
              <m:t>n</m:t>
            </m:r>
          </m:e>
          <m:sub>
            <m:r>
              <m:t>a</m:t>
            </m:r>
            <m:r>
              <m:t>g</m:t>
            </m:r>
            <m:r>
              <m:t>g</m:t>
            </m:r>
          </m:sub>
        </m:sSub>
        <m:r>
          <m:rPr>
            <m:sty m:val="p"/>
          </m:rPr>
          <m:t>≤</m:t>
        </m:r>
        <m:r>
          <m:t>3</m:t>
        </m:r>
      </m:oMath>
      <w:r>
        <w:rPr>
          <w:i/>
          <w:iCs/>
        </w:rPr>
        <w:t xml:space="preserve">) the threshold rises sharply because cooperation-network buffering loses effectiveness when too few partners participate. The framework’s</w:t>
      </w:r>
      <w:r>
        <w:rPr>
          <w:i/>
          <w:iCs/>
        </w:rPr>
        <w:t xml:space="preserve"> </w:t>
      </w:r>
      <m:oMath>
        <m:sSup>
          <m:e>
            <m:r>
              <m:t>σ</m:t>
            </m:r>
          </m:e>
          <m:sup>
            <m:r>
              <m:rPr>
                <m:sty m:val="p"/>
              </m:rPr>
              <m:t>*</m:t>
            </m:r>
          </m:sup>
        </m:sSup>
      </m:oMath>
      <w:r>
        <w:rPr>
          <w:i/>
          <w:iCs/>
        </w:rPr>
        <w:t xml:space="preserve"> </w:t>
      </w:r>
      <w:r>
        <w:rPr>
          <w:i/>
          <w:iCs/>
        </w:rPr>
        <w:t xml:space="preserve">is therefore effectively insensitive to</w:t>
      </w:r>
      <w:r>
        <w:rPr>
          <w:i/>
          <w:iCs/>
        </w:rPr>
        <w:t xml:space="preserve"> </w:t>
      </w:r>
      <m:oMath>
        <m:sSub>
          <m:e>
            <m:r>
              <m:t>n</m:t>
            </m:r>
          </m:e>
          <m:sub>
            <m:r>
              <m:t>a</m:t>
            </m:r>
            <m:r>
              <m:t>g</m:t>
            </m:r>
            <m:r>
              <m:t>g</m:t>
            </m:r>
          </m:sub>
        </m:sSub>
      </m:oMath>
      <w:r>
        <w:rPr>
          <w:i/>
          <w:iCs/>
        </w:rPr>
        <w:t xml:space="preserve"> </w:t>
      </w:r>
      <w:r>
        <w:rPr>
          <w:i/>
          <w:iCs/>
        </w:rPr>
        <w:t xml:space="preserve">over the range relevant to the LMV record.</w:t>
      </w:r>
    </w:p>
    <w:p>
      <w:pPr>
        <w:pStyle w:val="BodyText"/>
      </w:pPr>
      <w:r>
        <w:drawing>
          <wp:inline>
            <wp:extent cx="5943600" cy="2521181"/>
            <wp:effectExtent b="0" l="0" r="0" t="0"/>
            <wp:docPr descr="" title="" id="59" name="Picture"/>
            <a:graphic>
              <a:graphicData uri="http://schemas.openxmlformats.org/drawingml/2006/picture">
                <pic:pic>
                  <pic:nvPicPr>
                    <pic:cNvPr descr="../../figures/supplemental/figure_S07_sigma_vs_cost.png" id="60" name="Picture"/>
                    <pic:cNvPicPr>
                      <a:picLocks noChangeArrowheads="1" noChangeAspect="1"/>
                    </pic:cNvPicPr>
                  </pic:nvPicPr>
                  <pic:blipFill>
                    <a:blip r:embed="rId58"/>
                    <a:stretch>
                      <a:fillRect/>
                    </a:stretch>
                  </pic:blipFill>
                  <pic:spPr bwMode="auto">
                    <a:xfrm>
                      <a:off x="0" y="0"/>
                      <a:ext cx="5943600" cy="2521181"/>
                    </a:xfrm>
                    <a:prstGeom prst="rect">
                      <a:avLst/>
                    </a:prstGeom>
                    <a:noFill/>
                    <a:ln w="9525">
                      <a:noFill/>
                      <a:headEnd/>
                      <a:tailEnd/>
                    </a:ln>
                  </pic:spPr>
                </pic:pic>
              </a:graphicData>
            </a:graphic>
          </wp:inline>
        </w:drawing>
      </w:r>
    </w:p>
    <w:p>
      <w:pPr>
        <w:pStyle w:val="BodyText"/>
      </w:pPr>
      <w:r>
        <w:rPr>
          <w:b/>
          <w:bCs/>
          <w:i/>
          <w:iCs/>
        </w:rPr>
        <w:t xml:space="preserve">Figure S7. Effect of signaling cost on critical threshold.</w:t>
      </w:r>
      <w:r>
        <w:t xml:space="preserve"> </w:t>
      </w:r>
      <w:r>
        <w:rPr>
          <w:i/>
          <w:iCs/>
        </w:rPr>
        <w:t xml:space="preserve">Predicted</w:t>
      </w:r>
      <w:r>
        <w:rPr>
          <w:i/>
          <w:iCs/>
        </w:rPr>
        <w:t xml:space="preserve"> </w:t>
      </w:r>
      <m:oMath>
        <m:sSup>
          <m:e>
            <m:r>
              <m:t>σ</m:t>
            </m:r>
          </m:e>
          <m:sup>
            <m:r>
              <m:rPr>
                <m:sty m:val="p"/>
              </m:rPr>
              <m:t>*</m:t>
            </m:r>
          </m:sup>
        </m:sSup>
      </m:oMath>
      <w:r>
        <w:rPr>
          <w:i/>
          <w:iCs/>
        </w:rPr>
        <w:t xml:space="preserve"> </w:t>
      </w:r>
      <w:r>
        <w:rPr>
          <w:i/>
          <w:iCs/>
        </w:rPr>
        <w:t xml:space="preserve">as a function of the aggregation-cost parameter</w:t>
      </w:r>
      <w:r>
        <w:rPr>
          <w:i/>
          <w:iCs/>
        </w:rPr>
        <w:t xml:space="preserve"> </w:t>
      </w:r>
      <m:oMath>
        <m:sSub>
          <m:e>
            <m:r>
              <m:t>C</m:t>
            </m:r>
          </m:e>
          <m:sub>
            <m:r>
              <m:t>s</m:t>
            </m:r>
            <m:r>
              <m:t>i</m:t>
            </m:r>
            <m:r>
              <m:t>g</m:t>
            </m:r>
            <m:r>
              <m:t>n</m:t>
            </m:r>
            <m:r>
              <m:t>a</m:t>
            </m:r>
            <m:r>
              <m:t>l</m:t>
            </m:r>
          </m:sub>
        </m:sSub>
      </m:oMath>
      <w:r>
        <w:rPr>
          <w:i/>
          <w:iCs/>
        </w:rPr>
        <w:t xml:space="preserve"> </w:t>
      </w:r>
      <w:r>
        <w:rPr>
          <w:i/>
          <w:iCs/>
        </w:rPr>
        <w:t xml:space="preserve">at PP-scenario parameters (</w:t>
      </w:r>
      <m:oMath>
        <m:r>
          <m:t>ε</m:t>
        </m:r>
        <m:r>
          <m:rPr>
            <m:sty m:val="p"/>
          </m:rPr>
          <m:t>=</m:t>
        </m:r>
        <m:r>
          <m:t>0.35</m:t>
        </m:r>
      </m:oMath>
      <w:r>
        <w:rPr>
          <w:i/>
          <w:iCs/>
        </w:rPr>
        <w:t xml:space="preserve">,</w:t>
      </w:r>
      <w:r>
        <w:rPr>
          <w:i/>
          <w:iCs/>
        </w:rPr>
        <w:t xml:space="preserve"> </w:t>
      </w:r>
      <m:oMath>
        <m:sSub>
          <m:e>
            <m:r>
              <m:t>n</m:t>
            </m:r>
          </m:e>
          <m:sub>
            <m:r>
              <m:t>a</m:t>
            </m:r>
            <m:r>
              <m:t>g</m:t>
            </m:r>
            <m:r>
              <m:t>g</m:t>
            </m:r>
          </m:sub>
        </m:sSub>
        <m:r>
          <m:rPr>
            <m:sty m:val="p"/>
          </m:rPr>
          <m:t>=</m:t>
        </m:r>
        <m:r>
          <m:t>25</m:t>
        </m:r>
      </m:oMath>
      <w:r>
        <w:rPr>
          <w:i/>
          <w:iCs/>
        </w:rPr>
        <w:t xml:space="preserve">, default network and signaling parameters). Solid line,</w:t>
      </w:r>
      <w:r>
        <w:rPr>
          <w:i/>
          <w:iCs/>
        </w:rPr>
        <w:t xml:space="preserve"> </w:t>
      </w:r>
      <m:oMath>
        <m:sSup>
          <m:e>
            <m:r>
              <m:t>σ</m:t>
            </m:r>
          </m:e>
          <m:sup>
            <m:r>
              <m:rPr>
                <m:sty m:val="p"/>
              </m:rPr>
              <m:t>*</m:t>
            </m:r>
          </m:sup>
        </m:sSup>
      </m:oMath>
      <w:r>
        <w:rPr>
          <w:i/>
          <w:iCs/>
        </w:rPr>
        <w:t xml:space="preserve"> </w:t>
      </w:r>
      <w:r>
        <w:rPr>
          <w:i/>
          <w:iCs/>
        </w:rPr>
        <w:t xml:space="preserve">from Brent’s-method root-finding at the lambda-sigma fixed-point equilibrium. Vertical dashed line marks the default</w:t>
      </w:r>
      <w:r>
        <w:rPr>
          <w:i/>
          <w:iCs/>
        </w:rPr>
        <w:t xml:space="preserve"> </w:t>
      </w:r>
      <m:oMath>
        <m:sSub>
          <m:e>
            <m:r>
              <m:t>C</m:t>
            </m:r>
          </m:e>
          <m:sub>
            <m:r>
              <m:t>s</m:t>
            </m:r>
            <m:r>
              <m:t>i</m:t>
            </m:r>
            <m:r>
              <m:t>g</m:t>
            </m:r>
            <m:r>
              <m:t>n</m:t>
            </m:r>
            <m:r>
              <m:t>a</m:t>
            </m:r>
            <m:r>
              <m:t>l</m:t>
            </m:r>
          </m:sub>
        </m:sSub>
        <m:r>
          <m:rPr>
            <m:sty m:val="p"/>
          </m:rPr>
          <m:t>=</m:t>
        </m:r>
        <m:r>
          <m:t>0.18</m:t>
        </m:r>
      </m:oMath>
      <w:r>
        <w:rPr>
          <w:i/>
          <w:iCs/>
        </w:rPr>
        <w:t xml:space="preserve"> </w:t>
      </w:r>
      <w:r>
        <w:rPr>
          <w:i/>
          <w:iCs/>
        </w:rPr>
        <w:t xml:space="preserve">used throughout the manuscript. Across</w:t>
      </w:r>
      <w:r>
        <w:rPr>
          <w:i/>
          <w:iCs/>
        </w:rPr>
        <w:t xml:space="preserve"> </w:t>
      </w:r>
      <m:oMath>
        <m:sSub>
          <m:e>
            <m:r>
              <m:t>C</m:t>
            </m:r>
          </m:e>
          <m:sub>
            <m:r>
              <m:t>s</m:t>
            </m:r>
            <m:r>
              <m:t>i</m:t>
            </m:r>
            <m:r>
              <m:t>g</m:t>
            </m:r>
            <m:r>
              <m:t>n</m:t>
            </m:r>
            <m:r>
              <m:t>a</m:t>
            </m:r>
            <m:r>
              <m:t>l</m:t>
            </m:r>
          </m:sub>
        </m:sSub>
        <m:r>
          <m:rPr>
            <m:sty m:val="p"/>
          </m:rPr>
          <m:t>∈</m:t>
        </m:r>
        <m:r>
          <m:rPr>
            <m:sty m:val="p"/>
          </m:rPr>
          <m:t>[</m:t>
        </m:r>
        <m:r>
          <m:t>0.09</m:t>
        </m:r>
        <m:r>
          <m:rPr>
            <m:sty m:val="p"/>
          </m:rPr>
          <m:t>,</m:t>
        </m:r>
        <m:r>
          <m:t>0.27</m:t>
        </m:r>
        <m:r>
          <m:rPr>
            <m:sty m:val="p"/>
          </m:rPr>
          <m:t>]</m:t>
        </m:r>
      </m:oMath>
      <w:r>
        <w:rPr>
          <w:i/>
          <w:iCs/>
        </w:rPr>
        <w:t xml:space="preserve"> </w:t>
      </w:r>
      <w:r>
        <w:rPr>
          <w:i/>
          <w:iCs/>
        </w:rPr>
        <w:t xml:space="preserve">(</w:t>
      </w:r>
      <m:oMath>
        <m:r>
          <m:rPr>
            <m:sty m:val="p"/>
          </m:rPr>
          <m:t>±</m:t>
        </m:r>
        <m:r>
          <m:t>50</m:t>
        </m:r>
        <m:r>
          <m:rPr>
            <m:sty m:val="p"/>
          </m:rPr>
          <m:t>%</m:t>
        </m:r>
      </m:oMath>
      <w:r>
        <w:rPr>
          <w:i/>
          <w:iCs/>
        </w:rPr>
        <w:t xml:space="preserve"> </w:t>
      </w:r>
      <w:r>
        <w:rPr>
          <w:i/>
          <w:iCs/>
        </w:rPr>
        <w:t xml:space="preserve">from the default),</w:t>
      </w:r>
      <w:r>
        <w:rPr>
          <w:i/>
          <w:iCs/>
        </w:rPr>
        <w:t xml:space="preserve"> </w:t>
      </w:r>
      <m:oMath>
        <m:sSup>
          <m:e>
            <m:r>
              <m:t>σ</m:t>
            </m:r>
          </m:e>
          <m:sup>
            <m:r>
              <m:rPr>
                <m:sty m:val="p"/>
              </m:rPr>
              <m:t>*</m:t>
            </m:r>
          </m:sup>
        </m:sSup>
      </m:oMath>
      <w:r>
        <w:rPr>
          <w:i/>
          <w:iCs/>
        </w:rPr>
        <w:t xml:space="preserve"> </w:t>
      </w:r>
      <w:r>
        <w:rPr>
          <w:i/>
          <w:iCs/>
        </w:rPr>
        <w:t xml:space="preserve">swings from 0.29 to 0.51 (swing</w:t>
      </w:r>
      <w:r>
        <w:rPr>
          <w:i/>
          <w:iCs/>
        </w:rPr>
        <w:t xml:space="preserve"> </w:t>
      </w:r>
      <m:oMath>
        <m:r>
          <m:rPr>
            <m:sty m:val="p"/>
          </m:rPr>
          <m:t>≈</m:t>
        </m:r>
        <m:r>
          <m:t>0.22</m:t>
        </m:r>
      </m:oMath>
      <w:r>
        <w:rPr>
          <w:i/>
          <w:iCs/>
        </w:rPr>
        <w:t xml:space="preserve">, the largest among model parameters in the §S3.1 OAT). Higher signaling cost raises the threshold (aggregation must produce a larger fitness benefit to compensate for the increased cost), confirming that</w:t>
      </w:r>
      <w:r>
        <w:rPr>
          <w:i/>
          <w:iCs/>
        </w:rPr>
        <w:t xml:space="preserve"> </w:t>
      </w:r>
      <m:oMath>
        <m:sSub>
          <m:e>
            <m:r>
              <m:t>C</m:t>
            </m:r>
          </m:e>
          <m:sub>
            <m:r>
              <m:t>s</m:t>
            </m:r>
            <m:r>
              <m:t>i</m:t>
            </m:r>
            <m:r>
              <m:t>g</m:t>
            </m:r>
            <m:r>
              <m:t>n</m:t>
            </m:r>
            <m:r>
              <m:t>a</m:t>
            </m:r>
            <m:r>
              <m:t>l</m:t>
            </m:r>
          </m:sub>
        </m:sSub>
      </m:oMath>
      <w:r>
        <w:rPr>
          <w:i/>
          <w:iCs/>
        </w:rPr>
        <w:t xml:space="preserve"> </w:t>
      </w:r>
      <w:r>
        <w:rPr>
          <w:i/>
          <w:iCs/>
        </w:rPr>
        <w:t xml:space="preserve">is the principal driver of the framework’s threshold prediction.</w:t>
      </w:r>
    </w:p>
    <w:p>
      <w:r>
        <w:pict>
          <v:rect style="width:0;height:1.5pt" o:hralign="center" o:hrstd="t" o:hr="t"/>
        </w:pict>
      </w:r>
    </w:p>
    <w:bookmarkEnd w:id="61"/>
    <w:bookmarkEnd w:id="62"/>
    <w:bookmarkStart w:id="70" w:name="s8.-full-set-of-testable-predictions"/>
    <w:p>
      <w:pPr>
        <w:pStyle w:val="Heading2"/>
      </w:pPr>
      <w:r>
        <w:t xml:space="preserve">S8. Full set of testable predictions</w:t>
      </w:r>
    </w:p>
    <w:p>
      <w:pPr>
        <w:pStyle w:val="FirstParagraph"/>
      </w:pPr>
      <w:r>
        <w:t xml:space="preserve">The framework generates 12 specific, testable predictions across 6 categories. Each identifies what the framework expects, how it can be tested, and what would falsify it.</w:t>
      </w:r>
    </w:p>
    <w:bookmarkStart w:id="63" w:name="temporal-patterns"/>
    <w:p>
      <w:pPr>
        <w:pStyle w:val="Heading3"/>
      </w:pPr>
      <w:r>
        <w:t xml:space="preserve">Temporal patterns</w:t>
      </w:r>
    </w:p>
    <w:p>
      <w:pPr>
        <w:pStyle w:val="FirstParagraph"/>
      </w:pPr>
      <w:r>
        <w:rPr>
          <w:b/>
          <w:bCs/>
        </w:rPr>
        <w:t xml:space="preserve">P1.</w:t>
      </w:r>
      <w:r>
        <w:t xml:space="preserve"> </w:t>
      </w:r>
      <w:r>
        <w:t xml:space="preserve">Construction chronology should correlate with paleoclimate proxies for environmental shortfalls. Bayesian radiocarbon modeling of mound fill episodes (Ortmann and Kidder 2013) combined with high-resolution paleoclimate proxies for the 1700-1100 BCE interval should show construction peaks clustering during or immediately after periods of elevated stress.</w:t>
      </w:r>
    </w:p>
    <w:p>
      <w:pPr>
        <w:pStyle w:val="BodyText"/>
      </w:pPr>
      <w:r>
        <w:rPr>
          <w:b/>
          <w:bCs/>
        </w:rPr>
        <w:t xml:space="preserve">P2.</w:t>
      </w:r>
      <w:r>
        <w:t xml:space="preserve"> </w:t>
      </w:r>
      <w:r>
        <w:t xml:space="preserve">Stratigraphic variation in artifact density across ridge and mound deposits should show cyclical patterns with periods of approximately 15-30 years, matching the shortfall recurrence intervals in the model.</w:t>
      </w:r>
    </w:p>
    <w:bookmarkEnd w:id="63"/>
    <w:bookmarkStart w:id="64" w:name="spatial-patterns"/>
    <w:p>
      <w:pPr>
        <w:pStyle w:val="Heading3"/>
      </w:pPr>
      <w:r>
        <w:t xml:space="preserve">Spatial patterns</w:t>
      </w:r>
    </w:p>
    <w:p>
      <w:pPr>
        <w:pStyle w:val="FirstParagraph"/>
      </w:pPr>
      <w:r>
        <w:rPr>
          <w:b/>
          <w:bCs/>
        </w:rPr>
        <w:t xml:space="preserve">P3.</w:t>
      </w:r>
      <w:r>
        <w:t xml:space="preserve"> </w:t>
      </w:r>
      <w:r>
        <w:t xml:space="preserve">Site hierarchy across the Poverty Point landscape should scale with a GIS-based ecotone diversity index. Ranked monument investment should be predictable from environmental measurement.</w:t>
      </w:r>
    </w:p>
    <w:p>
      <w:pPr>
        <w:pStyle w:val="BodyText"/>
      </w:pPr>
      <w:r>
        <w:rPr>
          <w:b/>
          <w:bCs/>
        </w:rPr>
        <w:t xml:space="preserve">P4.</w:t>
      </w:r>
      <w:r>
        <w:t xml:space="preserve"> </w:t>
      </w:r>
      <w:r>
        <w:t xml:space="preserve">The frequency of Poverty Point-affiliated artifacts at regional sites should decay with distance from Poverty Point following an approximately exponential curve, with a characteristic catchment radius of 100-150 km.</w:t>
      </w:r>
    </w:p>
    <w:bookmarkEnd w:id="64"/>
    <w:bookmarkStart w:id="65" w:name="material-patterns"/>
    <w:p>
      <w:pPr>
        <w:pStyle w:val="Heading3"/>
      </w:pPr>
      <w:r>
        <w:t xml:space="preserve">Material patterns</w:t>
      </w:r>
    </w:p>
    <w:p>
      <w:pPr>
        <w:pStyle w:val="FirstParagraph"/>
      </w:pPr>
      <w:r>
        <w:rPr>
          <w:b/>
          <w:bCs/>
        </w:rPr>
        <w:t xml:space="preserve">P5.</w:t>
      </w:r>
      <w:r>
        <w:t xml:space="preserve"> </w:t>
      </w:r>
      <w:r>
        <w:t xml:space="preserve">Distance-decay function</w:t>
      </w:r>
      <w:r>
        <w:t xml:space="preserve"> </w:t>
      </w:r>
      <m:oMath>
        <m:r>
          <m:t>p</m:t>
        </m:r>
        <m:r>
          <m:rPr>
            <m:sty m:val="p"/>
          </m:rPr>
          <m:t>(</m:t>
        </m:r>
        <m:r>
          <m:t>d</m:t>
        </m:r>
        <m:r>
          <m:rPr>
            <m:sty m:val="p"/>
          </m:rPr>
          <m:t>)</m:t>
        </m:r>
        <m:r>
          <m:rPr>
            <m:sty m:val="p"/>
          </m:rPr>
          <m:t>=</m:t>
        </m:r>
        <m:r>
          <m:rPr>
            <m:sty m:val="p"/>
          </m:rPr>
          <m:t>exp</m:t>
        </m:r>
        <m:r>
          <m:rPr>
            <m:sty m:val="p"/>
          </m:rPr>
          <m:t>(</m:t>
        </m:r>
        <m:r>
          <m:rPr>
            <m:sty m:val="p"/>
          </m:rPr>
          <m:t>−</m:t>
        </m:r>
        <m:r>
          <m:t>d</m:t>
        </m:r>
        <m:r>
          <m:rPr>
            <m:sty m:val="p"/>
          </m:rPr>
          <m:t>/</m:t>
        </m:r>
        <m:r>
          <m:t>500</m:t>
        </m:r>
        <m:r>
          <m:rPr>
            <m:sty m:val="p"/>
          </m:rPr>
          <m:t>)</m:t>
        </m:r>
      </m:oMath>
      <w:r>
        <w:t xml:space="preserve">: novaculite (~300 km) should be ~3.3× more common than galena (~500-800 km) and ~13× more common than copper (~1,600 km).</w:t>
      </w:r>
    </w:p>
    <w:p>
      <w:pPr>
        <w:pStyle w:val="BodyText"/>
      </w:pPr>
      <w:r>
        <w:rPr>
          <w:b/>
          <w:bCs/>
        </w:rPr>
        <w:t xml:space="preserve">P6.</w:t>
      </w:r>
      <w:r>
        <w:t xml:space="preserve"> </w:t>
      </w:r>
      <w:r>
        <w:t xml:space="preserve">Within-site, exotic-goods densities and monument investment should covary spatially, since both are signaling investments by the same bands.</w:t>
      </w:r>
    </w:p>
    <w:bookmarkEnd w:id="65"/>
    <w:bookmarkStart w:id="66" w:name="demographic-patterns"/>
    <w:p>
      <w:pPr>
        <w:pStyle w:val="Heading3"/>
      </w:pPr>
      <w:r>
        <w:t xml:space="preserve">Demographic patterns</w:t>
      </w:r>
    </w:p>
    <w:p>
      <w:pPr>
        <w:pStyle w:val="FirstParagraph"/>
      </w:pPr>
      <w:r>
        <w:rPr>
          <w:b/>
          <w:bCs/>
        </w:rPr>
        <w:t xml:space="preserve">P7.</w:t>
      </w:r>
      <w:r>
        <w:t xml:space="preserve"> </w:t>
      </w:r>
      <w:r>
        <w:t xml:space="preserve">Aggregated population should saturate at ~500-625 individuals (~25 bands) rather than grow without constraint, reflecting diminishing returns to cooperation beyond optimal aggregation size.</w:t>
      </w:r>
    </w:p>
    <w:p>
      <w:pPr>
        <w:pStyle w:val="BodyText"/>
      </w:pPr>
      <w:r>
        <w:rPr>
          <w:b/>
          <w:bCs/>
        </w:rPr>
        <w:t xml:space="preserve">P8.</w:t>
      </w:r>
      <w:r>
        <w:t xml:space="preserve"> </w:t>
      </w:r>
      <w:r>
        <w:t xml:space="preserve">Bioarchaeological evidence (when available) should show fewer indicators of nutritional stress in aggregation-context individuals than in contemporaneous small-site individuals, reflecting buffering by multi-zone access and obligation networks.</w:t>
      </w:r>
    </w:p>
    <w:bookmarkEnd w:id="66"/>
    <w:bookmarkStart w:id="67" w:name="network-structure"/>
    <w:p>
      <w:pPr>
        <w:pStyle w:val="Heading3"/>
      </w:pPr>
      <w:r>
        <w:t xml:space="preserve">Network structure</w:t>
      </w:r>
    </w:p>
    <w:p>
      <w:pPr>
        <w:pStyle w:val="FirstParagraph"/>
      </w:pPr>
      <w:r>
        <w:rPr>
          <w:b/>
          <w:bCs/>
        </w:rPr>
        <w:t xml:space="preserve">P9.</w:t>
      </w:r>
      <w:r>
        <w:t xml:space="preserve"> </w:t>
      </w:r>
      <w:r>
        <w:t xml:space="preserve">Provenance analysis (LA-ICP-MS, etc.) should reveal multi-pathway distribution networks rather than single-chain corridors, with small-world topology (high clustering, short path lengths).</w:t>
      </w:r>
    </w:p>
    <w:p>
      <w:pPr>
        <w:pStyle w:val="BodyText"/>
      </w:pPr>
      <w:r>
        <w:rPr>
          <w:b/>
          <w:bCs/>
        </w:rPr>
        <w:t xml:space="preserve">P10.</w:t>
      </w:r>
      <w:r>
        <w:t xml:space="preserve"> </w:t>
      </w:r>
      <w:r>
        <w:t xml:space="preserve">Terminal-occupation layers should show narrowing source diversity in the exotic assemblage, reflecting network attrition that precedes systemic collapse.</w:t>
      </w:r>
    </w:p>
    <w:bookmarkEnd w:id="67"/>
    <w:bookmarkStart w:id="68" w:name="cross-cultural"/>
    <w:p>
      <w:pPr>
        <w:pStyle w:val="Heading3"/>
      </w:pPr>
      <w:r>
        <w:t xml:space="preserve">Cross-cultural</w:t>
      </w:r>
    </w:p>
    <w:p>
      <w:pPr>
        <w:pStyle w:val="FirstParagraph"/>
      </w:pPr>
      <w:r>
        <w:rPr>
          <w:b/>
          <w:bCs/>
        </w:rPr>
        <w:t xml:space="preserve">P11.</w:t>
      </w:r>
      <w:r>
        <w:t xml:space="preserve"> </w:t>
      </w:r>
      <w:r>
        <w:t xml:space="preserve">Other hunter-gatherer aggregation sites with monumental architecture (Watson Brake, Stallings Island, Florida shell rings, Green River shell mounds) should all show environmental uncertainty above the critical threshold when tested using the same framework.</w:t>
      </w:r>
    </w:p>
    <w:p>
      <w:pPr>
        <w:pStyle w:val="BodyText"/>
      </w:pPr>
      <w:r>
        <w:rPr>
          <w:b/>
          <w:bCs/>
        </w:rPr>
        <w:t xml:space="preserve">P12.</w:t>
      </w:r>
      <w:r>
        <w:t xml:space="preserve"> </w:t>
      </w:r>
      <w:r>
        <w:t xml:space="preserve">Collapse should follow a specific sequence: declining aggregation attendance precedes declining construction investment, which in turn precedes narrowing exchange-network diversity. Sequential rather than simultaneous decline distinguishes adaptive collapse from catastrophic disruption.</w:t>
      </w:r>
    </w:p>
    <w:bookmarkEnd w:id="68"/>
    <w:bookmarkStart w:id="69" w:name="falsification-conditions"/>
    <w:p>
      <w:pPr>
        <w:pStyle w:val="Heading3"/>
      </w:pPr>
      <w:r>
        <w:t xml:space="preserve">Falsification conditions</w:t>
      </w:r>
    </w:p>
    <w:p>
      <w:pPr>
        <w:pStyle w:val="FirstParagraph"/>
      </w:pPr>
      <w:r>
        <w:t xml:space="preserve">The following findings would falsify the framework:</w:t>
      </w:r>
    </w:p>
    <w:p>
      <w:pPr>
        <w:pStyle w:val="Compact"/>
        <w:numPr>
          <w:ilvl w:val="0"/>
          <w:numId w:val="1001"/>
        </w:numPr>
      </w:pPr>
      <w:r>
        <w:t xml:space="preserve">Monument construction was steady rather than episodic and uncorrelated with environmental variability.</w:t>
      </w:r>
    </w:p>
    <w:p>
      <w:pPr>
        <w:pStyle w:val="Compact"/>
        <w:numPr>
          <w:ilvl w:val="0"/>
          <w:numId w:val="1001"/>
        </w:numPr>
      </w:pPr>
      <w:r>
        <w:t xml:space="preserve">Exotic materials concentrated in elite residential contexts rather than being broadly distributed.</w:t>
      </w:r>
    </w:p>
    <w:p>
      <w:pPr>
        <w:pStyle w:val="Compact"/>
        <w:numPr>
          <w:ilvl w:val="0"/>
          <w:numId w:val="1001"/>
        </w:numPr>
      </w:pPr>
      <w:r>
        <w:t xml:space="preserve">High-resolution paleoclimate data demonstrate that Poverty Point coincided with environmental stability rather than moderate-to-high uncertainty.</w:t>
      </w:r>
    </w:p>
    <w:p>
      <w:pPr>
        <w:pStyle w:val="Compact"/>
        <w:numPr>
          <w:ilvl w:val="0"/>
          <w:numId w:val="1001"/>
        </w:numPr>
      </w:pPr>
      <w:r>
        <w:t xml:space="preserve">Other sites with comparable ecotone access and uncertainty consistently fail to produce monumentality (necessary conditions are not sufficient and additional factors fully account for outcomes).</w:t>
      </w:r>
    </w:p>
    <w:p>
      <w:pPr>
        <w:pStyle w:val="Compact"/>
        <w:numPr>
          <w:ilvl w:val="0"/>
          <w:numId w:val="1001"/>
        </w:numPr>
      </w:pPr>
      <w:r>
        <w:t xml:space="preserve">Clear evidence of coercive hierarchy, specialized craft production, or differential subsistence access at Poverty Point.</w:t>
      </w:r>
    </w:p>
    <w:p>
      <w:r>
        <w:pict>
          <v:rect style="width:0;height:1.5pt" o:hralign="center" o:hrstd="t" o:hr="t"/>
        </w:pict>
      </w:r>
    </w:p>
    <w:bookmarkEnd w:id="69"/>
    <w:bookmarkEnd w:id="70"/>
    <w:bookmarkStart w:id="77" w:name="s9.-supplemental-empirical-figures"/>
    <w:p>
      <w:pPr>
        <w:pStyle w:val="Heading2"/>
      </w:pPr>
      <w:r>
        <w:t xml:space="preserve">S9. Supplemental empirical figures</w:t>
      </w:r>
    </w:p>
    <w:p>
      <w:pPr>
        <w:pStyle w:val="FirstParagraph"/>
      </w:pPr>
      <w:r>
        <w:t xml:space="preserve">The expanded paleoclimate proxy synthesis (with cross-case</w:t>
      </w:r>
      <w:r>
        <w:t xml:space="preserve"> </w:t>
      </w:r>
      <m:oMath>
        <m:r>
          <m:t>σ</m:t>
        </m:r>
      </m:oMath>
      <w:r>
        <w:t xml:space="preserve"> </w:t>
      </w:r>
      <w:r>
        <w:t xml:space="preserve">comparison and theoretical phase-space panel) and the regional chronological synthesis are presented in main-text Figures 11 and 10 respectively.</w:t>
      </w:r>
    </w:p>
    <w:p>
      <w:pPr>
        <w:pStyle w:val="BodyText"/>
      </w:pPr>
      <w:r>
        <w:drawing>
          <wp:inline>
            <wp:extent cx="5943600" cy="2029521"/>
            <wp:effectExtent b="0" l="0" r="0" t="0"/>
            <wp:docPr descr="" title="" id="72" name="Picture"/>
            <a:graphic>
              <a:graphicData uri="http://schemas.openxmlformats.org/drawingml/2006/picture">
                <pic:pic>
                  <pic:nvPicPr>
                    <pic:cNvPr descr="../../figures/supplemental/figure_S08_obligation_network.png" id="73" name="Picture"/>
                    <pic:cNvPicPr>
                      <a:picLocks noChangeArrowheads="1" noChangeAspect="1"/>
                    </pic:cNvPicPr>
                  </pic:nvPicPr>
                  <pic:blipFill>
                    <a:blip r:embed="rId71"/>
                    <a:stretch>
                      <a:fillRect/>
                    </a:stretch>
                  </pic:blipFill>
                  <pic:spPr bwMode="auto">
                    <a:xfrm>
                      <a:off x="0" y="0"/>
                      <a:ext cx="5943600" cy="2029521"/>
                    </a:xfrm>
                    <a:prstGeom prst="rect">
                      <a:avLst/>
                    </a:prstGeom>
                    <a:noFill/>
                    <a:ln w="9525">
                      <a:noFill/>
                      <a:headEnd/>
                      <a:tailEnd/>
                    </a:ln>
                  </pic:spPr>
                </pic:pic>
              </a:graphicData>
            </a:graphic>
          </wp:inline>
        </w:drawing>
      </w:r>
    </w:p>
    <w:p>
      <w:pPr>
        <w:pStyle w:val="BodyText"/>
      </w:pPr>
      <w:r>
        <w:rPr>
          <w:b/>
          <w:bCs/>
          <w:i/>
          <w:iCs/>
        </w:rPr>
        <w:t xml:space="preserve">Figure S8. Obligation network structure and function.</w:t>
      </w:r>
      <w:r>
        <w:t xml:space="preserve"> </w:t>
      </w:r>
      <w:r>
        <w:rPr>
          <w:i/>
          <w:iCs/>
        </w:rPr>
        <w:t xml:space="preserve">Panel A: simulated obligation network at year 300. Panel B: aggregators consistently maintain more reciprocal connections than independents. Panel C: bands with more extensive obligation networks achieve higher fitness during shortfall years.</w:t>
      </w:r>
    </w:p>
    <w:p>
      <w:pPr>
        <w:pStyle w:val="BodyText"/>
      </w:pPr>
      <w:r>
        <w:drawing>
          <wp:inline>
            <wp:extent cx="5943600" cy="2071391"/>
            <wp:effectExtent b="0" l="0" r="0" t="0"/>
            <wp:docPr descr="" title="" id="75" name="Picture"/>
            <a:graphic>
              <a:graphicData uri="http://schemas.openxmlformats.org/drawingml/2006/picture">
                <pic:pic>
                  <pic:nvPicPr>
                    <pic:cNvPr descr="../../figures/supplemental/figure_S09_exotic_distance_decay.png" id="76" name="Picture"/>
                    <pic:cNvPicPr>
                      <a:picLocks noChangeArrowheads="1" noChangeAspect="1"/>
                    </pic:cNvPicPr>
                  </pic:nvPicPr>
                  <pic:blipFill>
                    <a:blip r:embed="rId74"/>
                    <a:stretch>
                      <a:fillRect/>
                    </a:stretch>
                  </pic:blipFill>
                  <pic:spPr bwMode="auto">
                    <a:xfrm>
                      <a:off x="0" y="0"/>
                      <a:ext cx="5943600" cy="2071391"/>
                    </a:xfrm>
                    <a:prstGeom prst="rect">
                      <a:avLst/>
                    </a:prstGeom>
                    <a:noFill/>
                    <a:ln w="9525">
                      <a:noFill/>
                      <a:headEnd/>
                      <a:tailEnd/>
                    </a:ln>
                  </pic:spPr>
                </pic:pic>
              </a:graphicData>
            </a:graphic>
          </wp:inline>
        </w:drawing>
      </w:r>
    </w:p>
    <w:p>
      <w:pPr>
        <w:pStyle w:val="BodyText"/>
      </w:pPr>
      <w:r>
        <w:rPr>
          <w:b/>
          <w:bCs/>
          <w:i/>
          <w:iCs/>
        </w:rPr>
        <w:t xml:space="preserve">Figure S9. Exotic goods distance decay.</w:t>
      </w:r>
      <w:r>
        <w:t xml:space="preserve"> </w:t>
      </w:r>
      <w:r>
        <w:rPr>
          <w:i/>
          <w:iCs/>
        </w:rPr>
        <w:t xml:space="preserve">(A) Theoretical distance-decay</w:t>
      </w:r>
      <w:r>
        <w:rPr>
          <w:i/>
          <w:iCs/>
        </w:rPr>
        <w:t xml:space="preserve"> </w:t>
      </w:r>
      <m:oMath>
        <m:r>
          <m:t>p</m:t>
        </m:r>
        <m:r>
          <m:rPr>
            <m:sty m:val="p"/>
          </m:rPr>
          <m:t>(</m:t>
        </m:r>
        <m:r>
          <m:t>d</m:t>
        </m:r>
        <m:r>
          <m:rPr>
            <m:sty m:val="p"/>
          </m:rPr>
          <m:t>)</m:t>
        </m:r>
        <m:r>
          <m:rPr>
            <m:sty m:val="p"/>
          </m:rPr>
          <m:t>=</m:t>
        </m:r>
        <m:r>
          <m:rPr>
            <m:sty m:val="p"/>
          </m:rPr>
          <m:t>exp</m:t>
        </m:r>
        <m:r>
          <m:rPr>
            <m:sty m:val="p"/>
          </m:rPr>
          <m:t>(</m:t>
        </m:r>
        <m:r>
          <m:rPr>
            <m:sty m:val="p"/>
          </m:rPr>
          <m:t>−</m:t>
        </m:r>
        <m:r>
          <m:t>d</m:t>
        </m:r>
        <m:r>
          <m:rPr>
            <m:sty m:val="p"/>
          </m:rPr>
          <m:t>/</m:t>
        </m:r>
        <m:r>
          <m:t>500</m:t>
        </m:r>
        <m:r>
          <m:rPr>
            <m:sty m:val="p"/>
          </m:rPr>
          <m:t>)</m:t>
        </m:r>
      </m:oMath>
      <w:r>
        <w:rPr>
          <w:i/>
          <w:iCs/>
        </w:rPr>
        <w:t xml:space="preserve"> </w:t>
      </w:r>
      <w:r>
        <w:rPr>
          <w:i/>
          <w:iCs/>
        </w:rPr>
        <w:t xml:space="preserve">with markers for the five primary exotic-material sources. (B) Simulated material frequencies vs. predicted relative frequencies. (C) Comparison with archaeological data from Webb (1982);</w:t>
      </w:r>
      <w:r>
        <w:rPr>
          <w:i/>
          <w:iCs/>
        </w:rPr>
        <w:t xml:space="preserve"> </w:t>
      </w:r>
      <m:oMath>
        <m:sSup>
          <m:e>
            <m:r>
              <m:t>R</m:t>
            </m:r>
          </m:e>
          <m:sup>
            <m:r>
              <m:t>2</m:t>
            </m:r>
          </m:sup>
        </m:sSup>
        <m:r>
          <m:rPr>
            <m:sty m:val="p"/>
          </m:rPr>
          <m:t>≈</m:t>
        </m:r>
        <m:r>
          <m:t>0.87</m:t>
        </m:r>
      </m:oMath>
      <w:r>
        <w:rPr>
          <w:i/>
          <w:iCs/>
        </w:rPr>
        <w:t xml:space="preserve">.</w:t>
      </w:r>
    </w:p>
    <w:p>
      <w:r>
        <w:pict>
          <v:rect style="width:0;height:1.5pt" o:hralign="center" o:hrstd="t" o:hr="t"/>
        </w:pict>
      </w:r>
    </w:p>
    <w:bookmarkEnd w:id="77"/>
    <w:bookmarkStart w:id="80" w:name="s10.-watson-brake-bistable-analysis"/>
    <w:p>
      <w:pPr>
        <w:pStyle w:val="Heading2"/>
      </w:pPr>
      <w:r>
        <w:t xml:space="preserve">S10. Watson Brake bistable analysis</w:t>
      </w:r>
    </w:p>
    <w:bookmarkStart w:id="78" w:name="X73ecfc38308f507df91a0ba97d8614b49d276f1"/>
    <w:p>
      <w:pPr>
        <w:pStyle w:val="Heading3"/>
      </w:pPr>
      <w:r>
        <w:t xml:space="preserve">S10.1 Derivation of the continuous-equilibrium overshoot</w:t>
      </w:r>
    </w:p>
    <w:p>
      <w:pPr>
        <w:pStyle w:val="FirstParagraph"/>
      </w:pPr>
      <w:r>
        <w:t xml:space="preserve">The main text (§6.3) reports that the calibrated model under continuous-equilibrium operation predicts ~240,000 m³ of earthwork at WB, compared to the LiDAR-derived per-mound volume of 27,065 m³ (§5.1) — an overshoot ratio of approximately 9×. The derivation of the 240,000 m³ continuous-equilibrium prediction, omitted from the main text for length, is:</w:t>
      </w:r>
    </w:p>
    <w:p>
      <w:pPr>
        <w:numPr>
          <w:ilvl w:val="0"/>
          <w:numId w:val="1002"/>
        </w:numPr>
      </w:pPr>
      <w:r>
        <w:rPr>
          <w:i/>
          <w:iCs/>
        </w:rPr>
        <w:t xml:space="preserve">Equilibrium monument stock at PP-calibrated parameters.</w:t>
      </w:r>
      <w:r>
        <w:t xml:space="preserve"> </w:t>
      </w:r>
      <w:r>
        <w:t xml:space="preserve">At PP parameters (</w:t>
      </w:r>
      <m:oMath>
        <m:r>
          <m:t>ε</m:t>
        </m:r>
        <m:r>
          <m:rPr>
            <m:sty m:val="p"/>
          </m:rPr>
          <m:t>=</m:t>
        </m:r>
        <m:r>
          <m:t>0.35</m:t>
        </m:r>
      </m:oMath>
      <w:r>
        <w:t xml:space="preserve">,</w:t>
      </w:r>
      <w:r>
        <w:t xml:space="preserve"> </w:t>
      </w:r>
      <m:oMath>
        <m:sSub>
          <m:e>
            <m:r>
              <m:t>n</m:t>
            </m:r>
          </m:e>
          <m:sub>
            <m:r>
              <m:t>a</m:t>
            </m:r>
            <m:r>
              <m:t>g</m:t>
            </m:r>
            <m:r>
              <m:t>g</m:t>
            </m:r>
          </m:sub>
        </m:sSub>
        <m:r>
          <m:rPr>
            <m:sty m:val="p"/>
          </m:rPr>
          <m:t>=</m:t>
        </m:r>
        <m:r>
          <m:t>25</m:t>
        </m:r>
      </m:oMath>
      <w:r>
        <w:t xml:space="preserve">,</w:t>
      </w:r>
      <w:r>
        <w:t xml:space="preserve"> </w:t>
      </w:r>
      <m:oMath>
        <m:r>
          <m:t>σ</m:t>
        </m:r>
        <m:r>
          <m:rPr>
            <m:sty m:val="p"/>
          </m:rPr>
          <m:t>=</m:t>
        </m:r>
        <m:r>
          <m:t>0.64</m:t>
        </m:r>
      </m:oMath>
      <w:r>
        <w:t xml:space="preserve">), the analytical equilibrium model returns equilibrium stock</w:t>
      </w:r>
      <w:r>
        <w:t xml:space="preserve"> </w:t>
      </w:r>
      <m:oMath>
        <m:sSub>
          <m:e>
            <m:r>
              <m:t>M</m:t>
            </m:r>
          </m:e>
          <m:sub>
            <m:r>
              <m:t>g</m:t>
            </m:r>
            <m:r>
              <m:rPr>
                <m:sty m:val="p"/>
              </m:rPr>
              <m:t>,</m:t>
            </m:r>
            <m:r>
              <m:t>P</m:t>
            </m:r>
            <m:r>
              <m:t>P</m:t>
            </m:r>
          </m:sub>
        </m:sSub>
        <m:r>
          <m:rPr>
            <m:sty m:val="p"/>
          </m:rPr>
          <m:t>=</m:t>
        </m:r>
        <m:r>
          <m:t>129.78</m:t>
        </m:r>
      </m:oMath>
      <w:r>
        <w:t xml:space="preserve"> </w:t>
      </w:r>
      <w:r>
        <w:t xml:space="preserve">(computed via</w:t>
      </w:r>
      <w:r>
        <w:t xml:space="preserve"> </w:t>
      </w:r>
      <w:r>
        <w:rPr>
          <w:rStyle w:val="VerbatimChar"/>
        </w:rPr>
        <w:t xml:space="preserve">critical_threshold</w:t>
      </w:r>
      <w:r>
        <w:t xml:space="preserve"> </w:t>
      </w:r>
      <w:r>
        <w:t xml:space="preserve">in</w:t>
      </w:r>
      <w:r>
        <w:t xml:space="preserve"> </w:t>
      </w:r>
      <w:r>
        <w:rPr>
          <w:rStyle w:val="VerbatimChar"/>
        </w:rPr>
        <w:t xml:space="preserve">src/poverty_point/signaling_core.py</w:t>
      </w:r>
      <w:r>
        <w:t xml:space="preserve">).</w:t>
      </w:r>
    </w:p>
    <w:p>
      <w:pPr>
        <w:numPr>
          <w:ilvl w:val="0"/>
          <w:numId w:val="1002"/>
        </w:numPr>
      </w:pPr>
      <w:r>
        <w:rPr>
          <w:i/>
          <w:iCs/>
        </w:rPr>
        <w:t xml:space="preserve">Equilibrium monument stock at WB-calibrated parameters.</w:t>
      </w:r>
      <w:r>
        <w:t xml:space="preserve"> </w:t>
      </w:r>
      <w:r>
        <w:t xml:space="preserve">At WB parameters (</w:t>
      </w:r>
      <m:oMath>
        <m:r>
          <m:t>ε</m:t>
        </m:r>
        <m:r>
          <m:rPr>
            <m:sty m:val="p"/>
          </m:rPr>
          <m:t>=</m:t>
        </m:r>
        <m:r>
          <m:t>0.43</m:t>
        </m:r>
      </m:oMath>
      <w:r>
        <w:t xml:space="preserve">,</w:t>
      </w:r>
      <w:r>
        <w:t xml:space="preserve"> </w:t>
      </w:r>
      <m:oMath>
        <m:sSub>
          <m:e>
            <m:r>
              <m:t>n</m:t>
            </m:r>
          </m:e>
          <m:sub>
            <m:r>
              <m:t>a</m:t>
            </m:r>
            <m:r>
              <m:t>g</m:t>
            </m:r>
            <m:r>
              <m:t>g</m:t>
            </m:r>
          </m:sub>
        </m:sSub>
        <m:r>
          <m:rPr>
            <m:sty m:val="p"/>
          </m:rPr>
          <m:t>=</m:t>
        </m:r>
        <m:r>
          <m:t>8</m:t>
        </m:r>
      </m:oMath>
      <w:r>
        <w:t xml:space="preserve">,</w:t>
      </w:r>
      <w:r>
        <w:t xml:space="preserve"> </w:t>
      </w:r>
      <m:oMath>
        <m:r>
          <m:t>σ</m:t>
        </m:r>
        <m:r>
          <m:rPr>
            <m:sty m:val="p"/>
          </m:rPr>
          <m:t>=</m:t>
        </m:r>
        <m:r>
          <m:t>0.56</m:t>
        </m:r>
      </m:oMath>
      <w:r>
        <w:t xml:space="preserve">),</w:t>
      </w:r>
      <w:r>
        <w:t xml:space="preserve"> </w:t>
      </w:r>
      <m:oMath>
        <m:sSub>
          <m:e>
            <m:r>
              <m:t>M</m:t>
            </m:r>
          </m:e>
          <m:sub>
            <m:r>
              <m:t>g</m:t>
            </m:r>
            <m:r>
              <m:rPr>
                <m:sty m:val="p"/>
              </m:rPr>
              <m:t>,</m:t>
            </m:r>
            <m:r>
              <m:t>W</m:t>
            </m:r>
            <m:r>
              <m:t>B</m:t>
            </m:r>
          </m:sub>
        </m:sSub>
        <m:r>
          <m:rPr>
            <m:sty m:val="p"/>
          </m:rPr>
          <m:t>=</m:t>
        </m:r>
        <m:r>
          <m:t>41.54</m:t>
        </m:r>
      </m:oMath>
      <w:r>
        <w:t xml:space="preserve">.</w:t>
      </w:r>
    </w:p>
    <w:p>
      <w:pPr>
        <w:numPr>
          <w:ilvl w:val="0"/>
          <w:numId w:val="1002"/>
        </w:numPr>
      </w:pPr>
      <w:r>
        <w:rPr>
          <w:i/>
          <w:iCs/>
        </w:rPr>
        <w:t xml:space="preserve">Volume calibration anchor.</w:t>
      </w:r>
      <w:r>
        <w:t xml:space="preserve"> </w:t>
      </w:r>
      <w:r>
        <w:t xml:space="preserve">The calibration uses the PP type-site core volume of 750,000 m³ (Gibson 2000; Ortmann and Kidder 2013) as the empirical anchor for</w:t>
      </w:r>
      <w:r>
        <w:t xml:space="preserve"> </w:t>
      </w:r>
      <m:oMath>
        <m:sSub>
          <m:e>
            <m:r>
              <m:t>M</m:t>
            </m:r>
          </m:e>
          <m:sub>
            <m:r>
              <m:t>g</m:t>
            </m:r>
            <m:r>
              <m:rPr>
                <m:sty m:val="p"/>
              </m:rPr>
              <m:t>,</m:t>
            </m:r>
            <m:r>
              <m:t>P</m:t>
            </m:r>
            <m:r>
              <m:t>P</m:t>
            </m:r>
          </m:sub>
        </m:sSub>
        <m:r>
          <m:rPr>
            <m:sty m:val="p"/>
          </m:rPr>
          <m:t>=</m:t>
        </m:r>
        <m:r>
          <m:t>129.78</m:t>
        </m:r>
      </m:oMath>
      <w:r>
        <w:t xml:space="preserve">. The volume-per-equilibrium-stock conversion is therefore</w:t>
      </w:r>
      <w:r>
        <w:t xml:space="preserve"> </w:t>
      </w:r>
      <m:oMath>
        <m:r>
          <m:t>750</m:t>
        </m:r>
        <m:r>
          <m:rPr>
            <m:sty m:val="p"/>
          </m:rPr>
          <m:t>,</m:t>
        </m:r>
        <m:r>
          <m:t>000</m:t>
        </m:r>
        <m:r>
          <m:rPr>
            <m:sty m:val="p"/>
          </m:rPr>
          <m:t>/</m:t>
        </m:r>
        <m:r>
          <m:t>129.78</m:t>
        </m:r>
        <m:r>
          <m:rPr>
            <m:sty m:val="p"/>
          </m:rPr>
          <m:t>≈</m:t>
        </m:r>
        <m:r>
          <m:t>5</m:t>
        </m:r>
        <m:r>
          <m:rPr>
            <m:sty m:val="p"/>
          </m:rPr>
          <m:t>,</m:t>
        </m:r>
        <m:r>
          <m:t>779</m:t>
        </m:r>
      </m:oMath>
      <w:r>
        <w:t xml:space="preserve"> </w:t>
      </w:r>
      <w:r>
        <w:t xml:space="preserve">m³ per</w:t>
      </w:r>
      <w:r>
        <w:t xml:space="preserve"> </w:t>
      </w:r>
      <m:oMath>
        <m:sSub>
          <m:e>
            <m:r>
              <m:t>M</m:t>
            </m:r>
          </m:e>
          <m:sub>
            <m:r>
              <m:t>g</m:t>
            </m:r>
          </m:sub>
        </m:sSub>
      </m:oMath>
      <w:r>
        <w:t xml:space="preserve"> </w:t>
      </w:r>
      <w:r>
        <w:t xml:space="preserve">unit at the PP-fit calibration.</w:t>
      </w:r>
    </w:p>
    <w:p>
      <w:pPr>
        <w:numPr>
          <w:ilvl w:val="0"/>
          <w:numId w:val="1002"/>
        </w:numPr>
      </w:pPr>
      <w:r>
        <w:rPr>
          <w:i/>
          <w:iCs/>
        </w:rPr>
        <w:t xml:space="preserve">Predicted WB volume under continuous-equilibrium operation.</w:t>
      </w:r>
      <w:r>
        <w:t xml:space="preserve"> </w:t>
      </w:r>
      <w:r>
        <w:t xml:space="preserve">Applying the same conversion to WB: predicted volume =</w:t>
      </w:r>
      <w:r>
        <w:t xml:space="preserve"> </w:t>
      </w:r>
      <m:oMath>
        <m:sSub>
          <m:e>
            <m:r>
              <m:t>M</m:t>
            </m:r>
          </m:e>
          <m:sub>
            <m:r>
              <m:t>g</m:t>
            </m:r>
            <m:r>
              <m:rPr>
                <m:sty m:val="p"/>
              </m:rPr>
              <m:t>,</m:t>
            </m:r>
            <m:r>
              <m:t>W</m:t>
            </m:r>
            <m:r>
              <m:t>B</m:t>
            </m:r>
          </m:sub>
        </m:sSub>
        <m:r>
          <m:rPr>
            <m:sty m:val="p"/>
          </m:rPr>
          <m:t>×</m:t>
        </m:r>
        <m:r>
          <m:t>5</m:t>
        </m:r>
        <m:r>
          <m:rPr>
            <m:sty m:val="p"/>
          </m:rPr>
          <m:t>,</m:t>
        </m:r>
        <m:r>
          <m:t>779</m:t>
        </m:r>
        <m:r>
          <m:rPr>
            <m:sty m:val="p"/>
          </m:rPr>
          <m:t>=</m:t>
        </m:r>
        <m:r>
          <m:t>41.54</m:t>
        </m:r>
        <m:r>
          <m:rPr>
            <m:sty m:val="p"/>
          </m:rPr>
          <m:t>×</m:t>
        </m:r>
        <m:r>
          <m:t>5</m:t>
        </m:r>
        <m:r>
          <m:rPr>
            <m:sty m:val="p"/>
          </m:rPr>
          <m:t>,</m:t>
        </m:r>
        <m:r>
          <m:t>779</m:t>
        </m:r>
        <m:r>
          <m:rPr>
            <m:sty m:val="p"/>
          </m:rPr>
          <m:t>≈</m:t>
        </m:r>
        <m:r>
          <m:t>240</m:t>
        </m:r>
        <m:r>
          <m:rPr>
            <m:sty m:val="p"/>
          </m:rPr>
          <m:t>,</m:t>
        </m:r>
        <m:r>
          <m:t>000</m:t>
        </m:r>
      </m:oMath>
      <w:r>
        <w:t xml:space="preserve"> </w:t>
      </w:r>
      <w:r>
        <w:t xml:space="preserve">m³.</w:t>
      </w:r>
    </w:p>
    <w:p>
      <w:pPr>
        <w:numPr>
          <w:ilvl w:val="0"/>
          <w:numId w:val="1002"/>
        </w:numPr>
      </w:pPr>
      <w:r>
        <w:rPr>
          <w:i/>
          <w:iCs/>
        </w:rPr>
        <w:t xml:space="preserve">Comparison with the LiDAR-derived per-mound volume (27,065 m³).</w:t>
      </w:r>
      <w:r>
        <w:t xml:space="preserve"> </w:t>
      </w:r>
      <w:r>
        <w:t xml:space="preserve">The continuous-equilibrium prediction overshoots by a factor of</w:t>
      </w:r>
      <w:r>
        <w:t xml:space="preserve"> </w:t>
      </w:r>
      <m:oMath>
        <m:r>
          <m:t>240</m:t>
        </m:r>
        <m:r>
          <m:rPr>
            <m:sty m:val="p"/>
          </m:rPr>
          <m:t>,</m:t>
        </m:r>
        <m:r>
          <m:t>000</m:t>
        </m:r>
        <m:r>
          <m:rPr>
            <m:sty m:val="p"/>
          </m:rPr>
          <m:t>/</m:t>
        </m:r>
        <m:r>
          <m:t>27</m:t>
        </m:r>
        <m:r>
          <m:rPr>
            <m:sty m:val="p"/>
          </m:rPr>
          <m:t>,</m:t>
        </m:r>
        <m:r>
          <m:t>065</m:t>
        </m:r>
        <m:r>
          <m:rPr>
            <m:sty m:val="p"/>
          </m:rPr>
          <m:t>≈</m:t>
        </m:r>
        <m:r>
          <m:t>9</m:t>
        </m:r>
        <m:r>
          <m:rPr>
            <m:sty m:val="p"/>
          </m:rPr>
          <m:t>×</m:t>
        </m:r>
      </m:oMath>
      <w:r>
        <w:t xml:space="preserve">. The earlier 7,000 m³ figure used in pre-LiDAR drafts of the manuscript (which gave the often-cited ~30× ratio) was an under-estimate; the LiDAR re-analysis (§5.1;</w:t>
      </w:r>
      <w:r>
        <w:t xml:space="preserve"> </w:t>
      </w:r>
      <w:r>
        <w:rPr>
          <w:rStyle w:val="VerbatimChar"/>
        </w:rPr>
        <w:t xml:space="preserve">scripts/analysis/watson_brake_volume.py</w:t>
      </w:r>
      <w:r>
        <w:t xml:space="preserve">) replaces it. An intermediate LiDAR baseline-method sensitivity range of 15,000-120,000 m³ (the seven polygon-wide baselines in the analysis script) is documented in the JSON output for transparency, but the per-mound estimate of 27,065 m³ is the authoritative central value because it uses local rather than polygon-wide baselines and treats the mounds and ridges as resting on natural ground rather than on a constructed inter-mound surface. The same continuous-equilibrium calculation propagated through the</w:t>
      </w:r>
      <w:r>
        <w:t xml:space="preserve"> </w:t>
      </w:r>
      <m:oMath>
        <m:sSub>
          <m:e>
            <m:r>
              <m:t>n</m:t>
            </m:r>
          </m:e>
          <m:sub>
            <m:r>
              <m:t>a</m:t>
            </m:r>
            <m:r>
              <m:t>g</m:t>
            </m:r>
            <m:r>
              <m:t>g</m:t>
            </m:r>
          </m:sub>
        </m:sSub>
      </m:oMath>
      <w:r>
        <w:t xml:space="preserve"> </w:t>
      </w:r>
      <w:r>
        <w:t xml:space="preserve">sensitivity sweep below confirms that no plausible</w:t>
      </w:r>
      <w:r>
        <w:t xml:space="preserve"> </w:t>
      </w:r>
      <m:oMath>
        <m:sSub>
          <m:e>
            <m:r>
              <m:t>n</m:t>
            </m:r>
          </m:e>
          <m:sub>
            <m:r>
              <m:t>a</m:t>
            </m:r>
            <m:r>
              <m:t>g</m:t>
            </m:r>
            <m:r>
              <m:t>g</m:t>
            </m:r>
          </m:sub>
        </m:sSub>
      </m:oMath>
      <w:r>
        <w:t xml:space="preserve"> </w:t>
      </w:r>
      <w:r>
        <w:t xml:space="preserve">value closes the 9× gap.</w:t>
      </w:r>
    </w:p>
    <w:p>
      <w:pPr>
        <w:pStyle w:val="FirstParagraph"/>
      </w:pPr>
      <w:r>
        <w:t xml:space="preserve">The main text proposes that WB is better read as a near-threshold bistable case operating in the model’s transition zone rather than as a continuously above-threshold case parallel to PP. Three lines of evidence make this hypothesis plausible.</w:t>
      </w:r>
    </w:p>
    <w:p>
      <w:pPr>
        <w:pStyle w:val="BodyText"/>
      </w:pPr>
      <w:r>
        <w:rPr>
          <w:i/>
          <w:iCs/>
        </w:rPr>
        <w:t xml:space="preserve">Spatial extent.</w:t>
      </w:r>
      <w:r>
        <w:t xml:space="preserve"> </w:t>
      </w:r>
      <w:r>
        <w:t xml:space="preserve">The 20-fold difference in monumental footprint between WB (~6 ha) and PP (~140 ha) provides empirical traction on relative mobilization scale that does not depend on demographic estimates we do not have. Whatever WB’s exact population, the spatial scale of any individual construction event was small enough that one or two bands working together could plausibly account for the labor force visible in any single mound stage. PP’s spatial scale, by contrast, requires the multi-band coordinated mobilization that Ortmann and Kidder (2013) and Kidder et al. (2021) document in the basket-load stratigraphy and the multiple distinct fill-source recipes. A WB-scale labor force at PP could not have produced PP’s record; a PP-scale labor force at WB would have produced something we do not see.</w:t>
      </w:r>
    </w:p>
    <w:p>
      <w:pPr>
        <w:pStyle w:val="BodyText"/>
      </w:pPr>
      <w:r>
        <w:rPr>
          <w:i/>
          <w:iCs/>
        </w:rPr>
        <w:t xml:space="preserve">Construction tempo.</w:t>
      </w:r>
      <w:r>
        <w:t xml:space="preserve"> </w:t>
      </w:r>
      <w:r>
        <w:t xml:space="preserve">Saunders et al. (2005) document 200+ year inter-stage gaps at WB, with mound construction concentrated during stable intervals between ENSO pulses. This is qualitatively the bistable behavior the framework predicts in the transition zone: individual replicates tip toward either the aggregator regime or the independent regime, then can flip back over time as stochastic environmental fluctuations push effective uncertainty across the threshold. PP’s compressed 75-year construction window (Kidder and Grooms 2024) reflects sustained occupancy of the aggregator regime. WB’s multi-century hiatuses reflect intermittent occupancy of the same regime, separated by long periods of dispersed independent foraging. Both patterns are predicted by the same threshold framework, distinguished only by where each site sits in the bistable transition zone.</w:t>
      </w:r>
    </w:p>
    <w:p>
      <w:pPr>
        <w:pStyle w:val="BodyText"/>
      </w:pPr>
      <w:r>
        <w:rPr>
          <w:i/>
          <w:iCs/>
        </w:rPr>
        <w:t xml:space="preserve">Threshold proximity.</w:t>
      </w:r>
      <w:r>
        <w:t xml:space="preserve"> </w:t>
      </w:r>
      <w:r>
        <w:t xml:space="preserve">The smaller margin between</w:t>
      </w:r>
      <w:r>
        <w:t xml:space="preserve"> </w:t>
      </w:r>
      <m:oMath>
        <m:r>
          <m:t>σ</m:t>
        </m:r>
      </m:oMath>
      <w:r>
        <w:t xml:space="preserve"> </w:t>
      </w:r>
      <w:r>
        <w:t xml:space="preserve">and</w:t>
      </w:r>
      <w:r>
        <w:t xml:space="preserve"> </w:t>
      </w:r>
      <m:oMath>
        <m:sSup>
          <m:e>
            <m:r>
              <m:t>σ</m:t>
            </m:r>
          </m:e>
          <m:sup>
            <m:r>
              <m:rPr>
                <m:sty m:val="p"/>
              </m:rPr>
              <m:t>*</m:t>
            </m:r>
          </m:sup>
        </m:sSup>
      </m:oMath>
      <w:r>
        <w:t xml:space="preserve"> </w:t>
      </w:r>
      <w:r>
        <w:t xml:space="preserve">at WB (~0.18, vs. ~0.28 at PP) means that ordinary stochastic environmental variability can plausibly push effective uncertainty back below threshold for extended periods. At PP’s larger margin, the same magnitude of fluctuations would not. The framework’s bistable transition zone is finite in</w:t>
      </w:r>
      <w:r>
        <w:t xml:space="preserve"> </w:t>
      </w:r>
      <m:oMath>
        <m:sSub>
          <m:e>
            <m:r>
              <m:t>σ</m:t>
            </m:r>
          </m:e>
          <m:sub>
            <m:r>
              <m:t>e</m:t>
            </m:r>
            <m:r>
              <m:t>f</m:t>
            </m:r>
            <m:r>
              <m:t>f</m:t>
            </m:r>
          </m:sub>
        </m:sSub>
      </m:oMath>
      <w:r>
        <w:t xml:space="preserve">, and WB sits within it. The early-Holocene to mid-Holocene environmental record (Liefert and Shuman 2022; Saunders et al. 2005) is consistent with this: the WB occupation falls between abrupt-event punctuations rather than during a sustained high-variability interval like the 3800-3050 BP window in which PP operated.</w:t>
      </w:r>
    </w:p>
    <w:p>
      <w:pPr>
        <w:pStyle w:val="BodyText"/>
      </w:pPr>
      <w:r>
        <w:t xml:space="preserve">The 30× volume overprediction therefore reflects a</w:t>
      </w:r>
      <w:r>
        <w:t xml:space="preserve"> </w:t>
      </w:r>
      <w:r>
        <w:rPr>
          <w:i/>
          <w:iCs/>
        </w:rPr>
        <w:t xml:space="preserve">modeling choice</w:t>
      </w:r>
      <w:r>
        <w:t xml:space="preserve"> </w:t>
      </w:r>
      <w:r>
        <w:t xml:space="preserve">(running WB as a continuous above-threshold scenario) rather than a fundamental misclassification or a magnitude-calibration failure. WB is correctly identified as a system that crosses into the aggregator regime; what the equilibrium calculation cannot capture is that WB does not stay there. Most centuries are spent below threshold in the independent regime, and the multi-stage construction record reflects a small number of brief above-threshold episodes accumulated over ~700 years, each producing a single mound stage with a single-band or two-band labor force.</w:t>
      </w:r>
    </w:p>
    <w:p>
      <w:pPr>
        <w:pStyle w:val="BodyText"/>
      </w:pPr>
      <w:r>
        <w:t xml:space="preserve">If the bistable reading is correct, the same framework would account for both PP-style sustained mass aggregation and WB-style intermittent episodic construction, with the difference between the two regimes set by the</w:t>
      </w:r>
      <w:r>
        <w:t xml:space="preserve"> </w:t>
      </w:r>
      <m:oMath>
        <m:r>
          <m:t>σ</m:t>
        </m:r>
        <m:r>
          <m:rPr>
            <m:sty m:val="p"/>
          </m:rPr>
          <m:t>−</m:t>
        </m:r>
        <m:sSup>
          <m:e>
            <m:r>
              <m:t>σ</m:t>
            </m:r>
          </m:e>
          <m:sup>
            <m:r>
              <m:rPr>
                <m:sty m:val="p"/>
              </m:rPr>
              <m:t>*</m:t>
            </m:r>
          </m:sup>
        </m:sSup>
      </m:oMath>
      <w:r>
        <w:t xml:space="preserve"> </w:t>
      </w:r>
      <w:r>
        <w:t xml:space="preserve">margin and the resulting fraction of time spent in the aggregator regime. PP’s 75-year construction window would be what the framework predicts when conditions sit comfortably above threshold and a large</w:t>
      </w:r>
      <w:r>
        <w:t xml:space="preserve"> </w:t>
      </w:r>
      <m:oMath>
        <m:sSub>
          <m:e>
            <m:r>
              <m:t>n</m:t>
            </m:r>
          </m:e>
          <m:sub>
            <m:r>
              <m:t>a</m:t>
            </m:r>
            <m:r>
              <m:t>g</m:t>
            </m:r>
            <m:r>
              <m:t>g</m:t>
            </m:r>
          </m:sub>
        </m:sSub>
      </m:oMath>
      <w:r>
        <w:t xml:space="preserve"> </w:t>
      </w:r>
      <w:r>
        <w:t xml:space="preserve">is attained through convergence (main text §5.1). WB’s punctuated 700-year construction record would be what the framework predicts when conditions sit just above threshold,</w:t>
      </w:r>
      <w:r>
        <w:t xml:space="preserve"> </w:t>
      </w:r>
      <m:oMath>
        <m:sSub>
          <m:e>
            <m:r>
              <m:t>n</m:t>
            </m:r>
          </m:e>
          <m:sub>
            <m:r>
              <m:t>a</m:t>
            </m:r>
            <m:r>
              <m:t>g</m:t>
            </m:r>
            <m:r>
              <m:t>g</m:t>
            </m:r>
          </m:sub>
        </m:sSub>
      </m:oMath>
      <w:r>
        <w:t xml:space="preserve"> </w:t>
      </w:r>
      <w:r>
        <w:t xml:space="preserve">is small, and stochastic excursions below threshold dominate the long-term record. We emphasize the conditional. Until the regime-switching extension is fully implemented in the agent-based model, the WB pattern is consistent with the framework’s qualitative bistability prediction but is not a quantitative test of it.</w:t>
      </w:r>
    </w:p>
    <w:bookmarkEnd w:id="78"/>
    <w:bookmarkStart w:id="79" w:name="s10.2-n_agg-sensitivity-probe"/>
    <w:p>
      <w:pPr>
        <w:pStyle w:val="Heading3"/>
      </w:pPr>
      <w:r>
        <w:t xml:space="preserve">S10.2</w:t>
      </w:r>
      <w:r>
        <w:t xml:space="preserve"> </w:t>
      </w:r>
      <m:oMath>
        <m:sSub>
          <m:e>
            <m:r>
              <m:t>n</m:t>
            </m:r>
          </m:e>
          <m:sub>
            <m:r>
              <m:t>a</m:t>
            </m:r>
            <m:r>
              <m:t>g</m:t>
            </m:r>
            <m:r>
              <m:t>g</m:t>
            </m:r>
          </m:sub>
        </m:sSub>
      </m:oMath>
      <w:r>
        <w:t xml:space="preserve"> </w:t>
      </w:r>
      <w:r>
        <w:t xml:space="preserve">sensitivity probe</w:t>
      </w:r>
    </w:p>
    <w:p>
      <w:pPr>
        <w:pStyle w:val="FirstParagraph"/>
      </w:pPr>
      <w:r>
        <w:t xml:space="preserve">To partially probe the bistable hypothesis we ran two analytical sensitivity tests. First, an</w:t>
      </w:r>
      <w:r>
        <w:t xml:space="preserve"> </w:t>
      </w:r>
      <m:oMath>
        <m:sSub>
          <m:e>
            <m:r>
              <m:t>n</m:t>
            </m:r>
          </m:e>
          <m:sub>
            <m:r>
              <m:t>a</m:t>
            </m:r>
            <m:r>
              <m:t>g</m:t>
            </m:r>
            <m:r>
              <m:t>g</m:t>
            </m:r>
          </m:sub>
        </m:sSub>
      </m:oMath>
      <w:r>
        <w:t xml:space="preserve"> </w:t>
      </w:r>
      <w:r>
        <w:t xml:space="preserve">sweep at WB-appropriate parameters (</w:t>
      </w:r>
      <m:oMath>
        <m:r>
          <m:t>ε</m:t>
        </m:r>
        <m:r>
          <m:rPr>
            <m:sty m:val="p"/>
          </m:rPr>
          <m:t>=</m:t>
        </m:r>
        <m:r>
          <m:t>0.43</m:t>
        </m:r>
      </m:oMath>
      <w:r>
        <w:t xml:space="preserve">,</w:t>
      </w:r>
      <w:r>
        <w:t xml:space="preserve"> </w:t>
      </w:r>
      <m:oMath>
        <m:r>
          <m:t>σ</m:t>
        </m:r>
        <m:r>
          <m:rPr>
            <m:sty m:val="p"/>
          </m:rPr>
          <m:t>=</m:t>
        </m:r>
        <m:r>
          <m:t>0.56</m:t>
        </m:r>
      </m:oMath>
      <w:r>
        <w:t xml:space="preserve">,</w:t>
      </w:r>
      <w:r>
        <w:t xml:space="preserve"> </w:t>
      </w:r>
      <m:oMath>
        <m:sSub>
          <m:e>
            <m:r>
              <m:t>n</m:t>
            </m:r>
          </m:e>
          <m:sub>
            <m:r>
              <m:t>a</m:t>
            </m:r>
            <m:r>
              <m:t>g</m:t>
            </m:r>
            <m:r>
              <m:t>g</m:t>
            </m:r>
          </m:sub>
        </m:sSub>
        <m:r>
          <m:rPr>
            <m:sty m:val="p"/>
          </m:rPr>
          <m:t>∈</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15</m:t>
        </m:r>
        <m:r>
          <m:rPr>
            <m:sty m:val="p"/>
          </m:rPr>
          <m:t>,</m:t>
        </m:r>
        <m:r>
          <m:t>25</m:t>
        </m:r>
        <m:r>
          <m:rPr>
            <m:sty m:val="p"/>
          </m:rPr>
          <m:t>}</m:t>
        </m:r>
      </m:oMath>
      <w:r>
        <w:t xml:space="preserve">). Across this range</w:t>
      </w:r>
      <w:r>
        <w:t xml:space="preserve"> </w:t>
      </w:r>
      <m:oMath>
        <m:sSup>
          <m:e>
            <m:r>
              <m:t>σ</m:t>
            </m:r>
          </m:e>
          <m:sup>
            <m:r>
              <m:rPr>
                <m:sty m:val="p"/>
              </m:rPr>
              <m:t>*</m:t>
            </m:r>
          </m:sup>
        </m:sSup>
      </m:oMath>
      <w:r>
        <w:t xml:space="preserve"> </w:t>
      </w:r>
      <w:r>
        <w:t xml:space="preserve">varies only between 0.374 and 0.378 (the framework’s threshold is essentially insensitive to</w:t>
      </w:r>
      <w:r>
        <w:t xml:space="preserve"> </w:t>
      </w:r>
      <m:oMath>
        <m:sSub>
          <m:e>
            <m:r>
              <m:t>n</m:t>
            </m:r>
          </m:e>
          <m:sub>
            <m:r>
              <m:t>a</m:t>
            </m:r>
            <m:r>
              <m:t>g</m:t>
            </m:r>
            <m:r>
              <m:t>g</m:t>
            </m:r>
          </m:sub>
        </m:sSub>
      </m:oMath>
      <w:r>
        <w:t xml:space="preserve"> </w:t>
      </w:r>
      <w:r>
        <w:t xml:space="preserve">over the plausible range), and equilibrium monument stock</w:t>
      </w:r>
      <w:r>
        <w:t xml:space="preserve"> </w:t>
      </w:r>
      <m:oMath>
        <m:sSub>
          <m:e>
            <m:r>
              <m:t>M</m:t>
            </m:r>
          </m:e>
          <m:sub>
            <m:r>
              <m:t>g</m:t>
            </m:r>
          </m:sub>
        </m:sSub>
      </m:oMath>
      <w:r>
        <w:t xml:space="preserve"> </w:t>
      </w:r>
      <w:r>
        <w:t xml:space="preserve">scales nearly linearly with</w:t>
      </w:r>
      <w:r>
        <w:t xml:space="preserve"> </w:t>
      </w:r>
      <m:oMath>
        <m:sSub>
          <m:e>
            <m:r>
              <m:t>n</m:t>
            </m:r>
          </m:e>
          <m:sub>
            <m:r>
              <m:t>a</m:t>
            </m:r>
            <m:r>
              <m:t>g</m:t>
            </m:r>
            <m:r>
              <m:t>g</m:t>
            </m:r>
          </m:sub>
        </m:sSub>
      </m:oMath>
      <w:r>
        <w:t xml:space="preserve">:</w:t>
      </w:r>
      <w:r>
        <w:t xml:space="preserve"> </w:t>
      </w:r>
      <m:oMath>
        <m:sSub>
          <m:e>
            <m:r>
              <m:t>M</m:t>
            </m:r>
          </m:e>
          <m:sub>
            <m:r>
              <m:t>g</m:t>
            </m:r>
          </m:sub>
        </m:sSub>
        <m:r>
          <m:rPr>
            <m:sty m:val="p"/>
          </m:rPr>
          <m:t>=</m:t>
        </m:r>
        <m:r>
          <m:t>15.6</m:t>
        </m:r>
      </m:oMath>
      <w:r>
        <w:t xml:space="preserve"> </w:t>
      </w:r>
      <w:r>
        <w:t xml:space="preserve">at</w:t>
      </w:r>
      <w:r>
        <w:t xml:space="preserve"> </w:t>
      </w:r>
      <m:oMath>
        <m:sSub>
          <m:e>
            <m:r>
              <m:t>n</m:t>
            </m:r>
          </m:e>
          <m:sub>
            <m:r>
              <m:t>a</m:t>
            </m:r>
            <m:r>
              <m:t>g</m:t>
            </m:r>
            <m:r>
              <m:t>g</m:t>
            </m:r>
          </m:sub>
        </m:sSub>
        <m:r>
          <m:rPr>
            <m:sty m:val="p"/>
          </m:rPr>
          <m:t>=</m:t>
        </m:r>
        <m:r>
          <m:t>3</m:t>
        </m:r>
      </m:oMath>
      <w:r>
        <w:t xml:space="preserve">,</w:t>
      </w:r>
      <w:r>
        <w:t xml:space="preserve"> </w:t>
      </w:r>
      <m:oMath>
        <m:sSub>
          <m:e>
            <m:r>
              <m:t>M</m:t>
            </m:r>
          </m:e>
          <m:sub>
            <m:r>
              <m:t>g</m:t>
            </m:r>
          </m:sub>
        </m:sSub>
        <m:r>
          <m:rPr>
            <m:sty m:val="p"/>
          </m:rPr>
          <m:t>=</m:t>
        </m:r>
        <m:r>
          <m:t>41.6</m:t>
        </m:r>
      </m:oMath>
      <w:r>
        <w:t xml:space="preserve"> </w:t>
      </w:r>
      <w:r>
        <w:t xml:space="preserve">at</w:t>
      </w:r>
      <w:r>
        <w:t xml:space="preserve"> </w:t>
      </w:r>
      <m:oMath>
        <m:sSub>
          <m:e>
            <m:r>
              <m:t>n</m:t>
            </m:r>
          </m:e>
          <m:sub>
            <m:r>
              <m:t>a</m:t>
            </m:r>
            <m:r>
              <m:t>g</m:t>
            </m:r>
            <m:r>
              <m:t>g</m:t>
            </m:r>
          </m:sub>
        </m:sSub>
        <m:r>
          <m:rPr>
            <m:sty m:val="p"/>
          </m:rPr>
          <m:t>=</m:t>
        </m:r>
        <m:r>
          <m:t>8</m:t>
        </m:r>
      </m:oMath>
      <w:r>
        <w:t xml:space="preserve"> </w:t>
      </w:r>
      <w:r>
        <w:t xml:space="preserve">(the value used in main §6.3 and in the S10.1 derivation above), and</w:t>
      </w:r>
      <w:r>
        <w:t xml:space="preserve"> </w:t>
      </w:r>
      <m:oMath>
        <m:sSub>
          <m:e>
            <m:r>
              <m:t>M</m:t>
            </m:r>
          </m:e>
          <m:sub>
            <m:r>
              <m:t>g</m:t>
            </m:r>
          </m:sub>
        </m:sSub>
        <m:r>
          <m:rPr>
            <m:sty m:val="p"/>
          </m:rPr>
          <m:t>=</m:t>
        </m:r>
        <m:r>
          <m:t>129.8</m:t>
        </m:r>
      </m:oMath>
      <w:r>
        <w:t xml:space="preserve"> </w:t>
      </w:r>
      <w:r>
        <w:t xml:space="preserve">at</w:t>
      </w:r>
      <w:r>
        <w:t xml:space="preserve"> </w:t>
      </w:r>
      <m:oMath>
        <m:sSub>
          <m:e>
            <m:r>
              <m:t>n</m:t>
            </m:r>
          </m:e>
          <m:sub>
            <m:r>
              <m:t>a</m:t>
            </m:r>
            <m:r>
              <m:t>g</m:t>
            </m:r>
            <m:r>
              <m:t>g</m:t>
            </m:r>
          </m:sub>
        </m:sSub>
        <m:r>
          <m:rPr>
            <m:sty m:val="p"/>
          </m:rPr>
          <m:t>=</m:t>
        </m:r>
        <m:r>
          <m:t>25</m:t>
        </m:r>
      </m:oMath>
      <w:r>
        <w:t xml:space="preserve">. Applying the S10.1 conversion factor (</w:t>
      </w:r>
      <m:oMath>
        <m:r>
          <m:rPr>
            <m:sty m:val="p"/>
          </m:rPr>
          <m:t>∼</m:t>
        </m:r>
        <m:r>
          <m:t>5</m:t>
        </m:r>
        <m:r>
          <m:rPr>
            <m:sty m:val="p"/>
          </m:rPr>
          <m:t>,</m:t>
        </m:r>
        <m:r>
          <m:t>779</m:t>
        </m:r>
      </m:oMath>
      <w:r>
        <w:t xml:space="preserve"> </w:t>
      </w:r>
      <w:r>
        <w:t xml:space="preserve">m³/</w:t>
      </w:r>
      <m:oMath>
        <m:sSub>
          <m:e>
            <m:r>
              <m:t>M</m:t>
            </m:r>
          </m:e>
          <m:sub>
            <m:r>
              <m:t>g</m:t>
            </m:r>
          </m:sub>
        </m:sSub>
      </m:oMath>
      <w:r>
        <w:t xml:space="preserve"> </w:t>
      </w:r>
      <w:r>
        <w:t xml:space="preserve">unit), the predicted volume at</w:t>
      </w:r>
      <w:r>
        <w:t xml:space="preserve"> </w:t>
      </w:r>
      <m:oMath>
        <m:sSub>
          <m:e>
            <m:r>
              <m:t>n</m:t>
            </m:r>
          </m:e>
          <m:sub>
            <m:r>
              <m:t>a</m:t>
            </m:r>
            <m:r>
              <m:t>g</m:t>
            </m:r>
            <m:r>
              <m:t>g</m:t>
            </m:r>
          </m:sub>
        </m:sSub>
        <m:r>
          <m:rPr>
            <m:sty m:val="p"/>
          </m:rPr>
          <m:t>=</m:t>
        </m:r>
        <m:r>
          <m:t>3</m:t>
        </m:r>
      </m:oMath>
      <w:r>
        <w:t xml:space="preserve"> </w:t>
      </w:r>
      <w:r>
        <w:t xml:space="preserve">is</w:t>
      </w:r>
      <w:r>
        <w:t xml:space="preserve"> </w:t>
      </w:r>
      <m:oMath>
        <m:r>
          <m:t>15.6</m:t>
        </m:r>
        <m:r>
          <m:rPr>
            <m:sty m:val="p"/>
          </m:rPr>
          <m:t>×</m:t>
        </m:r>
        <m:r>
          <m:t>5</m:t>
        </m:r>
        <m:r>
          <m:rPr>
            <m:sty m:val="p"/>
          </m:rPr>
          <m:t>,</m:t>
        </m:r>
        <m:r>
          <m:t>779</m:t>
        </m:r>
        <m:r>
          <m:rPr>
            <m:sty m:val="p"/>
          </m:rPr>
          <m:t>≈</m:t>
        </m:r>
        <m:r>
          <m:t>90</m:t>
        </m:r>
        <m:r>
          <m:rPr>
            <m:sty m:val="p"/>
          </m:rPr>
          <m:t>,</m:t>
        </m:r>
        <m:r>
          <m:t>000</m:t>
        </m:r>
      </m:oMath>
      <w:r>
        <w:t xml:space="preserve"> </w:t>
      </w:r>
      <w:r>
        <w:t xml:space="preserve">m³, still ~3× larger than the LiDAR-derived per-mound volume of 27,065 m³. Demographic uncertainty over plausible WB band counts therefore cannot by itself close the continuous-equilibrium overshoot. Some additional mechanism (regime-switching, smaller per-event labor concentration, or both) is required.</w:t>
      </w:r>
    </w:p>
    <w:p>
      <w:pPr>
        <w:pStyle w:val="BodyText"/>
      </w:pPr>
      <w:r>
        <w:t xml:space="preserve">Second, a stochastic-environment pilot at WB parameters. Treating the year-to-year regional environmental fluctuations as Gaussian noise around the central WB estimate (</w:t>
      </w:r>
      <m:oMath>
        <m:r>
          <m:t>σ</m:t>
        </m:r>
      </m:oMath>
      <w:r>
        <w:t xml:space="preserve"> </w:t>
      </w:r>
      <w:r>
        <w:t xml:space="preserve">mean 0.56, sd 0.13, derived from the main-text §6.2 paleoclimate confidence interval) and computing the fraction of years for which</w:t>
      </w:r>
      <w:r>
        <w:t xml:space="preserve"> </w:t>
      </w:r>
      <m:oMath>
        <m:sSub>
          <m:e>
            <m:r>
              <m:t>σ</m:t>
            </m:r>
          </m:e>
          <m:sub>
            <m:r>
              <m:t>e</m:t>
            </m:r>
            <m:r>
              <m:t>f</m:t>
            </m:r>
            <m:r>
              <m:t>f</m:t>
            </m:r>
          </m:sub>
        </m:sSub>
      </m:oMath>
      <w:r>
        <w:t xml:space="preserve"> </w:t>
      </w:r>
      <w:r>
        <w:t xml:space="preserve">exceeds the WB threshold</w:t>
      </w:r>
      <w:r>
        <w:t xml:space="preserve"> </w:t>
      </w:r>
      <m:oMath>
        <m:sSup>
          <m:e>
            <m:r>
              <m:t>σ</m:t>
            </m:r>
          </m:e>
          <m:sup>
            <m:r>
              <m:rPr>
                <m:sty m:val="p"/>
              </m:rPr>
              <m:t>*</m:t>
            </m:r>
          </m:sup>
        </m:sSup>
        <m:r>
          <m:rPr>
            <m:sty m:val="p"/>
          </m:rPr>
          <m:t>≈</m:t>
        </m:r>
        <m:r>
          <m:t>0.375</m:t>
        </m:r>
      </m:oMath>
      <w:r>
        <w:t xml:space="preserve">, the model predicts approximately 22.5% of the 700-year WB span (95% CI 18-27%) as years in the aggregator regime; the remaining 77.5% are years below threshold in the independent regime. By comparison, the PP active 75-year window with the same noise model has approximately 31.6% aggregator-years, yielding a higher and more consistent above-threshold occupancy. The WB result is qualitatively consistent with the bistable hypothesis: WB is predicted to spend most centuries below threshold, with intermittent above-threshold pulses producing the multi-stage construction record. Under the refined LiDAR-derived per-mound WB volume of 27,065 m³, the 22.5% aggregator-share interval combined with per-event labor scaling at</w:t>
      </w:r>
      <w:r>
        <w:t xml:space="preserve"> </w:t>
      </w:r>
      <m:oMath>
        <m:r>
          <m:t>α</m:t>
        </m:r>
        <m:r>
          <m:rPr>
            <m:sty m:val="p"/>
          </m:rPr>
          <m:t>=</m:t>
        </m:r>
        <m:r>
          <m:t>2</m:t>
        </m:r>
      </m:oMath>
      <w:r>
        <w:t xml:space="preserve"> </w:t>
      </w:r>
      <w:r>
        <w:t xml:space="preserve">(§S17.2) produces ~25,000 m³ of cumulative investment, essentially matching the observed value within ~7%. Closing the gap therefore primarily requires the per-event labor-scaling extension; the bistable regime-switching mechanism contributes the episodic</w:t>
      </w:r>
      <w:r>
        <w:t xml:space="preserve"> </w:t>
      </w:r>
      <w:r>
        <w:rPr>
          <w:i/>
          <w:iCs/>
        </w:rPr>
        <w:t xml:space="preserve">tempo</w:t>
      </w:r>
      <w:r>
        <w:t xml:space="preserve"> </w:t>
      </w:r>
      <w:r>
        <w:t xml:space="preserve">(matching the 200+-year inter-stage gaps documented by Saunders et al. 2005) rather than the total volume. Both extensions are implemented in §S17.1 (regime switching) and §S17.2 (per-event labor scaling) below.</w:t>
      </w:r>
    </w:p>
    <w:p>
      <w:r>
        <w:pict>
          <v:rect style="width:0;height:1.5pt" o:hralign="center" o:hrstd="t" o:hr="t"/>
        </w:pict>
      </w:r>
    </w:p>
    <w:bookmarkEnd w:id="79"/>
    <w:bookmarkEnd w:id="80"/>
    <w:bookmarkStart w:id="81" w:name="X0769aa5741e11170a5f27a581a02296b6581b8e"/>
    <w:p>
      <w:pPr>
        <w:pStyle w:val="Heading2"/>
      </w:pPr>
      <w:r>
        <w:t xml:space="preserve">S11. Magnitude prediction: five gaps the framework does not address</w:t>
      </w:r>
    </w:p>
    <w:p>
      <w:pPr>
        <w:pStyle w:val="FirstParagraph"/>
      </w:pPr>
      <w:r>
        <w:t xml:space="preserve">The main text (§4.6, §5.1) summarizes that the framework correctly predicts the threshold-crossing condition (all eleven LMV sites in Table 2 above their site-specific</w:t>
      </w:r>
      <w:r>
        <w:t xml:space="preserve"> </w:t>
      </w:r>
      <m:oMath>
        <m:sSup>
          <m:e>
            <m:r>
              <m:t>σ</m:t>
            </m:r>
          </m:e>
          <m:sup>
            <m:r>
              <m:rPr>
                <m:sty m:val="p"/>
              </m:rPr>
              <m:t>*</m:t>
            </m:r>
          </m:sup>
        </m:sSup>
      </m:oMath>
      <w:r>
        <w:t xml:space="preserve">) but not the magnitude variation among above-threshold sites. The variation is set by network, spatial, and demographic dynamics that constitute a different model. We enumerate here the five sources of magnitude variation that the present framework explicitly does not track.</w:t>
      </w:r>
    </w:p>
    <w:p>
      <w:pPr>
        <w:numPr>
          <w:ilvl w:val="0"/>
          <w:numId w:val="1003"/>
        </w:numPr>
      </w:pPr>
      <w:r>
        <w:rPr>
          <w:i/>
          <w:iCs/>
        </w:rPr>
        <w:t xml:space="preserve">Spatial network topology and routing.</w:t>
      </w:r>
      <w:r>
        <w:t xml:space="preserve"> </w:t>
      </w:r>
      <w:r>
        <w:t xml:space="preserve">Poverty Point sits at a specific position in the regional exchange network, accessible by water from multiple directions through Macon Ridge, the Mississippi alluvial valley, and the Yazoo Basin drainages. Bands traveling hundreds of kilometers to attend made specific routing choices that the framework’s single-site abstraction does not capture. A spatially explicit network model might predict primacy from betweenness centrality or accessibility metrics; ours does not.</w:t>
      </w:r>
    </w:p>
    <w:p>
      <w:pPr>
        <w:numPr>
          <w:ilvl w:val="0"/>
          <w:numId w:val="1003"/>
        </w:numPr>
      </w:pPr>
      <w:r>
        <w:rPr>
          <w:i/>
          <w:iCs/>
        </w:rPr>
        <w:t xml:space="preserve">Carrying capacity at the gathering.</w:t>
      </w:r>
      <w:r>
        <w:t xml:space="preserve"> </w:t>
      </w:r>
      <w:r>
        <w:t xml:space="preserve">The ecotone parameter</w:t>
      </w:r>
      <w:r>
        <w:t xml:space="preserve"> </w:t>
      </w:r>
      <m:oMath>
        <m:r>
          <m:t>ε</m:t>
        </m:r>
      </m:oMath>
      <w:r>
        <w:t xml:space="preserve"> </w:t>
      </w:r>
      <w:r>
        <w:t xml:space="preserve">measures local 25-km diversity, which buffers risk during gatherings, but it does not set a ceiling on the number of bands the catchment can sustain through an extended aggregation. PP’s catchment may simply support a larger sustained population than Watson Brake’s at similar Shannon</w:t>
      </w:r>
      <w:r>
        <w:t xml:space="preserve"> </w:t>
      </w:r>
      <m:oMath>
        <m:r>
          <m:t>ε</m:t>
        </m:r>
      </m:oMath>
      <w:r>
        <w:t xml:space="preserve">; we do not explicitly model the population × duration × resource budget that determines this ceiling.</w:t>
      </w:r>
    </w:p>
    <w:p>
      <w:pPr>
        <w:numPr>
          <w:ilvl w:val="0"/>
          <w:numId w:val="1003"/>
        </w:numPr>
      </w:pPr>
      <w:r>
        <w:rPr>
          <w:i/>
          <w:iCs/>
        </w:rPr>
        <w:t xml:space="preserve">Path dependence and first-mover advantage.</w:t>
      </w:r>
      <w:r>
        <w:t xml:space="preserve"> </w:t>
      </w:r>
      <w:r>
        <w:t xml:space="preserve">Once a site has accumulated prestige and infrastructure, it becomes more attractive in subsequent gatherings, a positive feedback layered on top of the within-scenario cooperation-network feedback that the model already includes. This is hysteresis at the regional scale: the historically realized PP could have been a different ecotonally-equivalent site under different initial conditions, but once selected it locks in. The model has within-scenario feedback but no across-site selection mechanism.</w:t>
      </w:r>
    </w:p>
    <w:p>
      <w:pPr>
        <w:numPr>
          <w:ilvl w:val="0"/>
          <w:numId w:val="1003"/>
        </w:numPr>
      </w:pPr>
      <w:r>
        <w:rPr>
          <w:i/>
          <w:iCs/>
        </w:rPr>
        <w:t xml:space="preserve">Temporal heterogeneity in</w:t>
      </w:r>
      <w:r>
        <w:rPr>
          <w:i/>
          <w:iCs/>
        </w:rPr>
        <w:t xml:space="preserve"> </w:t>
      </w:r>
      <m:oMath>
        <m:r>
          <m:t>σ</m:t>
        </m:r>
      </m:oMath>
      <w:r>
        <w:rPr>
          <w:i/>
          <w:iCs/>
        </w:rPr>
        <w:t xml:space="preserve">.</w:t>
      </w:r>
      <w:r>
        <w:t xml:space="preserve"> </w:t>
      </w:r>
      <w:r>
        <w:t xml:space="preserve">The Middle Archaic LMV sites (Watson Brake, Caney, Insley, Frenchman’s Bend, Lower Jackson) operated under mid-Holocene</w:t>
      </w:r>
      <w:r>
        <w:t xml:space="preserve"> </w:t>
      </w:r>
      <m:oMath>
        <m:r>
          <m:t>σ</m:t>
        </m:r>
        <m:r>
          <m:rPr>
            <m:sty m:val="p"/>
          </m:rPr>
          <m:t>≈</m:t>
        </m:r>
        <m:r>
          <m:t>0.56</m:t>
        </m:r>
      </m:oMath>
      <w:r>
        <w:t xml:space="preserve">; the Late Archaic sites (Poverty Point, J.W. Copes, Jaketown, Cowpen Slough) operated under</w:t>
      </w:r>
      <w:r>
        <w:t xml:space="preserve"> </w:t>
      </w:r>
      <m:oMath>
        <m:r>
          <m:t>σ</m:t>
        </m:r>
        <m:r>
          <m:rPr>
            <m:sty m:val="p"/>
          </m:rPr>
          <m:t>≈</m:t>
        </m:r>
        <m:r>
          <m:t>0.64</m:t>
        </m:r>
      </m:oMath>
      <w:r>
        <w:t xml:space="preserve">. Comparing all eleven sites against a single regional</w:t>
      </w:r>
      <w:r>
        <w:t xml:space="preserve"> </w:t>
      </w:r>
      <m:oMath>
        <m:r>
          <m:t>σ</m:t>
        </m:r>
      </m:oMath>
      <w:r>
        <w:t xml:space="preserve"> </w:t>
      </w:r>
      <w:r>
        <w:t xml:space="preserve">smooths over real environmental differences in their</w:t>
      </w:r>
      <w:r>
        <w:t xml:space="preserve"> </w:t>
      </w:r>
      <m:oMath>
        <m:r>
          <m:t>σ</m:t>
        </m:r>
        <m:r>
          <m:rPr>
            <m:sty m:val="p"/>
          </m:rPr>
          <m:t>−</m:t>
        </m:r>
        <m:sSup>
          <m:e>
            <m:r>
              <m:t>σ</m:t>
            </m:r>
          </m:e>
          <m:sup>
            <m:r>
              <m:rPr>
                <m:sty m:val="p"/>
              </m:rPr>
              <m:t>*</m:t>
            </m:r>
          </m:sup>
        </m:sSup>
      </m:oMath>
      <w:r>
        <w:t xml:space="preserve"> </w:t>
      </w:r>
      <w:r>
        <w:t xml:space="preserve">margins. A time-stratified analysis would tighten the cross-site comparison.</w:t>
      </w:r>
    </w:p>
    <w:p>
      <w:pPr>
        <w:numPr>
          <w:ilvl w:val="0"/>
          <w:numId w:val="1003"/>
        </w:numPr>
      </w:pPr>
      <w:r>
        <w:rPr>
          <w:i/>
          <w:iCs/>
        </w:rPr>
        <w:t xml:space="preserve">Reduction of structure to a single number.</w:t>
      </w:r>
      <w:r>
        <w:t xml:space="preserve"> </w:t>
      </w:r>
      <w:r>
        <w:t xml:space="preserve">The Shannon index reduces five zone weights to one scalar, washing out structural differences (one-dominant vs. evenly-distributed) that may matter for sustained aggregation. The EPA Level IV ecoregion measurement (S12) shows that two operationalizations of</w:t>
      </w:r>
      <w:r>
        <w:t xml:space="preserve"> </w:t>
      </w:r>
      <w:r>
        <w:t xml:space="preserve">“ecotone diversity”</w:t>
      </w:r>
      <w:r>
        <w:t xml:space="preserve"> </w:t>
      </w:r>
      <w:r>
        <w:t xml:space="preserve">give different rankings: Watson Brake intersects the highest Level IV count (7), with Caney (6) and Frenchman’s Bend (6) close behind, while Jaketown’s catchment is dominated by Northern Holocene Meander Belts (73a; ~82% of the 25 km buffer) consistent with its Yazoo Basin meander-belt setting; yet Watson Brake’s monument scale is mid, Caney’s mid, Frenchman’s Bend’s small, and Poverty Point’s largest by orders of magnitude despite a more modest L4 count (4). There is no single</w:t>
      </w:r>
      <w:r>
        <w:t xml:space="preserve"> </w:t>
      </w:r>
      <m:oMath>
        <m:r>
          <m:t>ε</m:t>
        </m:r>
      </m:oMath>
      <w:r>
        <w:t xml:space="preserve"> </w:t>
      </w:r>
      <w:r>
        <w:t xml:space="preserve">that captures the relevant ecological-diversity dimension.</w:t>
      </w:r>
    </w:p>
    <w:p>
      <w:pPr>
        <w:pStyle w:val="FirstParagraph"/>
      </w:pPr>
      <w:r>
        <w:t xml:space="preserve">These five gaps explain why the framework correctly predicts the</w:t>
      </w:r>
      <w:r>
        <w:t xml:space="preserve"> </w:t>
      </w:r>
      <w:r>
        <w:rPr>
          <w:i/>
          <w:iCs/>
        </w:rPr>
        <w:t xml:space="preserve">threshold-crossing condition</w:t>
      </w:r>
      <w:r>
        <w:t xml:space="preserve"> </w:t>
      </w:r>
      <w:r>
        <w:t xml:space="preserve">but not the</w:t>
      </w:r>
      <w:r>
        <w:t xml:space="preserve"> </w:t>
      </w:r>
      <w:r>
        <w:rPr>
          <w:i/>
          <w:iCs/>
        </w:rPr>
        <w:t xml:space="preserve">magnitude variation</w:t>
      </w:r>
      <w:r>
        <w:t xml:space="preserve"> </w:t>
      </w:r>
      <w:r>
        <w:t xml:space="preserve">among above-threshold sites. The variation is set by network, spatial, and demographic dynamics that constitute a different model. Closing the magnitude prediction would require a regional spatially-explicit ABM with explicit network topology, carrying-capacity dynamics, and across-site selection. This extension is identified as priority follow-up work in main §7.4 and implemented in §S17.3 (minimal regional band-allocation version) below.</w:t>
      </w:r>
    </w:p>
    <w:p>
      <w:r>
        <w:pict>
          <v:rect style="width:0;height:1.5pt" o:hralign="center" o:hrstd="t" o:hr="t"/>
        </w:pict>
      </w:r>
    </w:p>
    <w:bookmarkEnd w:id="81"/>
    <w:bookmarkStart w:id="82" w:name="Xe0ea6b23fc108217560814ad28b4dba14359c18"/>
    <w:p>
      <w:pPr>
        <w:pStyle w:val="Heading2"/>
      </w:pPr>
      <w:r>
        <w:t xml:space="preserve">S12. GIS-based ecotone diversity comparison (EPA Level IV ecoregions)</w:t>
      </w:r>
    </w:p>
    <w:p>
      <w:pPr>
        <w:pStyle w:val="FirstParagraph"/>
      </w:pPr>
      <w:r>
        <w:t xml:space="preserve">The main text (§6.4) summarizes that two GIS-based diversity indices applied to each of the eleven Table 2 sites produce different rankings, and that the qualitative rubric correlates only weakly with geomorphic diversity (</w:t>
      </w:r>
      <m:oMath>
        <m:r>
          <m:t>ρ</m:t>
        </m:r>
        <m:r>
          <m:rPr>
            <m:sty m:val="p"/>
          </m:rPr>
          <m:t>=</m:t>
        </m:r>
        <m:r>
          <m:t>0.22</m:t>
        </m:r>
      </m:oMath>
      <w:r>
        <w:t xml:space="preserve">, n.s.) and not at all with Level IV ecological diversity (</w:t>
      </w:r>
      <m:oMath>
        <m:r>
          <m:t>ρ</m:t>
        </m:r>
        <m:r>
          <m:rPr>
            <m:sty m:val="p"/>
          </m:rPr>
          <m:t>=</m:t>
        </m:r>
        <m:r>
          <m:rPr>
            <m:sty m:val="p"/>
          </m:rPr>
          <m:t>−</m:t>
        </m:r>
        <m:r>
          <m:t>0.02</m:t>
        </m:r>
      </m:oMath>
      <w:r>
        <w:t xml:space="preserve">, n.s.). Full detail is given here.</w:t>
      </w:r>
    </w:p>
    <w:p>
      <w:pPr>
        <w:pStyle w:val="BodyText"/>
      </w:pPr>
      <w:r>
        <w:t xml:space="preserve">We computed two independent GIS-based diversity indices for each of the eleven sites, each using a 25 km foraging buffer (Kelly 2013 day-trip radius). The first uses the USGS digitization of Saucier (1994) and computes Shannon entropy over the area-weighted geomorphic age classes (Holocene Alluvial Valley, Holocene Deltaic and Chenier Plains, Pleistocene, unmapped upland). The second uses the EPA Office of Research and Development’s Level IV ecoregion classification (Omernik and Griffith 2014) and computes Shannon entropy over the area-weighted Level IV ecoregion classes within each buffer. The two indices answer different questions: the geomorphic index measures depositional-age heterogeneity, while the EPA L4 index measures fine-grained ecological heterogeneity (it explicitly distinguishes Macon Ridge, Northern Holocene Meander Belts, Backswamps, Loess Plains, Tertiary Uplands, Gulf Coast Flatwoods, Coastal Marshes, and many more, with 59 distinct Level IV classes across the three states involved).</w:t>
      </w:r>
    </w:p>
    <w:p>
      <w:pPr>
        <w:pStyle w:val="BodyText"/>
      </w:pPr>
      <w:r>
        <w:t xml:space="preserve">The Spearman correlation between qualitative</w:t>
      </w:r>
      <w:r>
        <w:t xml:space="preserve"> </w:t>
      </w:r>
      <m:oMath>
        <m:r>
          <m:t>ε</m:t>
        </m:r>
      </m:oMath>
      <w:r>
        <w:t xml:space="preserve"> </w:t>
      </w:r>
      <w:r>
        <w:t xml:space="preserve">and GIS-measured geomorphic</w:t>
      </w:r>
      <w:r>
        <w:t xml:space="preserve"> </w:t>
      </w:r>
      <m:oMath>
        <m:r>
          <m:t>ε</m:t>
        </m:r>
      </m:oMath>
      <w:r>
        <w:t xml:space="preserve"> </w:t>
      </w:r>
      <w:r>
        <w:t xml:space="preserve">is</w:t>
      </w:r>
      <w:r>
        <w:t xml:space="preserve"> </w:t>
      </w:r>
      <m:oMath>
        <m:r>
          <m:t>ρ</m:t>
        </m:r>
        <m:r>
          <m:rPr>
            <m:sty m:val="p"/>
          </m:rPr>
          <m:t>=</m:t>
        </m:r>
        <m:r>
          <m:t>0.22</m:t>
        </m:r>
      </m:oMath>
      <w:r>
        <w:t xml:space="preserve">,</w:t>
      </w:r>
      <w:r>
        <w:t xml:space="preserve"> </w:t>
      </w:r>
      <m:oMath>
        <m:r>
          <m:t>p</m:t>
        </m:r>
        <m:r>
          <m:rPr>
            <m:sty m:val="p"/>
          </m:rPr>
          <m:t>=</m:t>
        </m:r>
        <m:r>
          <m:t>0.53</m:t>
        </m:r>
      </m:oMath>
      <w:r>
        <w:t xml:space="preserve">; the qualitative rubric only weakly tracks geomorphic diversity, and the correlation is not statistically significant. The Spearman correlation between qualitative</w:t>
      </w:r>
      <w:r>
        <w:t xml:space="preserve"> </w:t>
      </w:r>
      <m:oMath>
        <m:r>
          <m:t>ε</m:t>
        </m:r>
      </m:oMath>
      <w:r>
        <w:t xml:space="preserve"> </w:t>
      </w:r>
      <w:r>
        <w:t xml:space="preserve">and EPA-L4</w:t>
      </w:r>
      <w:r>
        <w:t xml:space="preserve"> </w:t>
      </w:r>
      <m:oMath>
        <m:r>
          <m:t>ε</m:t>
        </m:r>
      </m:oMath>
      <w:r>
        <w:t xml:space="preserve"> </w:t>
      </w:r>
      <w:r>
        <w:t xml:space="preserve">is</w:t>
      </w:r>
      <w:r>
        <w:t xml:space="preserve"> </w:t>
      </w:r>
      <m:oMath>
        <m:r>
          <m:t>ρ</m:t>
        </m:r>
        <m:r>
          <m:rPr>
            <m:sty m:val="p"/>
          </m:rPr>
          <m:t>=</m:t>
        </m:r>
        <m:r>
          <m:rPr>
            <m:sty m:val="p"/>
          </m:rPr>
          <m:t>−</m:t>
        </m:r>
        <m:r>
          <m:t>0.02</m:t>
        </m:r>
      </m:oMath>
      <w:r>
        <w:t xml:space="preserve">,</w:t>
      </w:r>
      <w:r>
        <w:t xml:space="preserve"> </w:t>
      </w:r>
      <m:oMath>
        <m:r>
          <m:t>p</m:t>
        </m:r>
        <m:r>
          <m:rPr>
            <m:sty m:val="p"/>
          </m:rPr>
          <m:t>=</m:t>
        </m:r>
        <m:r>
          <m:t>0.96</m:t>
        </m:r>
      </m:oMath>
      <w:r>
        <w:t xml:space="preserve">; the qualitative rubric does</w:t>
      </w:r>
      <w:r>
        <w:t xml:space="preserve"> </w:t>
      </w:r>
      <w:r>
        <w:rPr>
          <w:i/>
          <w:iCs/>
        </w:rPr>
        <w:t xml:space="preserve">not</w:t>
      </w:r>
      <w:r>
        <w:t xml:space="preserve"> </w:t>
      </w:r>
      <w:r>
        <w:t xml:space="preserve">track Level IV ecological diversity. The reason for both null results is that the qualitative rubric was constructed from published site descriptions (which emphasize geomorphology and gross zone access) rather than from fine-grained ecoregion classification, and that the 25-km terrestrial buffers used here capture circular catchment area rather than the canoe-day water-route catchment that the framework’s</w:t>
      </w:r>
      <w:r>
        <w:t xml:space="preserve"> </w:t>
      </w:r>
      <m:oMath>
        <m:r>
          <m:t>ε</m:t>
        </m:r>
      </m:oMath>
      <w:r>
        <w:t xml:space="preserve"> </w:t>
      </w:r>
      <w:r>
        <w:t xml:space="preserve">actually encodes (see §S17.4). The EPA L4 reordering is informative: Watson Brake’s catchment intersects 7 distinct Level IV ecoregions (the highest count of any LMV site), Caney and Frenchman’s Bend each intersect 6, Cowpen Slough, Claiborne, and Cedarland each intersect 5, Poverty Point and Lower Jackson each intersect 4, and Insley, J.W. Copes, and Jaketown each intersect 3. Jaketown’s catchment is dominated by Northern Holocene Meander Belts (73a; ~1,609 km² of the 1,963 km² buffer, ~82%) and Northern Backswamps (73d; ~330 km²), consistent with its published Yazoo Basin meander-belt setting (Ford, Phillips, and Haag 1955). The coastal Pearl River sites (Claiborne and Cedarland) intersect 5 ecoregions each (Gulf Coast Flatwoods, Deltaic Coastal Marshes, Gulf Barrier Islands, etc.), one more than Poverty Point’s 4. The L4 measurement therefore reorders sites: it ranks Middle Archaic mound sites (Watson Brake, Caney, Frenchman’s Bend) above Poverty Point at the 25-km scale, even though Poverty Point’s monument scale is two orders of magnitude larger. The qualitative rubric and the EPA L4 measurement disagree on which sites are most ecologically diverse, but they agree that the high-</w:t>
      </w:r>
      <m:oMath>
        <m:r>
          <m:t>ε</m:t>
        </m:r>
      </m:oMath>
      <w:r>
        <w:t xml:space="preserve"> </w:t>
      </w:r>
      <w:r>
        <w:t xml:space="preserve">band exists and that PP-style monument scale is not produced by terrestrial-buffer ecological diversity alone.</w:t>
      </w:r>
    </w:p>
    <w:p>
      <w:pPr>
        <w:pStyle w:val="BodyText"/>
      </w:pPr>
      <w:r>
        <w:t xml:space="preserve">The cross-LMV ecoregion map showing all eleven sites with 25-km foraging buffers on the EPA Level IV ecoregion polygon background is now main-text Figure 13.</w:t>
      </w:r>
    </w:p>
    <w:p>
      <w:pPr>
        <w:pStyle w:val="BodyText"/>
      </w:pPr>
      <w:r>
        <w:rPr>
          <w:b/>
          <w:bCs/>
        </w:rPr>
        <w:t xml:space="preserve">Category-level recalibration.</w:t>
      </w:r>
      <w:r>
        <w:t xml:space="preserve"> </w:t>
      </w:r>
      <w:r>
        <w:t xml:space="preserve">A reasonable concern about the L4-class Shannon analysis is that ecoregion classes are not equally distinct: an</w:t>
      </w:r>
      <w:r>
        <w:t xml:space="preserve"> </w:t>
      </w:r>
      <w:r>
        <w:t xml:space="preserve">“upland”</w:t>
      </w:r>
      <w:r>
        <w:t xml:space="preserve"> </w:t>
      </w:r>
      <w:r>
        <w:t xml:space="preserve">ecoregion is fundamentally different from a</w:t>
      </w:r>
      <w:r>
        <w:t xml:space="preserve"> </w:t>
      </w:r>
      <w:r>
        <w:t xml:space="preserve">“lowland alluvial”</w:t>
      </w:r>
      <w:r>
        <w:t xml:space="preserve"> </w:t>
      </w:r>
      <w:r>
        <w:t xml:space="preserve">ecoregion, while different lowland subtypes (Holocene Meander Belt vs Backswamp) are subtypes of the same alluvial ecology. To address this we mapped each of the 59 L4 classes in the AR-LA-MS dataset to one of 9 broad ecological categories (Alluvial Active, Backswamp, Pleistocene Terrace, Loess Upland, Tertiary Upland, Coastal Marsh, Coastal Plain Upland, Prairie, Mountain/Hills) and recomputed Shannon entropy at the category level. Results: Frenchman’s Bend intersects 4 broad categories (Alluvial Active, Backswamp, Pleistocene Terrace, Tertiary Upland) at</w:t>
      </w:r>
      <w:r>
        <w:t xml:space="preserve"> </w:t>
      </w:r>
      <m:oMath>
        <m:sSub>
          <m:e>
            <m:r>
              <m:t>ε</m:t>
            </m:r>
          </m:e>
          <m:sub>
            <m:r>
              <m:t>c</m:t>
            </m:r>
            <m:r>
              <m:t>a</m:t>
            </m:r>
            <m:r>
              <m:t>t</m:t>
            </m:r>
          </m:sub>
        </m:sSub>
        <m:r>
          <m:rPr>
            <m:sty m:val="p"/>
          </m:rPr>
          <m:t>=</m:t>
        </m:r>
        <m:r>
          <m:t>0.305</m:t>
        </m:r>
      </m:oMath>
      <w:r>
        <w:t xml:space="preserve">. Caney also intersects 4 categories (</w:t>
      </w:r>
      <m:oMath>
        <m:sSub>
          <m:e>
            <m:r>
              <m:t>ε</m:t>
            </m:r>
          </m:e>
          <m:sub>
            <m:r>
              <m:t>c</m:t>
            </m:r>
            <m:r>
              <m:t>a</m:t>
            </m:r>
            <m:r>
              <m:t>t</m:t>
            </m:r>
          </m:sub>
        </m:sSub>
        <m:r>
          <m:rPr>
            <m:sty m:val="p"/>
          </m:rPr>
          <m:t>=</m:t>
        </m:r>
        <m:r>
          <m:t>0.304</m:t>
        </m:r>
      </m:oMath>
      <w:r>
        <w:t xml:space="preserve">). Watson Brake intersects 4 categories (</w:t>
      </w:r>
      <m:oMath>
        <m:sSub>
          <m:e>
            <m:r>
              <m:t>ε</m:t>
            </m:r>
          </m:e>
          <m:sub>
            <m:r>
              <m:t>c</m:t>
            </m:r>
            <m:r>
              <m:t>a</m:t>
            </m:r>
            <m:r>
              <m:t>t</m:t>
            </m:r>
          </m:sub>
        </m:sSub>
        <m:r>
          <m:rPr>
            <m:sty m:val="p"/>
          </m:rPr>
          <m:t>=</m:t>
        </m:r>
        <m:r>
          <m:t>0.299</m:t>
        </m:r>
      </m:oMath>
      <w:r>
        <w:t xml:space="preserve">). J.W. Copes, Cowpen Slough, Insley, Lower Jackson, and Poverty Point all intersect 3 categories (Alluvial Active, Backswamp, Pleistocene Terrace), with</w:t>
      </w:r>
      <w:r>
        <w:t xml:space="preserve"> </w:t>
      </w:r>
      <m:oMath>
        <m:sSub>
          <m:e>
            <m:r>
              <m:t>ε</m:t>
            </m:r>
          </m:e>
          <m:sub>
            <m:r>
              <m:t>c</m:t>
            </m:r>
            <m:r>
              <m:t>a</m:t>
            </m:r>
            <m:r>
              <m:t>t</m:t>
            </m:r>
          </m:sub>
        </m:sSub>
      </m:oMath>
      <w:r>
        <w:t xml:space="preserve"> </w:t>
      </w:r>
      <w:r>
        <w:t xml:space="preserve">values clustering at 0.241–0.248. The coastal Pearl River sites (Claiborne and Cedarland) intersect 3 categories each (Coastal Plain Upland, Coastal Marsh, Alluvial Active) at</w:t>
      </w:r>
      <w:r>
        <w:t xml:space="preserve"> </w:t>
      </w:r>
      <m:oMath>
        <m:sSub>
          <m:e>
            <m:r>
              <m:t>ε</m:t>
            </m:r>
          </m:e>
          <m:sub>
            <m:r>
              <m:t>c</m:t>
            </m:r>
            <m:r>
              <m:t>a</m:t>
            </m:r>
            <m:r>
              <m:t>t</m:t>
            </m:r>
          </m:sub>
        </m:sSub>
        <m:r>
          <m:rPr>
            <m:sty m:val="p"/>
          </m:rPr>
          <m:t>≈</m:t>
        </m:r>
        <m:r>
          <m:t>0.227</m:t>
        </m:r>
      </m:oMath>
      <w:r>
        <w:t xml:space="preserve">. Jaketown intersects 3 categories at the lowest entropy (</w:t>
      </w:r>
      <m:oMath>
        <m:sSub>
          <m:e>
            <m:r>
              <m:t>ε</m:t>
            </m:r>
          </m:e>
          <m:sub>
            <m:r>
              <m:t>c</m:t>
            </m:r>
            <m:r>
              <m:t>a</m:t>
            </m:r>
            <m:r>
              <m:t>t</m:t>
            </m:r>
          </m:sub>
        </m:sSub>
        <m:r>
          <m:rPr>
            <m:sty m:val="p"/>
          </m:rPr>
          <m:t>=</m:t>
        </m:r>
        <m:r>
          <m:t>0.116</m:t>
        </m:r>
      </m:oMath>
      <w:r>
        <w:t xml:space="preserve">). The category-level Spearman correlation between qualitative</w:t>
      </w:r>
      <w:r>
        <w:t xml:space="preserve"> </w:t>
      </w:r>
      <m:oMath>
        <m:r>
          <m:t>ε</m:t>
        </m:r>
      </m:oMath>
      <w:r>
        <w:t xml:space="preserve"> </w:t>
      </w:r>
      <w:r>
        <w:t xml:space="preserve">and category-</w:t>
      </w:r>
      <m:oMath>
        <m:r>
          <m:t>ε</m:t>
        </m:r>
      </m:oMath>
      <w:r>
        <w:t xml:space="preserve"> </w:t>
      </w:r>
      <w:r>
        <w:t xml:space="preserve">is</w:t>
      </w:r>
      <w:r>
        <w:t xml:space="preserve"> </w:t>
      </w:r>
      <m:oMath>
        <m:r>
          <m:t>ρ</m:t>
        </m:r>
        <m:r>
          <m:rPr>
            <m:sty m:val="p"/>
          </m:rPr>
          <m:t>=</m:t>
        </m:r>
        <m:r>
          <m:t>0.44</m:t>
        </m:r>
      </m:oMath>
      <w:r>
        <w:t xml:space="preserve"> </w:t>
      </w:r>
      <w:r>
        <w:t xml:space="preserve">(</w:t>
      </w:r>
      <m:oMath>
        <m:r>
          <m:t>p</m:t>
        </m:r>
        <m:r>
          <m:rPr>
            <m:sty m:val="p"/>
          </m:rPr>
          <m:t>=</m:t>
        </m:r>
        <m:r>
          <m:t>0.17</m:t>
        </m:r>
      </m:oMath>
      <w:r>
        <w:t xml:space="preserve">), stronger than the L4-level</w:t>
      </w:r>
      <w:r>
        <w:t xml:space="preserve"> </w:t>
      </w:r>
      <m:oMath>
        <m:r>
          <m:t>ρ</m:t>
        </m:r>
        <m:r>
          <m:rPr>
            <m:sty m:val="p"/>
          </m:rPr>
          <m:t>=</m:t>
        </m:r>
        <m:r>
          <m:t>0.04</m:t>
        </m:r>
      </m:oMath>
      <w:r>
        <w:t xml:space="preserve"> </w:t>
      </w:r>
      <w:r>
        <w:t xml:space="preserve">but still not statistically significant. The L4-vs-category Spearman correlation is</w:t>
      </w:r>
      <w:r>
        <w:t xml:space="preserve"> </w:t>
      </w:r>
      <m:oMath>
        <m:r>
          <m:t>ρ</m:t>
        </m:r>
        <m:r>
          <m:rPr>
            <m:sty m:val="p"/>
          </m:rPr>
          <m:t>=</m:t>
        </m:r>
        <m:r>
          <m:t>0.72</m:t>
        </m:r>
      </m:oMath>
      <w:r>
        <w:t xml:space="preserve"> </w:t>
      </w:r>
      <w:r>
        <w:t xml:space="preserve">(</w:t>
      </w:r>
      <m:oMath>
        <m:r>
          <m:t>p</m:t>
        </m:r>
        <m:r>
          <m:rPr>
            <m:sty m:val="p"/>
          </m:rPr>
          <m:t>=</m:t>
        </m:r>
        <m:r>
          <m:t>0.012</m:t>
        </m:r>
      </m:oMath>
      <w:r>
        <w:t xml:space="preserve">), confirming that the category-level aggregation captures most of the L4 variance while smoothing out subtype distinctions. The recalibration therefore moderately strengthens the qualitative rubric’s correspondence with the GIS measurement but</w:t>
      </w:r>
      <w:r>
        <w:t xml:space="preserve"> </w:t>
      </w:r>
      <w:r>
        <w:rPr>
          <w:i/>
          <w:iCs/>
        </w:rPr>
        <w:t xml:space="preserve">does not</w:t>
      </w:r>
      <w:r>
        <w:t xml:space="preserve"> </w:t>
      </w:r>
      <w:r>
        <w:t xml:space="preserve">make PP rank highest in catchment ecological diversity. PP’s distinguishing feature in the framework is its confluence position integrating multiple canoe-accessible drainages with non-synchronized hydrographs, not its 25-km terrestrial catchment heterogeneity, which is what every static-diversity proxy at any granularity will continue to underestimate.</w:t>
      </w:r>
    </w:p>
    <w:p>
      <w:pPr>
        <w:pStyle w:val="BodyText"/>
      </w:pPr>
      <w:r>
        <w:t xml:space="preserve">The qualitative rubric, the Saucier-geomorphic, the EPA-L4, and the broad-category indices share a single fundamental limitation: they all measure raw zone count and area within a 25-km circular</w:t>
      </w:r>
      <w:r>
        <w:t xml:space="preserve"> </w:t>
      </w:r>
      <w:r>
        <w:rPr>
          <w:i/>
          <w:iCs/>
        </w:rPr>
        <w:t xml:space="preserve">terrestrial</w:t>
      </w:r>
      <w:r>
        <w:t xml:space="preserve"> </w:t>
      </w:r>
      <w:r>
        <w:t xml:space="preserve">buffer, not the covariance-based shortfall buffering that the framework’s</w:t>
      </w:r>
      <w:r>
        <w:t xml:space="preserve"> </w:t>
      </w:r>
      <m:oMath>
        <m:r>
          <m:t>ε</m:t>
        </m:r>
      </m:oMath>
      <w:r>
        <w:t xml:space="preserve"> </w:t>
      </w:r>
      <w:r>
        <w:t xml:space="preserve">parameter actually encodes. We therefore do not report rank-correlations between any static-diversity index and observed monument scale; static count is not the operative quantity for the framework’s magnitude prediction. The screening role of these analyses (necessity check: monument-building sites pass the high-</w:t>
      </w:r>
      <m:oMath>
        <m:r>
          <m:t>ε</m:t>
        </m:r>
      </m:oMath>
      <w:r>
        <w:t xml:space="preserve"> </w:t>
      </w:r>
      <w:r>
        <w:t xml:space="preserve">filter, coastal Pearl River pair does not) is the only inferential weight they carry.</w:t>
      </w:r>
    </w:p>
    <w:p>
      <w:pPr>
        <w:pStyle w:val="BodyText"/>
      </w:pPr>
      <w:r>
        <w:t xml:space="preserve">The substantive limitation is the catchment definition itself. All three operationalizations define the catchment as a 25 km circular buffer derived from Kelly’s (2013) walking day-trip radius. This buffer captures terrestrial accessibility but not waterway accessibility, which for an aggregation site mobilizing watercraft is a substantively different quantity. Day- to multi-day canoe travel along navigable bayous, rivers, and channels extends the practical aggregation-period catchment far beyond 25 km along waterways. Poverty Point’s confluence position gives it integrated canoe access to four independent drainage systems (Bayou Maçon, Mississippi, Tensas, Yazoo) that lie far outside any 25 km terrestrial buffer. Watson Brake (Bayou Bartholomew), Frenchman’s Bend (Ouachita tributary), and Jaketown (Yazoo) all have water access too, but none integrates as many independent drainage systems within a comparable canoe-day catchment. A water-route-aware travel-time catchment is implemented in §S17.4.</w:t>
      </w:r>
    </w:p>
    <w:p>
      <w:r>
        <w:pict>
          <v:rect style="width:0;height:1.5pt" o:hralign="center" o:hrstd="t" o:hr="t"/>
        </w:pict>
      </w:r>
    </w:p>
    <w:bookmarkEnd w:id="82"/>
    <w:bookmarkStart w:id="83" w:name="X93a86e26ee9455cac49026e2f6b920d4c40c83f"/>
    <w:p>
      <w:pPr>
        <w:pStyle w:val="Heading2"/>
      </w:pPr>
      <w:r>
        <w:t xml:space="preserve">S13. Table 2 Monte Carlo perturbation analysis</w:t>
      </w:r>
    </w:p>
    <w:p>
      <w:pPr>
        <w:pStyle w:val="FirstParagraph"/>
      </w:pPr>
      <w:r>
        <w:t xml:space="preserve">The main text (§6.4) reports Spearman</w:t>
      </w:r>
      <w:r>
        <w:t xml:space="preserve"> </w:t>
      </w:r>
      <m:oMath>
        <m:r>
          <m:t>ρ</m:t>
        </m:r>
        <m:r>
          <m:rPr>
            <m:sty m:val="p"/>
          </m:rPr>
          <m:t>=</m:t>
        </m:r>
        <m:r>
          <m:rPr>
            <m:sty m:val="p"/>
          </m:rPr>
          <m:t>+</m:t>
        </m:r>
        <m:r>
          <m:t>0.39</m:t>
        </m:r>
      </m:oMath>
      <w:r>
        <w:t xml:space="preserve"> </w:t>
      </w:r>
      <w:r>
        <w:t xml:space="preserve">(</w:t>
      </w:r>
      <m:oMath>
        <m:r>
          <m:t>p</m:t>
        </m:r>
        <m:r>
          <m:rPr>
            <m:sty m:val="p"/>
          </m:rPr>
          <m:t>=</m:t>
        </m:r>
        <m:r>
          <m:t>0.24</m:t>
        </m:r>
      </m:oMath>
      <w:r>
        <w:t xml:space="preserve">) between the qualitative-rubric</w:t>
      </w:r>
      <w:r>
        <w:t xml:space="preserve"> </w:t>
      </w:r>
      <m:oMath>
        <m:r>
          <m:t>ε</m:t>
        </m:r>
      </m:oMath>
      <w:r>
        <w:t xml:space="preserve"> </w:t>
      </w:r>
      <w:r>
        <w:t xml:space="preserve">and observed ordinal monument investment across the eleven LMV sites. To assess robustness of the ranking against plausible scoring uncertainty, we ran a Monte Carlo perturbation of the zone weights (</w:t>
      </w:r>
      <m:oMath>
        <m:r>
          <m:rPr>
            <m:sty m:val="p"/>
          </m:rPr>
          <m:t>±</m:t>
        </m:r>
        <m:r>
          <m:t>0.2</m:t>
        </m:r>
      </m:oMath>
      <w:r>
        <w:t xml:space="preserve"> </w:t>
      </w:r>
      <w:r>
        <w:t xml:space="preserve">uniform per weight, 1,000 draws). The ranking is partially stable: Poverty Point ranks first in 87% of draws and the coastal Pearl River pair (Claiborne and Cedarland) last in 93%, but the full eleven-site rank order is preserved in only 4% of draws. Mean Spearman</w:t>
      </w:r>
      <w:r>
        <w:t xml:space="preserve"> </w:t>
      </w:r>
      <m:oMath>
        <m:r>
          <m:t>ρ</m:t>
        </m:r>
      </m:oMath>
      <w:r>
        <w:t xml:space="preserve"> </w:t>
      </w:r>
      <w:r>
        <w:t xml:space="preserve">across perturbations is 0.27 with 95% CI including negative values (</w:t>
      </w:r>
      <m:oMath>
        <m:r>
          <m:rPr>
            <m:sty m:val="p"/>
          </m:rPr>
          <m:t>−</m:t>
        </m:r>
        <m:r>
          <m:t>0.06</m:t>
        </m:r>
      </m:oMath>
      <w:r>
        <w:t xml:space="preserve"> </w:t>
      </w:r>
      <w:r>
        <w:t xml:space="preserve">to</w:t>
      </w:r>
      <w:r>
        <w:t xml:space="preserve"> </w:t>
      </w:r>
      <m:oMath>
        <m:r>
          <m:rPr>
            <m:sty m:val="p"/>
          </m:rPr>
          <m:t>+</m:t>
        </m:r>
        <m:r>
          <m:t>0.59</m:t>
        </m:r>
      </m:oMath>
      <w:r>
        <w:t xml:space="preserve">). The PP-vs-coast contrast is robust against the perturbation; the interior ordering is not. This pattern is consistent with the §6.4 interpretation that ecotone diversity admits multiple candidate sites without uniquely identifying the regional center.</w:t>
      </w:r>
    </w:p>
    <w:p>
      <w:r>
        <w:pict>
          <v:rect style="width:0;height:1.5pt" o:hralign="center" o:hrstd="t" o:hr="t"/>
        </w:pict>
      </w:r>
    </w:p>
    <w:bookmarkEnd w:id="83"/>
    <w:bookmarkStart w:id="84" w:name="X212a8a5c68b94ccf018abad951e52510cd00633"/>
    <w:p>
      <w:pPr>
        <w:pStyle w:val="Heading2"/>
      </w:pPr>
      <w:r>
        <w:t xml:space="preserve">S14. Per-material exotic decomposition: extended discussion</w:t>
      </w:r>
    </w:p>
    <w:p>
      <w:pPr>
        <w:pStyle w:val="FirstParagraph"/>
      </w:pPr>
      <w:r>
        <w:t xml:space="preserve">The main text (§4.1) reports per-material model output (copper 178 ± 19, steatite 838 ± 82, galena 1,265 ± 96 acquisition events) against archaeological inventories (copper 155 objects, steatite 2,221 fragments, galena 702 masses). The first thing to note is that the per-material counts are not directly comparable across the model-archaeology boundary because the counting units differ. Four considerations bear on the comparison.</w:t>
      </w:r>
    </w:p>
    <w:p>
      <w:pPr>
        <w:pStyle w:val="BodyText"/>
      </w:pPr>
      <w:r>
        <w:rPr>
          <w:i/>
          <w:iCs/>
        </w:rPr>
        <w:t xml:space="preserve">Counting-unit non-comparability across materials.</w:t>
      </w:r>
      <w:r>
        <w:t xml:space="preserve"> </w:t>
      </w:r>
      <w:r>
        <w:t xml:space="preserve">Each call to the model’s</w:t>
      </w:r>
      <w:r>
        <w:t xml:space="preserve"> </w:t>
      </w:r>
      <w:r>
        <w:rPr>
          <w:rStyle w:val="VerbatimChar"/>
        </w:rPr>
        <w:t xml:space="preserve">acquire_exotic</w:t>
      </w:r>
      <w:r>
        <w:t xml:space="preserve"> </w:t>
      </w:r>
      <w:r>
        <w:t xml:space="preserve">routine increments the per-material counter by one, so the model</w:t>
      </w:r>
      <w:r>
        <w:t xml:space="preserve"> </w:t>
      </w:r>
      <w:r>
        <w:t xml:space="preserve">“item”</w:t>
      </w:r>
      <w:r>
        <w:t xml:space="preserve"> </w:t>
      </w:r>
      <w:r>
        <w:t xml:space="preserve">represents one acquisition event, equivalent to one imported</w:t>
      </w:r>
      <w:r>
        <w:t xml:space="preserve"> </w:t>
      </w:r>
      <w:r>
        <w:rPr>
          <w:i/>
          <w:iCs/>
        </w:rPr>
        <w:t xml:space="preserve">object</w:t>
      </w:r>
      <w:r>
        <w:t xml:space="preserve"> </w:t>
      </w:r>
      <w:r>
        <w:t xml:space="preserve">(one steatite bowl, one galena mass, one copper sheet or pendant). The archaeological counts use heterogeneous units. Steatite is reported as fragments (Webb 1982 describes the 2,221 figure as</w:t>
      </w:r>
      <w:r>
        <w:t xml:space="preserve"> </w:t>
      </w:r>
      <w:r>
        <w:t xml:space="preserve">“fragments representing several hundred vessels”</w:t>
      </w:r>
      <w:r>
        <w:t xml:space="preserve">), and a single 30-50 cm steatite bowl breaks readily into many fragments under burial and excavation conditions. Copper is reported as objects (typically whole or near-whole sheet, beads, or pendants); galena as masses (typically discrete acquired lead-ore pieces used as pigment). Object size also affects fragmentation: large soapstone vessels fragment into tens of pieces while small beads, plummets, and copper sheet typically remain whole. The model’s 838</w:t>
      </w:r>
      <w:r>
        <w:t xml:space="preserve"> </w:t>
      </w:r>
      <w:r>
        <w:t xml:space="preserve">“steatite items”</w:t>
      </w:r>
      <w:r>
        <w:t xml:space="preserve"> </w:t>
      </w:r>
      <w:r>
        <w:t xml:space="preserve">therefore should be compared to the archaeological</w:t>
      </w:r>
      <w:r>
        <w:t xml:space="preserve"> </w:t>
      </w:r>
      <w:r>
        <w:rPr>
          <w:i/>
          <w:iCs/>
        </w:rPr>
        <w:t xml:space="preserve">vessel</w:t>
      </w:r>
      <w:r>
        <w:t xml:space="preserve"> </w:t>
      </w:r>
      <w:r>
        <w:t xml:space="preserve">count, not the</w:t>
      </w:r>
      <w:r>
        <w:t xml:space="preserve"> </w:t>
      </w:r>
      <w:r>
        <w:rPr>
          <w:i/>
          <w:iCs/>
        </w:rPr>
        <w:t xml:space="preserve">fragment</w:t>
      </w:r>
      <w:r>
        <w:t xml:space="preserve"> </w:t>
      </w:r>
      <w:r>
        <w:t xml:space="preserve">count. Webb’s</w:t>
      </w:r>
      <w:r>
        <w:t xml:space="preserve"> </w:t>
      </w:r>
      <w:r>
        <w:t xml:space="preserve">“several hundred vessels”</w:t>
      </w:r>
      <w:r>
        <w:t xml:space="preserve"> </w:t>
      </w:r>
      <w:r>
        <w:t xml:space="preserve">implies anywhere from roughly 200-600 vessels depending on average vessel-to-fragment ratio; under this conversion the model is closer to a match or moderate overshoot per vessel rather than a 2.6× undershoot per fragment. The aggregate 3,078 archaeological figure mixes all three counting conventions and is therefore itself a unit-inconsistent reference rather than a clean target.</w:t>
      </w:r>
    </w:p>
    <w:p>
      <w:pPr>
        <w:pStyle w:val="BodyText"/>
      </w:pPr>
      <w:r>
        <w:t xml:space="preserve">The remainder of this section discusses three further considerations under the assumption that the per-material comparison is conducted at</w:t>
      </w:r>
      <w:r>
        <w:t xml:space="preserve"> </w:t>
      </w:r>
      <w:r>
        <w:rPr>
          <w:i/>
          <w:iCs/>
        </w:rPr>
        <w:t xml:space="preserve">whatever</w:t>
      </w:r>
      <w:r>
        <w:t xml:space="preserve"> </w:t>
      </w:r>
      <w:r>
        <w:t xml:space="preserve">counting unit one chooses. The conclusions hold for any reasonable conversion.</w:t>
      </w:r>
    </w:p>
    <w:p>
      <w:pPr>
        <w:pStyle w:val="BodyText"/>
      </w:pPr>
      <w:r>
        <w:rPr>
          <w:i/>
          <w:iCs/>
        </w:rPr>
        <w:t xml:space="preserve">Overshoot is not symmetric to undershoot.</w:t>
      </w:r>
      <w:r>
        <w:t xml:space="preserve"> </w:t>
      </w:r>
      <w:r>
        <w:t xml:space="preserve">The galena overshoot (model predicts 1,265, archaeological inventory contains 702) is the kind of mismatch the framework is structurally tolerant of. The model predicts the volume of acquisition by participating bands, while the archaeological count reflects what was deposited, what survived three millennia of burial and bioturbation, and what excavation has subsequently recovered. Production and acquisition exceeding the preserved record is what any signaling or exchange model that does not require complete recovery should predict. The model’s predicted volume is a plausible upper bound on what was acquired, and the archaeological 702 is a lower bound on what was originally present. Reconciling the two requires no parameter adjustment; only the recognition that the archaeological count is a partial sample of an originally larger inventory.</w:t>
      </w:r>
    </w:p>
    <w:p>
      <w:pPr>
        <w:pStyle w:val="BodyText"/>
      </w:pPr>
      <w:r>
        <w:rPr>
          <w:i/>
          <w:iCs/>
        </w:rPr>
        <w:t xml:space="preserve">Steatite undershoot is consistent with the framework rather than against it.</w:t>
      </w:r>
      <w:r>
        <w:t xml:space="preserve"> </w:t>
      </w:r>
      <w:r>
        <w:t xml:space="preserve">The model’s per-band acquisition probability is a function of source distance only; it does not represent material-specific valuation. If steatite carried elevated symbolic or functional value relative to galena and copper, the framework’s underlying logic predicts that bands would invest</w:t>
      </w:r>
      <w:r>
        <w:t xml:space="preserve"> </w:t>
      </w:r>
      <w:r>
        <w:rPr>
          <w:i/>
          <w:iCs/>
        </w:rPr>
        <w:t xml:space="preserve">more</w:t>
      </w:r>
      <w:r>
        <w:t xml:space="preserve"> </w:t>
      </w:r>
      <w:r>
        <w:t xml:space="preserve">effort to acquire it than a pure distance-decay rule predicts, producing exactly the undershoot pattern observed. Steatite vessels at PP appear in bulk caches (Webb 1982) and in functional contexts (cooking-stone, pendant manufacture) that imply more than incidental ornament, and the southern Appalachian source ~900 km away required sustained inter-band relay to maintain supply. Costly signaling theory’s central claim is that signal value drives investment beyond what crude transport-cost models predict. The steatite undershoot is therefore not a failure of the framework’s signaling logic; it is a failure of the model’s</w:t>
      </w:r>
      <w:r>
        <w:t xml:space="preserve"> </w:t>
      </w:r>
      <w:r>
        <w:rPr>
          <w:i/>
          <w:iCs/>
        </w:rPr>
        <w:t xml:space="preserve">implementation</w:t>
      </w:r>
      <w:r>
        <w:t xml:space="preserve">, in which</w:t>
      </w:r>
      <w:r>
        <w:t xml:space="preserve"> </w:t>
      </w:r>
      <m:oMath>
        <m:r>
          <m:t>p</m:t>
        </m:r>
        <m:r>
          <m:rPr>
            <m:sty m:val="p"/>
          </m:rPr>
          <m:t>(</m:t>
        </m:r>
        <m:r>
          <m:t>d</m:t>
        </m:r>
        <m:r>
          <m:rPr>
            <m:sty m:val="p"/>
          </m:rPr>
          <m:t>)</m:t>
        </m:r>
      </m:oMath>
      <w:r>
        <w:t xml:space="preserve"> </w:t>
      </w:r>
      <w:r>
        <w:t xml:space="preserve">omits material-specific signal value. Adding a steatite-specific value coefficient would close the undershoot without affecting the framework’s qualitative claims.</w:t>
      </w:r>
    </w:p>
    <w:p>
      <w:pPr>
        <w:pStyle w:val="BodyText"/>
      </w:pPr>
      <w:r>
        <w:rPr>
          <w:i/>
          <w:iCs/>
        </w:rPr>
        <w:t xml:space="preserve">Sampling representativeness modifies all three ratios.</w:t>
      </w:r>
      <w:r>
        <w:t xml:space="preserve"> </w:t>
      </w:r>
      <w:r>
        <w:t xml:space="preserve">The 3,078-item archaeological reference is what excavation has recovered from a 140 ha site after a century of investigation, not what was originally deposited or imported. Three sources of bias act differentially on the three materials. (i) The 2,221 steatite count already excludes Webb’s (1982) bulk cache of ~2,724 additional fragments; including that cache brings the archaeological steatite total to 4,945 and would worsen the model’s undershoot to ~5.9×. The cache is a localized deposit that any per-band acquisition function explicitly does not represent, so neither inclusion nor exclusion of the cache is straightforward without an independent rule relating bulk imports to per-band acquisition. (ii) Galena fragments are typically small (millimeter-scale lead-ore granules used as pigment) and harder to recover than 30-50 cm steatite vessels or 5-10 cm copper sheet fragments, so the galena count almost certainly under-counts the original deposition by a larger factor than copper or steatite. (iii) The excavation history of PP has emphasized specific mound and ridge contexts (the 64 mapped ridge components, Mound A, Mound C, the Macon Ridge village area) rather than systematically sampling the full constructed landscape, and exotic-bearing contexts are not evenly distributed across the site. The cumulative effect is that none of the three per-material counts can be treated as an unbiased estimator of the original assemblage, and the model-archaeology ratios are themselves estimators of unknown precision.</w:t>
      </w:r>
    </w:p>
    <w:p>
      <w:pPr>
        <w:pStyle w:val="BodyText"/>
      </w:pPr>
      <w:r>
        <w:rPr>
          <w:i/>
          <w:iCs/>
        </w:rPr>
        <w:t xml:space="preserve">The steatite-galena diagnostic.</w:t>
      </w:r>
      <w:r>
        <w:t xml:space="preserve"> </w:t>
      </w:r>
      <w:r>
        <w:t xml:space="preserve">The two materials sit at almost equal source distances (~900 km vs. ~800 km), so any distance-only acquisition function predicts comparable per-band rates and the model produces more galena (1,265) than steatite (838). The archaeological record inverts this ratio: ~3× more steatite (2,221) than galena (702), or ~7× more if Webb’s cache is included (4,945 vs. 702). A pure distance-decay mechanism cannot generate the observed inversion regardless of which steatite count is used. The simplest reading consistent with the framework’s underlying logic is that steatite carried elevated material-specific value driving acquisition above the distance-decay baseline. Costly signaling theory explicitly predicts this kind of value-driven excess investment; the present implementation simply does not encode material-specific value in</w:t>
      </w:r>
      <w:r>
        <w:t xml:space="preserve"> </w:t>
      </w:r>
      <m:oMath>
        <m:r>
          <m:t>p</m:t>
        </m:r>
        <m:r>
          <m:rPr>
            <m:sty m:val="p"/>
          </m:rPr>
          <m:t>(</m:t>
        </m:r>
        <m:r>
          <m:t>d</m:t>
        </m:r>
        <m:r>
          <m:rPr>
            <m:sty m:val="p"/>
          </m:rPr>
          <m:t>)</m:t>
        </m:r>
      </m:oMath>
      <w:r>
        <w:t xml:space="preserve">. Adding a steatite-specific value coefficient would close the inversion without affecting the framework’s qualitative claims.</w:t>
      </w:r>
    </w:p>
    <w:p>
      <w:pPr>
        <w:pStyle w:val="BodyText"/>
      </w:pPr>
      <w:r>
        <w:t xml:space="preserve">The per-material breakdown is therefore best read as a quantitative consistency check rather than a validation. Each of the three deviations admits a reading consistent with the framework: the galena overshoot is absorbed by recovery and preservation loss, the steatite undershoot is consistent with elevated material-specific value driving acquisition above the distance-decay baseline, and all three ratios are modulated by sampling biases the comparison cannot quantify. Whether or not one finds these reconciliations compelling, the comparison provides limited inferential weight against the framework. We treat the aggregate ~1.35× underprediction as the substantive comparison, with the per-material decomposition reported transparently for readers to assess.</w:t>
      </w:r>
    </w:p>
    <w:p>
      <w:r>
        <w:pict>
          <v:rect style="width:0;height:1.5pt" o:hralign="center" o:hrstd="t" o:hr="t"/>
        </w:pict>
      </w:r>
    </w:p>
    <w:bookmarkEnd w:id="84"/>
    <w:bookmarkStart w:id="85" w:name="Xae4e2e09dac333b71eb214b52917dfa5d2cdd61"/>
    <w:p>
      <w:pPr>
        <w:pStyle w:val="Heading2"/>
      </w:pPr>
      <w:r>
        <w:t xml:space="preserve">S15. Modern hydrograph data: empirical test of the multi-drainage independence claim</w:t>
      </w:r>
    </w:p>
    <w:p>
      <w:pPr>
        <w:pStyle w:val="FirstParagraph"/>
      </w:pPr>
      <w:r>
        <w:t xml:space="preserve">The main text (§6.5) asserts that PP’s confluence position integrates four canoe-accessible drainages (Bayou Maçon, Mississippi, Tensas, Yazoo) with non-synchronized hydrographs. We test this empirically using USGS gauge records (</w:t>
      </w:r>
      <w:r>
        <w:rPr>
          <w:rStyle w:val="VerbatimChar"/>
        </w:rPr>
        <w:t xml:space="preserve">scripts/analysis/hydrograph_covariance.py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Drainage</w:t>
            </w:r>
          </w:p>
        </w:tc>
        <w:tc>
          <w:tcPr/>
          <w:p>
            <w:pPr>
              <w:pStyle w:val="Compact"/>
            </w:pPr>
            <w:r>
              <w:t xml:space="preserve">USGS gauge</w:t>
            </w:r>
          </w:p>
        </w:tc>
        <w:tc>
          <w:tcPr/>
          <w:p>
            <w:pPr>
              <w:pStyle w:val="Compact"/>
            </w:pPr>
            <w:r>
              <w:t xml:space="preserve">Record</w:t>
            </w:r>
          </w:p>
        </w:tc>
      </w:tr>
      <w:tr>
        <w:tc>
          <w:tcPr/>
          <w:p>
            <w:pPr>
              <w:pStyle w:val="Compact"/>
            </w:pPr>
            <w:r>
              <w:t xml:space="preserve">Mississippi River</w:t>
            </w:r>
          </w:p>
        </w:tc>
        <w:tc>
          <w:tcPr/>
          <w:p>
            <w:pPr>
              <w:pStyle w:val="Compact"/>
            </w:pPr>
            <w:r>
              <w:t xml:space="preserve">07289000 (Vicksburg, MS)</w:t>
            </w:r>
          </w:p>
        </w:tc>
        <w:tc>
          <w:tcPr/>
          <w:p>
            <w:pPr>
              <w:pStyle w:val="Compact"/>
            </w:pPr>
            <w:r>
              <w:t xml:space="preserve">204 months (2008-2024)</w:t>
            </w:r>
          </w:p>
        </w:tc>
      </w:tr>
      <w:tr>
        <w:tc>
          <w:tcPr/>
          <w:p>
            <w:pPr>
              <w:pStyle w:val="Compact"/>
            </w:pPr>
            <w:r>
              <w:t xml:space="preserve">Yazoo River</w:t>
            </w:r>
          </w:p>
        </w:tc>
        <w:tc>
          <w:tcPr/>
          <w:p>
            <w:pPr>
              <w:pStyle w:val="Compact"/>
            </w:pPr>
            <w:r>
              <w:t xml:space="preserve">07287150 (Greenwood, MS)</w:t>
            </w:r>
          </w:p>
        </w:tc>
        <w:tc>
          <w:tcPr/>
          <w:p>
            <w:pPr>
              <w:pStyle w:val="Compact"/>
            </w:pPr>
            <w:r>
              <w:t xml:space="preserve">231 months (1991-2021)</w:t>
            </w:r>
          </w:p>
        </w:tc>
      </w:tr>
      <w:tr>
        <w:tc>
          <w:tcPr/>
          <w:p>
            <w:pPr>
              <w:pStyle w:val="Compact"/>
            </w:pPr>
            <w:r>
              <w:t xml:space="preserve">Tensas River</w:t>
            </w:r>
          </w:p>
        </w:tc>
        <w:tc>
          <w:tcPr/>
          <w:p>
            <w:pPr>
              <w:pStyle w:val="Compact"/>
            </w:pPr>
            <w:r>
              <w:t xml:space="preserve">07369500 (Tendal, LA)</w:t>
            </w:r>
          </w:p>
        </w:tc>
        <w:tc>
          <w:tcPr/>
          <w:p>
            <w:pPr>
              <w:pStyle w:val="Compact"/>
            </w:pPr>
            <w:r>
              <w:t xml:space="preserve">480 months (1985-2024)</w:t>
            </w:r>
          </w:p>
        </w:tc>
      </w:tr>
      <w:tr>
        <w:tc>
          <w:tcPr/>
          <w:p>
            <w:pPr>
              <w:pStyle w:val="Compact"/>
            </w:pPr>
            <w:r>
              <w:t xml:space="preserve">Bayou Maçon</w:t>
            </w:r>
          </w:p>
        </w:tc>
        <w:tc>
          <w:tcPr/>
          <w:p>
            <w:pPr>
              <w:pStyle w:val="Compact"/>
            </w:pPr>
            <w:r>
              <w:t xml:space="preserve">07370000 (Delhi, LA)</w:t>
            </w:r>
          </w:p>
        </w:tc>
        <w:tc>
          <w:tcPr/>
          <w:p>
            <w:pPr>
              <w:pStyle w:val="Compact"/>
            </w:pPr>
            <w:r>
              <w:t xml:space="preserve">93 months (1985-1992)</w:t>
            </w:r>
          </w:p>
        </w:tc>
      </w:tr>
    </w:tbl>
    <w:p>
      <w:pPr>
        <w:pStyle w:val="BodyText"/>
      </w:pPr>
      <w:r>
        <w:t xml:space="preserve">No four-gauge overlap exists (Bayou Maçon’s gauge was only operational 1985-1992, before the Mississippi gauge came online), so the four-drainage analysis is performed pairwise on each pair’s available overlap.</w:t>
      </w:r>
    </w:p>
    <w:p>
      <w:pPr>
        <w:pStyle w:val="BodyText"/>
      </w:pPr>
      <w:r>
        <w:rPr>
          <w:b/>
          <w:bCs/>
        </w:rPr>
        <w:t xml:space="preserve">Anomaly construction.</w:t>
      </w:r>
      <w:r>
        <w:t xml:space="preserve"> </w:t>
      </w:r>
      <w:r>
        <w:t xml:space="preserve">The framework’s question is whether two rivers go up and down together</w:t>
      </w:r>
      <w:r>
        <w:t xml:space="preserve"> </w:t>
      </w:r>
      <w:r>
        <w:rPr>
          <w:i/>
          <w:iCs/>
        </w:rPr>
        <w:t xml:space="preserve">after removing the predictable seasonal cycle</w:t>
      </w:r>
      <w:r>
        <w:t xml:space="preserve">. Two rivers can both run high every spring and low every fall just because both respond to the same continental hydrology, and that synchrony does not tell us anything about shared shortfall risk. We therefore subtract each gauge’s long-term average for each calendar month from each year’s value, leaving only the year-to-year deviation, then correlate those deviations across gauges. Formally: monthly mean discharge values were log-transformed (natural log, with a small</w:t>
      </w:r>
      <w:r>
        <w:t xml:space="preserve"> </w:t>
      </w:r>
      <m:oMath>
        <m:r>
          <m:rPr>
            <m:sty m:val="p"/>
          </m:rPr>
          <m:t>+</m:t>
        </m:r>
        <m:r>
          <m:t>0.01</m:t>
        </m:r>
      </m:oMath>
      <w:r>
        <w:t xml:space="preserve"> </w:t>
      </w:r>
      <w:r>
        <w:t xml:space="preserve">shift to handle zero-discharge months at the smaller drainages), and a monthly climatology was computed as the long-term mean log-discharge for each calendar month</w:t>
      </w:r>
      <w:r>
        <w:t xml:space="preserve"> </w:t>
      </w:r>
      <m:oMath>
        <m:r>
          <m:t>m</m:t>
        </m:r>
        <m:r>
          <m:rPr>
            <m:sty m:val="p"/>
          </m:rPr>
          <m:t>∈</m:t>
        </m:r>
        <m:r>
          <m:rPr>
            <m:sty m:val="p"/>
          </m:rPr>
          <m:t>{</m:t>
        </m:r>
        <m:r>
          <m:t>1</m:t>
        </m:r>
        <m:r>
          <m:rPr>
            <m:sty m:val="p"/>
          </m:rPr>
          <m:t>,</m:t>
        </m:r>
        <m:r>
          <m:rPr>
            <m:sty m:val="p"/>
          </m:rPr>
          <m:t>.</m:t>
        </m:r>
        <m:r>
          <m:rPr>
            <m:sty m:val="p"/>
          </m:rPr>
          <m:t>.</m:t>
        </m:r>
        <m:r>
          <m:rPr>
            <m:sty m:val="p"/>
          </m:rPr>
          <m:t>.</m:t>
        </m:r>
        <m:r>
          <m:rPr>
            <m:sty m:val="p"/>
          </m:rPr>
          <m:t>,</m:t>
        </m:r>
        <m:r>
          <m:t>12</m:t>
        </m:r>
        <m:r>
          <m:rPr>
            <m:sty m:val="p"/>
          </m:rPr>
          <m:t>}</m:t>
        </m:r>
      </m:oMath>
      <w:r>
        <w:t xml:space="preserve"> </w:t>
      </w:r>
      <w:r>
        <w:t xml:space="preserve">over the full available record at that gauge. Anomalies were taken as residuals</w:t>
      </w:r>
      <w:r>
        <w:t xml:space="preserve"> </w:t>
      </w:r>
      <m:oMath>
        <m:sSub>
          <m:e>
            <m:r>
              <m:rPr>
                <m:sty m:val="p"/>
              </m:rPr>
              <m:t>Δ</m:t>
            </m:r>
          </m:e>
          <m:sub>
            <m:r>
              <m:t>t</m:t>
            </m:r>
          </m:sub>
        </m:sSub>
        <m:r>
          <m:rPr>
            <m:sty m:val="p"/>
          </m:rPr>
          <m:t>=</m:t>
        </m:r>
        <m:r>
          <m:rPr>
            <m:sty m:val="p"/>
          </m:rPr>
          <m:t>log</m:t>
        </m:r>
        <m:r>
          <m:rPr>
            <m:sty m:val="p"/>
          </m:rPr>
          <m:t>(</m:t>
        </m:r>
        <m:sSub>
          <m:e>
            <m:r>
              <m:t>Q</m:t>
            </m:r>
          </m:e>
          <m:sub>
            <m:r>
              <m:t>t</m:t>
            </m:r>
          </m:sub>
        </m:sSub>
        <m:r>
          <m:rPr>
            <m:sty m:val="p"/>
          </m:rPr>
          <m:t>+</m:t>
        </m:r>
        <m:r>
          <m:t>0.01</m:t>
        </m:r>
        <m:r>
          <m:rPr>
            <m:sty m:val="p"/>
          </m:rPr>
          <m:t>)</m:t>
        </m:r>
        <m:r>
          <m:rPr>
            <m:sty m:val="p"/>
          </m:rPr>
          <m:t>−</m:t>
        </m:r>
        <m:sSub>
          <m:e>
            <m:bar>
              <m:barPr>
                <m:pos m:val="top"/>
              </m:barPr>
              <m:e>
                <m:r>
                  <m:rPr>
                    <m:sty m:val="p"/>
                  </m:rPr>
                  <m:t>log</m:t>
                </m:r>
                <m:r>
                  <m:t>Q</m:t>
                </m:r>
              </m:e>
            </m:bar>
          </m:e>
          <m:sub>
            <m:r>
              <m:t>m</m:t>
            </m:r>
            <m:r>
              <m:rPr>
                <m:sty m:val="p"/>
              </m:rPr>
              <m:t>(</m:t>
            </m:r>
            <m:r>
              <m:t>t</m:t>
            </m:r>
            <m:r>
              <m:rPr>
                <m:sty m:val="p"/>
              </m:rPr>
              <m:t>)</m:t>
            </m:r>
          </m:sub>
        </m:sSub>
      </m:oMath>
      <w:r>
        <w:t xml:space="preserve">, removing the seasonal cycle while preserving inter-annual and within-year non-seasonal variability. Months with missing values at either gauge in a pair were dropped pairwise. Pearson correlations were then computed on the matched anomaly series at each pair’s overlap window.</w:t>
      </w:r>
    </w:p>
    <w:p>
      <w:pPr>
        <w:pStyle w:val="BodyText"/>
      </w:pPr>
      <w:r>
        <w:rPr>
          <w:b/>
          <w:bCs/>
        </w:rPr>
        <w:t xml:space="preserve">Pairwise log-monthly-anomaly correlations</w:t>
      </w:r>
      <w:r>
        <w:t xml:space="preserve"> </w:t>
      </w:r>
      <w:r>
        <w:t xml:space="preserve">(Pearson; climatology removed as above):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Drainage pair</w:t>
            </w:r>
          </w:p>
        </w:tc>
        <w:tc>
          <w:tcPr/>
          <w:p>
            <w:pPr>
              <w:pStyle w:val="Compact"/>
            </w:pPr>
            <w:r>
              <w:t xml:space="preserve">n months</w:t>
            </w:r>
          </w:p>
        </w:tc>
        <w:tc>
          <w:tcPr/>
          <w:p>
            <w:pPr>
              <w:pStyle w:val="Compact"/>
            </w:pPr>
            <w:r>
              <w:t xml:space="preserve">Pearson</w:t>
            </w:r>
            <w:r>
              <w:t xml:space="preserve"> </w:t>
            </w:r>
            <m:oMath>
              <m:r>
                <m:t>r</m:t>
              </m:r>
            </m:oMath>
          </w:p>
        </w:tc>
        <w:tc>
          <w:tcPr/>
          <w:p>
            <w:pPr>
              <w:pStyle w:val="Compact"/>
            </w:pPr>
            <m:oMath>
              <m:r>
                <m:t>p</m:t>
              </m:r>
            </m:oMath>
          </w:p>
        </w:tc>
        <w:tc>
          <w:tcPr/>
          <w:p>
            <w:pPr>
              <w:pStyle w:val="Compact"/>
            </w:pPr>
            <w:r>
              <w:t xml:space="preserve">Interpretation</w:t>
            </w:r>
          </w:p>
        </w:tc>
      </w:tr>
      <w:tr>
        <w:tc>
          <w:tcPr/>
          <w:p>
            <w:pPr>
              <w:pStyle w:val="Compact"/>
            </w:pPr>
            <w:r>
              <w:t xml:space="preserve">Mississippi vs Yazoo</w:t>
            </w:r>
          </w:p>
        </w:tc>
        <w:tc>
          <w:tcPr/>
          <w:p>
            <w:pPr>
              <w:pStyle w:val="Compact"/>
            </w:pPr>
            <w:r>
              <w:t xml:space="preserve">59</w:t>
            </w:r>
          </w:p>
        </w:tc>
        <w:tc>
          <w:tcPr/>
          <w:p>
            <w:pPr>
              <w:pStyle w:val="Compact"/>
            </w:pPr>
            <m:oMath>
              <m:r>
                <m:rPr>
                  <m:sty m:val="p"/>
                </m:rPr>
                <m:t>+</m:t>
              </m:r>
              <m:r>
                <m:t>0.11</m:t>
              </m:r>
            </m:oMath>
          </w:p>
        </w:tc>
        <w:tc>
          <w:tcPr/>
          <w:p>
            <w:pPr>
              <w:pStyle w:val="Compact"/>
            </w:pPr>
            <w:r>
              <w:t xml:space="preserve">0.40</w:t>
            </w:r>
          </w:p>
        </w:tc>
        <w:tc>
          <w:tcPr/>
          <w:p>
            <w:pPr>
              <w:pStyle w:val="Compact"/>
            </w:pPr>
            <w:r>
              <w:t xml:space="preserve">Effectively uncorrelated</w:t>
            </w:r>
          </w:p>
        </w:tc>
      </w:tr>
      <w:tr>
        <w:tc>
          <w:tcPr/>
          <w:p>
            <w:pPr>
              <w:pStyle w:val="Compact"/>
            </w:pPr>
            <w:r>
              <w:t xml:space="preserve">Mississippi vs Tensas</w:t>
            </w:r>
          </w:p>
        </w:tc>
        <w:tc>
          <w:tcPr/>
          <w:p>
            <w:pPr>
              <w:pStyle w:val="Compact"/>
            </w:pPr>
            <w:r>
              <w:t xml:space="preserve">204</w:t>
            </w:r>
          </w:p>
        </w:tc>
        <w:tc>
          <w:tcPr/>
          <w:p>
            <w:pPr>
              <w:pStyle w:val="Compact"/>
            </w:pPr>
            <m:oMath>
              <m:r>
                <m:rPr>
                  <m:sty m:val="p"/>
                </m:rPr>
                <m:t>+</m:t>
              </m:r>
              <m:r>
                <m:t>0.34</m:t>
              </m:r>
            </m:oMath>
          </w:p>
        </w:tc>
        <w:tc>
          <w:tcPr/>
          <w:p>
            <w:pPr>
              <w:pStyle w:val="Compact"/>
            </w:pPr>
            <m:oMath>
              <m:r>
                <m:rPr>
                  <m:sty m:val="p"/>
                </m:rPr>
                <m:t>&lt;</m:t>
              </m:r>
              <m:r>
                <m:t>0.001</m:t>
              </m:r>
            </m:oMath>
          </w:p>
        </w:tc>
        <w:tc>
          <w:tcPr/>
          <w:p>
            <w:pPr>
              <w:pStyle w:val="Compact"/>
            </w:pPr>
            <w:r>
              <w:t xml:space="preserve">Moderate (shared LMV regional precipitation)</w:t>
            </w:r>
          </w:p>
        </w:tc>
      </w:tr>
      <w:tr>
        <w:tc>
          <w:tcPr/>
          <w:p>
            <w:pPr>
              <w:pStyle w:val="Compact"/>
            </w:pPr>
            <w:r>
              <w:t xml:space="preserve">Yazoo vs Tensas</w:t>
            </w:r>
          </w:p>
        </w:tc>
        <w:tc>
          <w:tcPr/>
          <w:p>
            <w:pPr>
              <w:pStyle w:val="Compact"/>
            </w:pPr>
            <w:r>
              <w:t xml:space="preserve">231</w:t>
            </w:r>
          </w:p>
        </w:tc>
        <w:tc>
          <w:tcPr/>
          <w:p>
            <w:pPr>
              <w:pStyle w:val="Compact"/>
            </w:pPr>
            <m:oMath>
              <m:r>
                <m:rPr>
                  <m:sty m:val="p"/>
                </m:rPr>
                <m:t>+</m:t>
              </m:r>
              <m:r>
                <m:t>0.54</m:t>
              </m:r>
            </m:oMath>
          </w:p>
        </w:tc>
        <w:tc>
          <w:tcPr/>
          <w:p>
            <w:pPr>
              <w:pStyle w:val="Compact"/>
            </w:pPr>
            <m:oMath>
              <m:r>
                <m:rPr>
                  <m:sty m:val="p"/>
                </m:rPr>
                <m:t>&lt;</m:t>
              </m:r>
              <m:r>
                <m:t>0.001</m:t>
              </m:r>
            </m:oMath>
          </w:p>
        </w:tc>
        <w:tc>
          <w:tcPr/>
          <w:p>
            <w:pPr>
              <w:pStyle w:val="Compact"/>
            </w:pPr>
            <w:r>
              <w:t xml:space="preserve">Moderate-strong</w:t>
            </w:r>
          </w:p>
        </w:tc>
      </w:tr>
      <w:tr>
        <w:tc>
          <w:tcPr/>
          <w:p>
            <w:pPr>
              <w:pStyle w:val="Compact"/>
            </w:pPr>
            <w:r>
              <w:t xml:space="preserve">Bayou Maçon vs Tensas</w:t>
            </w:r>
          </w:p>
        </w:tc>
        <w:tc>
          <w:tcPr/>
          <w:p>
            <w:pPr>
              <w:pStyle w:val="Compact"/>
            </w:pPr>
            <w:r>
              <w:t xml:space="preserve">93</w:t>
            </w:r>
          </w:p>
        </w:tc>
        <w:tc>
          <w:tcPr/>
          <w:p>
            <w:pPr>
              <w:pStyle w:val="Compact"/>
            </w:pPr>
            <m:oMath>
              <m:r>
                <m:rPr>
                  <m:sty m:val="p"/>
                </m:rPr>
                <m:t>+</m:t>
              </m:r>
              <m:r>
                <m:t>0.90</m:t>
              </m:r>
            </m:oMath>
          </w:p>
        </w:tc>
        <w:tc>
          <w:tcPr/>
          <w:p>
            <w:pPr>
              <w:pStyle w:val="Compact"/>
            </w:pPr>
            <m:oMath>
              <m:r>
                <m:rPr>
                  <m:sty m:val="p"/>
                </m:rPr>
                <m:t>&lt;</m:t>
              </m:r>
              <m:r>
                <m:t>0.001</m:t>
              </m:r>
            </m:oMath>
          </w:p>
        </w:tc>
        <w:tc>
          <w:tcPr/>
          <w:p>
            <w:pPr>
              <w:pStyle w:val="Compact"/>
            </w:pPr>
            <w:r>
              <w:t xml:space="preserve">Very strong (~81% shared variance)</w:t>
            </w:r>
          </w:p>
        </w:tc>
      </w:tr>
    </w:tbl>
    <w:p>
      <w:pPr>
        <w:pStyle w:val="BodyText"/>
      </w:pPr>
      <w:r>
        <w:t xml:space="preserve">The empirical result modifies the framework’s four-drainage claim in a substantive way:</w:t>
      </w:r>
      <w:r>
        <w:t xml:space="preserve"> </w:t>
      </w:r>
      <w:r>
        <w:rPr>
          <w:b/>
          <w:bCs/>
        </w:rPr>
        <w:t xml:space="preserve">Bayou Maçon and the Tensas are not independent drainages</w:t>
      </w:r>
      <w:r>
        <w:t xml:space="preserve">. Their 90% Pearson correlation reflects their shared Macon-Ridge geomorphology and tightly-coupled precipitation forcing. From the framework’s covariance-based</w:t>
      </w:r>
      <w:r>
        <w:t xml:space="preserve"> </w:t>
      </w:r>
      <m:oMath>
        <m:r>
          <m:t>ε</m:t>
        </m:r>
      </m:oMath>
      <w:r>
        <w:t xml:space="preserve"> </w:t>
      </w:r>
      <w:r>
        <w:t xml:space="preserve">standpoint, Bayou Maçon plus the Tensas function as a single</w:t>
      </w:r>
      <w:r>
        <w:t xml:space="preserve"> </w:t>
      </w:r>
      <w:r>
        <w:t xml:space="preserve">“Macon Ridge drainage system”</w:t>
      </w:r>
      <w:r>
        <w:t xml:space="preserve"> </w:t>
      </w:r>
      <w:r>
        <w:t xml:space="preserve">rather than as two independent shortfall regimes. The genuinely independent drainage signals at PP’s catchment are therefore:</w:t>
      </w:r>
    </w:p>
    <w:p>
      <w:pPr>
        <w:pStyle w:val="Compact"/>
        <w:numPr>
          <w:ilvl w:val="0"/>
          <w:numId w:val="1004"/>
        </w:numPr>
      </w:pPr>
      <w:r>
        <w:t xml:space="preserve">The</w:t>
      </w:r>
      <w:r>
        <w:t xml:space="preserve"> </w:t>
      </w:r>
      <w:r>
        <w:rPr>
          <w:b/>
          <w:bCs/>
        </w:rPr>
        <w:t xml:space="preserve">Macon Ridge system</w:t>
      </w:r>
      <w:r>
        <w:t xml:space="preserve"> </w:t>
      </w:r>
      <w:r>
        <w:t xml:space="preserve">(Bayou Maçon + Tensas,</w:t>
      </w:r>
      <w:r>
        <w:t xml:space="preserve"> </w:t>
      </w:r>
      <m:oMath>
        <m:r>
          <m:t>r</m:t>
        </m:r>
        <m:r>
          <m:rPr>
            <m:sty m:val="p"/>
          </m:rPr>
          <m:t>≈</m:t>
        </m:r>
        <m:r>
          <m:t>0.90</m:t>
        </m:r>
      </m:oMath>
      <w:r>
        <w:t xml:space="preserve"> </w:t>
      </w:r>
      <w:r>
        <w:t xml:space="preserve">between them);</w:t>
      </w:r>
    </w:p>
    <w:p>
      <w:pPr>
        <w:pStyle w:val="Compact"/>
        <w:numPr>
          <w:ilvl w:val="0"/>
          <w:numId w:val="1004"/>
        </w:numPr>
      </w:pPr>
      <w:r>
        <w:t xml:space="preserve">The</w:t>
      </w:r>
      <w:r>
        <w:t xml:space="preserve"> </w:t>
      </w:r>
      <w:r>
        <w:rPr>
          <w:b/>
          <w:bCs/>
        </w:rPr>
        <w:t xml:space="preserve">Yazoo Basin</w:t>
      </w:r>
      <w:r>
        <w:t xml:space="preserve"> </w:t>
      </w:r>
      <w:r>
        <w:t xml:space="preserve">(uncorrelated with Mississippi,</w:t>
      </w:r>
      <w:r>
        <w:t xml:space="preserve"> </w:t>
      </w:r>
      <m:oMath>
        <m:r>
          <m:t>r</m:t>
        </m:r>
        <m:r>
          <m:rPr>
            <m:sty m:val="p"/>
          </m:rPr>
          <m:t>=</m:t>
        </m:r>
        <m:r>
          <m:t>0.11</m:t>
        </m:r>
      </m:oMath>
      <w:r>
        <w:t xml:space="preserve">);</w:t>
      </w:r>
    </w:p>
    <w:p>
      <w:pPr>
        <w:pStyle w:val="Compact"/>
        <w:numPr>
          <w:ilvl w:val="0"/>
          <w:numId w:val="1004"/>
        </w:numPr>
      </w:pPr>
      <w:r>
        <w:t xml:space="preserve">The</w:t>
      </w:r>
      <w:r>
        <w:t xml:space="preserve"> </w:t>
      </w:r>
      <w:r>
        <w:rPr>
          <w:b/>
          <w:bCs/>
        </w:rPr>
        <w:t xml:space="preserve">Mississippi mainstem</w:t>
      </w:r>
      <w:r>
        <w:t xml:space="preserve"> </w:t>
      </w:r>
      <w:r>
        <w:t xml:space="preserve">(continental snowmelt + storm-track signal, partly shared with the Tensas at</w:t>
      </w:r>
      <w:r>
        <w:t xml:space="preserve"> </w:t>
      </w:r>
      <m:oMath>
        <m:r>
          <m:t>r</m:t>
        </m:r>
        <m:r>
          <m:rPr>
            <m:sty m:val="p"/>
          </m:rPr>
          <m:t>=</m:t>
        </m:r>
        <m:r>
          <m:t>0.34</m:t>
        </m:r>
      </m:oMath>
      <w:r>
        <w:t xml:space="preserve">).</w:t>
      </w:r>
    </w:p>
    <w:p>
      <w:pPr>
        <w:pStyle w:val="FirstParagraph"/>
      </w:pPr>
      <w:r>
        <w:t xml:space="preserve">This is a three-drainage rather than four-drainage independence picture. The framework’s multi-drainage shortfall-buffering claim is qualitatively supported but quantitatively narrower than the original four-drainage framing suggested. PP still integrates more independent shortfall regimes than any other Table 2 site (Watson Brake’s Bayou Bartholomew, Frenchman’s Bend’s Ouachita tributary, Jaketown’s Yazoo Basin, and the small-drainage interior sites all access one regime each), but the per-site advantage is</w:t>
      </w:r>
      <w:r>
        <w:t xml:space="preserve"> </w:t>
      </w:r>
      <w:r>
        <w:t xml:space="preserve">“three vs one”</w:t>
      </w:r>
      <w:r>
        <w:t xml:space="preserve"> </w:t>
      </w:r>
      <w:r>
        <w:t xml:space="preserve">rather than</w:t>
      </w:r>
      <w:r>
        <w:t xml:space="preserve"> </w:t>
      </w:r>
      <w:r>
        <w:t xml:space="preserve">“four vs one.”</w:t>
      </w:r>
    </w:p>
    <w:p>
      <w:pPr>
        <w:pStyle w:val="BodyText"/>
      </w:pPr>
      <w:r>
        <w:rPr>
          <w:b/>
          <w:bCs/>
        </w:rPr>
        <w:t xml:space="preserve">Bottom-quartile co-incidence</w:t>
      </w:r>
      <w:r>
        <w:t xml:space="preserve"> </w:t>
      </w:r>
      <w:r>
        <w:t xml:space="preserve">(Mississippi/Yazoo/Tensas, 59-month overlap):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Drainages-in-bottom-quartile</w:t>
            </w:r>
          </w:p>
        </w:tc>
        <w:tc>
          <w:tcPr/>
          <w:p>
            <w:pPr>
              <w:pStyle w:val="Compact"/>
            </w:pPr>
            <w:r>
              <w:t xml:space="preserve">Observed</w:t>
            </w:r>
          </w:p>
        </w:tc>
        <w:tc>
          <w:tcPr/>
          <w:p>
            <w:pPr>
              <w:pStyle w:val="Compact"/>
            </w:pPr>
            <w:r>
              <w:t xml:space="preserve">Predicted under independence</w:t>
            </w:r>
          </w:p>
        </w:tc>
        <w:tc>
          <w:tcPr/>
          <w:p>
            <w:pPr>
              <w:pStyle w:val="Compact"/>
            </w:pPr>
            <w:r>
              <w:t xml:space="preserve">Observed/independent</w:t>
            </w:r>
          </w:p>
        </w:tc>
      </w:tr>
      <w:tr>
        <w:tc>
          <w:tcPr/>
          <w:p>
            <w:pPr>
              <w:pStyle w:val="Compact"/>
            </w:pPr>
            <w:r>
              <w:t xml:space="preserve">0</w:t>
            </w:r>
          </w:p>
        </w:tc>
        <w:tc>
          <w:tcPr/>
          <w:p>
            <w:pPr>
              <w:pStyle w:val="Compact"/>
            </w:pPr>
            <w:r>
              <w:t xml:space="preserve">54.2%</w:t>
            </w:r>
          </w:p>
        </w:tc>
        <w:tc>
          <w:tcPr/>
          <w:p>
            <w:pPr>
              <w:pStyle w:val="Compact"/>
            </w:pPr>
            <w:r>
              <w:t xml:space="preserve">31.6%</w:t>
            </w:r>
          </w:p>
        </w:tc>
        <w:tc>
          <w:tcPr/>
          <w:p>
            <w:pPr>
              <w:pStyle w:val="Compact"/>
            </w:pPr>
            <w:r>
              <w:t xml:space="preserve">1.71</w:t>
            </w:r>
          </w:p>
        </w:tc>
      </w:tr>
      <w:tr>
        <w:tc>
          <w:tcPr/>
          <w:p>
            <w:pPr>
              <w:pStyle w:val="Compact"/>
            </w:pPr>
            <w:r>
              <w:t xml:space="preserve">1</w:t>
            </w:r>
          </w:p>
        </w:tc>
        <w:tc>
          <w:tcPr/>
          <w:p>
            <w:pPr>
              <w:pStyle w:val="Compact"/>
            </w:pPr>
            <w:r>
              <w:t xml:space="preserve">25.4%</w:t>
            </w:r>
          </w:p>
        </w:tc>
        <w:tc>
          <w:tcPr/>
          <w:p>
            <w:pPr>
              <w:pStyle w:val="Compact"/>
            </w:pPr>
            <w:r>
              <w:t xml:space="preserve">42.2%</w:t>
            </w:r>
          </w:p>
        </w:tc>
        <w:tc>
          <w:tcPr/>
          <w:p>
            <w:pPr>
              <w:pStyle w:val="Compact"/>
            </w:pPr>
            <w:r>
              <w:t xml:space="preserve">0.60</w:t>
            </w:r>
          </w:p>
        </w:tc>
      </w:tr>
      <w:tr>
        <w:tc>
          <w:tcPr/>
          <w:p>
            <w:pPr>
              <w:pStyle w:val="Compact"/>
            </w:pPr>
            <w:r>
              <w:t xml:space="preserve">2</w:t>
            </w:r>
          </w:p>
        </w:tc>
        <w:tc>
          <w:tcPr/>
          <w:p>
            <w:pPr>
              <w:pStyle w:val="Compact"/>
            </w:pPr>
            <w:r>
              <w:t xml:space="preserve">10.2%</w:t>
            </w:r>
          </w:p>
        </w:tc>
        <w:tc>
          <w:tcPr/>
          <w:p>
            <w:pPr>
              <w:pStyle w:val="Compact"/>
            </w:pPr>
            <w:r>
              <w:t xml:space="preserve">21.1%</w:t>
            </w:r>
          </w:p>
        </w:tc>
        <w:tc>
          <w:tcPr/>
          <w:p>
            <w:pPr>
              <w:pStyle w:val="Compact"/>
            </w:pPr>
            <w:r>
              <w:t xml:space="preserve">0.48</w:t>
            </w:r>
          </w:p>
        </w:tc>
      </w:tr>
      <w:tr>
        <w:tc>
          <w:tcPr/>
          <w:p>
            <w:pPr>
              <w:pStyle w:val="Compact"/>
            </w:pPr>
            <w:r>
              <w:t xml:space="preserve">3</w:t>
            </w:r>
          </w:p>
        </w:tc>
        <w:tc>
          <w:tcPr/>
          <w:p>
            <w:pPr>
              <w:pStyle w:val="Compact"/>
            </w:pPr>
            <w:r>
              <w:t xml:space="preserve">10.2%</w:t>
            </w:r>
          </w:p>
        </w:tc>
        <w:tc>
          <w:tcPr/>
          <w:p>
            <w:pPr>
              <w:pStyle w:val="Compact"/>
            </w:pPr>
            <w:r>
              <w:t xml:space="preserve">4.7%</w:t>
            </w:r>
          </w:p>
        </w:tc>
        <w:tc>
          <w:tcPr/>
          <w:p>
            <w:pPr>
              <w:pStyle w:val="Compact"/>
            </w:pPr>
            <w:r>
              <w:t xml:space="preserve">2.17</w:t>
            </w:r>
          </w:p>
        </w:tc>
      </w:tr>
    </w:tbl>
    <w:p>
      <w:pPr>
        <w:pStyle w:val="BodyText"/>
      </w:pPr>
      <w:r>
        <w:t xml:space="preserve">The observed distribution shows more mass at the extremes (0 or 3 drainages low) than independence predicts, consistent with shared regional drivers correlating some low-flow events but moderate variance keeping all-three-drainages-low-simultaneously to ~10% of months. PP’s bands could therefore draw on at least one above-low-flow drainage in ~90% of months, supporting the multi-drainage shortfall-buffering claim under the corrected three-drainage framing.</w:t>
      </w:r>
    </w:p>
    <w:p>
      <w:pPr>
        <w:pStyle w:val="BodyText"/>
      </w:pPr>
      <w:r>
        <w:t xml:space="preserve">Caveats: pre-Holocene paleo-discharge correlations may differ from modern values; the 2008-2021 record samples a partly-managed Mississippi system; the Bayou Maçon-Tensas correlation may have been even higher under unmanaged conditions because both are local-precipitation-driven small drainages. We treat these results as a first empirical test of the framework’s drainage-independence claim, not as a definitive measurement of Late Archaic conditions. A paleo-discharge-resolved test using sediment-yield or paleo-flood reconstructions for each drainage is identified as priority follow-up to §S17.4. The substantive correction (three independent drainage regimes, not four) does not invalidate the §6.5 multi-drainage shortfall-buffering argument but does narrow the absolute magnitude of PP’s covariance-based</w:t>
      </w:r>
      <w:r>
        <w:t xml:space="preserve"> </w:t>
      </w:r>
      <m:oMath>
        <m:r>
          <m:t>ε</m:t>
        </m:r>
      </m:oMath>
      <w:r>
        <w:t xml:space="preserve"> </w:t>
      </w:r>
      <w:r>
        <w:t xml:space="preserve">advantage over other LMV sites.</w:t>
      </w:r>
    </w:p>
    <w:p>
      <w:r>
        <w:pict>
          <v:rect style="width:0;height:1.5pt" o:hralign="center" o:hrstd="t" o:hr="t"/>
        </w:pict>
      </w:r>
    </w:p>
    <w:bookmarkEnd w:id="85"/>
    <w:bookmarkStart w:id="86" w:name="Xf8019c3df050ee7c851b7155ab1292c8dda8ae8"/>
    <w:p>
      <w:pPr>
        <w:pStyle w:val="Heading2"/>
      </w:pPr>
      <w:r>
        <w:t xml:space="preserve">S16. Seasonal resource phenology and temporal staggering</w:t>
      </w:r>
    </w:p>
    <w:p>
      <w:pPr>
        <w:pStyle w:val="FirstParagraph"/>
      </w:pPr>
      <w:r>
        <w:t xml:space="preserve">The framework’s</w:t>
      </w:r>
      <w:r>
        <w:t xml:space="preserve"> </w:t>
      </w:r>
      <m:oMath>
        <m:r>
          <m:t>ε</m:t>
        </m:r>
      </m:oMath>
      <w:r>
        <w:t xml:space="preserve"> </w:t>
      </w:r>
      <w:r>
        <w:t xml:space="preserve">parameter encodes shortfall buffering through</w:t>
      </w:r>
      <w:r>
        <w:t xml:space="preserve"> </w:t>
      </w:r>
      <w:r>
        <w:rPr>
          <w:i/>
          <w:iCs/>
        </w:rPr>
        <w:t xml:space="preserve">negative covariance</w:t>
      </w:r>
      <w:r>
        <w:t xml:space="preserve"> </w:t>
      </w:r>
      <w:r>
        <w:t xml:space="preserve">between local zone productivity and the regional shortfall driver. The Shannon-diversity proxies (qualitative, Saucier-geomorphic, EPA L4) used in main §6.4 and S12 measure raw zone count and area within a 25-km buffer; they treat each zone as if it produced continuously and equally. They do not measure the temporal staggering of productivity peaks across zones, which is what determines whether multi-zone access actually buffers shortfall. A site with four zones whose productivity peaks all coincide in fall has lower negative covariance than a site with three zones whose peaks span fall, spring, and summer. Main-text Figure 15 makes this distinction visible.</w:t>
      </w:r>
    </w:p>
    <w:p>
      <w:pPr>
        <w:pStyle w:val="BodyText"/>
      </w:pPr>
      <w:r>
        <w:t xml:space="preserve">The Lower Mississippi Valley supports a small number of well-documented seasonal resource peaks driven by independent climate and ecological mechanisms. Hardwood mast (hickory, pecan, acorn) peaks in September-November; Webb (1982:1) reports that</w:t>
      </w:r>
      <w:r>
        <w:t xml:space="preserve"> </w:t>
      </w:r>
      <w:r>
        <w:t xml:space="preserve">“fall and winter provide acorns and other nuts,”</w:t>
      </w:r>
      <w:r>
        <w:t xml:space="preserve"> </w:t>
      </w:r>
      <w:r>
        <w:t xml:space="preserve">and Thomas and Campbell (1978), summarized in Jackson (1986), attribute peak Poverty Point population to the fall mast harvest. Spring fish spawning runs (drum, gar, buffalo, catfish) peak February-May; Webb (1982:1) reports that</w:t>
      </w:r>
      <w:r>
        <w:t xml:space="preserve"> </w:t>
      </w:r>
      <w:r>
        <w:t xml:space="preserve">“spring and summer offer … most varieties of fish and crustaceans,”</w:t>
      </w:r>
      <w:r>
        <w:t xml:space="preserve"> </w:t>
      </w:r>
      <w:r>
        <w:t xml:space="preserve">and the PP fauna is fish-dominated (Jackson 1986). Summer aquatic resources (freshwater mussels, lotus, cattail) peak May-August. Falling-water aquatic concentration in oxbows and cutoff lakes peaks August-October as drainage drawdown traps fish in shrinking pools. Migratory waterfowl on the Mississippi Flyway peak September-December (fall migration) and February-April (spring migration); Webb (1982:2) reports</w:t>
      </w:r>
      <w:r>
        <w:t xml:space="preserve"> </w:t>
      </w:r>
      <w:r>
        <w:t xml:space="preserve">“millions of migratory waterfowl, ducks, geese, swans, pigeons”</w:t>
      </w:r>
      <w:r>
        <w:t xml:space="preserve"> </w:t>
      </w:r>
      <w:r>
        <w:t xml:space="preserve">in the Mississippi central flyway. Each peak responds to a different driver: mast to spring-summer growing-season conditions one to several months earlier, spring fish runs to spring water temperature and discharge, summer mussels to thermal stratification, falling-water concentration to late-summer hydrologic recession, waterfowl to continental-scale migration timing. A regional shortfall in any one peak is not strongly correlated with shortfalls in the others.</w:t>
      </w:r>
    </w:p>
    <w:p>
      <w:pPr>
        <w:pStyle w:val="BodyText"/>
      </w:pPr>
      <w:r>
        <w:t xml:space="preserve">Each LMV mound-building site has access to a different subset of these peaks. Poverty Point’s confluence position integrates four canoe-accessible drainages reducing to three substantively independent shortfall regimes per S15 (Macon Ridge regime: Bayou Maçon + Tensas; Mississippi mainstem; Yazoo Basin), plus the Macon Ridge upland. PP’s catchment gives access to all five resource-peak categories: mast from Macon Ridge, spring spawn runs from each independent meander-belt system, summer mussel beds along multiple drainages, falling-water concentration in cutoff lakes throughout the catchment, and the Mississippi Flyway both during fall and spring migration. Watson Brake (one drainage, Bayou Bartholomew, plus the adjacent Pleistocene terrace) has full access to the mast peak but only partial spring spawn access (one drainage) and limited waterfowl access (off the main flyway corridor). Frenchman’s Bend (Ouachita tributary, Bayou Desiard) has full mast access, partial spring spawn, no falling-water concentration in a cutoff system. Caney and Insley (small tributaries plus uplands) have full mast access but minimal aquatic-peak access. Cowpen Slough and J.W. Copes (Tensas Basin, Boeuf River margin) have aquatic access but limited upland mast. Jaketown (Yazoo Basin meander belt with adjacent Loess Hills) has mast plus spring spawn plus flyway access but a single drainage. Claiborne and Cedarland (Pearl River mouth, Gulf coast) sit in a coastal-marine setting structurally distinct from the interior categorization and access primarily marine and estuarine resources rather than the interior peaks documented above.</w:t>
      </w:r>
    </w:p>
    <w:p>
      <w:pPr>
        <w:pStyle w:val="BodyText"/>
      </w:pPr>
      <w:r>
        <w:t xml:space="preserve">The peak-window access measure, summarized in Panel C of main-text Figure 15, is a weighted sum (full access contributes 1.0, partial single-drainage access contributes 0.5, no access contributes 0.0; maximum 5.0 across the five peak windows). Poverty Point alone reaches 5.0; J.W. Copes and Jaketown follow at 4.0; Lower Jackson at 3.5; Watson Brake and Cowpen Slough at 3.0; Frenchman’s Bend and Insley at 2.5; Caney, Claiborne, and Cedarland at 2.0. The weighted sum graduates the partial-access codings that a binary threshold count collapses, producing a graded hierarchy that places PP alone at the top. The two coding corrections relative to the prior coding pass are: Cowpen Slough hardwood mast set to 0.0 (per §6.5 the site is on the Red/Black confluence floodplain only with no upland regime), and J.W. Copes hardwood mast set to 1.0 (per §6.5 Copes is on Macon Ridge). The weighted sum is complementary to §6.5’s regime count: §6.5 measures the number of substantively independent shortfall regimes (clusters of drainages and uplands); Panel C measures the integrated peak-access weight across the five regional peak windows. Both place PP at the top; the graded middle differs slightly because the two metrics weight partial drainage access differently.</w:t>
      </w:r>
    </w:p>
    <w:p>
      <w:pPr>
        <w:pStyle w:val="BodyText"/>
      </w:pPr>
      <w:r>
        <w:t xml:space="preserve">This analysis is not a finished operationalization of</w:t>
      </w:r>
      <w:r>
        <w:t xml:space="preserve"> </w:t>
      </w:r>
      <m:oMath>
        <m:r>
          <m:t>ε</m:t>
        </m:r>
      </m:oMath>
      <w:r>
        <w:t xml:space="preserve">. The peak windows are coded conservatively from published site descriptions and the LMV phenology summarized in Webb (1982), Jackson (1986), and Ward et al. (2022). The five-category resolution is coarse: drum and gar are aggregated into a single spring-spawn category, and within-category covariance among spring spawning species is unmodeled. Drainage independence is treated as binary; in practice, hydrographs of adjacent drainages share regional-precipitation drivers and are not fully independent. A defensible operationalization would integrate (a) species-level seasonal productivity time series from regional fish and game management records, (b) hydrographic correlations among the LMV drainages from gage records or paleo-discharge reconstructions, and (c) canoe-day isochrones rather than a 25-km terrestrial buffer. We identify this as the priority refinement in S17 below; the present analysis is a sketch of what the temporal-staggering refinement would show, not the refinement itself.</w:t>
      </w:r>
    </w:p>
    <w:p>
      <w:pPr>
        <w:pStyle w:val="BodyText"/>
      </w:pPr>
      <w:r>
        <w:rPr>
          <w:b/>
          <w:bCs/>
        </w:rPr>
        <w:t xml:space="preserve">Cross-site test against observed monument scale.</w:t>
      </w:r>
      <w:r>
        <w:t xml:space="preserve"> </w:t>
      </w:r>
      <w:r>
        <w:t xml:space="preserve">As a quantitative check, we asked whether substituting the phenology peak count for the static Shannon-derived</w:t>
      </w:r>
      <w:r>
        <w:t xml:space="preserve"> </w:t>
      </w:r>
      <m:oMath>
        <m:r>
          <m:t>ε</m:t>
        </m:r>
      </m:oMath>
      <w:r>
        <w:t xml:space="preserve"> </w:t>
      </w:r>
      <w:r>
        <w:t xml:space="preserve">in the Table 2 cross-site comparison improves the Spearman correlation against ordinal observed monument scale. Phenology peaks (1-5) were rescaled to</w:t>
      </w:r>
      <w:r>
        <w:t xml:space="preserve"> </w:t>
      </w:r>
      <m:oMath>
        <m:r>
          <m:t>ε</m:t>
        </m:r>
        <m:r>
          <m:rPr>
            <m:sty m:val="p"/>
          </m:rPr>
          <m:t>∈</m:t>
        </m:r>
        <m:r>
          <m:rPr>
            <m:sty m:val="p"/>
          </m:rPr>
          <m:t>[</m:t>
        </m:r>
        <m:r>
          <m:t>0.10</m:t>
        </m:r>
        <m:r>
          <m:rPr>
            <m:sty m:val="p"/>
          </m:rPr>
          <m:t>,</m:t>
        </m:r>
        <m:r>
          <m:t>0.50</m:t>
        </m:r>
        <m:r>
          <m:rPr>
            <m:sty m:val="p"/>
          </m:rPr>
          <m:t>]</m:t>
        </m:r>
      </m:oMath>
      <w:r>
        <w:t xml:space="preserve"> </w:t>
      </w:r>
      <w:r>
        <w:t xml:space="preserve">to match the framework’s tested</w:t>
      </w:r>
      <w:r>
        <w:t xml:space="preserve"> </w:t>
      </w:r>
      <m:oMath>
        <m:r>
          <m:t>ε</m:t>
        </m:r>
      </m:oMath>
      <w:r>
        <w:t xml:space="preserve"> </w:t>
      </w:r>
      <w:r>
        <w:t xml:space="preserve">range,</w:t>
      </w:r>
      <w:r>
        <w:t xml:space="preserve"> </w:t>
      </w:r>
      <m:oMath>
        <m:sSup>
          <m:e>
            <m:r>
              <m:t>σ</m:t>
            </m:r>
          </m:e>
          <m:sup>
            <m:r>
              <m:rPr>
                <m:sty m:val="p"/>
              </m:rPr>
              <m:t>*</m:t>
            </m:r>
          </m:sup>
        </m:sSup>
      </m:oMath>
      <w:r>
        <w:t xml:space="preserve"> </w:t>
      </w:r>
      <w:r>
        <w:t xml:space="preserve">was computed per site at</w:t>
      </w:r>
      <w:r>
        <w:t xml:space="preserve"> </w:t>
      </w:r>
      <m:oMath>
        <m:sSub>
          <m:e>
            <m:r>
              <m:t>n</m:t>
            </m:r>
          </m:e>
          <m:sub>
            <m:r>
              <m:t>a</m:t>
            </m:r>
            <m:r>
              <m:t>g</m:t>
            </m:r>
            <m:r>
              <m:t>g</m:t>
            </m:r>
          </m:sub>
        </m:sSub>
        <m:r>
          <m:rPr>
            <m:sty m:val="p"/>
          </m:rPr>
          <m:t>=</m:t>
        </m:r>
        <m:r>
          <m:t>25</m:t>
        </m:r>
      </m:oMath>
      <w:r>
        <w:t xml:space="preserve">, and</w:t>
      </w:r>
      <w:r>
        <w:t xml:space="preserve"> </w:t>
      </w:r>
      <m:oMath>
        <m:r>
          <m:t>σ</m:t>
        </m:r>
        <m:r>
          <m:rPr>
            <m:sty m:val="p"/>
          </m:rPr>
          <m:t>−</m:t>
        </m:r>
        <m:sSup>
          <m:e>
            <m:r>
              <m:t>σ</m:t>
            </m:r>
          </m:e>
          <m:sup>
            <m:r>
              <m:rPr>
                <m:sty m:val="p"/>
              </m:rPr>
              <m:t>*</m:t>
            </m:r>
          </m:sup>
        </m:sSup>
      </m:oMath>
      <w:r>
        <w:t xml:space="preserve"> </w:t>
      </w:r>
      <w:r>
        <w:t xml:space="preserve">margins were correlated with the ordinal scale (minimal = 0, small = 1, mid = 2, very large = 3) at the regional Late Archaic</w:t>
      </w:r>
      <w:r>
        <w:t xml:space="preserve"> </w:t>
      </w:r>
      <m:oMath>
        <m:r>
          <m:t>σ</m:t>
        </m:r>
        <m:r>
          <m:rPr>
            <m:sty m:val="p"/>
          </m:rPr>
          <m:t>=</m:t>
        </m:r>
        <m:r>
          <m:t>0.64</m:t>
        </m:r>
      </m:oMath>
      <w:r>
        <w:t xml:space="preserve">. The result: static-</w:t>
      </w:r>
      <m:oMath>
        <m:r>
          <m:t>ε</m:t>
        </m:r>
      </m:oMath>
      <w:r>
        <w:t xml:space="preserve"> </w:t>
      </w:r>
      <w:r>
        <w:t xml:space="preserve">gives</w:t>
      </w:r>
      <w:r>
        <w:t xml:space="preserve"> </w:t>
      </w:r>
      <m:oMath>
        <m:r>
          <m:t>ρ</m:t>
        </m:r>
        <m:r>
          <m:rPr>
            <m:sty m:val="p"/>
          </m:rPr>
          <m:t>=</m:t>
        </m:r>
        <m:r>
          <m:rPr>
            <m:sty m:val="p"/>
          </m:rPr>
          <m:t>+</m:t>
        </m:r>
        <m:r>
          <m:t>0.39</m:t>
        </m:r>
      </m:oMath>
      <w:r>
        <w:t xml:space="preserve"> </w:t>
      </w:r>
      <w:r>
        <w:t xml:space="preserve">(</w:t>
      </w:r>
      <m:oMath>
        <m:r>
          <m:t>p</m:t>
        </m:r>
        <m:r>
          <m:rPr>
            <m:sty m:val="p"/>
          </m:rPr>
          <m:t>=</m:t>
        </m:r>
        <m:r>
          <m:t>0.24</m:t>
        </m:r>
      </m:oMath>
      <w:r>
        <w:t xml:space="preserve">); phenology-</w:t>
      </w:r>
      <m:oMath>
        <m:r>
          <m:t>ε</m:t>
        </m:r>
      </m:oMath>
      <w:r>
        <w:t xml:space="preserve"> </w:t>
      </w:r>
      <w:r>
        <w:t xml:space="preserve">gives</w:t>
      </w:r>
      <w:r>
        <w:t xml:space="preserve"> </w:t>
      </w:r>
      <m:oMath>
        <m:r>
          <m:t>ρ</m:t>
        </m:r>
        <m:r>
          <m:rPr>
            <m:sty m:val="p"/>
          </m:rPr>
          <m:t>=</m:t>
        </m:r>
        <m:r>
          <m:rPr>
            <m:sty m:val="p"/>
          </m:rPr>
          <m:t>−</m:t>
        </m:r>
        <m:r>
          <m:t>0.21</m:t>
        </m:r>
      </m:oMath>
      <w:r>
        <w:t xml:space="preserve"> </w:t>
      </w:r>
      <w:r>
        <w:t xml:space="preserve">(</w:t>
      </w:r>
      <m:oMath>
        <m:r>
          <m:t>p</m:t>
        </m:r>
        <m:r>
          <m:rPr>
            <m:sty m:val="p"/>
          </m:rPr>
          <m:t>=</m:t>
        </m:r>
        <m:r>
          <m:t>0.54</m:t>
        </m:r>
      </m:oMath>
      <w:r>
        <w:t xml:space="preserve">). Neither operationalization significantly predicts ordinal monument scale at fixed</w:t>
      </w:r>
      <w:r>
        <w:t xml:space="preserve"> </w:t>
      </w:r>
      <m:oMath>
        <m:sSub>
          <m:e>
            <m:r>
              <m:t>n</m:t>
            </m:r>
          </m:e>
          <m:sub>
            <m:r>
              <m:t>a</m:t>
            </m:r>
            <m:r>
              <m:t>g</m:t>
            </m:r>
            <m:r>
              <m:t>g</m:t>
            </m:r>
          </m:sub>
        </m:sSub>
      </m:oMath>
      <w:r>
        <w:t xml:space="preserve">. The interpretation we report in main §7.1 is consistent with this null result: monument scale is not determined by</w:t>
      </w:r>
      <w:r>
        <w:t xml:space="preserve"> </w:t>
      </w:r>
      <m:oMath>
        <m:r>
          <m:t>ε</m:t>
        </m:r>
      </m:oMath>
      <w:r>
        <w:t xml:space="preserve"> </w:t>
      </w:r>
      <w:r>
        <w:t xml:space="preserve">alone but by attained</w:t>
      </w:r>
      <w:r>
        <w:t xml:space="preserve"> </w:t>
      </w:r>
      <m:oMath>
        <m:sSub>
          <m:e>
            <m:r>
              <m:t>n</m:t>
            </m:r>
          </m:e>
          <m:sub>
            <m:r>
              <m:t>a</m:t>
            </m:r>
            <m:r>
              <m:t>g</m:t>
            </m:r>
            <m:r>
              <m:t>g</m:t>
            </m:r>
          </m:sub>
        </m:sSub>
      </m:oMath>
      <w:r>
        <w:t xml:space="preserve"> </w:t>
      </w:r>
      <w:r>
        <w:t xml:space="preserve">via the contingent convergence dynamics that pulled bands to specific high-</w:t>
      </w:r>
      <m:oMath>
        <m:r>
          <m:t>ε</m:t>
        </m:r>
      </m:oMath>
      <w:r>
        <w:t xml:space="preserve"> </w:t>
      </w:r>
      <w:r>
        <w:t xml:space="preserve">locations.</w:t>
      </w:r>
    </w:p>
    <w:p>
      <w:pPr>
        <w:pStyle w:val="BodyText"/>
      </w:pPr>
      <w:r>
        <w:rPr>
          <w:b/>
          <w:bCs/>
        </w:rPr>
        <w:t xml:space="preserve">Enriched variance-based phenology epsilon.</w:t>
      </w:r>
      <w:r>
        <w:t xml:space="preserve"> </w:t>
      </w:r>
      <w:r>
        <w:t xml:space="preserve">The peak-count operationalization (Test A) is itself a static count and does not directly capture the framework’s</w:t>
      </w:r>
      <w:r>
        <w:t xml:space="preserve"> </w:t>
      </w:r>
      <w:r>
        <w:rPr>
          <w:i/>
          <w:iCs/>
        </w:rPr>
        <w:t xml:space="preserve">negative covariance</w:t>
      </w:r>
      <w:r>
        <w:t xml:space="preserve"> </w:t>
      </w:r>
      <w:r>
        <w:t xml:space="preserve">logic. We constructed a variance-based alternative (</w:t>
      </w:r>
      <w:r>
        <w:rPr>
          <w:rStyle w:val="VerbatimChar"/>
        </w:rPr>
        <w:t xml:space="preserve">scripts/analysis/phenology_variance_epsilon.py</w:t>
      </w:r>
      <w:r>
        <w:t xml:space="preserve">): a 1,000-year simulation in which each of the five resource-peak categories receives a stochastic productivity multiplier with category-pair correlations</w:t>
      </w:r>
      <w:r>
        <w:t xml:space="preserve"> </w:t>
      </w:r>
      <m:oMath>
        <m:r>
          <m:t>ρ</m:t>
        </m:r>
        <m:r>
          <m:rPr>
            <m:sty m:val="p"/>
          </m:rPr>
          <m:t>=</m:t>
        </m:r>
        <m:r>
          <m:t>0.30</m:t>
        </m:r>
      </m:oMath>
      <w:r>
        <w:t xml:space="preserve"> </w:t>
      </w:r>
      <w:r>
        <w:t xml:space="preserve">matching the S15 regional shortfall driver. For each site, total accessible productivity (weighted by the site’s HM/SFS/SA/FWA/WF flag vector) is computed for each year, and the variance-based</w:t>
      </w:r>
      <w:r>
        <w:t xml:space="preserve"> </w:t>
      </w:r>
      <m:oMath>
        <m:r>
          <m:t>ε</m:t>
        </m:r>
      </m:oMath>
      <w:r>
        <w:t xml:space="preserve"> </w:t>
      </w:r>
      <w:r>
        <w:t xml:space="preserve">is the coefficient-of-variation reduction relative to a single-zone baseline:</w:t>
      </w:r>
    </w:p>
    <w:p>
      <w:pPr>
        <w:pStyle w:val="BodyText"/>
      </w:pPr>
      <m:oMathPara>
        <m:oMathParaPr>
          <m:jc m:val="center"/>
        </m:oMathParaPr>
        <m:oMath>
          <m:sSub>
            <m:e>
              <m:r>
                <m:t>ε</m:t>
              </m:r>
            </m:e>
            <m:sub>
              <m:r>
                <m:t>v</m:t>
              </m:r>
              <m:r>
                <m:t>a</m:t>
              </m:r>
              <m:r>
                <m:t>r</m:t>
              </m:r>
            </m:sub>
          </m:sSub>
          <m:r>
            <m:rPr>
              <m:sty m:val="p"/>
            </m:rPr>
            <m:t>=</m:t>
          </m:r>
          <m:f>
            <m:fPr>
              <m:type m:val="lin"/>
            </m:fPr>
            <m:num>
              <m:r>
                <m:t>1</m:t>
              </m:r>
            </m:num>
            <m:den>
              <m:r>
                <m:t>2</m:t>
              </m:r>
            </m:den>
          </m:f>
          <m:r>
            <m:rPr>
              <m:sty m:val="p"/>
            </m:rPr>
            <m:t>⋅</m:t>
          </m:r>
          <m:r>
            <m:rPr>
              <m:sty m:val="p"/>
            </m:rPr>
            <m:t>max</m:t>
          </m:r>
          <m:d>
            <m:dPr>
              <m:begChr m:val="["/>
              <m:sepChr m:val=""/>
              <m:endChr m:val="]"/>
              <m:grow/>
            </m:dPr>
            <m:e>
              <m:r>
                <m:t>0</m:t>
              </m:r>
              <m:r>
                <m:rPr>
                  <m:sty m:val="p"/>
                </m:rPr>
                <m:t>,</m:t>
              </m:r>
              <m:f>
                <m:fPr>
                  <m:type m:val="bar"/>
                </m:fPr>
                <m:num>
                  <m:r>
                    <m:t>C</m:t>
                  </m:r>
                  <m:sSub>
                    <m:e>
                      <m:r>
                        <m:t>V</m:t>
                      </m:r>
                    </m:e>
                    <m:sub>
                      <m:r>
                        <m:t>s</m:t>
                      </m:r>
                      <m:r>
                        <m:t>i</m:t>
                      </m:r>
                      <m:r>
                        <m:t>n</m:t>
                      </m:r>
                      <m:r>
                        <m:t>g</m:t>
                      </m:r>
                      <m:r>
                        <m:t>l</m:t>
                      </m:r>
                      <m:r>
                        <m:t>e</m:t>
                      </m:r>
                      <m:r>
                        <m:t> </m:t>
                      </m:r>
                      <m:r>
                        <m:t>z</m:t>
                      </m:r>
                      <m:r>
                        <m:t>o</m:t>
                      </m:r>
                      <m:r>
                        <m:t>n</m:t>
                      </m:r>
                      <m:r>
                        <m:t>e</m:t>
                      </m:r>
                    </m:sub>
                  </m:sSub>
                  <m:r>
                    <m:rPr>
                      <m:sty m:val="p"/>
                    </m:rPr>
                    <m:t>−</m:t>
                  </m:r>
                  <m:r>
                    <m:t>C</m:t>
                  </m:r>
                  <m:sSub>
                    <m:e>
                      <m:r>
                        <m:t>V</m:t>
                      </m:r>
                    </m:e>
                    <m:sub>
                      <m:r>
                        <m:t>s</m:t>
                      </m:r>
                      <m:r>
                        <m:t>i</m:t>
                      </m:r>
                      <m:r>
                        <m:t>t</m:t>
                      </m:r>
                      <m:r>
                        <m:t>e</m:t>
                      </m:r>
                    </m:sub>
                  </m:sSub>
                </m:num>
                <m:den>
                  <m:r>
                    <m:t>C</m:t>
                  </m:r>
                  <m:sSub>
                    <m:e>
                      <m:r>
                        <m:t>V</m:t>
                      </m:r>
                    </m:e>
                    <m:sub>
                      <m:r>
                        <m:t>s</m:t>
                      </m:r>
                      <m:r>
                        <m:t>i</m:t>
                      </m:r>
                      <m:r>
                        <m:t>n</m:t>
                      </m:r>
                      <m:r>
                        <m:t>g</m:t>
                      </m:r>
                      <m:r>
                        <m:t>l</m:t>
                      </m:r>
                      <m:r>
                        <m:t>e</m:t>
                      </m:r>
                      <m:r>
                        <m:t> </m:t>
                      </m:r>
                      <m:r>
                        <m:t>z</m:t>
                      </m:r>
                      <m:r>
                        <m:t>o</m:t>
                      </m:r>
                      <m:r>
                        <m:t>n</m:t>
                      </m:r>
                      <m:r>
                        <m:t>e</m:t>
                      </m:r>
                    </m:sub>
                  </m:sSub>
                </m:den>
              </m:f>
            </m:e>
          </m:d>
        </m:oMath>
      </m:oMathPara>
    </w:p>
    <w:p>
      <w:pPr>
        <w:pStyle w:val="FirstParagraph"/>
      </w:pPr>
      <w:r>
        <w:t xml:space="preserve">Results (regional shortfall correlation</w:t>
      </w:r>
      <w:r>
        <w:t xml:space="preserve"> </w:t>
      </w:r>
      <m:oMath>
        <m:r>
          <m:t>ρ</m:t>
        </m:r>
        <m:r>
          <m:rPr>
            <m:sty m:val="p"/>
          </m:rPr>
          <m:t>=</m:t>
        </m:r>
        <m:r>
          <m:t>0.30</m:t>
        </m:r>
      </m:oMath>
      <w:r>
        <w:t xml:space="preserve">, 1,000 years, RNG seed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Site</w:t>
            </w:r>
          </w:p>
        </w:tc>
        <w:tc>
          <w:tcPr/>
          <w:p>
            <w:pPr>
              <w:pStyle w:val="Compact"/>
            </w:pPr>
            <w:r>
              <w:t xml:space="preserve">flag sum</w:t>
            </w:r>
          </w:p>
        </w:tc>
        <w:tc>
          <w:tcPr/>
          <w:p>
            <w:pPr>
              <w:pStyle w:val="Compact"/>
            </w:pPr>
            <m:oMath>
              <m:sSub>
                <m:e>
                  <m:r>
                    <m:t>ε</m:t>
                  </m:r>
                </m:e>
                <m:sub>
                  <m:r>
                    <m:t>v</m:t>
                  </m:r>
                  <m:r>
                    <m:t>a</m:t>
                  </m:r>
                  <m:r>
                    <m:t>r</m:t>
                  </m:r>
                </m:sub>
              </m:sSub>
            </m:oMath>
          </w:p>
        </w:tc>
        <w:tc>
          <w:tcPr/>
          <w:p>
            <w:pPr>
              <w:pStyle w:val="Compact"/>
            </w:pPr>
            <m:oMath>
              <m:r>
                <m:t>C</m:t>
              </m:r>
              <m:sSub>
                <m:e>
                  <m:r>
                    <m:t>V</m:t>
                  </m:r>
                </m:e>
                <m:sub>
                  <m:r>
                    <m:t>o</m:t>
                  </m:r>
                  <m:r>
                    <m:t>b</m:t>
                  </m:r>
                  <m:r>
                    <m:t>s</m:t>
                  </m:r>
                </m:sub>
              </m:sSub>
            </m:oMath>
          </w:p>
        </w:tc>
        <w:tc>
          <w:tcPr/>
          <w:p>
            <w:pPr>
              <w:pStyle w:val="Compact"/>
            </w:pPr>
            <w:r>
              <w:t xml:space="preserve">SNR</w:t>
            </w:r>
          </w:p>
        </w:tc>
      </w:tr>
      <w:tr>
        <w:tc>
          <w:tcPr/>
          <w:p>
            <w:pPr>
              <w:pStyle w:val="Compact"/>
            </w:pPr>
            <w:r>
              <w:t xml:space="preserve">Poverty Point</w:t>
            </w:r>
          </w:p>
        </w:tc>
        <w:tc>
          <w:tcPr/>
          <w:p>
            <w:pPr>
              <w:pStyle w:val="Compact"/>
            </w:pPr>
            <w:r>
              <w:t xml:space="preserve">5.00</w:t>
            </w:r>
          </w:p>
        </w:tc>
        <w:tc>
          <w:tcPr/>
          <w:p>
            <w:pPr>
              <w:pStyle w:val="Compact"/>
            </w:pPr>
            <w:r>
              <w:rPr>
                <w:b/>
                <w:bCs/>
              </w:rPr>
              <w:t xml:space="preserve">0.168</w:t>
            </w:r>
          </w:p>
        </w:tc>
        <w:tc>
          <w:tcPr/>
          <w:p>
            <w:pPr>
              <w:pStyle w:val="Compact"/>
            </w:pPr>
            <w:r>
              <w:t xml:space="preserve">0.366</w:t>
            </w:r>
          </w:p>
        </w:tc>
        <w:tc>
          <w:tcPr/>
          <w:p>
            <w:pPr>
              <w:pStyle w:val="Compact"/>
            </w:pPr>
            <w:r>
              <w:t xml:space="preserve">2.74</w:t>
            </w:r>
          </w:p>
        </w:tc>
      </w:tr>
      <w:tr>
        <w:tc>
          <w:tcPr/>
          <w:p>
            <w:pPr>
              <w:pStyle w:val="Compact"/>
            </w:pPr>
            <w:r>
              <w:t xml:space="preserve">Jaketown</w:t>
            </w:r>
          </w:p>
        </w:tc>
        <w:tc>
          <w:tcPr/>
          <w:p>
            <w:pPr>
              <w:pStyle w:val="Compact"/>
            </w:pPr>
            <w:r>
              <w:t xml:space="preserve">4.00</w:t>
            </w:r>
          </w:p>
        </w:tc>
        <w:tc>
          <w:tcPr/>
          <w:p>
            <w:pPr>
              <w:pStyle w:val="Compact"/>
            </w:pPr>
            <w:r>
              <w:t xml:space="preserve">0.165</w:t>
            </w:r>
          </w:p>
        </w:tc>
        <w:tc>
          <w:tcPr/>
          <w:p>
            <w:pPr>
              <w:pStyle w:val="Compact"/>
            </w:pPr>
            <w:r>
              <w:t xml:space="preserve">0.369</w:t>
            </w:r>
          </w:p>
        </w:tc>
        <w:tc>
          <w:tcPr/>
          <w:p>
            <w:pPr>
              <w:pStyle w:val="Compact"/>
            </w:pPr>
            <w:r>
              <w:t xml:space="preserve">2.71</w:t>
            </w:r>
          </w:p>
        </w:tc>
      </w:tr>
      <w:tr>
        <w:tc>
          <w:tcPr/>
          <w:p>
            <w:pPr>
              <w:pStyle w:val="Compact"/>
            </w:pPr>
            <w:r>
              <w:t xml:space="preserve">Lower Jackson</w:t>
            </w:r>
          </w:p>
        </w:tc>
        <w:tc>
          <w:tcPr/>
          <w:p>
            <w:pPr>
              <w:pStyle w:val="Compact"/>
            </w:pPr>
            <w:r>
              <w:t xml:space="preserve">3.50</w:t>
            </w:r>
          </w:p>
        </w:tc>
        <w:tc>
          <w:tcPr/>
          <w:p>
            <w:pPr>
              <w:pStyle w:val="Compact"/>
            </w:pPr>
            <w:r>
              <w:t xml:space="preserve">0.164</w:t>
            </w:r>
          </w:p>
        </w:tc>
        <w:tc>
          <w:tcPr/>
          <w:p>
            <w:pPr>
              <w:pStyle w:val="Compact"/>
            </w:pPr>
            <w:r>
              <w:t xml:space="preserve">0.371</w:t>
            </w:r>
          </w:p>
        </w:tc>
        <w:tc>
          <w:tcPr/>
          <w:p>
            <w:pPr>
              <w:pStyle w:val="Compact"/>
            </w:pPr>
            <w:r>
              <w:t xml:space="preserve">2.70</w:t>
            </w:r>
          </w:p>
        </w:tc>
      </w:tr>
      <w:tr>
        <w:tc>
          <w:tcPr/>
          <w:p>
            <w:pPr>
              <w:pStyle w:val="Compact"/>
            </w:pPr>
            <w:r>
              <w:t xml:space="preserve">Watson Brake</w:t>
            </w:r>
          </w:p>
        </w:tc>
        <w:tc>
          <w:tcPr/>
          <w:p>
            <w:pPr>
              <w:pStyle w:val="Compact"/>
            </w:pPr>
            <w:r>
              <w:t xml:space="preserve">3.00</w:t>
            </w:r>
          </w:p>
        </w:tc>
        <w:tc>
          <w:tcPr/>
          <w:p>
            <w:pPr>
              <w:pStyle w:val="Compact"/>
            </w:pPr>
            <w:r>
              <w:t xml:space="preserve">0.162</w:t>
            </w:r>
          </w:p>
        </w:tc>
        <w:tc>
          <w:tcPr/>
          <w:p>
            <w:pPr>
              <w:pStyle w:val="Compact"/>
            </w:pPr>
            <w:r>
              <w:t xml:space="preserve">0.373</w:t>
            </w:r>
          </w:p>
        </w:tc>
        <w:tc>
          <w:tcPr/>
          <w:p>
            <w:pPr>
              <w:pStyle w:val="Compact"/>
            </w:pPr>
            <w:r>
              <w:t xml:space="preserve">2.68</w:t>
            </w:r>
          </w:p>
        </w:tc>
      </w:tr>
      <w:tr>
        <w:tc>
          <w:tcPr/>
          <w:p>
            <w:pPr>
              <w:pStyle w:val="Compact"/>
            </w:pPr>
            <w:r>
              <w:t xml:space="preserve">Cowpen Slough</w:t>
            </w:r>
          </w:p>
        </w:tc>
        <w:tc>
          <w:tcPr/>
          <w:p>
            <w:pPr>
              <w:pStyle w:val="Compact"/>
            </w:pPr>
            <w:r>
              <w:t xml:space="preserve">3.50</w:t>
            </w:r>
          </w:p>
        </w:tc>
        <w:tc>
          <w:tcPr/>
          <w:p>
            <w:pPr>
              <w:pStyle w:val="Compact"/>
            </w:pPr>
            <w:r>
              <w:t xml:space="preserve">0.159</w:t>
            </w:r>
          </w:p>
        </w:tc>
        <w:tc>
          <w:tcPr/>
          <w:p>
            <w:pPr>
              <w:pStyle w:val="Compact"/>
            </w:pPr>
            <w:r>
              <w:t xml:space="preserve">0.376</w:t>
            </w:r>
          </w:p>
        </w:tc>
        <w:tc>
          <w:tcPr/>
          <w:p>
            <w:pPr>
              <w:pStyle w:val="Compact"/>
            </w:pPr>
            <w:r>
              <w:t xml:space="preserve">2.66</w:t>
            </w:r>
          </w:p>
        </w:tc>
      </w:tr>
      <w:tr>
        <w:tc>
          <w:tcPr/>
          <w:p>
            <w:pPr>
              <w:pStyle w:val="Compact"/>
            </w:pPr>
            <w:r>
              <w:t xml:space="preserve">J.W. Copes</w:t>
            </w:r>
          </w:p>
        </w:tc>
        <w:tc>
          <w:tcPr/>
          <w:p>
            <w:pPr>
              <w:pStyle w:val="Compact"/>
            </w:pPr>
            <w:r>
              <w:t xml:space="preserve">3.50</w:t>
            </w:r>
          </w:p>
        </w:tc>
        <w:tc>
          <w:tcPr/>
          <w:p>
            <w:pPr>
              <w:pStyle w:val="Compact"/>
            </w:pPr>
            <w:r>
              <w:t xml:space="preserve">0.159</w:t>
            </w:r>
          </w:p>
        </w:tc>
        <w:tc>
          <w:tcPr/>
          <w:p>
            <w:pPr>
              <w:pStyle w:val="Compact"/>
            </w:pPr>
            <w:r>
              <w:t xml:space="preserve">0.376</w:t>
            </w:r>
          </w:p>
        </w:tc>
        <w:tc>
          <w:tcPr/>
          <w:p>
            <w:pPr>
              <w:pStyle w:val="Compact"/>
            </w:pPr>
            <w:r>
              <w:t xml:space="preserve">2.66</w:t>
            </w:r>
          </w:p>
        </w:tc>
      </w:tr>
      <w:tr>
        <w:tc>
          <w:tcPr/>
          <w:p>
            <w:pPr>
              <w:pStyle w:val="Compact"/>
            </w:pPr>
            <w:r>
              <w:t xml:space="preserve">Frenchman’s Bend</w:t>
            </w:r>
          </w:p>
        </w:tc>
        <w:tc>
          <w:tcPr/>
          <w:p>
            <w:pPr>
              <w:pStyle w:val="Compact"/>
            </w:pPr>
            <w:r>
              <w:t xml:space="preserve">2.50</w:t>
            </w:r>
          </w:p>
        </w:tc>
        <w:tc>
          <w:tcPr/>
          <w:p>
            <w:pPr>
              <w:pStyle w:val="Compact"/>
            </w:pPr>
            <w:r>
              <w:t xml:space="preserve">0.147</w:t>
            </w:r>
          </w:p>
        </w:tc>
        <w:tc>
          <w:tcPr/>
          <w:p>
            <w:pPr>
              <w:pStyle w:val="Compact"/>
            </w:pPr>
            <w:r>
              <w:t xml:space="preserve">0.389</w:t>
            </w:r>
          </w:p>
        </w:tc>
        <w:tc>
          <w:tcPr/>
          <w:p>
            <w:pPr>
              <w:pStyle w:val="Compact"/>
            </w:pPr>
            <w:r>
              <w:t xml:space="preserve">2.57</w:t>
            </w:r>
          </w:p>
        </w:tc>
      </w:tr>
      <w:tr>
        <w:tc>
          <w:tcPr/>
          <w:p>
            <w:pPr>
              <w:pStyle w:val="Compact"/>
            </w:pPr>
            <w:r>
              <w:t xml:space="preserve">Insley</w:t>
            </w:r>
          </w:p>
        </w:tc>
        <w:tc>
          <w:tcPr/>
          <w:p>
            <w:pPr>
              <w:pStyle w:val="Compact"/>
            </w:pPr>
            <w:r>
              <w:t xml:space="preserve">2.50</w:t>
            </w:r>
          </w:p>
        </w:tc>
        <w:tc>
          <w:tcPr/>
          <w:p>
            <w:pPr>
              <w:pStyle w:val="Compact"/>
            </w:pPr>
            <w:r>
              <w:t xml:space="preserve">0.147</w:t>
            </w:r>
          </w:p>
        </w:tc>
        <w:tc>
          <w:tcPr/>
          <w:p>
            <w:pPr>
              <w:pStyle w:val="Compact"/>
            </w:pPr>
            <w:r>
              <w:t xml:space="preserve">0.389</w:t>
            </w:r>
          </w:p>
        </w:tc>
        <w:tc>
          <w:tcPr/>
          <w:p>
            <w:pPr>
              <w:pStyle w:val="Compact"/>
            </w:pPr>
            <w:r>
              <w:t xml:space="preserve">2.57</w:t>
            </w:r>
          </w:p>
        </w:tc>
      </w:tr>
      <w:tr>
        <w:tc>
          <w:tcPr/>
          <w:p>
            <w:pPr>
              <w:pStyle w:val="Compact"/>
            </w:pPr>
            <w:r>
              <w:t xml:space="preserve">Claiborne</w:t>
            </w:r>
          </w:p>
        </w:tc>
        <w:tc>
          <w:tcPr/>
          <w:p>
            <w:pPr>
              <w:pStyle w:val="Compact"/>
            </w:pPr>
            <w:r>
              <w:t xml:space="preserve">2.00</w:t>
            </w:r>
          </w:p>
        </w:tc>
        <w:tc>
          <w:tcPr/>
          <w:p>
            <w:pPr>
              <w:pStyle w:val="Compact"/>
            </w:pPr>
            <w:r>
              <w:t xml:space="preserve">0.127</w:t>
            </w:r>
          </w:p>
        </w:tc>
        <w:tc>
          <w:tcPr/>
          <w:p>
            <w:pPr>
              <w:pStyle w:val="Compact"/>
            </w:pPr>
            <w:r>
              <w:t xml:space="preserve">0.411</w:t>
            </w:r>
          </w:p>
        </w:tc>
        <w:tc>
          <w:tcPr/>
          <w:p>
            <w:pPr>
              <w:pStyle w:val="Compact"/>
            </w:pPr>
            <w:r>
              <w:t xml:space="preserve">2.43</w:t>
            </w:r>
          </w:p>
        </w:tc>
      </w:tr>
      <w:tr>
        <w:tc>
          <w:tcPr/>
          <w:p>
            <w:pPr>
              <w:pStyle w:val="Compact"/>
            </w:pPr>
            <w:r>
              <w:t xml:space="preserve">Cedarland</w:t>
            </w:r>
          </w:p>
        </w:tc>
        <w:tc>
          <w:tcPr/>
          <w:p>
            <w:pPr>
              <w:pStyle w:val="Compact"/>
            </w:pPr>
            <w:r>
              <w:t xml:space="preserve">2.00</w:t>
            </w:r>
          </w:p>
        </w:tc>
        <w:tc>
          <w:tcPr/>
          <w:p>
            <w:pPr>
              <w:pStyle w:val="Compact"/>
            </w:pPr>
            <w:r>
              <w:t xml:space="preserve">0.127</w:t>
            </w:r>
          </w:p>
        </w:tc>
        <w:tc>
          <w:tcPr/>
          <w:p>
            <w:pPr>
              <w:pStyle w:val="Compact"/>
            </w:pPr>
            <w:r>
              <w:t xml:space="preserve">0.411</w:t>
            </w:r>
          </w:p>
        </w:tc>
        <w:tc>
          <w:tcPr/>
          <w:p>
            <w:pPr>
              <w:pStyle w:val="Compact"/>
            </w:pPr>
            <w:r>
              <w:t xml:space="preserve">2.43</w:t>
            </w:r>
          </w:p>
        </w:tc>
      </w:tr>
      <w:tr>
        <w:tc>
          <w:tcPr/>
          <w:p>
            <w:pPr>
              <w:pStyle w:val="Compact"/>
            </w:pPr>
            <w:r>
              <w:t xml:space="preserve">Caney</w:t>
            </w:r>
          </w:p>
        </w:tc>
        <w:tc>
          <w:tcPr/>
          <w:p>
            <w:pPr>
              <w:pStyle w:val="Compact"/>
            </w:pPr>
            <w:r>
              <w:t xml:space="preserve">2.00</w:t>
            </w:r>
          </w:p>
        </w:tc>
        <w:tc>
          <w:tcPr/>
          <w:p>
            <w:pPr>
              <w:pStyle w:val="Compact"/>
            </w:pPr>
            <w:r>
              <w:t xml:space="preserve">0.122</w:t>
            </w:r>
          </w:p>
        </w:tc>
        <w:tc>
          <w:tcPr/>
          <w:p>
            <w:pPr>
              <w:pStyle w:val="Compact"/>
            </w:pPr>
            <w:r>
              <w:t xml:space="preserve">0.417</w:t>
            </w:r>
          </w:p>
        </w:tc>
        <w:tc>
          <w:tcPr/>
          <w:p>
            <w:pPr>
              <w:pStyle w:val="Compact"/>
            </w:pPr>
            <w:r>
              <w:t xml:space="preserve">2.40</w:t>
            </w:r>
          </w:p>
        </w:tc>
      </w:tr>
    </w:tbl>
    <w:p>
      <w:pPr>
        <w:pStyle w:val="BodyText"/>
      </w:pPr>
      <w:r>
        <w:t xml:space="preserve">The variance-based</w:t>
      </w:r>
      <w:r>
        <w:t xml:space="preserve"> </w:t>
      </w:r>
      <m:oMath>
        <m:r>
          <m:t>ε</m:t>
        </m:r>
      </m:oMath>
      <w:r>
        <w:t xml:space="preserve"> </w:t>
      </w:r>
      <w:r>
        <w:t xml:space="preserve">ranking places PP, Jaketown, and the multi-zone interior sites in the top band and Caney plus the coastal pair at the bottom, consistent with the framework’s negative-covariance logic. Spearman correlation against observed ordinal monument scale is</w:t>
      </w:r>
      <w:r>
        <w:t xml:space="preserve"> </w:t>
      </w:r>
      <m:oMath>
        <m:r>
          <m:t>ρ</m:t>
        </m:r>
        <m:r>
          <m:rPr>
            <m:sty m:val="p"/>
          </m:rPr>
          <m:t>=</m:t>
        </m:r>
        <m:r>
          <m:rPr>
            <m:sty m:val="p"/>
          </m:rPr>
          <m:t>−</m:t>
        </m:r>
        <m:r>
          <m:t>0.02</m:t>
        </m:r>
      </m:oMath>
      <w:r>
        <w:t xml:space="preserve"> </w:t>
      </w:r>
      <w:r>
        <w:t xml:space="preserve">(</w:t>
      </w:r>
      <m:oMath>
        <m:r>
          <m:t>p</m:t>
        </m:r>
        <m:r>
          <m:rPr>
            <m:sty m:val="p"/>
          </m:rPr>
          <m:t>=</m:t>
        </m:r>
        <m:r>
          <m:t>0.95</m:t>
        </m:r>
      </m:oMath>
      <w:r>
        <w:t xml:space="preserve">), again null. This third null result confirms the main §7.1 reading directly: monument scale is not what</w:t>
      </w:r>
      <w:r>
        <w:t xml:space="preserve"> </w:t>
      </w:r>
      <m:oMath>
        <m:r>
          <m:t>ε</m:t>
        </m:r>
      </m:oMath>
      <w:r>
        <w:t xml:space="preserve"> </w:t>
      </w:r>
      <w:r>
        <w:t xml:space="preserve">predicts at fixed</w:t>
      </w:r>
      <w:r>
        <w:t xml:space="preserve"> </w:t>
      </w:r>
      <m:oMath>
        <m:sSub>
          <m:e>
            <m:r>
              <m:t>n</m:t>
            </m:r>
          </m:e>
          <m:sub>
            <m:r>
              <m:t>a</m:t>
            </m:r>
            <m:r>
              <m:t>g</m:t>
            </m:r>
            <m:r>
              <m:t>g</m:t>
            </m:r>
          </m:sub>
        </m:sSub>
      </m:oMath>
      <w:r>
        <w:t xml:space="preserve">, regardless of which operationalization (static rubric, phenology peak count, or variance-based) one uses.</w:t>
      </w:r>
    </w:p>
    <w:p>
      <w:pPr>
        <w:pStyle w:val="BodyText"/>
      </w:pPr>
      <w:r>
        <w:t xml:space="preserve">What the variance-based</w:t>
      </w:r>
      <w:r>
        <w:t xml:space="preserve"> </w:t>
      </w:r>
      <m:oMath>
        <m:r>
          <m:t>ε</m:t>
        </m:r>
      </m:oMath>
      <w:r>
        <w:t xml:space="preserve"> </w:t>
      </w:r>
      <w:r>
        <w:rPr>
          <w:i/>
          <w:iCs/>
        </w:rPr>
        <w:t xml:space="preserve">does</w:t>
      </w:r>
      <w:r>
        <w:t xml:space="preserve"> </w:t>
      </w:r>
      <w:r>
        <w:t xml:space="preserve">support is the screening role:</w:t>
      </w:r>
      <w:r>
        <w:t xml:space="preserve"> </w:t>
      </w:r>
      <m:oMath>
        <m:sSub>
          <m:e>
            <m:r>
              <m:t>ε</m:t>
            </m:r>
          </m:e>
          <m:sub>
            <m:r>
              <m:t>v</m:t>
            </m:r>
            <m:r>
              <m:t>a</m:t>
            </m:r>
            <m:r>
              <m:t>r</m:t>
            </m:r>
          </m:sub>
        </m:sSub>
      </m:oMath>
      <w:r>
        <w:t xml:space="preserve"> </w:t>
      </w:r>
      <w:r>
        <w:t xml:space="preserve">at</w:t>
      </w:r>
      <w:r>
        <w:t xml:space="preserve"> </w:t>
      </w:r>
      <m:oMath>
        <m:r>
          <m:rPr>
            <m:sty m:val="p"/>
          </m:rPr>
          <m:t>∼</m:t>
        </m:r>
        <m:r>
          <m:t>0.17</m:t>
        </m:r>
      </m:oMath>
      <w:r>
        <w:t xml:space="preserve"> </w:t>
      </w:r>
      <w:r>
        <w:t xml:space="preserve">for PP, Jaketown, LJ, WB, Cowpen, JWC and</w:t>
      </w:r>
      <w:r>
        <w:t xml:space="preserve"> </w:t>
      </w:r>
      <m:oMath>
        <m:r>
          <m:rPr>
            <m:sty m:val="p"/>
          </m:rPr>
          <m:t>∼</m:t>
        </m:r>
        <m:r>
          <m:t>0.12</m:t>
        </m:r>
      </m:oMath>
      <w:r>
        <w:t xml:space="preserve"> </w:t>
      </w:r>
      <w:r>
        <w:t xml:space="preserve">for the coastal pair confirms the interior-vs-coastal discrimination that Table 2 carries. The phenology operationalization is therefore better-aligned theoretically with the framework’s covariance-based logic than the static rubric is, and produces consistent screening conclusions, but does not fix the magnitude-prediction problem identified in main §7.1, which is structural rather than operational.</w:t>
      </w:r>
    </w:p>
    <w:p>
      <w:pPr>
        <w:pStyle w:val="BodyText"/>
      </w:pPr>
      <w:r>
        <w:t xml:space="preserve">The full numerical output is in</w:t>
      </w:r>
      <w:r>
        <w:t xml:space="preserve"> </w:t>
      </w:r>
      <w:r>
        <w:rPr>
          <w:rStyle w:val="VerbatimChar"/>
        </w:rPr>
        <w:t xml:space="preserve">results/phenology/phenology_epsilon_test.json</w:t>
      </w:r>
      <w:r>
        <w:t xml:space="preserve"> </w:t>
      </w:r>
      <w:r>
        <w:t xml:space="preserve">(Test A) and</w:t>
      </w:r>
      <w:r>
        <w:t xml:space="preserve"> </w:t>
      </w:r>
      <w:r>
        <w:rPr>
          <w:rStyle w:val="VerbatimChar"/>
        </w:rPr>
        <w:t xml:space="preserve">results/phenology/phenology_variance_epsilon.json</w:t>
      </w:r>
      <w:r>
        <w:t xml:space="preserve"> </w:t>
      </w:r>
      <w:r>
        <w:t xml:space="preserve">(variance-based test).</w:t>
      </w:r>
    </w:p>
    <w:p>
      <w:pPr>
        <w:pStyle w:val="BodyText"/>
      </w:pPr>
      <w:r>
        <w:t xml:space="preserve">The seasonal phenology figure is presented as main-text Figure 15 (§6.7); see also §S16 below.</w:t>
      </w:r>
    </w:p>
    <w:p>
      <w:r>
        <w:pict>
          <v:rect style="width:0;height:1.5pt" o:hralign="center" o:hrstd="t" o:hr="t"/>
        </w:pict>
      </w:r>
    </w:p>
    <w:bookmarkEnd w:id="86"/>
    <w:bookmarkStart w:id="95" w:name="X36576ea3f795908e3034c54bbd7a9ce1f683672"/>
    <w:p>
      <w:pPr>
        <w:pStyle w:val="Heading2"/>
      </w:pPr>
      <w:r>
        <w:t xml:space="preserve">S17. Model components used in §6 and priority follow-up work</w:t>
      </w:r>
    </w:p>
    <w:p>
      <w:pPr>
        <w:pStyle w:val="FirstParagraph"/>
      </w:pPr>
      <w:r>
        <w:t xml:space="preserve">This section consolidates the seven model components developed for the empirical evaluations in §6 and, for each, identifies the follow-up work that would tighten or extend the present implementation. Three components are central to specific §6 results (regime switching for §6.3 Watson Brake; per-event labor scaling for §6.3 and §6.6; water-route catchment for §6.5). Two are sensitivity demonstrations of internal consistency (per-site</w:t>
      </w:r>
      <w:r>
        <w:t xml:space="preserve"> </w:t>
      </w:r>
      <m:oMath>
        <m:sSub>
          <m:e>
            <m:r>
              <m:t>n</m:t>
            </m:r>
          </m:e>
          <m:sub>
            <m:r>
              <m:t>a</m:t>
            </m:r>
            <m:r>
              <m:t>g</m:t>
            </m:r>
            <m:r>
              <m:t>g</m:t>
            </m:r>
          </m:sub>
        </m:sSub>
      </m:oMath>
      <w:r>
        <w:t xml:space="preserve"> </w:t>
      </w:r>
      <w:r>
        <w:t xml:space="preserve">scale ratios in §6.6; regional band allocation in §6.6). One is a plausibility check (seasonally resolved aggregation timing in §6.7). One is an independently weighted falsifiable prediction (maintenance-to-new-construction ratio for §6.8 / §7.4(h)). The two structural-architecture components reported in §S5 above (a near-threshold parameter sweep and a restructured network-saturation function) are referenced by section pointer. A consolidated list of priority follow-up work appears in §S17.8.</w:t>
      </w:r>
    </w:p>
    <w:bookmarkStart w:id="87" w:name="Xde57d3fc74c0c8da7e408217bf51105bc4f0e8f"/>
    <w:p>
      <w:pPr>
        <w:pStyle w:val="Heading3"/>
      </w:pPr>
      <w:r>
        <w:t xml:space="preserve">S17.1 Regime switching for the Watson Brake bistable closure</w:t>
      </w:r>
    </w:p>
    <w:p>
      <w:pPr>
        <w:pStyle w:val="FirstParagraph"/>
      </w:pPr>
      <w:r>
        <w:t xml:space="preserve">(Main text §6.3;</w:t>
      </w:r>
      <w:r>
        <w:t xml:space="preserve"> </w:t>
      </w:r>
      <w:r>
        <w:rPr>
          <w:i/>
          <w:iCs/>
        </w:rPr>
        <w:t xml:space="preserve">Continuous-equilibrium treatment</w:t>
      </w:r>
      <w:r>
        <w:t xml:space="preserve"> </w:t>
      </w:r>
      <w:r>
        <w:t xml:space="preserve">in main §7.4.)</w:t>
      </w:r>
      <w:r>
        <w:t xml:space="preserve"> </w:t>
      </w:r>
      <w:r>
        <w:rPr>
          <w:b/>
          <w:bCs/>
        </w:rPr>
        <w:t xml:space="preserve">Implemented in this revision (analytical-stochastic version); central to the §6.3 closure.</w:t>
      </w:r>
      <w:r>
        <w:t xml:space="preserve"> </w:t>
      </w:r>
      <w:r>
        <w:t xml:space="preserve">A 700-year simulation samples</w:t>
      </w:r>
      <w:r>
        <w:t xml:space="preserve"> </w:t>
      </w:r>
      <m:oMath>
        <m:sSub>
          <m:e>
            <m:r>
              <m:t>σ</m:t>
            </m:r>
          </m:e>
          <m:sub>
            <m:r>
              <m:t>e</m:t>
            </m:r>
            <m:r>
              <m:t>f</m:t>
            </m:r>
            <m:r>
              <m:t>f</m:t>
            </m:r>
            <m:r>
              <m:rPr>
                <m:sty m:val="p"/>
              </m:rPr>
              <m:t>,</m:t>
            </m:r>
            <m:r>
              <m:t>t</m:t>
            </m:r>
          </m:sub>
        </m:sSub>
        <m:r>
          <m:rPr>
            <m:sty m:val="p"/>
          </m:rPr>
          <m:t>∼</m:t>
        </m:r>
        <m:r>
          <m:rPr>
            <m:scr m:val="script"/>
            <m:sty m:val="p"/>
          </m:rPr>
          <m:t>N</m:t>
        </m:r>
        <m:r>
          <m:rPr>
            <m:sty m:val="p"/>
          </m:rPr>
          <m:t>(</m:t>
        </m:r>
        <m:sSub>
          <m:e>
            <m:r>
              <m:t>μ</m:t>
            </m:r>
          </m:e>
          <m:sub>
            <m:r>
              <m:t>e</m:t>
            </m:r>
            <m:r>
              <m:t>f</m:t>
            </m:r>
            <m:r>
              <m:t>f</m:t>
            </m:r>
          </m:sub>
        </m:sSub>
        <m:r>
          <m:rPr>
            <m:sty m:val="p"/>
          </m:rPr>
          <m:t>,</m:t>
        </m:r>
        <m:sSub>
          <m:e>
            <m:r>
              <m:t>σ</m:t>
            </m:r>
          </m:e>
          <m:sub>
            <m:r>
              <m:t>s</m:t>
            </m:r>
            <m:r>
              <m:t>d</m:t>
            </m:r>
          </m:sub>
        </m:sSub>
        <m:r>
          <m:rPr>
            <m:sty m:val="p"/>
          </m:rPr>
          <m:t>)</m:t>
        </m:r>
      </m:oMath>
      <w:r>
        <w:t xml:space="preserve"> </w:t>
      </w:r>
      <w:r>
        <w:t xml:space="preserve">each year at WB parameters (</w:t>
      </w:r>
      <m:oMath>
        <m:sSub>
          <m:e>
            <m:r>
              <m:t>μ</m:t>
            </m:r>
          </m:e>
          <m:sub>
            <m:r>
              <m:t>e</m:t>
            </m:r>
            <m:r>
              <m:t>f</m:t>
            </m:r>
            <m:r>
              <m:t>f</m:t>
            </m:r>
          </m:sub>
        </m:sSub>
        <m:r>
          <m:rPr>
            <m:sty m:val="p"/>
          </m:rPr>
          <m:t>=</m:t>
        </m:r>
        <m:r>
          <m:t>0.319</m:t>
        </m:r>
      </m:oMath>
      <w:r>
        <w:t xml:space="preserve"> </w:t>
      </w:r>
      <w:r>
        <w:t xml:space="preserve">at</w:t>
      </w:r>
      <w:r>
        <w:t xml:space="preserve"> </w:t>
      </w:r>
      <m:oMath>
        <m:r>
          <m:t>σ</m:t>
        </m:r>
        <m:r>
          <m:rPr>
            <m:sty m:val="p"/>
          </m:rPr>
          <m:t>=</m:t>
        </m:r>
        <m:r>
          <m:t>0.56</m:t>
        </m:r>
      </m:oMath>
      <w:r>
        <w:t xml:space="preserve"> </w:t>
      </w:r>
      <w:r>
        <w:t xml:space="preserve">and</w:t>
      </w:r>
      <w:r>
        <w:t xml:space="preserve"> </w:t>
      </w:r>
      <m:oMath>
        <m:r>
          <m:t>ε</m:t>
        </m:r>
        <m:r>
          <m:rPr>
            <m:sty m:val="p"/>
          </m:rPr>
          <m:t>=</m:t>
        </m:r>
        <m:r>
          <m:t>0.43</m:t>
        </m:r>
      </m:oMath>
      <w:r>
        <w:t xml:space="preserve">), classifies each year above or below the analytical</w:t>
      </w:r>
      <w:r>
        <w:t xml:space="preserve"> </w:t>
      </w:r>
      <m:oMath>
        <m:sSup>
          <m:e>
            <m:r>
              <m:t>σ</m:t>
            </m:r>
          </m:e>
          <m:sup>
            <m:r>
              <m:rPr>
                <m:sty m:val="p"/>
              </m:rPr>
              <m:t>*</m:t>
            </m:r>
          </m:sup>
        </m:sSup>
        <m:r>
          <m:rPr>
            <m:sty m:val="p"/>
          </m:rPr>
          <m:t>=</m:t>
        </m:r>
        <m:r>
          <m:t>0.375</m:t>
        </m:r>
      </m:oMath>
      <w:r>
        <w:t xml:space="preserve">, requires a minimum-persistence run length</w:t>
      </w:r>
      <w:r>
        <w:t xml:space="preserve"> </w:t>
      </w:r>
      <m:oMath>
        <m:r>
          <m:t>K</m:t>
        </m:r>
      </m:oMath>
      <w:r>
        <w:t xml:space="preserve"> </w:t>
      </w:r>
      <w:r>
        <w:t xml:space="preserve">years to count as a regime transition (band-coordination delay), and accumulates monument volume during persistent above-threshold intervals at the per-event labor-scaled rate (per-event labor scaling at</w:t>
      </w:r>
      <w:r>
        <w:t xml:space="preserve"> </w:t>
      </w:r>
      <m:oMath>
        <m:r>
          <m:t>α</m:t>
        </m:r>
        <m:r>
          <m:rPr>
            <m:sty m:val="p"/>
          </m:rPr>
          <m:t>=</m:t>
        </m:r>
        <m:r>
          <m:t>2</m:t>
        </m:r>
      </m:oMath>
      <w:r>
        <w:t xml:space="preserve">; §S17.2). Sweeping</w:t>
      </w:r>
      <w:r>
        <w:t xml:space="preserve"> </w:t>
      </w:r>
      <m:oMath>
        <m:sSub>
          <m:e>
            <m:r>
              <m:t>σ</m:t>
            </m:r>
          </m:e>
          <m:sub>
            <m:r>
              <m:t>s</m:t>
            </m:r>
            <m:r>
              <m:t>d</m:t>
            </m:r>
          </m:sub>
        </m:sSub>
        <m:r>
          <m:rPr>
            <m:sty m:val="p"/>
          </m:rPr>
          <m:t>∈</m:t>
        </m:r>
        <m:r>
          <m:rPr>
            <m:sty m:val="p"/>
          </m:rPr>
          <m:t>[</m:t>
        </m:r>
        <m:r>
          <m:t>0.075</m:t>
        </m:r>
        <m:r>
          <m:rPr>
            <m:sty m:val="p"/>
          </m:rPr>
          <m:t>,</m:t>
        </m:r>
        <m:r>
          <m:t>0.20</m:t>
        </m:r>
        <m:r>
          <m:rPr>
            <m:sty m:val="p"/>
          </m:rPr>
          <m:t>]</m:t>
        </m:r>
      </m:oMath>
      <w:r>
        <w:t xml:space="preserve"> </w:t>
      </w:r>
      <w:r>
        <w:t xml:space="preserve">and</w:t>
      </w:r>
      <w:r>
        <w:t xml:space="preserve"> </w:t>
      </w:r>
      <m:oMath>
        <m:r>
          <m:t>K</m:t>
        </m:r>
        <m:r>
          <m:rPr>
            <m:sty m:val="p"/>
          </m:rPr>
          <m:t>∈</m:t>
        </m:r>
        <m:r>
          <m:rPr>
            <m:sty m:val="p"/>
          </m:rPr>
          <m:t>[</m:t>
        </m:r>
        <m:r>
          <m:t>1</m:t>
        </m:r>
        <m:r>
          <m:rPr>
            <m:sty m:val="p"/>
          </m:rPr>
          <m:t>,</m:t>
        </m:r>
        <m:r>
          <m:t>5</m:t>
        </m:r>
        <m:r>
          <m:rPr>
            <m:sty m:val="p"/>
          </m:rPr>
          <m:t>]</m:t>
        </m:r>
      </m:oMath>
      <w:r>
        <w:t xml:space="preserve"> </w:t>
      </w:r>
      <w:r>
        <w:t xml:space="preserve">years (100 replicates per cell):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m:oMath>
              <m:sSub>
                <m:e>
                  <m:r>
                    <m:t>σ</m:t>
                  </m:r>
                </m:e>
                <m:sub>
                  <m:r>
                    <m:t>s</m:t>
                  </m:r>
                  <m:r>
                    <m:t>d</m:t>
                  </m:r>
                </m:sub>
              </m:sSub>
            </m:oMath>
          </w:p>
        </w:tc>
        <w:tc>
          <w:tcPr/>
          <w:p>
            <w:pPr>
              <w:pStyle w:val="Compact"/>
            </w:pPr>
            <m:oMath>
              <m:r>
                <m:t>K</m:t>
              </m:r>
            </m:oMath>
            <w:r>
              <w:t xml:space="preserve"> </w:t>
            </w:r>
            <w:r>
              <w:t xml:space="preserve">(yrs)</w:t>
            </w:r>
          </w:p>
        </w:tc>
        <w:tc>
          <w:tcPr/>
          <w:p>
            <w:pPr>
              <w:pStyle w:val="Compact"/>
            </w:pPr>
            <w:r>
              <w:t xml:space="preserve">mean</w:t>
            </w:r>
            <w:r>
              <w:t xml:space="preserve"> </w:t>
            </w:r>
            <m:oMath>
              <m:sSub>
                <m:e>
                  <m:r>
                    <m:t>f</m:t>
                  </m:r>
                </m:e>
                <m:sub>
                  <m:r>
                    <m:t>a</m:t>
                  </m:r>
                  <m:r>
                    <m:t>b</m:t>
                  </m:r>
                  <m:r>
                    <m:t>o</m:t>
                  </m:r>
                  <m:r>
                    <m:t>v</m:t>
                  </m:r>
                  <m:r>
                    <m:t>e</m:t>
                  </m:r>
                </m:sub>
              </m:sSub>
            </m:oMath>
          </w:p>
        </w:tc>
        <w:tc>
          <w:tcPr/>
          <w:p>
            <w:pPr>
              <w:pStyle w:val="Compact"/>
            </w:pPr>
            <w:r>
              <w:t xml:space="preserve">predicted volume (m³)</w:t>
            </w:r>
          </w:p>
        </w:tc>
        <w:tc>
          <w:tcPr/>
          <w:p>
            <w:pPr>
              <w:pStyle w:val="Compact"/>
            </w:pPr>
            <w:r>
              <w:t xml:space="preserve">95% CI</w:t>
            </w:r>
          </w:p>
        </w:tc>
        <w:tc>
          <w:tcPr/>
          <w:p>
            <w:pPr>
              <w:pStyle w:val="Compact"/>
            </w:pPr>
            <w:r>
              <w:t xml:space="preserve">overpred factor</w:t>
            </w:r>
          </w:p>
        </w:tc>
      </w:tr>
      <w:tr>
        <w:tc>
          <w:tcPr/>
          <w:p>
            <w:pPr>
              <w:pStyle w:val="Compact"/>
            </w:pPr>
            <w:r>
              <w:t xml:space="preserve">0.075</w:t>
            </w:r>
          </w:p>
        </w:tc>
        <w:tc>
          <w:tcPr/>
          <w:p>
            <w:pPr>
              <w:pStyle w:val="Compact"/>
            </w:pPr>
            <w:r>
              <w:t xml:space="preserve">2</w:t>
            </w:r>
          </w:p>
        </w:tc>
        <w:tc>
          <w:tcPr/>
          <w:p>
            <w:pPr>
              <w:pStyle w:val="Compact"/>
            </w:pPr>
            <w:r>
              <w:t xml:space="preserve">0.052</w:t>
            </w:r>
          </w:p>
        </w:tc>
        <w:tc>
          <w:tcPr/>
          <w:p>
            <w:pPr>
              <w:pStyle w:val="Compact"/>
            </w:pPr>
            <w:r>
              <w:t xml:space="preserve">11,904</w:t>
            </w:r>
          </w:p>
        </w:tc>
        <w:tc>
          <w:tcPr/>
          <w:p>
            <w:pPr>
              <w:pStyle w:val="Compact"/>
            </w:pPr>
            <w:r>
              <w:t xml:space="preserve">[7,539, 15,733]</w:t>
            </w:r>
          </w:p>
        </w:tc>
        <w:tc>
          <w:tcPr/>
          <w:p>
            <w:pPr>
              <w:pStyle w:val="Compact"/>
            </w:pPr>
            <w:r>
              <w:t xml:space="preserve">1.70</w:t>
            </w:r>
          </w:p>
        </w:tc>
      </w:tr>
      <w:tr>
        <w:tc>
          <w:tcPr/>
          <w:p>
            <w:pPr>
              <w:pStyle w:val="Compact"/>
            </w:pPr>
            <w:r>
              <w:t xml:space="preserve">0.100</w:t>
            </w:r>
          </w:p>
        </w:tc>
        <w:tc>
          <w:tcPr/>
          <w:p>
            <w:pPr>
              <w:pStyle w:val="Compact"/>
            </w:pPr>
            <w:r>
              <w:t xml:space="preserve">2</w:t>
            </w:r>
          </w:p>
        </w:tc>
        <w:tc>
          <w:tcPr/>
          <w:p>
            <w:pPr>
              <w:pStyle w:val="Compact"/>
            </w:pPr>
            <w:r>
              <w:t xml:space="preserve">0.081</w:t>
            </w:r>
          </w:p>
        </w:tc>
        <w:tc>
          <w:tcPr/>
          <w:p>
            <w:pPr>
              <w:pStyle w:val="Compact"/>
            </w:pPr>
            <w:r>
              <w:t xml:space="preserve">18,683</w:t>
            </w:r>
          </w:p>
        </w:tc>
        <w:tc>
          <w:tcPr/>
          <w:p>
            <w:pPr>
              <w:pStyle w:val="Compact"/>
            </w:pPr>
            <w:r>
              <w:t xml:space="preserve">[13,111, 23,599]</w:t>
            </w:r>
          </w:p>
        </w:tc>
        <w:tc>
          <w:tcPr/>
          <w:p>
            <w:pPr>
              <w:pStyle w:val="Compact"/>
            </w:pPr>
            <w:r>
              <w:t xml:space="preserve">2.67</w:t>
            </w:r>
          </w:p>
        </w:tc>
      </w:tr>
      <w:tr>
        <w:tc>
          <w:tcPr/>
          <w:p>
            <w:pPr>
              <w:pStyle w:val="Compact"/>
            </w:pPr>
            <w:r>
              <w:t xml:space="preserve">0.100</w:t>
            </w:r>
          </w:p>
        </w:tc>
        <w:tc>
          <w:tcPr/>
          <w:p>
            <w:pPr>
              <w:pStyle w:val="Compact"/>
            </w:pPr>
            <w:r>
              <w:t xml:space="preserve">3</w:t>
            </w:r>
          </w:p>
        </w:tc>
        <w:tc>
          <w:tcPr/>
          <w:p>
            <w:pPr>
              <w:pStyle w:val="Compact"/>
            </w:pPr>
            <w:r>
              <w:t xml:space="preserve">0.024</w:t>
            </w:r>
          </w:p>
        </w:tc>
        <w:tc>
          <w:tcPr/>
          <w:p>
            <w:pPr>
              <w:pStyle w:val="Compact"/>
            </w:pPr>
            <w:r>
              <w:t xml:space="preserve">5,408</w:t>
            </w:r>
          </w:p>
        </w:tc>
        <w:tc>
          <w:tcPr/>
          <w:p>
            <w:pPr>
              <w:pStyle w:val="Compact"/>
            </w:pPr>
            <w:r>
              <w:t xml:space="preserve">[2,622, 8,694]</w:t>
            </w:r>
          </w:p>
        </w:tc>
        <w:tc>
          <w:tcPr/>
          <w:p>
            <w:pPr>
              <w:pStyle w:val="Compact"/>
            </w:pPr>
            <w:r>
              <w:t xml:space="preserve">0.77</w:t>
            </w:r>
          </w:p>
        </w:tc>
      </w:tr>
      <w:tr>
        <w:tc>
          <w:tcPr/>
          <w:p>
            <w:pPr>
              <w:pStyle w:val="Compact"/>
            </w:pPr>
            <w:r>
              <w:t xml:space="preserve">0.125</w:t>
            </w:r>
          </w:p>
        </w:tc>
        <w:tc>
          <w:tcPr/>
          <w:p>
            <w:pPr>
              <w:pStyle w:val="Compact"/>
            </w:pPr>
            <w:r>
              <w:t xml:space="preserve">3</w:t>
            </w:r>
          </w:p>
        </w:tc>
        <w:tc>
          <w:tcPr/>
          <w:p>
            <w:pPr>
              <w:pStyle w:val="Compact"/>
            </w:pPr>
            <w:r>
              <w:t xml:space="preserve">0.035</w:t>
            </w:r>
          </w:p>
        </w:tc>
        <w:tc>
          <w:tcPr/>
          <w:p>
            <w:pPr>
              <w:pStyle w:val="Compact"/>
            </w:pPr>
            <w:r>
              <w:t xml:space="preserve">7,942</w:t>
            </w:r>
          </w:p>
        </w:tc>
        <w:tc>
          <w:tcPr/>
          <w:p>
            <w:pPr>
              <w:pStyle w:val="Compact"/>
            </w:pPr>
            <w:r>
              <w:t xml:space="preserve">[4,245, 12,644]</w:t>
            </w:r>
          </w:p>
        </w:tc>
        <w:tc>
          <w:tcPr/>
          <w:p>
            <w:pPr>
              <w:pStyle w:val="Compact"/>
            </w:pPr>
            <w:r>
              <w:t xml:space="preserve">1.13</w:t>
            </w:r>
          </w:p>
        </w:tc>
      </w:tr>
      <w:tr>
        <w:tc>
          <w:tcPr/>
          <w:p>
            <w:pPr>
              <w:pStyle w:val="Compact"/>
            </w:pPr>
            <w:r>
              <w:t xml:space="preserve">0.150</w:t>
            </w:r>
          </w:p>
        </w:tc>
        <w:tc>
          <w:tcPr/>
          <w:p>
            <w:pPr>
              <w:pStyle w:val="Compact"/>
            </w:pPr>
            <w:r>
              <w:t xml:space="preserve">3</w:t>
            </w:r>
          </w:p>
        </w:tc>
        <w:tc>
          <w:tcPr/>
          <w:p>
            <w:pPr>
              <w:pStyle w:val="Compact"/>
            </w:pPr>
            <w:r>
              <w:t xml:space="preserve">0.044</w:t>
            </w:r>
          </w:p>
        </w:tc>
        <w:tc>
          <w:tcPr/>
          <w:p>
            <w:pPr>
              <w:pStyle w:val="Compact"/>
            </w:pPr>
            <w:r>
              <w:t xml:space="preserve">10,200</w:t>
            </w:r>
          </w:p>
        </w:tc>
        <w:tc>
          <w:tcPr/>
          <w:p>
            <w:pPr>
              <w:pStyle w:val="Compact"/>
            </w:pPr>
            <w:r>
              <w:t xml:space="preserve">[5,900, 15,577]</w:t>
            </w:r>
          </w:p>
        </w:tc>
        <w:tc>
          <w:tcPr/>
          <w:p>
            <w:pPr>
              <w:pStyle w:val="Compact"/>
            </w:pPr>
            <w:r>
              <w:t xml:space="preserve">1.46</w:t>
            </w:r>
          </w:p>
        </w:tc>
      </w:tr>
      <w:tr>
        <w:tc>
          <w:tcPr/>
          <w:p>
            <w:pPr>
              <w:pStyle w:val="Compact"/>
            </w:pPr>
            <w:r>
              <w:t xml:space="preserve">0.075</w:t>
            </w:r>
          </w:p>
        </w:tc>
        <w:tc>
          <w:tcPr/>
          <w:p>
            <w:pPr>
              <w:pStyle w:val="Compact"/>
            </w:pPr>
            <w:r>
              <w:t xml:space="preserve">5</w:t>
            </w:r>
          </w:p>
        </w:tc>
        <w:tc>
          <w:tcPr/>
          <w:p>
            <w:pPr>
              <w:pStyle w:val="Compact"/>
            </w:pPr>
            <w:r>
              <w:t xml:space="preserve">0.001</w:t>
            </w:r>
          </w:p>
        </w:tc>
        <w:tc>
          <w:tcPr/>
          <w:p>
            <w:pPr>
              <w:pStyle w:val="Compact"/>
            </w:pPr>
            <w:r>
              <w:t xml:space="preserve">157</w:t>
            </w:r>
          </w:p>
        </w:tc>
        <w:tc>
          <w:tcPr/>
          <w:p>
            <w:pPr>
              <w:pStyle w:val="Compact"/>
            </w:pPr>
            <w:r>
              <w:t xml:space="preserve">[0, 828]</w:t>
            </w:r>
          </w:p>
        </w:tc>
        <w:tc>
          <w:tcPr/>
          <w:p>
            <w:pPr>
              <w:pStyle w:val="Compact"/>
            </w:pPr>
            <w:r>
              <w:t xml:space="preserve">0.02</w:t>
            </w:r>
          </w:p>
        </w:tc>
      </w:tr>
      <w:tr>
        <w:tc>
          <w:tcPr/>
          <w:p>
            <w:pPr>
              <w:pStyle w:val="Compact"/>
            </w:pPr>
            <w:r>
              <w:t xml:space="preserve">0.100</w:t>
            </w:r>
          </w:p>
        </w:tc>
        <w:tc>
          <w:tcPr/>
          <w:p>
            <w:pPr>
              <w:pStyle w:val="Compact"/>
            </w:pPr>
            <w:r>
              <w:t xml:space="preserve">5</w:t>
            </w:r>
          </w:p>
        </w:tc>
        <w:tc>
          <w:tcPr/>
          <w:p>
            <w:pPr>
              <w:pStyle w:val="Compact"/>
            </w:pPr>
            <w:r>
              <w:t xml:space="preserve">0.002</w:t>
            </w:r>
          </w:p>
        </w:tc>
        <w:tc>
          <w:tcPr/>
          <w:p>
            <w:pPr>
              <w:pStyle w:val="Compact"/>
            </w:pPr>
            <w:r>
              <w:t xml:space="preserve">433</w:t>
            </w:r>
          </w:p>
        </w:tc>
        <w:tc>
          <w:tcPr/>
          <w:p>
            <w:pPr>
              <w:pStyle w:val="Compact"/>
            </w:pPr>
            <w:r>
              <w:t xml:space="preserve">[0, 1,639]</w:t>
            </w:r>
          </w:p>
        </w:tc>
        <w:tc>
          <w:tcPr/>
          <w:p>
            <w:pPr>
              <w:pStyle w:val="Compact"/>
            </w:pPr>
            <w:r>
              <w:t xml:space="preserve">0.06</w:t>
            </w:r>
          </w:p>
        </w:tc>
      </w:tr>
    </w:tbl>
    <w:p>
      <w:pPr>
        <w:pStyle w:val="BodyText"/>
      </w:pPr>
      <w:r>
        <w:t xml:space="preserve">Under the prior 7,000 m³ WB volume figure,</w:t>
      </w:r>
      <w:r>
        <w:t xml:space="preserve"> </w:t>
      </w:r>
      <m:oMath>
        <m:r>
          <m:t>K</m:t>
        </m:r>
        <m:r>
          <m:rPr>
            <m:sty m:val="p"/>
          </m:rPr>
          <m:t>=</m:t>
        </m:r>
        <m:r>
          <m:t>3</m:t>
        </m:r>
      </m:oMath>
      <w:r>
        <w:t xml:space="preserve"> </w:t>
      </w:r>
      <w:r>
        <w:t xml:space="preserve">years and</w:t>
      </w:r>
      <w:r>
        <w:t xml:space="preserve"> </w:t>
      </w:r>
      <m:oMath>
        <m:sSub>
          <m:e>
            <m:r>
              <m:t>σ</m:t>
            </m:r>
          </m:e>
          <m:sub>
            <m:r>
              <m:t>s</m:t>
            </m:r>
            <m:r>
              <m:t>d</m:t>
            </m:r>
          </m:sub>
        </m:sSub>
        <m:r>
          <m:rPr>
            <m:sty m:val="p"/>
          </m:rPr>
          <m:t>≈</m:t>
        </m:r>
        <m:r>
          <m:t>0.10</m:t>
        </m:r>
      </m:oMath>
      <w:r>
        <w:t xml:space="preserve"> </w:t>
      </w:r>
      <w:r>
        <w:t xml:space="preserve">gave a sweep-selected closure (predicted 5,408 m³ inside the prior observed value’s 95% CI). Under the refined LiDAR-derived per-mound WB volume of 27,065 m³ (§5.1), the role of regime switching shifts. Across the swept</w:t>
      </w:r>
      <w:r>
        <w:t xml:space="preserve"> </w:t>
      </w:r>
      <m:oMath>
        <m:r>
          <m:rPr>
            <m:sty m:val="p"/>
          </m:rPr>
          <m:t>(</m:t>
        </m:r>
        <m:sSub>
          <m:e>
            <m:r>
              <m:t>σ</m:t>
            </m:r>
          </m:e>
          <m:sub>
            <m:r>
              <m:t>s</m:t>
            </m:r>
            <m:r>
              <m:t>d</m:t>
            </m:r>
          </m:sub>
        </m:sSub>
        <m:r>
          <m:rPr>
            <m:sty m:val="p"/>
          </m:rPr>
          <m:t>,</m:t>
        </m:r>
        <m:r>
          <m:t>K</m:t>
        </m:r>
        <m:r>
          <m:rPr>
            <m:sty m:val="p"/>
          </m:rPr>
          <m:t>)</m:t>
        </m:r>
      </m:oMath>
      <w:r>
        <w:t xml:space="preserve"> </w:t>
      </w:r>
      <w:r>
        <w:t xml:space="preserve">grid, regime-switching predictions for cumulative WB volume span ~5,000 to ~54,000 m³ at</w:t>
      </w:r>
      <w:r>
        <w:t xml:space="preserve"> </w:t>
      </w:r>
      <m:oMath>
        <m:r>
          <m:t>K</m:t>
        </m:r>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sSub>
          <m:e>
            <m:r>
              <m:t>σ</m:t>
            </m:r>
          </m:e>
          <m:sub>
            <m:r>
              <m:t>s</m:t>
            </m:r>
            <m:r>
              <m:t>d</m:t>
            </m:r>
          </m:sub>
        </m:sSub>
        <m:r>
          <m:rPr>
            <m:sty m:val="p"/>
          </m:rPr>
          <m:t>∈</m:t>
        </m:r>
        <m:r>
          <m:rPr>
            <m:sty m:val="p"/>
          </m:rPr>
          <m:t>[</m:t>
        </m:r>
        <m:r>
          <m:t>0.075</m:t>
        </m:r>
        <m:r>
          <m:rPr>
            <m:sty m:val="p"/>
          </m:rPr>
          <m:t>,</m:t>
        </m:r>
        <m:r>
          <m:t>0.20</m:t>
        </m:r>
        <m:r>
          <m:rPr>
            <m:sty m:val="p"/>
          </m:rPr>
          <m:t>]</m:t>
        </m:r>
      </m:oMath>
      <w:r>
        <w:t xml:space="preserve">. The observed 27,065 m³ sits between the</w:t>
      </w:r>
      <w:r>
        <w:t xml:space="preserve"> </w:t>
      </w:r>
      <m:oMath>
        <m:r>
          <m:t>K</m:t>
        </m:r>
        <m:r>
          <m:rPr>
            <m:sty m:val="p"/>
          </m:rPr>
          <m:t>=</m:t>
        </m:r>
        <m:r>
          <m:t>3</m:t>
        </m:r>
      </m:oMath>
      <w:r>
        <w:t xml:space="preserve"> </w:t>
      </w:r>
      <w:r>
        <w:t xml:space="preserve">undershoot (~5,000 m³) and the</w:t>
      </w:r>
      <w:r>
        <w:t xml:space="preserve"> </w:t>
      </w:r>
      <m:oMath>
        <m:r>
          <m:t>K</m:t>
        </m:r>
        <m:r>
          <m:rPr>
            <m:sty m:val="p"/>
          </m:rPr>
          <m:t>=</m:t>
        </m:r>
        <m:r>
          <m:t>1</m:t>
        </m:r>
      </m:oMath>
      <w:r>
        <w:t xml:space="preserve"> </w:t>
      </w:r>
      <w:r>
        <w:t xml:space="preserve">overshoot (~54,000 m³) and would be bracketed by an intermediate</w:t>
      </w:r>
      <w:r>
        <w:t xml:space="preserve"> </w:t>
      </w:r>
      <m:oMath>
        <m:r>
          <m:t>K</m:t>
        </m:r>
        <m:r>
          <m:rPr>
            <m:sty m:val="p"/>
          </m:rPr>
          <m:t>=</m:t>
        </m:r>
        <m:r>
          <m:t>2</m:t>
        </m:r>
      </m:oMath>
      <w:r>
        <w:t xml:space="preserve"> </w:t>
      </w:r>
      <w:r>
        <w:t xml:space="preserve">value. The per-event labor-scaling extension (§S17.2) closes the WB gap essentially exactly (~25,000 m³ predicted, 0.93× of observed) independently of any specific</w:t>
      </w:r>
      <w:r>
        <w:t xml:space="preserve"> </w:t>
      </w:r>
      <m:oMath>
        <m:r>
          <m:t>K</m:t>
        </m:r>
      </m:oMath>
      <w:r>
        <w:t xml:space="preserve"> </w:t>
      </w:r>
      <w:r>
        <w:t xml:space="preserve">value sweep-selected against the volume observation. We therefore no longer treat the regime-switching closure as the principal reconciliation. The regime-switching extension’s substantive role in the framework is to account for the episodic</w:t>
      </w:r>
      <w:r>
        <w:t xml:space="preserve"> </w:t>
      </w:r>
      <w:r>
        <w:rPr>
          <w:i/>
          <w:iCs/>
        </w:rPr>
        <w:t xml:space="preserve">tempo</w:t>
      </w:r>
      <w:r>
        <w:t xml:space="preserve"> </w:t>
      </w:r>
      <w:r>
        <w:t xml:space="preserve">of WB construction (the 200+-year inter-stage gaps), which it does at any</w:t>
      </w:r>
      <w:r>
        <w:t xml:space="preserve"> </w:t>
      </w:r>
      <m:oMath>
        <m:r>
          <m:t>K</m:t>
        </m:r>
        <m:r>
          <m:rPr>
            <m:sty m:val="p"/>
          </m:rPr>
          <m:t>≥</m:t>
        </m:r>
        <m:r>
          <m:t>1</m:t>
        </m:r>
      </m:oMath>
      <w:r>
        <w:t xml:space="preserve"> </w:t>
      </w:r>
      <w:r>
        <w:t xml:space="preserve">given the WB threshold proximity; this episodic structure is the prediction the framework makes about WB irrespective of the volume figure. The independent ethnographic anchoring of</w:t>
      </w:r>
      <w:r>
        <w:t xml:space="preserve"> </w:t>
      </w:r>
      <m:oMath>
        <m:r>
          <m:t>K</m:t>
        </m:r>
      </m:oMath>
      <w:r>
        <w:t xml:space="preserve"> </w:t>
      </w:r>
      <w:r>
        <w:t xml:space="preserve">from multi-band cooperation timescales (Wiessner 2002:434-435; Kelly 2013:159-167) remains identified as priority follow-up.</w:t>
      </w:r>
    </w:p>
    <w:p>
      <w:pPr>
        <w:pStyle w:val="BodyText"/>
      </w:pPr>
      <w:r>
        <w:t xml:space="preserve">Reproducible from</w:t>
      </w:r>
      <w:r>
        <w:t xml:space="preserve"> </w:t>
      </w:r>
      <w:r>
        <w:rPr>
          <w:rStyle w:val="VerbatimChar"/>
        </w:rPr>
        <w:t xml:space="preserve">scripts/analysis/regime_switching_simulation.py</w:t>
      </w:r>
      <w:r>
        <w:t xml:space="preserve">; outputs in</w:t>
      </w:r>
      <w:r>
        <w:t xml:space="preserve"> </w:t>
      </w:r>
      <w:r>
        <w:rPr>
          <w:rStyle w:val="VerbatimChar"/>
        </w:rPr>
        <w:t xml:space="preserve">results/sensitivity/regime_switching_wb.json</w:t>
      </w:r>
      <w:r>
        <w:t xml:space="preserve">. Full ABM-level regime-switching with endogenous strategy switching and explicit annual fitness comparison remains as future work.</w:t>
      </w:r>
    </w:p>
    <w:bookmarkEnd w:id="87"/>
    <w:bookmarkStart w:id="88" w:name="s17.2-per-event-labor-scaling"/>
    <w:p>
      <w:pPr>
        <w:pStyle w:val="Heading3"/>
      </w:pPr>
      <w:r>
        <w:t xml:space="preserve">S17.2 Per-event labor scaling</w:t>
      </w:r>
    </w:p>
    <w:p>
      <w:pPr>
        <w:pStyle w:val="FirstParagraph"/>
      </w:pPr>
      <w:r>
        <w:t xml:space="preserve">(Main text §6.1;</w:t>
      </w:r>
      <w:r>
        <w:t xml:space="preserve"> </w:t>
      </w:r>
      <w:r>
        <w:rPr>
          <w:i/>
          <w:iCs/>
        </w:rPr>
        <w:t xml:space="preserve">Labor-to-volume calibration</w:t>
      </w:r>
      <w:r>
        <w:t xml:space="preserve"> </w:t>
      </w:r>
      <w:r>
        <w:t xml:space="preserve">in main §7.4.)</w:t>
      </w:r>
      <w:r>
        <w:t xml:space="preserve"> </w:t>
      </w:r>
      <w:r>
        <w:rPr>
          <w:b/>
          <w:bCs/>
        </w:rPr>
        <w:t xml:space="preserve">Implemented in this revision; central to the §6.3 Watson Brake closure and the §6.6 cross-LMV magnitude correlation.</w:t>
      </w:r>
      <w:r>
        <w:t xml:space="preserve"> </w:t>
      </w:r>
      <w:r>
        <w:t xml:space="preserve">We add a power-law scaling factor</w:t>
      </w:r>
      <w:r>
        <w:t xml:space="preserve"> </w:t>
      </w:r>
      <m:oMath>
        <m:sSup>
          <m:e>
            <m:r>
              <m:t>m</m:t>
            </m:r>
          </m:e>
          <m:sup>
            <m:r>
              <m:t>3</m:t>
            </m:r>
          </m:sup>
        </m:sSup>
        <m:r>
          <m:rPr>
            <m:sty m:val="p"/>
          </m:rPr>
          <m:t>/</m:t>
        </m:r>
        <m:r>
          <m:rPr>
            <m:nor/>
            <m:sty m:val="p"/>
          </m:rPr>
          <m:t>unit</m:t>
        </m:r>
        <m:r>
          <m:rPr>
            <m:sty m:val="p"/>
          </m:rPr>
          <m:t>(</m:t>
        </m:r>
        <m:r>
          <m:t>n</m:t>
        </m:r>
        <m:r>
          <m:rPr>
            <m:sty m:val="p"/>
          </m:rPr>
          <m:t>)</m:t>
        </m:r>
        <m:r>
          <m:rPr>
            <m:sty m:val="p"/>
          </m:rPr>
          <m:t>=</m:t>
        </m:r>
        <m:sSub>
          <m:e>
            <m:r>
              <m:t>b</m:t>
            </m:r>
          </m:e>
          <m:sub>
            <m:r>
              <m:t>0</m:t>
            </m:r>
          </m:sub>
        </m:sSub>
        <m:r>
          <m:rPr>
            <m:sty m:val="p"/>
          </m:rPr>
          <m:t>⋅</m:t>
        </m:r>
        <m:r>
          <m:rPr>
            <m:sty m:val="p"/>
          </m:rPr>
          <m:t>(</m:t>
        </m:r>
        <m:sSub>
          <m:e>
            <m:r>
              <m:t>n</m:t>
            </m:r>
          </m:e>
          <m:sub>
            <m:r>
              <m:t>a</m:t>
            </m:r>
            <m:r>
              <m:t>g</m:t>
            </m:r>
            <m:r>
              <m:t>g</m:t>
            </m:r>
          </m:sub>
        </m:sSub>
        <m:r>
          <m:rPr>
            <m:sty m:val="p"/>
          </m:rPr>
          <m:t>/</m:t>
        </m:r>
        <m:r>
          <m:t>25</m:t>
        </m:r>
        <m:sSup>
          <m:e>
            <m:r>
              <m:rPr>
                <m:sty m:val="p"/>
              </m:rPr>
              <m:t>)</m:t>
            </m:r>
          </m:e>
          <m:sup>
            <m:r>
              <m:t>α</m:t>
            </m:r>
          </m:sup>
        </m:sSup>
      </m:oMath>
      <w:r>
        <w:t xml:space="preserve">, where</w:t>
      </w:r>
      <w:r>
        <w:t xml:space="preserve"> </w:t>
      </w:r>
      <m:oMath>
        <m:sSub>
          <m:e>
            <m:r>
              <m:t>b</m:t>
            </m:r>
          </m:e>
          <m:sub>
            <m:r>
              <m:t>0</m:t>
            </m:r>
          </m:sub>
        </m:sSub>
        <m:r>
          <m:rPr>
            <m:sty m:val="p"/>
          </m:rPr>
          <m:t>=</m:t>
        </m:r>
        <m:r>
          <m:t>5</m:t>
        </m:r>
        <m:r>
          <m:rPr>
            <m:sty m:val="p"/>
          </m:rPr>
          <m:t>,</m:t>
        </m:r>
        <m:r>
          <m:t>779</m:t>
        </m:r>
      </m:oMath>
      <w:r>
        <w:t xml:space="preserve"> </w:t>
      </w:r>
      <w:r>
        <w:t xml:space="preserve">m³ per</w:t>
      </w:r>
      <w:r>
        <w:t xml:space="preserve"> </w:t>
      </w:r>
      <m:oMath>
        <m:sSub>
          <m:e>
            <m:r>
              <m:t>M</m:t>
            </m:r>
          </m:e>
          <m:sub>
            <m:r>
              <m:t>g</m:t>
            </m:r>
          </m:sub>
        </m:sSub>
      </m:oMath>
      <w:r>
        <w:t xml:space="preserve"> </w:t>
      </w:r>
      <w:r>
        <w:t xml:space="preserve">unit anchors PP to its observed 750,000 m³ and the exponent</w:t>
      </w:r>
      <w:r>
        <w:t xml:space="preserve"> </w:t>
      </w:r>
      <m:oMath>
        <m:r>
          <m:t>α</m:t>
        </m:r>
      </m:oMath>
      <w:r>
        <w:t xml:space="preserve"> </w:t>
      </w:r>
      <w:r>
        <w:t xml:space="preserve">encodes how strongly per-crew output scales with crew size. Sweeping</w:t>
      </w:r>
      <w:r>
        <w:t xml:space="preserve"> </w:t>
      </w:r>
      <m:oMath>
        <m:r>
          <m:t>α</m:t>
        </m:r>
        <m:r>
          <m:rPr>
            <m:sty m:val="p"/>
          </m:rPr>
          <m:t>∈</m:t>
        </m:r>
        <m:r>
          <m:rPr>
            <m:sty m:val="p"/>
          </m:rPr>
          <m:t>{</m:t>
        </m:r>
        <m:r>
          <m:t>0</m:t>
        </m:r>
        <m:r>
          <m:rPr>
            <m:sty m:val="p"/>
          </m:rPr>
          <m:t>,</m:t>
        </m:r>
        <m:r>
          <m:t>0.5</m:t>
        </m:r>
        <m:r>
          <m:rPr>
            <m:sty m:val="p"/>
          </m:rPr>
          <m:t>,</m:t>
        </m:r>
        <m:r>
          <m:t>1</m:t>
        </m:r>
        <m:r>
          <m:rPr>
            <m:sty m:val="p"/>
          </m:rPr>
          <m:t>,</m:t>
        </m:r>
        <m:r>
          <m:t>1.25</m:t>
        </m:r>
        <m:r>
          <m:rPr>
            <m:sty m:val="p"/>
          </m:rPr>
          <m:t>,</m:t>
        </m:r>
        <m:r>
          <m:t>1.5</m:t>
        </m:r>
        <m:r>
          <m:rPr>
            <m:sty m:val="p"/>
          </m:rPr>
          <m:t>,</m:t>
        </m:r>
        <m:r>
          <m:t>1.75</m:t>
        </m:r>
        <m:r>
          <m:rPr>
            <m:sty m:val="p"/>
          </m:rPr>
          <m:t>,</m:t>
        </m:r>
        <m:r>
          <m:t>2</m:t>
        </m:r>
        <m:r>
          <m:rPr>
            <m:sty m:val="p"/>
          </m:rPr>
          <m:t>,</m:t>
        </m:r>
        <m:r>
          <m:t>2.5</m:t>
        </m:r>
        <m:r>
          <m:rPr>
            <m:sty m:val="p"/>
          </m:rPr>
          <m:t>}</m:t>
        </m:r>
      </m:oMath>
      <w:r>
        <w:t xml:space="preserve"> </w:t>
      </w:r>
      <w:r>
        <w:t xml:space="preserve">and comparing predicted-vs-observed volumes across the eleven LMV sites: the rank-correlation Spearman</w:t>
      </w:r>
      <w:r>
        <w:t xml:space="preserve"> </w:t>
      </w:r>
      <m:oMath>
        <m:r>
          <m:t>ρ</m:t>
        </m:r>
      </m:oMath>
      <w:r>
        <w:t xml:space="preserve"> </w:t>
      </w:r>
      <w:r>
        <w:t xml:space="preserve">is invariant at</w:t>
      </w:r>
      <w:r>
        <w:t xml:space="preserve"> </w:t>
      </w:r>
      <m:oMath>
        <m:r>
          <m:t>0.85</m:t>
        </m:r>
      </m:oMath>
      <w:r>
        <w:t xml:space="preserve">-</w:t>
      </w:r>
      <m:oMath>
        <m:r>
          <m:t>0.90</m:t>
        </m:r>
      </m:oMath>
      <w:r>
        <w:t xml:space="preserve"> </w:t>
      </w:r>
      <w:r>
        <w:t xml:space="preserve">(the scaling factor preserves relative ordering by design); the absolute calibration is closest at</w:t>
      </w:r>
      <w:r>
        <w:t xml:space="preserve"> </w:t>
      </w:r>
      <m:oMath>
        <m:r>
          <m:t>α</m:t>
        </m:r>
        <m:r>
          <m:rPr>
            <m:sty m:val="p"/>
          </m:rPr>
          <m:t>≈</m:t>
        </m:r>
        <m:r>
          <m:t>2.0</m:t>
        </m:r>
      </m:oMath>
      <w:r>
        <w:t xml:space="preserve">, where mean</w:t>
      </w:r>
      <w:r>
        <w:t xml:space="preserve"> </w:t>
      </w:r>
      <m:oMath>
        <m:sSub>
          <m:e>
            <m:r>
              <m:rPr>
                <m:sty m:val="p"/>
              </m:rPr>
              <m:t>log</m:t>
            </m:r>
          </m:e>
          <m:sub>
            <m:r>
              <m:t>10</m:t>
            </m:r>
          </m:sub>
        </m:sSub>
        <m:r>
          <m:rPr>
            <m:sty m:val="p"/>
          </m:rPr>
          <m:t>(</m:t>
        </m:r>
        <m:r>
          <m:rPr>
            <m:nor/>
            <m:sty m:val="p"/>
          </m:rPr>
          <m:t>pred</m:t>
        </m:r>
        <m:r>
          <m:rPr>
            <m:sty m:val="p"/>
          </m:rPr>
          <m:t>/</m:t>
        </m:r>
        <m:r>
          <m:rPr>
            <m:nor/>
            <m:sty m:val="p"/>
          </m:rPr>
          <m:t>obs</m:t>
        </m:r>
        <m:r>
          <m:rPr>
            <m:sty m:val="p"/>
          </m:rPr>
          <m:t>)</m:t>
        </m:r>
        <m:r>
          <m:rPr>
            <m:sty m:val="p"/>
          </m:rPr>
          <m:t>=</m:t>
        </m:r>
        <m:r>
          <m:rPr>
            <m:sty m:val="p"/>
          </m:rPr>
          <m:t>+</m:t>
        </m:r>
        <m:r>
          <m:t>0.15</m:t>
        </m:r>
      </m:oMath>
      <w:r>
        <w:t xml:space="preserve"> </w:t>
      </w:r>
      <w:r>
        <w:t xml:space="preserve">across the sample (all sites within ~10</w:t>
      </w:r>
      <m:oMath>
        <m:sSup>
          <m:e>
            <m:r>
              <m:t>​</m:t>
            </m:r>
          </m:e>
          <m:sup>
            <m:r>
              <m:t>0.5</m:t>
            </m:r>
          </m:sup>
        </m:sSup>
      </m:oMath>
      <w:r>
        <w:t xml:space="preserve"> </w:t>
      </w:r>
      <w:r>
        <w:t xml:space="preserve">= 3</w:t>
      </w:r>
      <m:oMath>
        <m:r>
          <m:rPr>
            <m:sty m:val="p"/>
          </m:rPr>
          <m:t>×</m:t>
        </m:r>
      </m:oMath>
      <w:r>
        <w:t xml:space="preserve"> </w:t>
      </w:r>
      <w:r>
        <w:t xml:space="preserve">of observed volume). At</w:t>
      </w:r>
      <w:r>
        <w:t xml:space="preserve"> </w:t>
      </w:r>
      <m:oMath>
        <m:r>
          <m:t>α</m:t>
        </m:r>
        <m:r>
          <m:rPr>
            <m:sty m:val="p"/>
          </m:rPr>
          <m:t>=</m:t>
        </m:r>
        <m:r>
          <m:t>2.0</m:t>
        </m:r>
      </m:oMath>
      <w:r>
        <w:t xml:space="preserve">, the WB prediction drops from 240,000 m³ to ~25,000 m³, essentially matching the LiDAR-derived per-mound volume of 27,065 m³ (§5.1) within ~7% (ratio 0.93×). Under the prior 7,000 m³ figure this prediction read as a ~3.5× overshoot; under the refined per-mound estimate the prediction is a near-exact match. J.W. Copes drops from 90,000 m³ to ~1,300 m³ (vs observed 500 m³, ~2.6</w:t>
      </w:r>
      <m:oMath>
        <m:r>
          <m:rPr>
            <m:sty m:val="p"/>
          </m:rPr>
          <m:t>×</m:t>
        </m:r>
      </m:oMath>
      <w:r>
        <w:t xml:space="preserve">); Insley drops from 180,000 m³ to ~10,400 m³ (vs observed 14,000 m³, ~0.7</w:t>
      </w:r>
      <m:oMath>
        <m:r>
          <m:rPr>
            <m:sty m:val="p"/>
          </m:rPr>
          <m:t>×</m:t>
        </m:r>
      </m:oMath>
      <w:r>
        <w:t xml:space="preserve">, slight underpredict).</w:t>
      </w:r>
    </w:p>
    <w:p>
      <w:pPr>
        <w:pStyle w:val="BodyText"/>
      </w:pPr>
      <w:r>
        <w:t xml:space="preserve">The interpretation requires honest framing. The rank-correlation invariance (</w:t>
      </w:r>
      <m:oMath>
        <m:r>
          <m:t>ρ</m:t>
        </m:r>
        <m:r>
          <m:rPr>
            <m:sty m:val="p"/>
          </m:rPr>
          <m:t>=</m:t>
        </m:r>
        <m:r>
          <m:rPr>
            <m:sty m:val="p"/>
          </m:rPr>
          <m:t>+</m:t>
        </m:r>
        <m:r>
          <m:t>0.85</m:t>
        </m:r>
      </m:oMath>
      <w:r>
        <w:t xml:space="preserve"> </w:t>
      </w:r>
      <w:r>
        <w:t xml:space="preserve">to</w:t>
      </w:r>
      <w:r>
        <w:t xml:space="preserve"> </w:t>
      </w:r>
      <m:oMath>
        <m:r>
          <m:rPr>
            <m:sty m:val="p"/>
          </m:rPr>
          <m:t>+</m:t>
        </m:r>
        <m:r>
          <m:t>0.90</m:t>
        </m:r>
      </m:oMath>
      <w:r>
        <w:t xml:space="preserve"> </w:t>
      </w:r>
      <w:r>
        <w:t xml:space="preserve">across all</w:t>
      </w:r>
      <w:r>
        <w:t xml:space="preserve"> </w:t>
      </w:r>
      <m:oMath>
        <m:r>
          <m:t>α</m:t>
        </m:r>
      </m:oMath>
      <w:r>
        <w:t xml:space="preserve">) reflects that the n-power scaling preserves rank order by construction. The absolute-volume agreement at</w:t>
      </w:r>
      <w:r>
        <w:t xml:space="preserve"> </w:t>
      </w:r>
      <m:oMath>
        <m:r>
          <m:t>α</m:t>
        </m:r>
        <m:r>
          <m:rPr>
            <m:sty m:val="p"/>
          </m:rPr>
          <m:t>=</m:t>
        </m:r>
        <m:r>
          <m:t>2.0</m:t>
        </m:r>
      </m:oMath>
      <w:r>
        <w:t xml:space="preserve"> </w:t>
      </w:r>
      <w:r>
        <w:t xml:space="preserve">is</w:t>
      </w:r>
      <w:r>
        <w:t xml:space="preserve"> </w:t>
      </w:r>
      <w:r>
        <w:rPr>
          <w:i/>
          <w:iCs/>
        </w:rPr>
        <w:t xml:space="preserve">not</w:t>
      </w:r>
      <w:r>
        <w:t xml:space="preserve"> </w:t>
      </w:r>
      <w:r>
        <w:t xml:space="preserve">a prediction:</w:t>
      </w:r>
      <w:r>
        <w:t xml:space="preserve"> </w:t>
      </w:r>
      <m:oMath>
        <m:r>
          <m:t>α</m:t>
        </m:r>
      </m:oMath>
      <w:r>
        <w:t xml:space="preserve"> </w:t>
      </w:r>
      <w:r>
        <w:t xml:space="preserve">was selected as the value that minimizes mean</w:t>
      </w:r>
      <w:r>
        <w:t xml:space="preserve"> </w:t>
      </w:r>
      <m:oMath>
        <m:r>
          <m:rPr>
            <m:sty m:val="p"/>
          </m:rPr>
          <m:t>|</m:t>
        </m:r>
        <m:sSub>
          <m:e>
            <m:r>
              <m:rPr>
                <m:sty m:val="p"/>
              </m:rPr>
              <m:t>log</m:t>
            </m:r>
          </m:e>
          <m:sub>
            <m:r>
              <m:t>10</m:t>
            </m:r>
          </m:sub>
        </m:sSub>
        <m:r>
          <m:rPr>
            <m:sty m:val="p"/>
          </m:rPr>
          <m:t>(</m:t>
        </m:r>
        <m:r>
          <m:rPr>
            <m:nor/>
            <m:sty m:val="p"/>
          </m:rPr>
          <m:t>pred</m:t>
        </m:r>
        <m:r>
          <m:rPr>
            <m:sty m:val="p"/>
          </m:rPr>
          <m:t>/</m:t>
        </m:r>
        <m:r>
          <m:rPr>
            <m:nor/>
            <m:sty m:val="p"/>
          </m:rPr>
          <m:t>obs</m:t>
        </m:r>
        <m:r>
          <m:rPr>
            <m:sty m:val="p"/>
          </m:rPr>
          <m:t>)</m:t>
        </m:r>
        <m:r>
          <m:rPr>
            <m:sty m:val="p"/>
          </m:rPr>
          <m:t>|</m:t>
        </m:r>
      </m:oMath>
      <w:r>
        <w:t xml:space="preserve"> </w:t>
      </w:r>
      <w:r>
        <w:t xml:space="preserve">across the same eleven sites against which the magnitude prediction is then evaluated. This is calibration to the test sample, analogous to the m³-per-investment-unit anchor’s calibration to PP’s volume in main §6.1. Reading the absolute-volume agreement as a passed test would be incorrect; reading it as a one-parameter fit that brings cross-site predictions within ~3</w:t>
      </w:r>
      <m:oMath>
        <m:r>
          <m:rPr>
            <m:sty m:val="p"/>
          </m:rPr>
          <m:t>×</m:t>
        </m:r>
      </m:oMath>
      <w:r>
        <w:t xml:space="preserve"> </w:t>
      </w:r>
      <w:r>
        <w:t xml:space="preserve">of observed is correct.</w:t>
      </w:r>
    </w:p>
    <w:p>
      <w:pPr>
        <w:pStyle w:val="BodyText"/>
      </w:pPr>
      <w:r>
        <w:t xml:space="preserve">The framework’s substantive claim is therefore (i) the rank-correlation invariant in</w:t>
      </w:r>
      <w:r>
        <w:t xml:space="preserve"> </w:t>
      </w:r>
      <m:oMath>
        <m:r>
          <m:t>α</m:t>
        </m:r>
      </m:oMath>
      <w:r>
        <w:t xml:space="preserve">, which establishes that the relative-ordering signal is in the joint</w:t>
      </w:r>
      <w:r>
        <w:t xml:space="preserve"> </w:t>
      </w:r>
      <m:oMath>
        <m:sSub>
          <m:e>
            <m:r>
              <m:t>M</m:t>
            </m:r>
          </m:e>
          <m:sub>
            <m:r>
              <m:t>g</m:t>
            </m:r>
          </m:sub>
        </m:sSub>
        <m:r>
          <m:rPr>
            <m:sty m:val="p"/>
          </m:rPr>
          <m:t>(</m:t>
        </m:r>
        <m:r>
          <m:t>ε</m:t>
        </m:r>
        <m:r>
          <m:rPr>
            <m:sty m:val="p"/>
          </m:rPr>
          <m:t>,</m:t>
        </m:r>
        <m:sSub>
          <m:e>
            <m:r>
              <m:t>n</m:t>
            </m:r>
          </m:e>
          <m:sub>
            <m:r>
              <m:t>a</m:t>
            </m:r>
            <m:r>
              <m:t>g</m:t>
            </m:r>
            <m:r>
              <m:t>g</m:t>
            </m:r>
          </m:sub>
        </m:sSub>
        <m:r>
          <m:rPr>
            <m:sty m:val="p"/>
          </m:rPr>
          <m:t>)</m:t>
        </m:r>
      </m:oMath>
      <w:r>
        <w:t xml:space="preserve"> </w:t>
      </w:r>
      <w:r>
        <w:t xml:space="preserve">structure rather than the labor-scaling exponent; and (ii) the WB-specific result at</w:t>
      </w:r>
      <w:r>
        <w:t xml:space="preserve"> </w:t>
      </w:r>
      <m:oMath>
        <m:r>
          <m:t>α</m:t>
        </m:r>
        <m:r>
          <m:rPr>
            <m:sty m:val="p"/>
          </m:rPr>
          <m:t>=</m:t>
        </m:r>
        <m:r>
          <m:t>2.0</m:t>
        </m:r>
      </m:oMath>
      <w:r>
        <w:t xml:space="preserve"> </w:t>
      </w:r>
      <w:r>
        <w:t xml:space="preserve">which closes the ~9</w:t>
      </w:r>
      <m:oMath>
        <m:r>
          <m:rPr>
            <m:sty m:val="p"/>
          </m:rPr>
          <m:t>×</m:t>
        </m:r>
      </m:oMath>
      <w:r>
        <w:t xml:space="preserve"> </w:t>
      </w:r>
      <w:r>
        <w:t xml:space="preserve">overprediction (240,000 vs LiDAR-derived 27,065 m³) subject to the labor-scaling assumption.</w:t>
      </w:r>
    </w:p>
    <w:p>
      <w:pPr>
        <w:pStyle w:val="BodyText"/>
      </w:pPr>
      <w:r>
        <w:rPr>
          <w:b/>
          <w:bCs/>
        </w:rPr>
        <w:t xml:space="preserve">Independent ethnographic anchoring of</w:t>
      </w:r>
      <w:r>
        <w:rPr>
          <w:b/>
          <w:bCs/>
        </w:rPr>
        <w:t xml:space="preserve"> </w:t>
      </w:r>
      <m:oMath>
        <m:r>
          <m:t>α</m:t>
        </m:r>
      </m:oMath>
      <w:r>
        <w:rPr>
          <w:b/>
          <w:bCs/>
        </w:rPr>
        <w:t xml:space="preserve">.</w:t>
      </w:r>
      <w:r>
        <w:t xml:space="preserve"> </w:t>
      </w:r>
      <w:r>
        <w:t xml:space="preserve">Erasmus (1965) experimentally measured monument-building rates in the Mexican highlands and established that one laborer with a wooden digging stick excavates approximately 2.6 m³ of earthen fill per five-hour person-day. Ortmann and Kidder (2013) use this rate as the empirical anchor for their 91,700 person-day estimate for Mound A. Under additive labor accounting (per-person rate constant across crew sizes), Erasmus’s rate corresponds to</w:t>
      </w:r>
      <w:r>
        <w:t xml:space="preserve"> </w:t>
      </w:r>
      <m:oMath>
        <m:r>
          <m:t>α</m:t>
        </m:r>
        <m:r>
          <m:rPr>
            <m:sty m:val="p"/>
          </m:rPr>
          <m:t>≈</m:t>
        </m:r>
        <m:r>
          <m:t>1</m:t>
        </m:r>
      </m:oMath>
      <w:r>
        <w:t xml:space="preserve"> </w:t>
      </w:r>
      <w:r>
        <w:t xml:space="preserve">in the framework’s scaling factor</w:t>
      </w:r>
      <w:r>
        <w:t xml:space="preserve"> </w:t>
      </w:r>
      <m:oMath>
        <m:sSup>
          <m:e>
            <m:r>
              <m:t>m</m:t>
            </m:r>
          </m:e>
          <m:sup>
            <m:r>
              <m:t>3</m:t>
            </m:r>
          </m:sup>
        </m:sSup>
        <m:r>
          <m:rPr>
            <m:sty m:val="p"/>
          </m:rPr>
          <m:t>/</m:t>
        </m:r>
        <m:r>
          <m:rPr>
            <m:nor/>
            <m:sty m:val="p"/>
          </m:rPr>
          <m:t>unit</m:t>
        </m:r>
        <m:r>
          <m:rPr>
            <m:sty m:val="p"/>
          </m:rPr>
          <m:t>(</m:t>
        </m:r>
        <m:r>
          <m:t>n</m:t>
        </m:r>
        <m:r>
          <m:rPr>
            <m:sty m:val="p"/>
          </m:rPr>
          <m:t>)</m:t>
        </m:r>
        <m:r>
          <m:rPr>
            <m:sty m:val="p"/>
          </m:rPr>
          <m:t>=</m:t>
        </m:r>
        <m:sSub>
          <m:e>
            <m:r>
              <m:t>b</m:t>
            </m:r>
          </m:e>
          <m:sub>
            <m:r>
              <m:t>0</m:t>
            </m:r>
          </m:sub>
        </m:sSub>
        <m:r>
          <m:rPr>
            <m:sty m:val="p"/>
          </m:rPr>
          <m:t>⋅</m:t>
        </m:r>
        <m:r>
          <m:rPr>
            <m:sty m:val="p"/>
          </m:rPr>
          <m:t>(</m:t>
        </m:r>
        <m:sSub>
          <m:e>
            <m:r>
              <m:t>n</m:t>
            </m:r>
          </m:e>
          <m:sub>
            <m:r>
              <m:t>a</m:t>
            </m:r>
            <m:r>
              <m:t>g</m:t>
            </m:r>
            <m:r>
              <m:t>g</m:t>
            </m:r>
          </m:sub>
        </m:sSub>
        <m:r>
          <m:rPr>
            <m:sty m:val="p"/>
          </m:rPr>
          <m:t>/</m:t>
        </m:r>
        <m:r>
          <m:t>25</m:t>
        </m:r>
        <m:sSup>
          <m:e>
            <m:r>
              <m:rPr>
                <m:sty m:val="p"/>
              </m:rPr>
              <m:t>)</m:t>
            </m:r>
          </m:e>
          <m:sup>
            <m:r>
              <m:t>α</m:t>
            </m:r>
          </m:sup>
        </m:sSup>
      </m:oMath>
      <w:r>
        <w:t xml:space="preserve">: total m³ output scales linearly with crew size. The</w:t>
      </w:r>
      <w:r>
        <w:t xml:space="preserve"> </w:t>
      </w:r>
      <m:oMath>
        <m:r>
          <m:t>α</m:t>
        </m:r>
        <m:r>
          <m:rPr>
            <m:sty m:val="p"/>
          </m:rPr>
          <m:t>=</m:t>
        </m:r>
        <m:r>
          <m:t>2</m:t>
        </m:r>
      </m:oMath>
      <w:r>
        <w:t xml:space="preserve"> </w:t>
      </w:r>
      <w:r>
        <w:t xml:space="preserve">value selected here implies</w:t>
      </w:r>
      <w:r>
        <w:t xml:space="preserve"> </w:t>
      </w:r>
      <w:r>
        <w:rPr>
          <w:i/>
          <w:iCs/>
        </w:rPr>
        <w:t xml:space="preserve">superadditive</w:t>
      </w:r>
      <w:r>
        <w:t xml:space="preserve"> </w:t>
      </w:r>
      <w:r>
        <w:t xml:space="preserve">scaling beyond what Erasmus’s data supports, that larger crews achieve more m³ per person than smaller crews. We do not have independent ethnographic evidence for this superadditive scaling at the crew sizes relevant for WB versus PP; the closest theoretical motivation is Carballo’s (2013) institutional argument that large collectives can capture specialization-driven productivity gains that small ones cannot. Restricting to</w:t>
      </w:r>
      <w:r>
        <w:t xml:space="preserve"> </w:t>
      </w:r>
      <m:oMath>
        <m:r>
          <m:t>α</m:t>
        </m:r>
        <m:r>
          <m:rPr>
            <m:sty m:val="p"/>
          </m:rPr>
          <m:t>=</m:t>
        </m:r>
        <m:r>
          <m:t>1</m:t>
        </m:r>
      </m:oMath>
      <w:r>
        <w:t xml:space="preserve"> </w:t>
      </w:r>
      <w:r>
        <w:t xml:space="preserve">(Erasmus-grounded) leaves the framework underpredicting Watson Brake’s LiDAR-derived 27,065 m³ by approximately 7.7-fold. Restricting to</w:t>
      </w:r>
      <w:r>
        <w:t xml:space="preserve"> </w:t>
      </w:r>
      <m:oMath>
        <m:r>
          <m:t>α</m:t>
        </m:r>
        <m:r>
          <m:rPr>
            <m:sty m:val="p"/>
          </m:rPr>
          <m:t>=</m:t>
        </m:r>
        <m:r>
          <m:t>2</m:t>
        </m:r>
      </m:oMath>
      <w:r>
        <w:t xml:space="preserve"> </w:t>
      </w:r>
      <w:r>
        <w:t xml:space="preserve">closes the gap but at the cost of conditioning the closure on a labor-scaling parameter that exceeds the available ethnographic baseline. The honest reading of the WB closure is therefore that it requires either independent justification for superadditive scaling at the relevant crew sizes (which the Erasmus baseline does not provide) or treatment as a post-hoc fit. Both readings are reported transparently here; neither converts the closure into a forward prediction.</w:t>
      </w:r>
    </w:p>
    <w:p>
      <w:pPr>
        <w:pStyle w:val="BodyText"/>
      </w:pPr>
      <w:r>
        <w:t xml:space="preserve">Reproducible from</w:t>
      </w:r>
      <w:r>
        <w:t xml:space="preserve"> </w:t>
      </w:r>
      <w:r>
        <w:rPr>
          <w:rStyle w:val="VerbatimChar"/>
        </w:rPr>
        <w:t xml:space="preserve">scripts/analysis/per_event_labor_scaling.py</w:t>
      </w:r>
      <w:r>
        <w:t xml:space="preserve">; outputs in</w:t>
      </w:r>
      <w:r>
        <w:t xml:space="preserve"> </w:t>
      </w:r>
      <w:r>
        <w:rPr>
          <w:rStyle w:val="VerbatimChar"/>
        </w:rPr>
        <w:t xml:space="preserve">results/sensitivity/per_event_labor_scaling.json</w:t>
      </w:r>
      <w:r>
        <w:t xml:space="preserve">.</w:t>
      </w:r>
    </w:p>
    <w:bookmarkEnd w:id="88"/>
    <w:bookmarkStart w:id="89" w:name="Xb22f72dfb61d671a9569575f81429ccb36a3121"/>
    <w:p>
      <w:pPr>
        <w:pStyle w:val="Heading3"/>
      </w:pPr>
      <w:r>
        <w:t xml:space="preserve">S17.3 Regional band allocation (minimal regional spatially-explicit model)</w:t>
      </w:r>
    </w:p>
    <w:p>
      <w:pPr>
        <w:pStyle w:val="FirstParagraph"/>
      </w:pPr>
      <w:r>
        <w:t xml:space="preserve">(Main text §7.1;</w:t>
      </w:r>
      <w:r>
        <w:t xml:space="preserve"> </w:t>
      </w:r>
      <w:r>
        <w:rPr>
          <w:i/>
          <w:iCs/>
        </w:rPr>
        <w:t xml:space="preserve">Single-site abstraction</w:t>
      </w:r>
      <w:r>
        <w:t xml:space="preserve"> </w:t>
      </w:r>
      <w:r>
        <w:t xml:space="preserve">in main §7.4.)</w:t>
      </w:r>
      <w:r>
        <w:t xml:space="preserve"> </w:t>
      </w:r>
      <w:r>
        <w:rPr>
          <w:b/>
          <w:bCs/>
        </w:rPr>
        <w:t xml:space="preserve">Minimal version implemented in this revision; sensitivity demonstration for §6.6.</w:t>
      </w:r>
      <w:r>
        <w:t xml:space="preserve"> </w:t>
      </w:r>
      <w:r>
        <w:t xml:space="preserve">A regional band-allocation model with 50 bands, 11 candidate sites, canoe-day travel costs (~30 km/day), and a critical-mass network bonus once</w:t>
      </w:r>
      <w:r>
        <w:t xml:space="preserve"> </w:t>
      </w:r>
      <m:oMath>
        <m:sSub>
          <m:e>
            <m:r>
              <m:t>n</m:t>
            </m:r>
          </m:e>
          <m:sub>
            <m:r>
              <m:t>a</m:t>
            </m:r>
            <m:r>
              <m:t>g</m:t>
            </m:r>
            <m:r>
              <m:t>g</m:t>
            </m:r>
          </m:sub>
        </m:sSub>
        <m:r>
          <m:rPr>
            <m:sty m:val="p"/>
          </m:rPr>
          <m:t>≥</m:t>
        </m:r>
        <m:sSub>
          <m:e>
            <m:r>
              <m:t>N</m:t>
            </m:r>
          </m:e>
          <m:sub>
            <m:r>
              <m:t>t</m:t>
            </m:r>
            <m:r>
              <m:t>h</m:t>
            </m:r>
            <m:r>
              <m:t>r</m:t>
            </m:r>
            <m:r>
              <m:t>e</m:t>
            </m:r>
            <m:r>
              <m:t>s</m:t>
            </m:r>
            <m:r>
              <m:t>h</m:t>
            </m:r>
          </m:sub>
        </m:sSub>
      </m:oMath>
      <w:r>
        <w:t xml:space="preserve"> </w:t>
      </w:r>
      <w:r>
        <w:t xml:space="preserve">converges in three iterative rounds. At default parameters (NETWORK_BONUS = 0.05,</w:t>
      </w:r>
      <w:r>
        <w:t xml:space="preserve"> </w:t>
      </w:r>
      <m:oMath>
        <m:sSub>
          <m:e>
            <m:r>
              <m:t>N</m:t>
            </m:r>
          </m:e>
          <m:sub>
            <m:r>
              <m:t>t</m:t>
            </m:r>
            <m:r>
              <m:t>h</m:t>
            </m:r>
            <m:r>
              <m:t>r</m:t>
            </m:r>
            <m:r>
              <m:t>e</m:t>
            </m:r>
            <m:r>
              <m:t>s</m:t>
            </m:r>
            <m:r>
              <m:t>h</m:t>
            </m:r>
          </m:sub>
        </m:sSub>
        <m:r>
          <m:rPr>
            <m:sty m:val="p"/>
          </m:rPr>
          <m:t>=</m:t>
        </m:r>
        <m:r>
          <m:t>5</m:t>
        </m:r>
      </m:oMath>
      <w:r>
        <w:t xml:space="preserve">): winner-takes-most outcome with PP = 43 bands, Jaketown = 7 bands, all other interior sites = 0 bands. Spearman correlation of endogenized</w:t>
      </w:r>
      <w:r>
        <w:t xml:space="preserve"> </w:t>
      </w:r>
      <m:oMath>
        <m:sSub>
          <m:e>
            <m:r>
              <m:t>n</m:t>
            </m:r>
          </m:e>
          <m:sub>
            <m:r>
              <m:t>a</m:t>
            </m:r>
            <m:r>
              <m:t>g</m:t>
            </m:r>
            <m:r>
              <m:t>g</m:t>
            </m:r>
          </m:sub>
        </m:sSub>
      </m:oMath>
      <w:r>
        <w:t xml:space="preserve"> </w:t>
      </w:r>
      <w:r>
        <w:t xml:space="preserve">against observed monument scale:</w:t>
      </w:r>
      <w:r>
        <w:t xml:space="preserve"> </w:t>
      </w:r>
      <m:oMath>
        <m:r>
          <m:t>ρ</m:t>
        </m:r>
        <m:r>
          <m:rPr>
            <m:sty m:val="p"/>
          </m:rPr>
          <m:t>=</m:t>
        </m:r>
        <m:r>
          <m:rPr>
            <m:sty m:val="p"/>
          </m:rPr>
          <m:t>+</m:t>
        </m:r>
        <m:r>
          <m:t>0.39</m:t>
        </m:r>
      </m:oMath>
      <w:r>
        <w:t xml:space="preserve"> </w:t>
      </w:r>
      <w:r>
        <w:t xml:space="preserve">(</w:t>
      </w:r>
      <m:oMath>
        <m:r>
          <m:t>p</m:t>
        </m:r>
        <m:r>
          <m:rPr>
            <m:sty m:val="p"/>
          </m:rPr>
          <m:t>=</m:t>
        </m:r>
        <m:r>
          <m:t>0.24</m:t>
        </m:r>
      </m:oMath>
      <w:r>
        <w:t xml:space="preserve">, NS); against the convergence-model literature</w:t>
      </w:r>
      <w:r>
        <w:t xml:space="preserve"> </w:t>
      </w:r>
      <m:oMath>
        <m:sSub>
          <m:e>
            <m:r>
              <m:t>n</m:t>
            </m:r>
          </m:e>
          <m:sub>
            <m:r>
              <m:t>a</m:t>
            </m:r>
            <m:r>
              <m:t>g</m:t>
            </m:r>
            <m:r>
              <m:t>g</m:t>
            </m:r>
          </m:sub>
        </m:sSub>
      </m:oMath>
      <w:r>
        <w:t xml:space="preserve"> </w:t>
      </w:r>
      <w:r>
        <w:t xml:space="preserve">values:</w:t>
      </w:r>
      <w:r>
        <w:t xml:space="preserve"> </w:t>
      </w:r>
      <m:oMath>
        <m:r>
          <m:t>ρ</m:t>
        </m:r>
        <m:r>
          <m:rPr>
            <m:sty m:val="p"/>
          </m:rPr>
          <m:t>=</m:t>
        </m:r>
        <m:r>
          <m:rPr>
            <m:sty m:val="p"/>
          </m:rPr>
          <m:t>+</m:t>
        </m:r>
        <m:r>
          <m:t>0.65</m:t>
        </m:r>
      </m:oMath>
      <w:r>
        <w:t xml:space="preserve"> </w:t>
      </w:r>
      <w:r>
        <w:t xml:space="preserve">(</w:t>
      </w:r>
      <m:oMath>
        <m:r>
          <m:t>p</m:t>
        </m:r>
        <m:r>
          <m:rPr>
            <m:sty m:val="p"/>
          </m:rPr>
          <m:t>=</m:t>
        </m:r>
        <m:r>
          <m:t>0.03</m:t>
        </m:r>
      </m:oMath>
      <w:r>
        <w:t xml:space="preserve">).</w:t>
      </w:r>
    </w:p>
    <w:p>
      <w:pPr>
        <w:pStyle w:val="BodyText"/>
      </w:pPr>
      <w:r>
        <w:rPr>
          <w:b/>
          <w:bCs/>
        </w:rPr>
        <w:t xml:space="preserve">Parameter sensitivity.</w:t>
      </w:r>
      <w:r>
        <w:t xml:space="preserve"> </w:t>
      </w:r>
      <w:r>
        <w:t xml:space="preserve">A sensitivity sweep across NETWORK_BONUS</w:t>
      </w:r>
      <w:r>
        <w:t xml:space="preserve"> </w:t>
      </w:r>
      <m:oMath>
        <m:r>
          <m:rPr>
            <m:sty m:val="p"/>
          </m:rPr>
          <m:t>∈</m:t>
        </m:r>
        <m:r>
          <m:rPr>
            <m:sty m:val="p"/>
          </m:rPr>
          <m:t>{</m:t>
        </m:r>
        <m:r>
          <m:t>0.00</m:t>
        </m:r>
        <m:r>
          <m:rPr>
            <m:sty m:val="p"/>
          </m:rPr>
          <m:t>,</m:t>
        </m:r>
        <m:r>
          <m:t>0.025</m:t>
        </m:r>
        <m:r>
          <m:rPr>
            <m:sty m:val="p"/>
          </m:rPr>
          <m:t>,</m:t>
        </m:r>
        <m:r>
          <m:t>0.05</m:t>
        </m:r>
        <m:r>
          <m:rPr>
            <m:sty m:val="p"/>
          </m:rPr>
          <m:t>,</m:t>
        </m:r>
        <m:r>
          <m:t>0.10</m:t>
        </m:r>
        <m:r>
          <m:rPr>
            <m:sty m:val="p"/>
          </m:rPr>
          <m:t>,</m:t>
        </m:r>
        <m:r>
          <m:t>0.20</m:t>
        </m:r>
        <m:r>
          <m:rPr>
            <m:sty m:val="p"/>
          </m:rPr>
          <m:t>}</m:t>
        </m:r>
      </m:oMath>
      <w:r>
        <w:t xml:space="preserve"> </w:t>
      </w:r>
      <w:r>
        <w:t xml:space="preserve">and</w:t>
      </w:r>
      <w:r>
        <w:t xml:space="preserve"> </w:t>
      </w:r>
      <m:oMath>
        <m:sSub>
          <m:e>
            <m:r>
              <m:t>N</m:t>
            </m:r>
          </m:e>
          <m:sub>
            <m:r>
              <m:t>t</m:t>
            </m:r>
            <m:r>
              <m:t>h</m:t>
            </m:r>
            <m:r>
              <m:t>r</m:t>
            </m:r>
            <m:r>
              <m:t>e</m:t>
            </m:r>
            <m:r>
              <m:t>s</m:t>
            </m:r>
            <m:r>
              <m:t>h</m:t>
            </m:r>
          </m:sub>
        </m:sSub>
        <m:r>
          <m:rPr>
            <m:sty m:val="p"/>
          </m:rPr>
          <m:t>∈</m:t>
        </m:r>
        <m:r>
          <m:rPr>
            <m:sty m:val="p"/>
          </m:rPr>
          <m:t>{</m:t>
        </m:r>
        <m:r>
          <m:t>2</m:t>
        </m:r>
        <m:r>
          <m:rPr>
            <m:sty m:val="p"/>
          </m:rPr>
          <m:t>,</m:t>
        </m:r>
        <m:r>
          <m:t>3</m:t>
        </m:r>
        <m:r>
          <m:rPr>
            <m:sty m:val="p"/>
          </m:rPr>
          <m:t>,</m:t>
        </m:r>
        <m:r>
          <m:t>5</m:t>
        </m:r>
        <m:r>
          <m:rPr>
            <m:sty m:val="p"/>
          </m:rPr>
          <m:t>,</m:t>
        </m:r>
        <m:r>
          <m:t>8</m:t>
        </m:r>
        <m:r>
          <m:rPr>
            <m:sty m:val="p"/>
          </m:rPr>
          <m:t>}</m:t>
        </m:r>
      </m:oMath>
      <w:r>
        <w:t xml:space="preserve"> </w:t>
      </w:r>
      <w:r>
        <w:t xml:space="preserve">(20 cells) confirms the winner-takes-most outcome is robust to parameter choice: 16 of 20 cells produce the same PP = 43 / Jaketown = 7 split (ρ = +0.39 against observed scale), and the remaining 4 cells (those with</w:t>
      </w:r>
      <w:r>
        <w:t xml:space="preserve"> </w:t>
      </w:r>
      <m:oMath>
        <m:sSub>
          <m:e>
            <m:r>
              <m:t>N</m:t>
            </m:r>
          </m:e>
          <m:sub>
            <m:r>
              <m:t>t</m:t>
            </m:r>
            <m:r>
              <m:t>h</m:t>
            </m:r>
            <m:r>
              <m:t>r</m:t>
            </m:r>
            <m:r>
              <m:t>e</m:t>
            </m:r>
            <m:r>
              <m:t>s</m:t>
            </m:r>
            <m:r>
              <m:t>h</m:t>
            </m:r>
          </m:sub>
        </m:sSub>
        <m:r>
          <m:rPr>
            <m:sty m:val="p"/>
          </m:rPr>
          <m:t>=</m:t>
        </m:r>
        <m:r>
          <m:t>8</m:t>
        </m:r>
      </m:oMath>
      <w:r>
        <w:t xml:space="preserve"> </w:t>
      </w:r>
      <w:r>
        <w:t xml:space="preserve">that suppresses the Jaketown attractor below threshold) produce PP = 50 (winner-takes-all) with ρ = +0.52. Across all 20 cells, ρ ranges from +0.39 to +0.52 (median +0.39). The framework’s endogenized-</w:t>
      </w:r>
      <m:oMath>
        <m:sSub>
          <m:e>
            <m:r>
              <m:t>n</m:t>
            </m:r>
          </m:e>
          <m:sub>
            <m:r>
              <m:t>a</m:t>
            </m:r>
            <m:r>
              <m:t>g</m:t>
            </m:r>
            <m:r>
              <m:t>g</m:t>
            </m:r>
          </m:sub>
        </m:sSub>
      </m:oMath>
      <w:r>
        <w:t xml:space="preserve"> </w:t>
      </w:r>
      <w:r>
        <w:t xml:space="preserve">prediction is therefore not a parameter artifact: the qualitative result (PP as dominant regional attractor, Jaketown as secondary, all others as zero) holds across the tested parameter space. Reproducible from</w:t>
      </w:r>
      <w:r>
        <w:t xml:space="preserve"> </w:t>
      </w:r>
      <w:r>
        <w:rPr>
          <w:rStyle w:val="VerbatimChar"/>
        </w:rPr>
        <w:t xml:space="preserve">scripts/analysis/regional_band_allocation_sensitivity.py</w:t>
      </w:r>
      <w:r>
        <w:t xml:space="preserve">; outputs in</w:t>
      </w:r>
      <w:r>
        <w:t xml:space="preserve"> </w:t>
      </w:r>
      <w:r>
        <w:rPr>
          <w:rStyle w:val="VerbatimChar"/>
        </w:rPr>
        <w:t xml:space="preserve">results/sensitivity/regional_band_allocation_sensitivity.json</w:t>
      </w:r>
      <w:r>
        <w:t xml:space="preserve">.</w:t>
      </w:r>
    </w:p>
    <w:p>
      <w:pPr>
        <w:pStyle w:val="BodyText"/>
      </w:pPr>
      <w:r>
        <w:t xml:space="preserve">The</w:t>
      </w:r>
      <w:r>
        <w:t xml:space="preserve"> </w:t>
      </w:r>
      <m:oMath>
        <m:r>
          <m:t>ρ</m:t>
        </m:r>
        <m:r>
          <m:rPr>
            <m:sty m:val="p"/>
          </m:rPr>
          <m:t>=</m:t>
        </m:r>
        <m:r>
          <m:rPr>
            <m:sty m:val="p"/>
          </m:rPr>
          <m:t>+</m:t>
        </m:r>
        <m:r>
          <m:t>0.39</m:t>
        </m:r>
      </m:oMath>
      <w:r>
        <w:t xml:space="preserve"> </w:t>
      </w:r>
      <w:r>
        <w:t xml:space="preserve">against observed scale is the framework’s genuine (n_agg-endogenized) magnitude-prediction power; substantially weaker than the</w:t>
      </w:r>
      <w:r>
        <w:t xml:space="preserve"> </w:t>
      </w:r>
      <m:oMath>
        <m:r>
          <m:t>ρ</m:t>
        </m:r>
        <m:r>
          <m:rPr>
            <m:sty m:val="p"/>
          </m:rPr>
          <m:t>=</m:t>
        </m:r>
        <m:r>
          <m:rPr>
            <m:sty m:val="p"/>
          </m:rPr>
          <m:t>+</m:t>
        </m:r>
        <m:r>
          <m:t>0.91</m:t>
        </m:r>
      </m:oMath>
      <w:r>
        <w:t xml:space="preserve"> </w:t>
      </w:r>
      <w:r>
        <w:t xml:space="preserve">that emerges when literature</w:t>
      </w:r>
      <w:r>
        <w:t xml:space="preserve"> </w:t>
      </w:r>
      <m:oMath>
        <m:sSub>
          <m:e>
            <m:r>
              <m:t>n</m:t>
            </m:r>
          </m:e>
          <m:sub>
            <m:r>
              <m:t>a</m:t>
            </m:r>
            <m:r>
              <m:t>g</m:t>
            </m:r>
            <m:r>
              <m:t>g</m:t>
            </m:r>
          </m:sub>
        </m:sSub>
      </m:oMath>
      <w:r>
        <w:t xml:space="preserve"> </w:t>
      </w:r>
      <w:r>
        <w:t xml:space="preserve">values are supplied as inputs (§S17.5 below). This confirms the partial-correlation finding directly: the framework’s</w:t>
      </w:r>
      <w:r>
        <w:t xml:space="preserve"> </w:t>
      </w:r>
      <m:oMath>
        <m:r>
          <m:t>ε</m:t>
        </m:r>
      </m:oMath>
      <w:r>
        <w:t xml:space="preserve"> </w:t>
      </w:r>
      <w:r>
        <w:t xml:space="preserve">predicts location of regional attractors but not the gradation of attained</w:t>
      </w:r>
      <w:r>
        <w:t xml:space="preserve"> </w:t>
      </w:r>
      <m:oMath>
        <m:sSub>
          <m:e>
            <m:r>
              <m:t>n</m:t>
            </m:r>
          </m:e>
          <m:sub>
            <m:r>
              <m:t>a</m:t>
            </m:r>
            <m:r>
              <m:t>g</m:t>
            </m:r>
            <m:r>
              <m:t>g</m:t>
            </m:r>
          </m:sub>
        </m:sSub>
      </m:oMath>
      <w:r>
        <w:t xml:space="preserve"> </w:t>
      </w:r>
      <w:r>
        <w:t xml:space="preserve">between PP and the smaller LMV monument-building sites. Reproducible from</w:t>
      </w:r>
      <w:r>
        <w:t xml:space="preserve"> </w:t>
      </w:r>
      <w:r>
        <w:rPr>
          <w:rStyle w:val="VerbatimChar"/>
        </w:rPr>
        <w:t xml:space="preserve">scripts/analysis/regional_band_allocation.py</w:t>
      </w:r>
      <w:r>
        <w:t xml:space="preserve"> </w:t>
      </w:r>
      <w:r>
        <w:t xml:space="preserve">and</w:t>
      </w:r>
      <w:r>
        <w:t xml:space="preserve"> </w:t>
      </w:r>
      <w:r>
        <w:rPr>
          <w:rStyle w:val="VerbatimChar"/>
        </w:rPr>
        <w:t xml:space="preserve">regional_band_allocation_sensitivity.py</w:t>
      </w:r>
      <w:r>
        <w:t xml:space="preserve">; outputs in</w:t>
      </w:r>
      <w:r>
        <w:t xml:space="preserve"> </w:t>
      </w:r>
      <w:r>
        <w:rPr>
          <w:rStyle w:val="VerbatimChar"/>
        </w:rPr>
        <w:t xml:space="preserve">results/sensitivity/regional_band_allocation.json</w:t>
      </w:r>
      <w:r>
        <w:t xml:space="preserve"> </w:t>
      </w:r>
      <w:r>
        <w:t xml:space="preserve">and</w:t>
      </w:r>
      <w:r>
        <w:t xml:space="preserve"> </w:t>
      </w:r>
      <w:r>
        <w:rPr>
          <w:rStyle w:val="VerbatimChar"/>
        </w:rPr>
        <w:t xml:space="preserve">regional_band_allocation_sensitivity.json</w:t>
      </w:r>
      <w:r>
        <w:t xml:space="preserve">. The full version with hydrographic routing on a digital elevation model, carrying-capacity dynamics, path-dependence over multi-century timescales, and stochastic exploration / exploitation balance remains as future work that would be expected to soften the winner-takes-most outcome and produce more graded</w:t>
      </w:r>
      <w:r>
        <w:t xml:space="preserve"> </w:t>
      </w:r>
      <m:oMath>
        <m:sSub>
          <m:e>
            <m:r>
              <m:t>n</m:t>
            </m:r>
          </m:e>
          <m:sub>
            <m:r>
              <m:t>a</m:t>
            </m:r>
            <m:r>
              <m:t>g</m:t>
            </m:r>
            <m:r>
              <m:t>g</m:t>
            </m:r>
          </m:sub>
        </m:sSub>
      </m:oMath>
      <w:r>
        <w:t xml:space="preserve"> </w:t>
      </w:r>
      <w:r>
        <w:t xml:space="preserve">predictions matching the convergence-model values.</w:t>
      </w:r>
    </w:p>
    <w:bookmarkEnd w:id="89"/>
    <w:bookmarkStart w:id="90" w:name="X99de2ea1146afca61ca1bb737b1f0d9599c4879"/>
    <w:p>
      <w:pPr>
        <w:pStyle w:val="Heading3"/>
      </w:pPr>
      <w:r>
        <w:t xml:space="preserve">S17.4 Covariance-based, water-route-aware travel-time catchment</w:t>
      </w:r>
    </w:p>
    <w:p>
      <w:pPr>
        <w:pStyle w:val="FirstParagraph"/>
      </w:pPr>
      <w:r>
        <w:t xml:space="preserve">(Main text §6.5;</w:t>
      </w:r>
      <w:r>
        <w:t xml:space="preserve"> </w:t>
      </w:r>
      <w:r>
        <w:rPr>
          <w:i/>
          <w:iCs/>
        </w:rPr>
        <w:t xml:space="preserve">Ecotone operationalization</w:t>
      </w:r>
      <w:r>
        <w:t xml:space="preserve"> </w:t>
      </w:r>
      <w:r>
        <w:t xml:space="preserve">in main §7.4.)</w:t>
      </w:r>
      <w:r>
        <w:t xml:space="preserve"> </w:t>
      </w:r>
      <w:r>
        <w:rPr>
          <w:b/>
          <w:bCs/>
        </w:rPr>
        <w:t xml:space="preserve">Implemented in this revision; central to the §6.5 multi-drainage analysis.</w:t>
      </w:r>
      <w:r>
        <w:t xml:space="preserve"> </w:t>
      </w:r>
      <w:r>
        <w:t xml:space="preserve">The static-diversity proxies of main §6.4 use a 25-km circular terrestrial buffer derived from Kelly’s (2013) walking day-trip radius; we replace this with a canoe-day catchment per site, identifying which independent shortfall regimes from S15 are accessible by canoe. The empirical correlation matrix from the modern USGS gauge analysis (Mississippi-Yazoo</w:t>
      </w:r>
      <w:r>
        <w:t xml:space="preserve"> </w:t>
      </w:r>
      <m:oMath>
        <m:r>
          <m:t>r</m:t>
        </m:r>
        <m:r>
          <m:rPr>
            <m:sty m:val="p"/>
          </m:rPr>
          <m:t>=</m:t>
        </m:r>
        <m:r>
          <m:t>0.11</m:t>
        </m:r>
      </m:oMath>
      <w:r>
        <w:t xml:space="preserve">, Mississippi-Tensas</w:t>
      </w:r>
      <w:r>
        <w:t xml:space="preserve"> </w:t>
      </w:r>
      <m:oMath>
        <m:r>
          <m:t>r</m:t>
        </m:r>
        <m:r>
          <m:rPr>
            <m:sty m:val="p"/>
          </m:rPr>
          <m:t>=</m:t>
        </m:r>
        <m:r>
          <m:t>0.34</m:t>
        </m:r>
      </m:oMath>
      <w:r>
        <w:t xml:space="preserve">, Tensas-Yazoo</w:t>
      </w:r>
      <w:r>
        <w:t xml:space="preserve"> </w:t>
      </w:r>
      <m:oMath>
        <m:r>
          <m:t>r</m:t>
        </m:r>
        <m:r>
          <m:rPr>
            <m:sty m:val="p"/>
          </m:rPr>
          <m:t>=</m:t>
        </m:r>
        <m:r>
          <m:t>0.54</m:t>
        </m:r>
      </m:oMath>
      <w:r>
        <w:t xml:space="preserve">, Bayou Maçon-Tensas</w:t>
      </w:r>
      <w:r>
        <w:t xml:space="preserve"> </w:t>
      </w:r>
      <m:oMath>
        <m:r>
          <m:t>r</m:t>
        </m:r>
        <m:r>
          <m:rPr>
            <m:sty m:val="p"/>
          </m:rPr>
          <m:t>=</m:t>
        </m:r>
        <m:r>
          <m:t>0.90</m:t>
        </m:r>
      </m:oMath>
      <w:r>
        <w:t xml:space="preserve">) is used to drive a 5,000-year stochastic simulation of correlated drainage productivity; the water-route</w:t>
      </w:r>
      <w:r>
        <w:t xml:space="preserve"> </w:t>
      </w:r>
      <m:oMath>
        <m:sSub>
          <m:e>
            <m:r>
              <m:t>ε</m:t>
            </m:r>
          </m:e>
          <m:sub>
            <m:r>
              <m:t>w</m:t>
            </m:r>
            <m:r>
              <m:t>r</m:t>
            </m:r>
          </m:sub>
        </m:sSub>
      </m:oMath>
      <w:r>
        <w:t xml:space="preserve"> </w:t>
      </w:r>
      <w:r>
        <w:t xml:space="preserve">is the variance reduction in total accessible productivity relative to a single-drainage baseline.</w:t>
      </w:r>
    </w:p>
    <w:p>
      <w:pPr>
        <w:pStyle w:val="BodyText"/>
      </w:pPr>
      <w:r>
        <w:t xml:space="preserve">Per-site water-route</w:t>
      </w:r>
      <w:r>
        <w:t xml:space="preserve"> </w:t>
      </w:r>
      <m:oMath>
        <m:r>
          <m:t>ε</m:t>
        </m:r>
      </m:oMath>
      <w:r>
        <w:t xml:space="preserve"> </w:t>
      </w:r>
      <w:r>
        <w:t xml:space="preserve">(</w:t>
      </w:r>
      <w:r>
        <w:rPr>
          <w:rStyle w:val="VerbatimChar"/>
        </w:rPr>
        <w:t xml:space="preserve">scripts/analysis/water_route_catchment_epsilon.py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Site</w:t>
            </w:r>
          </w:p>
        </w:tc>
        <w:tc>
          <w:tcPr/>
          <w:p>
            <w:pPr>
              <w:pStyle w:val="Compact"/>
            </w:pPr>
            <w:r>
              <w:t xml:space="preserve">Independent regimes</w:t>
            </w:r>
          </w:p>
        </w:tc>
        <w:tc>
          <w:tcPr/>
          <w:p>
            <w:pPr>
              <w:pStyle w:val="Compact"/>
            </w:pPr>
            <m:oMath>
              <m:sSub>
                <m:e>
                  <m:r>
                    <m:t>ε</m:t>
                  </m:r>
                </m:e>
                <m:sub>
                  <m:r>
                    <m:t>w</m:t>
                  </m:r>
                  <m:r>
                    <m:t>r</m:t>
                  </m:r>
                </m:sub>
              </m:sSub>
            </m:oMath>
          </w:p>
        </w:tc>
      </w:tr>
      <w:tr>
        <w:tc>
          <w:tcPr/>
          <w:p>
            <w:pPr>
              <w:pStyle w:val="Compact"/>
            </w:pPr>
            <w:r>
              <w:t xml:space="preserve">Poverty Point</w:t>
            </w:r>
          </w:p>
        </w:tc>
        <w:tc>
          <w:tcPr/>
          <w:p>
            <w:pPr>
              <w:pStyle w:val="Compact"/>
            </w:pPr>
            <w:r>
              <w:t xml:space="preserve">4 (BMacon, Mississippi, Tensas, Yazoo)</w:t>
            </w:r>
          </w:p>
        </w:tc>
        <w:tc>
          <w:tcPr/>
          <w:p>
            <w:pPr>
              <w:pStyle w:val="Compact"/>
            </w:pPr>
            <w:r>
              <w:t xml:space="preserve">0.154</w:t>
            </w:r>
          </w:p>
        </w:tc>
      </w:tr>
      <w:tr>
        <w:tc>
          <w:tcPr/>
          <w:p>
            <w:pPr>
              <w:pStyle w:val="Compact"/>
            </w:pPr>
            <w:r>
              <w:t xml:space="preserve">Lower Jackson</w:t>
            </w:r>
          </w:p>
        </w:tc>
        <w:tc>
          <w:tcPr/>
          <w:p>
            <w:pPr>
              <w:pStyle w:val="Compact"/>
            </w:pPr>
            <w:r>
              <w:t xml:space="preserve">4 (partial access to all four)</w:t>
            </w:r>
          </w:p>
        </w:tc>
        <w:tc>
          <w:tcPr/>
          <w:p>
            <w:pPr>
              <w:pStyle w:val="Compact"/>
            </w:pPr>
            <w:r>
              <w:t xml:space="preserve">0.145</w:t>
            </w:r>
          </w:p>
        </w:tc>
      </w:tr>
      <w:tr>
        <w:tc>
          <w:tcPr/>
          <w:p>
            <w:pPr>
              <w:pStyle w:val="Compact"/>
            </w:pPr>
            <w:r>
              <w:t xml:space="preserve">Jaketown</w:t>
            </w:r>
          </w:p>
        </w:tc>
        <w:tc>
          <w:tcPr/>
          <w:p>
            <w:pPr>
              <w:pStyle w:val="Compact"/>
            </w:pPr>
            <w:r>
              <w:t xml:space="preserve">3 (Mississippi, Yazoo, Upland)</w:t>
            </w:r>
          </w:p>
        </w:tc>
        <w:tc>
          <w:tcPr/>
          <w:p>
            <w:pPr>
              <w:pStyle w:val="Compact"/>
            </w:pPr>
            <w:r>
              <w:t xml:space="preserve">0.151</w:t>
            </w:r>
          </w:p>
        </w:tc>
      </w:tr>
      <w:tr>
        <w:tc>
          <w:tcPr/>
          <w:p>
            <w:pPr>
              <w:pStyle w:val="Compact"/>
            </w:pPr>
            <w:r>
              <w:t xml:space="preserve">Watson Brake</w:t>
            </w:r>
          </w:p>
        </w:tc>
        <w:tc>
          <w:tcPr/>
          <w:p>
            <w:pPr>
              <w:pStyle w:val="Compact"/>
            </w:pPr>
            <w:r>
              <w:t xml:space="preserve">2 (Ouachita-system + Upland)</w:t>
            </w:r>
          </w:p>
        </w:tc>
        <w:tc>
          <w:tcPr/>
          <w:p>
            <w:pPr>
              <w:pStyle w:val="Compact"/>
            </w:pPr>
            <w:r>
              <w:t xml:space="preserve">0.115</w:t>
            </w:r>
          </w:p>
        </w:tc>
      </w:tr>
      <w:tr>
        <w:tc>
          <w:tcPr/>
          <w:p>
            <w:pPr>
              <w:pStyle w:val="Compact"/>
            </w:pPr>
            <w:r>
              <w:t xml:space="preserve">Frenchman’s Bend</w:t>
            </w:r>
          </w:p>
        </w:tc>
        <w:tc>
          <w:tcPr/>
          <w:p>
            <w:pPr>
              <w:pStyle w:val="Compact"/>
            </w:pPr>
            <w:r>
              <w:t xml:space="preserve">2 (Ouachita-tributary + Upland)</w:t>
            </w:r>
          </w:p>
        </w:tc>
        <w:tc>
          <w:tcPr/>
          <w:p>
            <w:pPr>
              <w:pStyle w:val="Compact"/>
            </w:pPr>
            <w:r>
              <w:t xml:space="preserve">0.115</w:t>
            </w:r>
          </w:p>
        </w:tc>
      </w:tr>
      <w:tr>
        <w:tc>
          <w:tcPr/>
          <w:p>
            <w:pPr>
              <w:pStyle w:val="Compact"/>
            </w:pPr>
            <w:r>
              <w:t xml:space="preserve">Insley</w:t>
            </w:r>
          </w:p>
        </w:tc>
        <w:tc>
          <w:tcPr/>
          <w:p>
            <w:pPr>
              <w:pStyle w:val="Compact"/>
            </w:pPr>
            <w:r>
              <w:t xml:space="preserve">2 (BMacon partial + Tensas partial + Upland)</w:t>
            </w:r>
          </w:p>
        </w:tc>
        <w:tc>
          <w:tcPr/>
          <w:p>
            <w:pPr>
              <w:pStyle w:val="Compact"/>
            </w:pPr>
            <w:r>
              <w:t xml:space="preserve">0.083</w:t>
            </w:r>
          </w:p>
        </w:tc>
      </w:tr>
      <w:tr>
        <w:tc>
          <w:tcPr/>
          <w:p>
            <w:pPr>
              <w:pStyle w:val="Compact"/>
            </w:pPr>
            <w:r>
              <w:t xml:space="preserve">Caney</w:t>
            </w:r>
          </w:p>
        </w:tc>
        <w:tc>
          <w:tcPr/>
          <w:p>
            <w:pPr>
              <w:pStyle w:val="Compact"/>
            </w:pPr>
            <w:r>
              <w:t xml:space="preserve">2 (Tensas-tributary + Upland)</w:t>
            </w:r>
          </w:p>
        </w:tc>
        <w:tc>
          <w:tcPr/>
          <w:p>
            <w:pPr>
              <w:pStyle w:val="Compact"/>
            </w:pPr>
            <w:r>
              <w:t xml:space="preserve">0.070</w:t>
            </w:r>
          </w:p>
        </w:tc>
      </w:tr>
      <w:tr>
        <w:tc>
          <w:tcPr/>
          <w:p>
            <w:pPr>
              <w:pStyle w:val="Compact"/>
            </w:pPr>
            <w:r>
              <w:t xml:space="preserve">J.W. Copes</w:t>
            </w:r>
          </w:p>
        </w:tc>
        <w:tc>
          <w:tcPr/>
          <w:p>
            <w:pPr>
              <w:pStyle w:val="Compact"/>
            </w:pPr>
            <w:r>
              <w:t xml:space="preserve">2 (Tensas + Upland partial)</w:t>
            </w:r>
          </w:p>
        </w:tc>
        <w:tc>
          <w:tcPr/>
          <w:p>
            <w:pPr>
              <w:pStyle w:val="Compact"/>
            </w:pPr>
            <w:r>
              <w:t xml:space="preserve">0.068</w:t>
            </w:r>
          </w:p>
        </w:tc>
      </w:tr>
      <w:tr>
        <w:tc>
          <w:tcPr/>
          <w:p>
            <w:pPr>
              <w:pStyle w:val="Compact"/>
            </w:pPr>
            <w:r>
              <w:t xml:space="preserve">Cowpen Slough</w:t>
            </w:r>
          </w:p>
        </w:tc>
        <w:tc>
          <w:tcPr/>
          <w:p>
            <w:pPr>
              <w:pStyle w:val="Compact"/>
            </w:pPr>
            <w:r>
              <w:t xml:space="preserve">2 (Red/Black ≈ Ouachita-system + Upland partial)</w:t>
            </w:r>
          </w:p>
        </w:tc>
        <w:tc>
          <w:tcPr/>
          <w:p>
            <w:pPr>
              <w:pStyle w:val="Compact"/>
            </w:pPr>
            <w:r>
              <w:t xml:space="preserve">0.101</w:t>
            </w:r>
          </w:p>
        </w:tc>
      </w:tr>
      <w:tr>
        <w:tc>
          <w:tcPr/>
          <w:p>
            <w:pPr>
              <w:pStyle w:val="Compact"/>
            </w:pPr>
            <w:r>
              <w:t xml:space="preserve">Claiborne, Cedarland</w:t>
            </w:r>
          </w:p>
        </w:tc>
        <w:tc>
          <w:tcPr/>
          <w:p>
            <w:pPr>
              <w:pStyle w:val="Compact"/>
            </w:pPr>
            <w:r>
              <w:t xml:space="preserve">1 (PearlGulf only)</w:t>
            </w:r>
          </w:p>
        </w:tc>
        <w:tc>
          <w:tcPr/>
          <w:p>
            <w:pPr>
              <w:pStyle w:val="Compact"/>
            </w:pPr>
            <w:r>
              <w:t xml:space="preserve">0.000</w:t>
            </w:r>
          </w:p>
        </w:tc>
      </w:tr>
    </w:tbl>
    <w:p>
      <w:pPr>
        <w:pStyle w:val="BodyText"/>
      </w:pPr>
      <w:r>
        <w:t xml:space="preserve">The water-route</w:t>
      </w:r>
      <w:r>
        <w:t xml:space="preserve"> </w:t>
      </w:r>
      <m:oMath>
        <m:r>
          <m:t>ε</m:t>
        </m:r>
      </m:oMath>
      <w:r>
        <w:t xml:space="preserve"> </w:t>
      </w:r>
      <w:r>
        <w:t xml:space="preserve">ranking places PP, Lower Jackson, and Jaketown in the top band (these three are the only sites with substantial multi-regime canoe access), Watson Brake and Frenchman’s Bend mid (Ouachita-system + upland), and the small-tributary interior sites lower. The coastal pair sits at</w:t>
      </w:r>
      <w:r>
        <w:t xml:space="preserve"> </w:t>
      </w:r>
      <m:oMath>
        <m:sSub>
          <m:e>
            <m:r>
              <m:t>ε</m:t>
            </m:r>
          </m:e>
          <m:sub>
            <m:r>
              <m:t>w</m:t>
            </m:r>
            <m:r>
              <m:t>r</m:t>
            </m:r>
          </m:sub>
        </m:sSub>
        <m:r>
          <m:rPr>
            <m:sty m:val="p"/>
          </m:rPr>
          <m:t>=</m:t>
        </m:r>
        <m:r>
          <m:t>0</m:t>
        </m:r>
      </m:oMath>
      <w:r>
        <w:t xml:space="preserve"> </w:t>
      </w:r>
      <w:r>
        <w:t xml:space="preserve">in the LMV interior categorization (they access PearlGulf only, structurally distinct).</w:t>
      </w:r>
    </w:p>
    <w:p>
      <w:pPr>
        <w:pStyle w:val="BodyText"/>
      </w:pPr>
      <w:r>
        <w:rPr>
          <w:b/>
          <w:bCs/>
        </w:rPr>
        <w:t xml:space="preserve">Joint test combining §S17.2 (per-event labor scaling at</w:t>
      </w:r>
      <w:r>
        <w:rPr>
          <w:b/>
          <w:bCs/>
        </w:rPr>
        <w:t xml:space="preserve"> </w:t>
      </w:r>
      <m:oMath>
        <m:r>
          <m:t>α</m:t>
        </m:r>
        <m:r>
          <m:rPr>
            <m:sty m:val="p"/>
          </m:rPr>
          <m:t>=</m:t>
        </m:r>
        <m:r>
          <m:t>2</m:t>
        </m:r>
      </m:oMath>
      <w:r>
        <w:rPr>
          <w:b/>
          <w:bCs/>
        </w:rPr>
        <w:t xml:space="preserve">), §S17.5 (per-site</w:t>
      </w:r>
      <w:r>
        <w:rPr>
          <w:b/>
          <w:bCs/>
        </w:rPr>
        <w:t xml:space="preserve"> </w:t>
      </w:r>
      <m:oMath>
        <m:sSub>
          <m:e>
            <m:r>
              <m:t>n</m:t>
            </m:r>
          </m:e>
          <m:sub>
            <m:r>
              <m:t>a</m:t>
            </m:r>
            <m:r>
              <m:t>g</m:t>
            </m:r>
            <m:r>
              <m:t>g</m:t>
            </m:r>
          </m:sub>
        </m:sSub>
      </m:oMath>
      <w:r>
        <w:rPr>
          <w:b/>
          <w:bCs/>
        </w:rPr>
        <w:t xml:space="preserve">), and the water-route</w:t>
      </w:r>
      <w:r>
        <w:rPr>
          <w:b/>
          <w:bCs/>
        </w:rPr>
        <w:t xml:space="preserve"> </w:t>
      </w:r>
      <m:oMath>
        <m:r>
          <m:t>ε</m:t>
        </m:r>
      </m:oMath>
      <w:r>
        <w:rPr>
          <w:b/>
          <w:bCs/>
        </w:rPr>
        <w:t xml:space="preserve"> </w:t>
      </w:r>
      <w:r>
        <w:rPr>
          <w:b/>
          <w:bCs/>
        </w:rPr>
        <w:t xml:space="preserve">developed here.</w:t>
      </w:r>
      <w:r>
        <w:t xml:space="preserve"> </w:t>
      </w:r>
      <w:r>
        <w:t xml:space="preserve">Combining the three implemented extensions: predicted volumes correlate with observed monument scale at Spearman</w:t>
      </w:r>
      <w:r>
        <w:t xml:space="preserve"> </w:t>
      </w:r>
      <m:oMath>
        <m:r>
          <m:t>ρ</m:t>
        </m:r>
        <m:r>
          <m:rPr>
            <m:sty m:val="p"/>
          </m:rPr>
          <m:t>=</m:t>
        </m:r>
        <m:r>
          <m:rPr>
            <m:sty m:val="p"/>
          </m:rPr>
          <m:t>+</m:t>
        </m:r>
        <m:r>
          <m:t>0.90</m:t>
        </m:r>
      </m:oMath>
      <w:r>
        <w:t xml:space="preserve"> </w:t>
      </w:r>
      <w:r>
        <w:t xml:space="preserve">(vs ordinal,</w:t>
      </w:r>
      <w:r>
        <w:t xml:space="preserve"> </w:t>
      </w:r>
      <m:oMath>
        <m:r>
          <m:t>p</m:t>
        </m:r>
        <m:r>
          <m:rPr>
            <m:sty m:val="p"/>
          </m:rPr>
          <m:t>&lt;</m:t>
        </m:r>
        <m:r>
          <m:t>0.001</m:t>
        </m:r>
      </m:oMath>
      <w:r>
        <w:t xml:space="preserve">) and</w:t>
      </w:r>
      <w:r>
        <w:t xml:space="preserve"> </w:t>
      </w:r>
      <m:oMath>
        <m:r>
          <m:t>ρ</m:t>
        </m:r>
        <m:r>
          <m:rPr>
            <m:sty m:val="p"/>
          </m:rPr>
          <m:t>=</m:t>
        </m:r>
        <m:r>
          <m:rPr>
            <m:sty m:val="p"/>
          </m:rPr>
          <m:t>+</m:t>
        </m:r>
        <m:r>
          <m:t>0.91</m:t>
        </m:r>
      </m:oMath>
      <w:r>
        <w:t xml:space="preserve"> </w:t>
      </w:r>
      <w:r>
        <w:t xml:space="preserve">(vs observed volume,</w:t>
      </w:r>
      <w:r>
        <w:t xml:space="preserve"> </w:t>
      </w:r>
      <m:oMath>
        <m:r>
          <m:t>p</m:t>
        </m:r>
        <m:r>
          <m:rPr>
            <m:sty m:val="p"/>
          </m:rPr>
          <m:t>&lt;</m:t>
        </m:r>
        <m:r>
          <m:t>0.001</m:t>
        </m:r>
      </m:oMath>
      <w:r>
        <w:t xml:space="preserve">). At the canoe-day catchment, the predicted PP volume = 750,000 m³ (calibration anchor); WB = 24,585 m³ (0.91× of LiDAR-derived per-mound 27,065 m³, §5.1); Insley = 10,375 m³ (0.7</w:t>
      </w:r>
      <m:oMath>
        <m:r>
          <m:rPr>
            <m:sty m:val="p"/>
          </m:rPr>
          <m:t>×</m:t>
        </m:r>
      </m:oMath>
      <w:r>
        <w:t xml:space="preserve"> </w:t>
      </w:r>
      <w:r>
        <w:t xml:space="preserve">observed 14,000 m³); Lower Jackson = 49 m³ (correctly identifies it as the smallest above-threshold site at</w:t>
      </w:r>
      <w:r>
        <w:t xml:space="preserve"> </w:t>
      </w:r>
      <m:oMath>
        <m:sSub>
          <m:e>
            <m:r>
              <m:t>n</m:t>
            </m:r>
          </m:e>
          <m:sub>
            <m:r>
              <m:t>a</m:t>
            </m:r>
            <m:r>
              <m:t>g</m:t>
            </m:r>
            <m:r>
              <m:t>g</m:t>
            </m:r>
          </m:sub>
        </m:sSub>
        <m:r>
          <m:rPr>
            <m:sty m:val="p"/>
          </m:rPr>
          <m:t>=</m:t>
        </m:r>
        <m:r>
          <m:t>1</m:t>
        </m:r>
      </m:oMath>
      <w:r>
        <w:t xml:space="preserve">). The water-route operationalization marginally improves the magnitude correlation over the static-rubric Spearman</w:t>
      </w:r>
      <w:r>
        <w:t xml:space="preserve"> </w:t>
      </w:r>
      <m:oMath>
        <m:r>
          <m:t>ρ</m:t>
        </m:r>
        <m:r>
          <m:rPr>
            <m:sty m:val="p"/>
          </m:rPr>
          <m:t>=</m:t>
        </m:r>
        <m:r>
          <m:rPr>
            <m:sty m:val="p"/>
          </m:rPr>
          <m:t>+</m:t>
        </m:r>
        <m:r>
          <m:t>0.85</m:t>
        </m:r>
      </m:oMath>
      <w:r>
        <w:t xml:space="preserve"> </w:t>
      </w:r>
      <w:r>
        <w:t xml:space="preserve">to</w:t>
      </w:r>
      <w:r>
        <w:t xml:space="preserve"> </w:t>
      </w:r>
      <m:oMath>
        <m:r>
          <m:rPr>
            <m:sty m:val="p"/>
          </m:rPr>
          <m:t>+</m:t>
        </m:r>
        <m:r>
          <m:t>0.90</m:t>
        </m:r>
      </m:oMath>
      <w:r>
        <w:t xml:space="preserve">, but the substantial improvement comes from making the framework’s central</w:t>
      </w:r>
      <w:r>
        <w:t xml:space="preserve"> </w:t>
      </w:r>
      <m:oMath>
        <m:r>
          <m:t>ε</m:t>
        </m:r>
      </m:oMath>
      <w:r>
        <w:t xml:space="preserve"> </w:t>
      </w:r>
      <w:r>
        <w:t xml:space="preserve">claim</w:t>
      </w:r>
      <w:r>
        <w:t xml:space="preserve"> </w:t>
      </w:r>
      <w:r>
        <w:rPr>
          <w:i/>
          <w:iCs/>
        </w:rPr>
        <w:t xml:space="preserve">measured</w:t>
      </w:r>
      <w:r>
        <w:t xml:space="preserve"> </w:t>
      </w:r>
      <w:r>
        <w:t xml:space="preserve">rather than asserted: PP’s distinguishing feature is now the integration of three to four substantively independent shortfall regimes via canoe-day catchment, supported empirically by the S15 correlation matrix.</w:t>
      </w:r>
    </w:p>
    <w:p>
      <w:pPr>
        <w:pStyle w:val="BodyText"/>
      </w:pPr>
      <w:r>
        <w:t xml:space="preserve">Reproducible from</w:t>
      </w:r>
      <w:r>
        <w:t xml:space="preserve"> </w:t>
      </w:r>
      <w:r>
        <w:rPr>
          <w:rStyle w:val="VerbatimChar"/>
        </w:rPr>
        <w:t xml:space="preserve">scripts/analysis/water_route_catchment_epsilon.py</w:t>
      </w:r>
      <w:r>
        <w:t xml:space="preserve">; outputs in</w:t>
      </w:r>
      <w:r>
        <w:t xml:space="preserve"> </w:t>
      </w:r>
      <w:r>
        <w:rPr>
          <w:rStyle w:val="VerbatimChar"/>
        </w:rPr>
        <w:t xml:space="preserve">results/sensitivity/water_route_epsilon.json</w:t>
      </w:r>
      <w:r>
        <w:t xml:space="preserve">. Caveats: the canoe-access classification is based on published site-catchment descriptions and standard-form canoe-travel speeds (~30 km/day on navigable channels); a rigorous catchment with hydrographic routing on a digital elevation model and seasonal navigability constraints would refine the access weights but is unlikely to materially change the qualitative ranking. Pre-Holocene paleo-discharge correlations may also differ from modern values; the S15 modern correlations should be read as a first-order approximation.</w:t>
      </w:r>
    </w:p>
    <w:bookmarkEnd w:id="90"/>
    <w:bookmarkStart w:id="91" w:name="X6e88c9cd923ecba424d25efe32d2f1b2164e0a7"/>
    <w:p>
      <w:pPr>
        <w:pStyle w:val="Heading3"/>
      </w:pPr>
      <w:r>
        <w:t xml:space="preserve">S17.5 Predicted equilibrium scale ratios under per-site</w:t>
      </w:r>
      <w:r>
        <w:t xml:space="preserve"> </w:t>
      </w:r>
      <m:oMath>
        <m:sSub>
          <m:e>
            <m:r>
              <m:t>n</m:t>
            </m:r>
          </m:e>
          <m:sub>
            <m:r>
              <m:t>a</m:t>
            </m:r>
            <m:r>
              <m:t>g</m:t>
            </m:r>
            <m:r>
              <m:t>g</m:t>
            </m:r>
          </m:sub>
        </m:sSub>
      </m:oMath>
      <w:r>
        <w:t xml:space="preserve"> </w:t>
      </w:r>
      <w:r>
        <w:t xml:space="preserve">and resolved</w:t>
      </w:r>
      <w:r>
        <w:t xml:space="preserve"> </w:t>
      </w:r>
      <m:oMath>
        <m:r>
          <m:t>ε</m:t>
        </m:r>
      </m:oMath>
    </w:p>
    <w:p>
      <w:pPr>
        <w:pStyle w:val="FirstParagraph"/>
      </w:pPr>
      <w:r>
        <w:t xml:space="preserve">(Main text §6.6.)</w:t>
      </w:r>
      <w:r>
        <w:t xml:space="preserve"> </w:t>
      </w:r>
      <w:r>
        <w:rPr>
          <w:b/>
          <w:bCs/>
        </w:rPr>
        <w:t xml:space="preserve">Implemented in this revision; sensitivity demonstration of internal consistency, with substantive caveats noted below.</w:t>
      </w:r>
      <w:r>
        <w:t xml:space="preserve"> </w:t>
      </w:r>
      <w:r>
        <w:t xml:space="preserve">With per-site</w:t>
      </w:r>
      <w:r>
        <w:t xml:space="preserve"> </w:t>
      </w:r>
      <m:oMath>
        <m:sSub>
          <m:e>
            <m:r>
              <m:t>n</m:t>
            </m:r>
          </m:e>
          <m:sub>
            <m:r>
              <m:t>a</m:t>
            </m:r>
            <m:r>
              <m:t>g</m:t>
            </m:r>
            <m:r>
              <m:t>g</m:t>
            </m:r>
          </m:sub>
        </m:sSub>
      </m:oMath>
      <w:r>
        <w:t xml:space="preserve"> </w:t>
      </w:r>
      <w:r>
        <w:t xml:space="preserve">from the convergence-model literature (PP</w:t>
      </w:r>
      <w:r>
        <w:t xml:space="preserve"> </w:t>
      </w:r>
      <m:oMath>
        <m:r>
          <m:rPr>
            <m:sty m:val="p"/>
          </m:rPr>
          <m:t>=</m:t>
        </m:r>
        <m:r>
          <m:t>25</m:t>
        </m:r>
      </m:oMath>
      <w:r>
        <w:t xml:space="preserve">, Jaketown</w:t>
      </w:r>
      <w:r>
        <w:t xml:space="preserve"> </w:t>
      </w:r>
      <m:oMath>
        <m:r>
          <m:rPr>
            <m:sty m:val="p"/>
          </m:rPr>
          <m:t>=</m:t>
        </m:r>
        <m:r>
          <m:t>8</m:t>
        </m:r>
      </m:oMath>
      <w:r>
        <w:t xml:space="preserve">, Watson Brake</w:t>
      </w:r>
      <w:r>
        <w:t xml:space="preserve"> </w:t>
      </w:r>
      <m:oMath>
        <m:r>
          <m:rPr>
            <m:sty m:val="p"/>
          </m:rPr>
          <m:t>=</m:t>
        </m:r>
        <m:r>
          <m:t>8</m:t>
        </m:r>
      </m:oMath>
      <w:r>
        <w:t xml:space="preserve">, Insley</w:t>
      </w:r>
      <w:r>
        <w:t xml:space="preserve"> </w:t>
      </w:r>
      <m:oMath>
        <m:r>
          <m:rPr>
            <m:sty m:val="p"/>
          </m:rPr>
          <m:t>=</m:t>
        </m:r>
        <m:r>
          <m:t>6</m:t>
        </m:r>
      </m:oMath>
      <w:r>
        <w:t xml:space="preserve">, Caney and Frenchman’s Bend</w:t>
      </w:r>
      <w:r>
        <w:t xml:space="preserve"> </w:t>
      </w:r>
      <m:oMath>
        <m:r>
          <m:rPr>
            <m:sty m:val="p"/>
          </m:rPr>
          <m:t>=</m:t>
        </m:r>
        <m:r>
          <m:t>5</m:t>
        </m:r>
      </m:oMath>
      <w:r>
        <w:t xml:space="preserve">, Claiborne and Cedarland</w:t>
      </w:r>
      <w:r>
        <w:t xml:space="preserve"> </w:t>
      </w:r>
      <m:oMath>
        <m:r>
          <m:rPr>
            <m:sty m:val="p"/>
          </m:rPr>
          <m:t>=</m:t>
        </m:r>
        <m:r>
          <m:t>4</m:t>
        </m:r>
      </m:oMath>
      <w:r>
        <w:t xml:space="preserve">, J.W. Copes and Cowpen Slough</w:t>
      </w:r>
      <w:r>
        <w:t xml:space="preserve"> </w:t>
      </w:r>
      <m:oMath>
        <m:r>
          <m:rPr>
            <m:sty m:val="p"/>
          </m:rPr>
          <m:t>=</m:t>
        </m:r>
        <m:r>
          <m:t>3</m:t>
        </m:r>
      </m:oMath>
      <w:r>
        <w:t xml:space="preserve">, Lower Jackson</w:t>
      </w:r>
      <w:r>
        <w:t xml:space="preserve"> </w:t>
      </w:r>
      <m:oMath>
        <m:r>
          <m:rPr>
            <m:sty m:val="p"/>
          </m:rPr>
          <m:t>=</m:t>
        </m:r>
        <m:r>
          <m:t>1</m:t>
        </m:r>
      </m:oMath>
      <w:r>
        <w:t xml:space="preserve">), the analytical equilibrium model produces site-specific equilibrium stocks</w:t>
      </w:r>
      <w:r>
        <w:t xml:space="preserve"> </w:t>
      </w:r>
      <m:oMath>
        <m:sSub>
          <m:e>
            <m:r>
              <m:t>M</m:t>
            </m:r>
          </m:e>
          <m:sub>
            <m:r>
              <m:t>g</m:t>
            </m:r>
          </m:sub>
        </m:sSub>
      </m:oMath>
      <w:r>
        <w:t xml:space="preserve"> </w:t>
      </w:r>
      <w:r>
        <w:t xml:space="preserve">and predicted earthwork volumes via the PP-fit conversion (</w:t>
      </w:r>
      <m:oMath>
        <m:r>
          <m:rPr>
            <m:sty m:val="p"/>
          </m:rPr>
          <m:t>∼</m:t>
        </m:r>
        <m:r>
          <m:t>5</m:t>
        </m:r>
        <m:r>
          <m:rPr>
            <m:sty m:val="p"/>
          </m:rPr>
          <m:t>,</m:t>
        </m:r>
        <m:r>
          <m:t>779</m:t>
        </m:r>
      </m:oMath>
      <w:r>
        <w:t xml:space="preserve"> </w:t>
      </w:r>
      <w:r>
        <w:t xml:space="preserve">m³ per</w:t>
      </w:r>
      <w:r>
        <w:t xml:space="preserve"> </w:t>
      </w:r>
      <m:oMath>
        <m:sSub>
          <m:e>
            <m:r>
              <m:t>M</m:t>
            </m:r>
          </m:e>
          <m:sub>
            <m:r>
              <m:t>g</m:t>
            </m:r>
          </m:sub>
        </m:sSub>
      </m:oMath>
      <w:r>
        <w:t xml:space="preserve"> </w:t>
      </w:r>
      <w:r>
        <w:t xml:space="preserve">unit). Predicted volumes correlate strongly with observed ordinal monument scale: Spearman</w:t>
      </w:r>
      <w:r>
        <w:t xml:space="preserve"> </w:t>
      </w:r>
      <m:oMath>
        <m:r>
          <m:t>ρ</m:t>
        </m:r>
        <m:r>
          <m:rPr>
            <m:sty m:val="p"/>
          </m:rPr>
          <m:t>=</m:t>
        </m:r>
        <m:r>
          <m:rPr>
            <m:sty m:val="p"/>
          </m:rPr>
          <m:t>+</m:t>
        </m:r>
        <m:r>
          <m:t>0.85</m:t>
        </m:r>
      </m:oMath>
      <w:r>
        <w:t xml:space="preserve"> </w:t>
      </w:r>
      <w:r>
        <w:t xml:space="preserve">(</w:t>
      </w:r>
      <m:oMath>
        <m:r>
          <m:t>p</m:t>
        </m:r>
        <m:r>
          <m:rPr>
            <m:sty m:val="p"/>
          </m:rPr>
          <m:t>=</m:t>
        </m:r>
        <m:r>
          <m:t>0.001</m:t>
        </m:r>
      </m:oMath>
      <w:r>
        <w:t xml:space="preserve">) under static-</w:t>
      </w:r>
      <m:oMath>
        <m:r>
          <m:t>ε</m:t>
        </m:r>
      </m:oMath>
      <w:r>
        <w:t xml:space="preserve"> </w:t>
      </w:r>
      <w:r>
        <w:t xml:space="preserve">inputs,</w:t>
      </w:r>
      <w:r>
        <w:t xml:space="preserve"> </w:t>
      </w:r>
      <m:oMath>
        <m:r>
          <m:t>ρ</m:t>
        </m:r>
        <m:r>
          <m:rPr>
            <m:sty m:val="p"/>
          </m:rPr>
          <m:t>=</m:t>
        </m:r>
        <m:r>
          <m:rPr>
            <m:sty m:val="p"/>
          </m:rPr>
          <m:t>+</m:t>
        </m:r>
        <m:r>
          <m:t>0.88</m:t>
        </m:r>
      </m:oMath>
      <w:r>
        <w:t xml:space="preserve"> </w:t>
      </w:r>
      <w:r>
        <w:t xml:space="preserve">(</w:t>
      </w:r>
      <m:oMath>
        <m:r>
          <m:t>p</m:t>
        </m:r>
        <m:r>
          <m:rPr>
            <m:sty m:val="p"/>
          </m:rPr>
          <m:t>&lt;</m:t>
        </m:r>
        <m:r>
          <m:t>0.001</m:t>
        </m:r>
      </m:oMath>
      <w:r>
        <w:t xml:space="preserve">) under phenology-</w:t>
      </w:r>
      <m:oMath>
        <m:r>
          <m:t>ε</m:t>
        </m:r>
      </m:oMath>
      <w:r>
        <w:t xml:space="preserve"> </w:t>
      </w:r>
      <w:r>
        <w:t xml:space="preserve">inputs, and</w:t>
      </w:r>
      <w:r>
        <w:t xml:space="preserve"> </w:t>
      </w:r>
      <m:oMath>
        <m:r>
          <m:t>ρ</m:t>
        </m:r>
        <m:r>
          <m:rPr>
            <m:sty m:val="p"/>
          </m:rPr>
          <m:t>=</m:t>
        </m:r>
        <m:r>
          <m:rPr>
            <m:sty m:val="p"/>
          </m:rPr>
          <m:t>+</m:t>
        </m:r>
        <m:r>
          <m:t>0.90</m:t>
        </m:r>
      </m:oMath>
      <w:r>
        <w:t xml:space="preserve"> </w:t>
      </w:r>
      <w:r>
        <w:t xml:space="preserve">under water-route-</w:t>
      </w:r>
      <m:oMath>
        <m:r>
          <m:t>ε</m:t>
        </m:r>
      </m:oMath>
      <w:r>
        <w:t xml:space="preserve"> </w:t>
      </w:r>
      <w:r>
        <w:t xml:space="preserve">inputs. Against observed volumes (where reported),</w:t>
      </w:r>
      <w:r>
        <w:t xml:space="preserve"> </w:t>
      </w:r>
      <m:oMath>
        <m:r>
          <m:t>ρ</m:t>
        </m:r>
        <m:r>
          <m:rPr>
            <m:sty m:val="p"/>
          </m:rPr>
          <m:t>=</m:t>
        </m:r>
        <m:r>
          <m:rPr>
            <m:sty m:val="p"/>
          </m:rPr>
          <m:t>+</m:t>
        </m:r>
        <m:r>
          <m:t>0.89</m:t>
        </m:r>
      </m:oMath>
      <w:r>
        <w:t xml:space="preserve"> </w:t>
      </w:r>
      <w:r>
        <w:t xml:space="preserve">(static) and</w:t>
      </w:r>
      <w:r>
        <w:t xml:space="preserve"> </w:t>
      </w:r>
      <m:oMath>
        <m:r>
          <m:t>ρ</m:t>
        </m:r>
        <m:r>
          <m:rPr>
            <m:sty m:val="p"/>
          </m:rPr>
          <m:t>=</m:t>
        </m:r>
        <m:r>
          <m:rPr>
            <m:sty m:val="p"/>
          </m:rPr>
          <m:t>+</m:t>
        </m:r>
        <m:r>
          <m:t>0.91</m:t>
        </m:r>
      </m:oMath>
      <w:r>
        <w:t xml:space="preserve"> </w:t>
      </w:r>
      <w:r>
        <w:t xml:space="preserve">(water-route).</w:t>
      </w:r>
    </w:p>
    <w:p>
      <w:pPr>
        <w:pStyle w:val="BodyText"/>
      </w:pPr>
      <w:r>
        <w:t xml:space="preserve">A partial-correlation decomposition (</w:t>
      </w:r>
      <w:r>
        <w:rPr>
          <w:rStyle w:val="VerbatimChar"/>
        </w:rPr>
        <w:t xml:space="preserve">scripts/analysis/partial_correlation_eps_nagg.py</w:t>
      </w:r>
      <w:r>
        <w:t xml:space="preserve">) is necessary to interpret these numbers honestly. The diagnostic question is: if we already know</w:t>
      </w:r>
      <w:r>
        <w:t xml:space="preserve"> </w:t>
      </w:r>
      <m:oMath>
        <m:sSub>
          <m:e>
            <m:r>
              <m:t>n</m:t>
            </m:r>
          </m:e>
          <m:sub>
            <m:r>
              <m:t>a</m:t>
            </m:r>
            <m:r>
              <m:t>g</m:t>
            </m:r>
            <m:r>
              <m:t>g</m:t>
            </m:r>
          </m:sub>
        </m:sSub>
      </m:oMath>
      <w:r>
        <w:t xml:space="preserve"> </w:t>
      </w:r>
      <w:r>
        <w:t xml:space="preserve">at each site (from the convergence-model literature), how much</w:t>
      </w:r>
      <w:r>
        <w:t xml:space="preserve"> </w:t>
      </w:r>
      <w:r>
        <w:rPr>
          <w:i/>
          <w:iCs/>
        </w:rPr>
        <w:t xml:space="preserve">extra</w:t>
      </w:r>
      <w:r>
        <w:t xml:space="preserve"> </w:t>
      </w:r>
      <w:r>
        <w:t xml:space="preserve">predictive power does the framework’s</w:t>
      </w:r>
      <w:r>
        <w:t xml:space="preserve"> </w:t>
      </w:r>
      <m:oMath>
        <m:r>
          <m:t>ε</m:t>
        </m:r>
      </m:oMath>
      <w:r>
        <w:t xml:space="preserve"> </w:t>
      </w:r>
      <w:r>
        <w:t xml:space="preserve">provide? Almost none.</w:t>
      </w:r>
      <w:r>
        <w:t xml:space="preserve"> </w:t>
      </w:r>
      <m:oMath>
        <m:sSub>
          <m:e>
            <m:r>
              <m:t>n</m:t>
            </m:r>
          </m:e>
          <m:sub>
            <m:r>
              <m:t>a</m:t>
            </m:r>
            <m:r>
              <m:t>g</m:t>
            </m:r>
            <m:r>
              <m:t>g</m:t>
            </m:r>
          </m:sub>
        </m:sSub>
      </m:oMath>
      <w:r>
        <w:rPr>
          <w:b/>
          <w:bCs/>
        </w:rPr>
        <w:t xml:space="preserve"> </w:t>
      </w:r>
      <w:r>
        <w:rPr>
          <w:b/>
          <w:bCs/>
        </w:rPr>
        <w:t xml:space="preserve">alone, with no framework, gives Spearman</w:t>
      </w:r>
      <w:r>
        <w:rPr>
          <w:b/>
          <w:bCs/>
        </w:rPr>
        <w:t xml:space="preserve"> </w:t>
      </w:r>
      <m:oMath>
        <m:r>
          <m:t>ρ</m:t>
        </m:r>
        <m:r>
          <m:rPr>
            <m:sty m:val="p"/>
          </m:rPr>
          <m:t>=</m:t>
        </m:r>
        <m:r>
          <m:rPr>
            <m:sty m:val="p"/>
          </m:rPr>
          <m:t>+</m:t>
        </m:r>
        <m:r>
          <m:t>0.87</m:t>
        </m:r>
      </m:oMath>
      <w:r>
        <w:rPr>
          <w:b/>
          <w:bCs/>
        </w:rPr>
        <w:t xml:space="preserve"> </w:t>
      </w:r>
      <w:r>
        <w:rPr>
          <w:b/>
          <w:bCs/>
        </w:rPr>
        <w:t xml:space="preserve">against ordinal scale and</w:t>
      </w:r>
      <w:r>
        <w:rPr>
          <w:b/>
          <w:bCs/>
        </w:rPr>
        <w:t xml:space="preserve"> </w:t>
      </w:r>
      <m:oMath>
        <m:r>
          <m:t>ρ</m:t>
        </m:r>
        <m:r>
          <m:rPr>
            <m:sty m:val="p"/>
          </m:rPr>
          <m:t>=</m:t>
        </m:r>
        <m:r>
          <m:rPr>
            <m:sty m:val="p"/>
          </m:rPr>
          <m:t>+</m:t>
        </m:r>
        <m:r>
          <m:t>0.89</m:t>
        </m:r>
      </m:oMath>
      <w:r>
        <w:rPr>
          <w:b/>
          <w:bCs/>
        </w:rPr>
        <w:t xml:space="preserve"> </w:t>
      </w:r>
      <w:r>
        <w:rPr>
          <w:b/>
          <w:bCs/>
        </w:rPr>
        <w:t xml:space="preserve">against observed volume.</w:t>
      </w:r>
      <w:r>
        <w:t xml:space="preserve"> </w:t>
      </w:r>
      <w:r>
        <w:t xml:space="preserve">The marginal contribution of each</w:t>
      </w:r>
      <w:r>
        <w:t xml:space="preserve"> </w:t>
      </w:r>
      <m:oMath>
        <m:r>
          <m:t>ε</m:t>
        </m:r>
      </m:oMath>
      <w:r>
        <w:t xml:space="preserve"> </w:t>
      </w:r>
      <w:r>
        <w:t xml:space="preserve">operationalization to the joint correlation (joint</w:t>
      </w:r>
      <w:r>
        <w:t xml:space="preserve"> </w:t>
      </w:r>
      <m:oMath>
        <m:r>
          <m:t>ρ</m:t>
        </m:r>
      </m:oMath>
      <w:r>
        <w:t xml:space="preserve"> </w:t>
      </w:r>
      <w:r>
        <w:t xml:space="preserve">minus</w:t>
      </w:r>
      <w:r>
        <w:t xml:space="preserve"> </w:t>
      </w:r>
      <m:oMath>
        <m:sSub>
          <m:e>
            <m:r>
              <m:t>n</m:t>
            </m:r>
          </m:e>
          <m:sub>
            <m:r>
              <m:t>a</m:t>
            </m:r>
            <m:r>
              <m:t>g</m:t>
            </m:r>
            <m:r>
              <m:t>g</m:t>
            </m:r>
          </m:sub>
        </m:sSub>
      </m:oMath>
      <w:r>
        <w:t xml:space="preserve">-alone</w:t>
      </w:r>
      <w:r>
        <w:t xml:space="preserve"> </w:t>
      </w:r>
      <m:oMath>
        <m:r>
          <m:t>ρ</m:t>
        </m:r>
      </m:oMath>
      <w:r>
        <w:t xml:space="preserve">) is:</w:t>
      </w:r>
      <w:r>
        <w:t xml:space="preserve"> </w:t>
      </w:r>
      <m:oMath>
        <m:r>
          <m:rPr>
            <m:sty m:val="p"/>
          </m:rPr>
          <m:t>−</m:t>
        </m:r>
        <m:r>
          <m:t>0.009</m:t>
        </m:r>
      </m:oMath>
      <w:r>
        <w:t xml:space="preserve"> </w:t>
      </w:r>
      <w:r>
        <w:t xml:space="preserve">(static),</w:t>
      </w:r>
      <w:r>
        <w:t xml:space="preserve"> </w:t>
      </w:r>
      <m:oMath>
        <m:r>
          <m:rPr>
            <m:sty m:val="p"/>
          </m:rPr>
          <m:t>+</m:t>
        </m:r>
        <m:r>
          <m:t>0.005</m:t>
        </m:r>
      </m:oMath>
      <w:r>
        <w:t xml:space="preserve"> </w:t>
      </w:r>
      <w:r>
        <w:t xml:space="preserve">(phenology),</w:t>
      </w:r>
      <w:r>
        <w:t xml:space="preserve"> </w:t>
      </w:r>
      <m:oMath>
        <m:r>
          <m:rPr>
            <m:sty m:val="p"/>
          </m:rPr>
          <m:t>+</m:t>
        </m:r>
        <m:r>
          <m:t>0.014</m:t>
        </m:r>
      </m:oMath>
      <w:r>
        <w:t xml:space="preserve"> </w:t>
      </w:r>
      <w:r>
        <w:t xml:space="preserve">(water-route). At</w:t>
      </w:r>
      <w:r>
        <w:t xml:space="preserve"> </w:t>
      </w:r>
      <m:oMath>
        <m:r>
          <m:t>n</m:t>
        </m:r>
        <m:r>
          <m:rPr>
            <m:sty m:val="p"/>
          </m:rPr>
          <m:t>=</m:t>
        </m:r>
        <m:r>
          <m:t>11</m:t>
        </m:r>
      </m:oMath>
      <w:r>
        <w:t xml:space="preserve">, Spearman noise is about</w:t>
      </w:r>
      <w:r>
        <w:t xml:space="preserve"> </w:t>
      </w:r>
      <m:oMath>
        <m:r>
          <m:rPr>
            <m:sty m:val="p"/>
          </m:rPr>
          <m:t>±</m:t>
        </m:r>
        <m:r>
          <m:t>0.05</m:t>
        </m:r>
      </m:oMath>
      <w:r>
        <w:t xml:space="preserve">, so all three marginal contributions are within noise. The honest reading: the framework’s</w:t>
      </w:r>
      <w:r>
        <w:t xml:space="preserve"> </w:t>
      </w:r>
      <m:oMath>
        <m:sSub>
          <m:e>
            <m:r>
              <m:t>M</m:t>
            </m:r>
          </m:e>
          <m:sub>
            <m:r>
              <m:t>g</m:t>
            </m:r>
          </m:sub>
        </m:sSub>
      </m:oMath>
      <w:r>
        <w:t xml:space="preserve"> </w:t>
      </w:r>
      <w:r>
        <w:t xml:space="preserve">equilibrium tracks</w:t>
      </w:r>
      <w:r>
        <w:t xml:space="preserve"> </w:t>
      </w:r>
      <m:oMath>
        <m:sSub>
          <m:e>
            <m:r>
              <m:t>n</m:t>
            </m:r>
          </m:e>
          <m:sub>
            <m:r>
              <m:t>a</m:t>
            </m:r>
            <m:r>
              <m:t>g</m:t>
            </m:r>
            <m:r>
              <m:t>g</m:t>
            </m:r>
          </m:sub>
        </m:sSub>
      </m:oMath>
      <w:r>
        <w:t xml:space="preserve"> </w:t>
      </w:r>
      <w:r>
        <w:t xml:space="preserve">in the expected direction (a within-model consistency property), but it does not predict cross-site magnitude beyond what</w:t>
      </w:r>
      <w:r>
        <w:t xml:space="preserve"> </w:t>
      </w:r>
      <m:oMath>
        <m:sSub>
          <m:e>
            <m:r>
              <m:t>n</m:t>
            </m:r>
          </m:e>
          <m:sub>
            <m:r>
              <m:t>a</m:t>
            </m:r>
            <m:r>
              <m:t>g</m:t>
            </m:r>
            <m:r>
              <m:t>g</m:t>
            </m:r>
          </m:sub>
        </m:sSub>
      </m:oMath>
      <w:r>
        <w:t xml:space="preserve"> </w:t>
      </w:r>
      <w:r>
        <w:t xml:space="preserve">from convergence-model evidence already implies.</w:t>
      </w:r>
    </w:p>
    <w:p>
      <w:pPr>
        <w:pStyle w:val="BodyText"/>
      </w:pPr>
      <w:r>
        <w:t xml:space="preserve">The framework’s structural claim about magnitude is therefore:</w:t>
      </w:r>
      <w:r>
        <w:t xml:space="preserve"> </w:t>
      </w:r>
      <w:r>
        <w:rPr>
          <w:i/>
          <w:iCs/>
        </w:rPr>
        <w:t xml:space="preserve">given</w:t>
      </w:r>
      <w:r>
        <w:t xml:space="preserve"> </w:t>
      </w:r>
      <w:r>
        <w:t xml:space="preserve">exogenously supplied</w:t>
      </w:r>
      <w:r>
        <w:t xml:space="preserve"> </w:t>
      </w:r>
      <m:oMath>
        <m:sSub>
          <m:e>
            <m:r>
              <m:t>n</m:t>
            </m:r>
          </m:e>
          <m:sub>
            <m:r>
              <m:t>a</m:t>
            </m:r>
            <m:r>
              <m:t>g</m:t>
            </m:r>
            <m:r>
              <m:t>g</m:t>
            </m:r>
          </m:sub>
        </m:sSub>
      </m:oMath>
      <w:r>
        <w:t xml:space="preserve"> </w:t>
      </w:r>
      <w:r>
        <w:t xml:space="preserve">ranks across LMV sites, the equilibrium</w:t>
      </w:r>
      <w:r>
        <w:t xml:space="preserve"> </w:t>
      </w:r>
      <m:oMath>
        <m:sSub>
          <m:e>
            <m:r>
              <m:t>M</m:t>
            </m:r>
          </m:e>
          <m:sub>
            <m:r>
              <m:t>g</m:t>
            </m:r>
          </m:sub>
        </m:sSub>
      </m:oMath>
      <w:r>
        <w:t xml:space="preserve"> </w:t>
      </w:r>
      <w:r>
        <w:t xml:space="preserve">tracks those ranks. This is an internal consistency property of the equation set, not an independent prediction of monument scale by the framework’s</w:t>
      </w:r>
      <w:r>
        <w:t xml:space="preserve"> </w:t>
      </w:r>
      <m:oMath>
        <m:r>
          <m:t>ε</m:t>
        </m:r>
      </m:oMath>
      <w:r>
        <w:t xml:space="preserve">. The static-</w:t>
      </w:r>
      <m:oMath>
        <m:r>
          <m:t>ε</m:t>
        </m:r>
      </m:oMath>
      <w:r>
        <w:t xml:space="preserve"> </w:t>
      </w:r>
      <w:r>
        <w:t xml:space="preserve">Test A null result reported earlier in S16 (</w:t>
      </w:r>
      <m:oMath>
        <m:r>
          <m:t>ρ</m:t>
        </m:r>
        <m:r>
          <m:rPr>
            <m:sty m:val="p"/>
          </m:rPr>
          <m:t>=</m:t>
        </m:r>
        <m:r>
          <m:rPr>
            <m:sty m:val="p"/>
          </m:rPr>
          <m:t>+</m:t>
        </m:r>
        <m:r>
          <m:t>0.39</m:t>
        </m:r>
      </m:oMath>
      <w:r>
        <w:t xml:space="preserve">) tests the framework’s</w:t>
      </w:r>
      <w:r>
        <w:t xml:space="preserve"> </w:t>
      </w:r>
      <m:oMath>
        <m:r>
          <m:t>ε</m:t>
        </m:r>
      </m:oMath>
      <w:r>
        <w:t xml:space="preserve"> </w:t>
      </w:r>
      <w:r>
        <w:t xml:space="preserve">at fixed</w:t>
      </w:r>
      <w:r>
        <w:t xml:space="preserve"> </w:t>
      </w:r>
      <m:oMath>
        <m:sSub>
          <m:e>
            <m:r>
              <m:t>n</m:t>
            </m:r>
          </m:e>
          <m:sub>
            <m:r>
              <m:t>a</m:t>
            </m:r>
            <m:r>
              <m:t>g</m:t>
            </m:r>
            <m:r>
              <m:t>g</m:t>
            </m:r>
          </m:sub>
        </m:sSub>
        <m:r>
          <m:rPr>
            <m:sty m:val="p"/>
          </m:rPr>
          <m:t>=</m:t>
        </m:r>
        <m:r>
          <m:t>25</m:t>
        </m:r>
      </m:oMath>
      <w:r>
        <w:t xml:space="preserve"> </w:t>
      </w:r>
      <w:r>
        <w:t xml:space="preserve">and finds the right answer:</w:t>
      </w:r>
      <w:r>
        <w:t xml:space="preserve"> </w:t>
      </w:r>
      <m:oMath>
        <m:r>
          <m:t>ε</m:t>
        </m:r>
      </m:oMath>
      <w:r>
        <w:t xml:space="preserve"> </w:t>
      </w:r>
      <w:r>
        <w:t xml:space="preserve">is a screening / necessity variable, not a magnitude predictor.</w:t>
      </w:r>
    </w:p>
    <w:p>
      <w:pPr>
        <w:pStyle w:val="BodyText"/>
      </w:pPr>
      <w:r>
        <w:t xml:space="preserve">Future work could test whether the framework predicts magnitude</w:t>
      </w:r>
      <w:r>
        <w:t xml:space="preserve"> </w:t>
      </w:r>
      <w:r>
        <w:rPr>
          <w:i/>
          <w:iCs/>
        </w:rPr>
        <w:t xml:space="preserve">independently</w:t>
      </w:r>
      <w:r>
        <w:t xml:space="preserve"> </w:t>
      </w:r>
      <w:r>
        <w:t xml:space="preserve">of n_agg: replace per-site n_agg with footprint-independent estimates (Bayesian-modeled radiocarbon density per site, lithic-density catchment estimates), or pre-register predictions at non-LMV eastern Archaic sites with independently-derived n_agg, and report what</w:t>
      </w:r>
      <w:r>
        <w:t xml:space="preserve"> </w:t>
      </w:r>
      <m:oMath>
        <m:r>
          <m:t>ρ</m:t>
        </m:r>
      </m:oMath>
      <w:r>
        <w:t xml:space="preserve"> </w:t>
      </w:r>
      <w:r>
        <w:t xml:space="preserve">the joint prediction returns. The absence of that test in this article is a real limitation; we report it transparently rather than treating the joint</w:t>
      </w:r>
      <w:r>
        <w:t xml:space="preserve"> </w:t>
      </w:r>
      <m:oMath>
        <m:r>
          <m:t>ρ</m:t>
        </m:r>
        <m:r>
          <m:rPr>
            <m:sty m:val="p"/>
          </m:rPr>
          <m:t>=</m:t>
        </m:r>
        <m:r>
          <m:rPr>
            <m:sty m:val="p"/>
          </m:rPr>
          <m:t>+</m:t>
        </m:r>
        <m:r>
          <m:t>0.91</m:t>
        </m:r>
      </m:oMath>
      <w:r>
        <w:t xml:space="preserve"> </w:t>
      </w:r>
      <w:r>
        <w:t xml:space="preserve">as evidence of magnitude prediction by the framework. Full reproducibility from</w:t>
      </w:r>
      <w:r>
        <w:t xml:space="preserve"> </w:t>
      </w:r>
      <w:r>
        <w:rPr>
          <w:rStyle w:val="VerbatimChar"/>
        </w:rPr>
        <w:t xml:space="preserve">scripts/analysis/predicted_scale_ratios.py</w:t>
      </w:r>
      <w:r>
        <w:t xml:space="preserve"> </w:t>
      </w:r>
      <w:r>
        <w:t xml:space="preserve">and</w:t>
      </w:r>
      <w:r>
        <w:t xml:space="preserve"> </w:t>
      </w:r>
      <w:r>
        <w:rPr>
          <w:rStyle w:val="VerbatimChar"/>
        </w:rPr>
        <w:t xml:space="preserve">scripts/analysis/partial_correlation_eps_nagg.py</w:t>
      </w:r>
      <w:r>
        <w:t xml:space="preserve">; outputs in</w:t>
      </w:r>
      <w:r>
        <w:t xml:space="preserve"> </w:t>
      </w:r>
      <w:r>
        <w:rPr>
          <w:rStyle w:val="VerbatimChar"/>
        </w:rPr>
        <w:t xml:space="preserve">results/sensitivity/predicted_scale_ratios.json</w:t>
      </w:r>
      <w:r>
        <w:t xml:space="preserve"> </w:t>
      </w:r>
      <w:r>
        <w:t xml:space="preserve">and</w:t>
      </w:r>
      <w:r>
        <w:t xml:space="preserve"> </w:t>
      </w:r>
      <w:r>
        <w:rPr>
          <w:rStyle w:val="VerbatimChar"/>
        </w:rPr>
        <w:t xml:space="preserve">results/sensitivity/partial_correlation_eps_nagg.json</w:t>
      </w:r>
      <w:r>
        <w:t xml:space="preserve">.</w:t>
      </w:r>
    </w:p>
    <w:bookmarkEnd w:id="91"/>
    <w:bookmarkStart w:id="92" w:name="Xe4e7d8e25edca0f09f895447481ac1599bb9806"/>
    <w:p>
      <w:pPr>
        <w:pStyle w:val="Heading3"/>
      </w:pPr>
      <w:r>
        <w:t xml:space="preserve">S17.6 Seasonally resolved aggregation timing</w:t>
      </w:r>
    </w:p>
    <w:p>
      <w:pPr>
        <w:pStyle w:val="FirstParagraph"/>
      </w:pPr>
      <w:r>
        <w:t xml:space="preserve">(Main text §6.7.)</w:t>
      </w:r>
      <w:r>
        <w:t xml:space="preserve"> </w:t>
      </w:r>
      <w:r>
        <w:rPr>
          <w:b/>
          <w:bCs/>
        </w:rPr>
        <w:t xml:space="preserve">Minimal version implemented in this revision; plausibility check for §6.7, with a structural caveat noted below.</w:t>
      </w:r>
      <w:r>
        <w:t xml:space="preserve"> </w:t>
      </w:r>
      <w:r>
        <w:t xml:space="preserve">A within-year monthly time step uses the S16 phenology calendar (mast peak Sep-Nov; spring fish spawn Feb-May; summer aquatic May-Aug; falling-water Aug-Oct; waterfowl fall Sep-Dec + spring Feb-Apr) plus a sigmoid aggregation-decision rule. At PP parameters (</w:t>
      </w:r>
      <m:oMath>
        <m:r>
          <m:t>ε</m:t>
        </m:r>
        <m:r>
          <m:rPr>
            <m:sty m:val="p"/>
          </m:rPr>
          <m:t>=</m:t>
        </m:r>
        <m:r>
          <m:t>0.49</m:t>
        </m:r>
      </m:oMath>
      <w:r>
        <w:t xml:space="preserve">,</w:t>
      </w:r>
      <w:r>
        <w:t xml:space="preserve"> </w:t>
      </w:r>
      <m:oMath>
        <m:sSub>
          <m:e>
            <m:r>
              <m:t>n</m:t>
            </m:r>
          </m:e>
          <m:sub>
            <m:r>
              <m:t>a</m:t>
            </m:r>
            <m:r>
              <m:t>g</m:t>
            </m:r>
            <m:r>
              <m:t>g</m:t>
            </m:r>
          </m:sub>
        </m:sSub>
        <m:r>
          <m:rPr>
            <m:sty m:val="p"/>
          </m:rPr>
          <m:t>=</m:t>
        </m:r>
        <m:r>
          <m:t>25</m:t>
        </m:r>
      </m:oMath>
      <w:r>
        <w:t xml:space="preserve">,</w:t>
      </w:r>
      <w:r>
        <w:t xml:space="preserve"> </w:t>
      </w:r>
      <m:oMath>
        <m:sSub>
          <m:e>
            <m:r>
              <m:t>σ</m:t>
            </m:r>
          </m:e>
          <m:sub>
            <m:r>
              <m:t>e</m:t>
            </m:r>
            <m:r>
              <m:t>f</m:t>
            </m:r>
            <m:r>
              <m:t>f</m:t>
            </m:r>
          </m:sub>
        </m:sSub>
        <m:r>
          <m:rPr>
            <m:sty m:val="p"/>
          </m:rPr>
          <m:t>=</m:t>
        </m:r>
        <m:r>
          <m:t>0.326</m:t>
        </m:r>
      </m:oMath>
      <w:r>
        <w:t xml:space="preserve">), the model predicts top 3 aggregation months October, September, November and a fall-winter (Sep-Feb) mean share of 0.82 vs spring-summer (Mar-Aug) mean of 0.92 (script-internal verdict:</w:t>
      </w:r>
      <w:r>
        <w:t xml:space="preserve"> </w:t>
      </w:r>
      <w:r>
        <w:t xml:space="preserve">“framework prediction does NOT match published evidence”</w:t>
      </w:r>
      <w:r>
        <w:t xml:space="preserve"> </w:t>
      </w:r>
      <w:r>
        <w:t xml:space="preserve">because the spring-summer mean share exceeds the fall-winter share when January is included).</w:t>
      </w:r>
    </w:p>
    <w:p>
      <w:pPr>
        <w:pStyle w:val="BodyText"/>
      </w:pPr>
      <w:r>
        <w:t xml:space="preserve">The structural caveat is that</w:t>
      </w:r>
      <w:r>
        <w:t xml:space="preserve"> </w:t>
      </w:r>
      <w:r>
        <w:rPr>
          <w:b/>
          <w:bCs/>
        </w:rPr>
        <w:t xml:space="preserve">the top-3-months prediction is partly tautological</w:t>
      </w:r>
      <w:r>
        <w:t xml:space="preserve">: the script reads in the mast peak window as Sep-Nov (from Webb 1982 and Jackson 1986, which are also the sources for the Thomas and Campbell 1978 fall-winter peak attribution), and the sigmoid decision rule then ranks months by integer count of overlapping peak windows. The</w:t>
      </w:r>
      <w:r>
        <w:t xml:space="preserve"> </w:t>
      </w:r>
      <w:r>
        <w:t xml:space="preserve">“match”</w:t>
      </w:r>
      <w:r>
        <w:t xml:space="preserve"> </w:t>
      </w:r>
      <w:r>
        <w:t xml:space="preserve">between predicted Oct/Sep/Nov and published fall-mast-peak archaeological evidence is therefore not an independent test of the framework’s seasonality prediction; it is the same Webb 1982 / Jackson 1986 calendar reflected back. A non-circular reformulation would (a) construct the phenology calendar from non-LMV sources or (b) predict differential seasonality across LMV sites whose access flag vectors differ, then test against site-level faunal seasonality estimates. The minimal extension is therefore best read as a</w:t>
      </w:r>
      <w:r>
        <w:t xml:space="preserve"> </w:t>
      </w:r>
      <w:r>
        <w:rPr>
          <w:i/>
          <w:iCs/>
        </w:rPr>
        <w:t xml:space="preserve">plausibility check</w:t>
      </w:r>
      <w:r>
        <w:t xml:space="preserve"> </w:t>
      </w:r>
      <w:r>
        <w:t xml:space="preserve">that the framework, given the same phenology calendar the published interpretations use, returns the same fall-month emphasis — not as evidence the framework predicts seasonality.</w:t>
      </w:r>
    </w:p>
    <w:p>
      <w:pPr>
        <w:pStyle w:val="BodyText"/>
      </w:pPr>
      <w:r>
        <w:t xml:space="preserve">The script’s broader-window output (substantial aggregation share in spring fish-spawn months and summer aquatic months) is</w:t>
      </w:r>
      <w:r>
        <w:t xml:space="preserve"> </w:t>
      </w:r>
      <w:r>
        <w:rPr>
          <w:i/>
          <w:iCs/>
        </w:rPr>
        <w:t xml:space="preserve">not</w:t>
      </w:r>
      <w:r>
        <w:t xml:space="preserve"> </w:t>
      </w:r>
      <w:r>
        <w:t xml:space="preserve">tautological in the same way: the framework’s multi-zone access enables aggregation throughout the year, while published peripheral-site plant-remains interpretations emphasize fall-winter as the documented season and infer spring dispersal. This generates a genuine falsifiable prediction. Because acidic soils have dissolved bone at the type-site core, the test cannot run on existing faunal collections; it requires new research using non-faunal seasonality proxies (macrobotanical assemblages from new excavations, phytolith and pollen records from contexts that preserve those signatures, stable-isotope sequencing of preserved tooth or shell where present, and microbotanical residues). A multi-peak signal across mast, fish-spawning, and summer aquatic months across multiple such proxies would be consistent with the framework; an exclusively fall-winter signal would tension with it.</w:t>
      </w:r>
    </w:p>
    <w:p>
      <w:pPr>
        <w:pStyle w:val="BodyText"/>
      </w:pPr>
      <w:r>
        <w:t xml:space="preserve">Reproducible from</w:t>
      </w:r>
      <w:r>
        <w:t xml:space="preserve"> </w:t>
      </w:r>
      <w:r>
        <w:rPr>
          <w:rStyle w:val="VerbatimChar"/>
        </w:rPr>
        <w:t xml:space="preserve">scripts/analysis/seasonal_aggregation_timing.py</w:t>
      </w:r>
      <w:r>
        <w:t xml:space="preserve">; outputs in</w:t>
      </w:r>
      <w:r>
        <w:t xml:space="preserve"> </w:t>
      </w:r>
      <w:r>
        <w:rPr>
          <w:rStyle w:val="VerbatimChar"/>
        </w:rPr>
        <w:t xml:space="preserve">results/sensitivity/seasonal_aggregation_timing.json</w:t>
      </w:r>
      <w:r>
        <w:t xml:space="preserve">. The full version (within-month time resolution, species-resolved subsistence dynamics, non-LMV-derived phenology calendar) remains as future work that would test the framework’s seasonality prediction non-circularly.</w:t>
      </w:r>
    </w:p>
    <w:bookmarkEnd w:id="92"/>
    <w:bookmarkStart w:id="93" w:name="Xb3d12c0ca8d5c240fada9f9a6fe85afecdfd9b8"/>
    <w:p>
      <w:pPr>
        <w:pStyle w:val="Heading3"/>
      </w:pPr>
      <w:r>
        <w:t xml:space="preserve">S17.7 Maintenance-to-new-construction ratio under signal depreciation</w:t>
      </w:r>
    </w:p>
    <w:p>
      <w:pPr>
        <w:pStyle w:val="FirstParagraph"/>
      </w:pPr>
      <w:r>
        <w:t xml:space="preserve">(Main text §6.8; falsifiable prediction §7.4(h).) Derived from the geometric depreciation recurrence</w:t>
      </w:r>
      <w:r>
        <w:t xml:space="preserve"> </w:t>
      </w:r>
      <m:oMath>
        <m:sSub>
          <m:e>
            <m:r>
              <m:t>M</m:t>
            </m:r>
          </m:e>
          <m:sub>
            <m:r>
              <m:t>g</m:t>
            </m:r>
          </m:sub>
        </m:sSub>
        <m:r>
          <m:rPr>
            <m:sty m:val="p"/>
          </m:rPr>
          <m:t>(</m:t>
        </m:r>
        <m:r>
          <m:t>t</m:t>
        </m:r>
        <m:r>
          <m:rPr>
            <m:sty m:val="p"/>
          </m:rPr>
          <m:t>+</m:t>
        </m:r>
        <m:r>
          <m:t>1</m:t>
        </m:r>
        <m:r>
          <m:rPr>
            <m:sty m:val="p"/>
          </m:rPr>
          <m:t>)</m:t>
        </m:r>
        <m:r>
          <m:rPr>
            <m:sty m:val="p"/>
          </m:rPr>
          <m:t>=</m:t>
        </m:r>
        <m:r>
          <m:rPr>
            <m:sty m:val="p"/>
          </m:rPr>
          <m:t>(</m:t>
        </m:r>
        <m:r>
          <m:t>1</m:t>
        </m:r>
        <m:r>
          <m:rPr>
            <m:sty m:val="p"/>
          </m:rPr>
          <m:t>−</m:t>
        </m:r>
        <m:r>
          <m:t>δ</m:t>
        </m:r>
        <m:r>
          <m:rPr>
            <m:sty m:val="p"/>
          </m:rPr>
          <m:t>)</m:t>
        </m:r>
        <m:sSub>
          <m:e>
            <m:r>
              <m:t>M</m:t>
            </m:r>
          </m:e>
          <m:sub>
            <m:r>
              <m:t>g</m:t>
            </m:r>
          </m:sub>
        </m:sSub>
        <m:r>
          <m:rPr>
            <m:sty m:val="p"/>
          </m:rPr>
          <m:t>(</m:t>
        </m:r>
        <m:r>
          <m:t>t</m:t>
        </m:r>
        <m:r>
          <m:rPr>
            <m:sty m:val="p"/>
          </m:rPr>
          <m:t>)</m:t>
        </m:r>
        <m:r>
          <m:rPr>
            <m:sty m:val="p"/>
          </m:rPr>
          <m:t>+</m:t>
        </m:r>
        <m:sSub>
          <m:e>
            <m:r>
              <m:t>I</m:t>
            </m:r>
          </m:e>
          <m:sub>
            <m:r>
              <m:t>g</m:t>
            </m:r>
          </m:sub>
        </m:sSub>
      </m:oMath>
      <w:r>
        <w:t xml:space="preserve">, each period’s investment flow decomposes into the share that offsets depreciation,</w:t>
      </w:r>
      <w:r>
        <w:t xml:space="preserve"> </w:t>
      </w:r>
      <m:oMath>
        <m:r>
          <m:t>δ</m:t>
        </m:r>
        <m:sSub>
          <m:e>
            <m:r>
              <m:t>M</m:t>
            </m:r>
          </m:e>
          <m:sub>
            <m:r>
              <m:t>g</m:t>
            </m:r>
          </m:sub>
        </m:sSub>
      </m:oMath>
      <w:r>
        <w:t xml:space="preserve"> </w:t>
      </w:r>
      <w:r>
        <w:t xml:space="preserve">(maintenance / signal renewal), and the share</w:t>
      </w:r>
      <w:r>
        <w:t xml:space="preserve"> </w:t>
      </w:r>
      <m:oMath>
        <m:sSub>
          <m:e>
            <m:r>
              <m:t>I</m:t>
            </m:r>
          </m:e>
          <m:sub>
            <m:r>
              <m:t>g</m:t>
            </m:r>
          </m:sub>
        </m:sSub>
        <m:r>
          <m:rPr>
            <m:sty m:val="p"/>
          </m:rPr>
          <m:t>−</m:t>
        </m:r>
        <m:r>
          <m:t>δ</m:t>
        </m:r>
        <m:sSub>
          <m:e>
            <m:r>
              <m:t>M</m:t>
            </m:r>
          </m:e>
          <m:sub>
            <m:r>
              <m:t>g</m:t>
            </m:r>
          </m:sub>
        </m:sSub>
      </m:oMath>
      <w:r>
        <w:t xml:space="preserve"> </w:t>
      </w:r>
      <w:r>
        <w:t xml:space="preserve">that is net new construction. Their ratio is</w:t>
      </w:r>
    </w:p>
    <w:p>
      <w:pPr>
        <w:pStyle w:val="BodyText"/>
      </w:pPr>
      <m:oMathPara>
        <m:oMathParaPr>
          <m:jc m:val="center"/>
        </m:oMathParaPr>
        <m:oMath>
          <m:r>
            <m:t>R</m:t>
          </m:r>
          <m:r>
            <m:rPr>
              <m:sty m:val="p"/>
            </m:rPr>
            <m:t>(</m:t>
          </m:r>
          <m:sSub>
            <m:e>
              <m:r>
                <m:t>M</m:t>
              </m:r>
            </m:e>
            <m:sub>
              <m:r>
                <m:t>g</m:t>
              </m:r>
            </m:sub>
          </m:sSub>
          <m:r>
            <m:rPr>
              <m:sty m:val="p"/>
            </m:rPr>
            <m:t>)</m:t>
          </m:r>
          <m:r>
            <m:rPr>
              <m:sty m:val="p"/>
            </m:rPr>
            <m:t>=</m:t>
          </m:r>
          <m:f>
            <m:fPr>
              <m:type m:val="bar"/>
            </m:fPr>
            <m:num>
              <m:r>
                <m:t>δ</m:t>
              </m:r>
              <m:sSub>
                <m:e>
                  <m:r>
                    <m:t>M</m:t>
                  </m:r>
                </m:e>
                <m:sub>
                  <m:r>
                    <m:t>g</m:t>
                  </m:r>
                </m:sub>
              </m:sSub>
            </m:num>
            <m:den>
              <m:sSub>
                <m:e>
                  <m:r>
                    <m:t>I</m:t>
                  </m:r>
                </m:e>
                <m:sub>
                  <m:r>
                    <m:t>g</m:t>
                  </m:r>
                </m:sub>
              </m:sSub>
              <m:r>
                <m:rPr>
                  <m:sty m:val="p"/>
                </m:rPr>
                <m:t>−</m:t>
              </m:r>
              <m:r>
                <m:t>δ</m:t>
              </m:r>
              <m:sSub>
                <m:e>
                  <m:r>
                    <m:t>M</m:t>
                  </m:r>
                </m:e>
                <m:sub>
                  <m:r>
                    <m:t>g</m:t>
                  </m:r>
                </m:sub>
              </m:sSub>
            </m:den>
          </m:f>
        </m:oMath>
      </m:oMathPara>
    </w:p>
    <w:p>
      <w:pPr>
        <w:pStyle w:val="FirstParagraph"/>
      </w:pPr>
      <w:r>
        <w:t xml:space="preserve">defined on the growth regime</w:t>
      </w:r>
      <w:r>
        <w:t xml:space="preserve"> </w:t>
      </w:r>
      <m:oMath>
        <m:r>
          <m:t>0</m:t>
        </m:r>
        <m:r>
          <m:rPr>
            <m:sty m:val="p"/>
          </m:rPr>
          <m:t>≤</m:t>
        </m:r>
        <m:r>
          <m:t>δ</m:t>
        </m:r>
        <m:sSub>
          <m:e>
            <m:r>
              <m:t>M</m:t>
            </m:r>
          </m:e>
          <m:sub>
            <m:r>
              <m:t>g</m:t>
            </m:r>
          </m:sub>
        </m:sSub>
        <m:r>
          <m:rPr>
            <m:sty m:val="p"/>
          </m:rPr>
          <m:t>&lt;</m:t>
        </m:r>
        <m:sSub>
          <m:e>
            <m:r>
              <m:t>I</m:t>
            </m:r>
          </m:e>
          <m:sub>
            <m:r>
              <m:t>g</m:t>
            </m:r>
          </m:sub>
        </m:sSub>
      </m:oMath>
      <w:r>
        <w:t xml:space="preserve">, monotonically increasing in</w:t>
      </w:r>
      <w:r>
        <w:t xml:space="preserve"> </w:t>
      </w:r>
      <m:oMath>
        <m:sSub>
          <m:e>
            <m:r>
              <m:t>M</m:t>
            </m:r>
          </m:e>
          <m:sub>
            <m:r>
              <m:t>g</m:t>
            </m:r>
          </m:sub>
        </m:sSub>
      </m:oMath>
      <w:r>
        <w:t xml:space="preserve">, and diverging at the steady state</w:t>
      </w:r>
      <w:r>
        <w:t xml:space="preserve"> </w:t>
      </w:r>
      <m:oMath>
        <m:sSubSup>
          <m:e>
            <m:r>
              <m:t>M</m:t>
            </m:r>
          </m:e>
          <m:sub>
            <m:r>
              <m:t>g</m:t>
            </m:r>
          </m:sub>
          <m:sup>
            <m:r>
              <m:rPr>
                <m:sty m:val="p"/>
              </m:rPr>
              <m:t>*</m:t>
            </m:r>
          </m:sup>
        </m:sSubSup>
        <m:r>
          <m:rPr>
            <m:sty m:val="p"/>
          </m:rPr>
          <m:t>=</m:t>
        </m:r>
        <m:sSub>
          <m:e>
            <m:r>
              <m:t>I</m:t>
            </m:r>
          </m:e>
          <m:sub>
            <m:r>
              <m:t>g</m:t>
            </m:r>
          </m:sub>
        </m:sSub>
        <m:r>
          <m:rPr>
            <m:sty m:val="p"/>
          </m:rPr>
          <m:t>/</m:t>
        </m:r>
        <m:r>
          <m:t>δ</m:t>
        </m:r>
      </m:oMath>
      <w:r>
        <w:t xml:space="preserve"> </w:t>
      </w:r>
      <w:r>
        <w:t xml:space="preserve">(at saturation all investment is maintenance). Positive depreciation</w:t>
      </w:r>
      <w:r>
        <w:t xml:space="preserve"> </w:t>
      </w:r>
      <m:oMath>
        <m:r>
          <m:t>δ</m:t>
        </m:r>
        <m:r>
          <m:rPr>
            <m:sty m:val="p"/>
          </m:rPr>
          <m:t>&gt;</m:t>
        </m:r>
        <m:r>
          <m:t>0</m:t>
        </m:r>
      </m:oMath>
      <w:r>
        <w:t xml:space="preserve"> </w:t>
      </w:r>
      <w:r>
        <w:t xml:space="preserve">follows from the multi-period Spence condition under durable signals (Bliege Bird and Smith 2005); identifying the model’s maintenance flow with archaeologically observed renovation labor (and net growth with initial construction) is an interpretive mapping, not part of the derivation.</w:t>
      </w:r>
    </w:p>
    <w:p>
      <w:pPr>
        <w:pStyle w:val="BodyText"/>
      </w:pPr>
      <w:r>
        <w:rPr>
          <w:b/>
          <w:bCs/>
        </w:rPr>
        <w:t xml:space="preserve">PP-scenario trajectory.</w:t>
      </w:r>
      <w:r>
        <w:t xml:space="preserve"> </w:t>
      </w:r>
      <w:r>
        <w:t xml:space="preserve">At PP-calibrated parameters (</w:t>
      </w:r>
      <m:oMath>
        <m:r>
          <m:t>σ</m:t>
        </m:r>
        <m:r>
          <m:rPr>
            <m:sty m:val="p"/>
          </m:rPr>
          <m:t>=</m:t>
        </m:r>
        <m:r>
          <m:t>0.64</m:t>
        </m:r>
      </m:oMath>
      <w:r>
        <w:t xml:space="preserve">,</w:t>
      </w:r>
      <w:r>
        <w:t xml:space="preserve"> </w:t>
      </w:r>
      <m:oMath>
        <m:sSub>
          <m:e>
            <m:r>
              <m:t>n</m:t>
            </m:r>
          </m:e>
          <m:sub>
            <m:r>
              <m:t>a</m:t>
            </m:r>
            <m:r>
              <m:t>g</m:t>
            </m:r>
            <m:r>
              <m:t>g</m:t>
            </m:r>
          </m:sub>
        </m:sSub>
        <m:r>
          <m:rPr>
            <m:sty m:val="p"/>
          </m:rPr>
          <m:t>=</m:t>
        </m:r>
        <m:r>
          <m:t>25</m:t>
        </m:r>
      </m:oMath>
      <w:r>
        <w:t xml:space="preserve">,</w:t>
      </w:r>
      <w:r>
        <w:t xml:space="preserve"> </w:t>
      </w:r>
      <m:oMath>
        <m:r>
          <m:t>δ</m:t>
        </m:r>
        <m:r>
          <m:rPr>
            <m:sty m:val="p"/>
          </m:rPr>
          <m:t>=</m:t>
        </m:r>
        <m:r>
          <m:t>0.08</m:t>
        </m:r>
      </m:oMath>
      <w:r>
        <w:t xml:space="preserve">), the lambda-sigma fixed point gives</w:t>
      </w:r>
      <w:r>
        <w:t xml:space="preserve"> </w:t>
      </w:r>
      <m:oMath>
        <m:sSubSup>
          <m:e>
            <m:r>
              <m:t>M</m:t>
            </m:r>
          </m:e>
          <m:sub>
            <m:r>
              <m:t>g</m:t>
            </m:r>
          </m:sub>
          <m:sup>
            <m:r>
              <m:rPr>
                <m:sty m:val="p"/>
              </m:rPr>
              <m:t>*</m:t>
            </m:r>
          </m:sup>
        </m:sSubSup>
        <m:r>
          <m:rPr>
            <m:sty m:val="p"/>
          </m:rPr>
          <m:t>=</m:t>
        </m:r>
        <m:r>
          <m:t>129.8</m:t>
        </m:r>
      </m:oMath>
      <w:r>
        <w:t xml:space="preserve"> </w:t>
      </w:r>
      <w:r>
        <w:t xml:space="preserve">units and</w:t>
      </w:r>
      <w:r>
        <w:t xml:space="preserve"> </w:t>
      </w:r>
      <m:oMath>
        <m:sSub>
          <m:e>
            <m:r>
              <m:t>I</m:t>
            </m:r>
          </m:e>
          <m:sub>
            <m:r>
              <m:t>g</m:t>
            </m:r>
          </m:sub>
        </m:sSub>
        <m:r>
          <m:rPr>
            <m:sty m:val="p"/>
          </m:rPr>
          <m:t>=</m:t>
        </m:r>
        <m:r>
          <m:t>10.38</m:t>
        </m:r>
      </m:oMath>
      <w:r>
        <w:t xml:space="preserve"> </w:t>
      </w:r>
      <w:r>
        <w:t xml:space="preserve">units/yr. Depreciation timescale</w:t>
      </w:r>
      <w:r>
        <w:t xml:space="preserve"> </w:t>
      </w:r>
      <m:oMath>
        <m:r>
          <m:t>1</m:t>
        </m:r>
        <m:r>
          <m:rPr>
            <m:sty m:val="p"/>
          </m:rPr>
          <m:t>/</m:t>
        </m:r>
        <m:r>
          <m:t>δ</m:t>
        </m:r>
        <m:r>
          <m:rPr>
            <m:sty m:val="p"/>
          </m:rPr>
          <m:t>=</m:t>
        </m:r>
        <m:r>
          <m:t>12.5</m:t>
        </m:r>
      </m:oMath>
      <w:r>
        <w:t xml:space="preserve"> </w:t>
      </w:r>
      <w:r>
        <w:t xml:space="preserve">yr. Starting from</w:t>
      </w:r>
      <w:r>
        <w:t xml:space="preserve"> </w:t>
      </w:r>
      <m:oMath>
        <m:sSub>
          <m:e>
            <m:r>
              <m:t>M</m:t>
            </m:r>
          </m:e>
          <m:sub>
            <m:r>
              <m:t>g</m:t>
            </m:r>
          </m:sub>
        </m:sSub>
        <m:r>
          <m:rPr>
            <m:sty m:val="p"/>
          </m:rPr>
          <m:t>(</m:t>
        </m:r>
        <m:r>
          <m:t>0</m:t>
        </m:r>
        <m:r>
          <m:rPr>
            <m:sty m:val="p"/>
          </m:rPr>
          <m:t>)</m:t>
        </m:r>
        <m:r>
          <m:rPr>
            <m:sty m:val="p"/>
          </m:rPr>
          <m:t>=</m:t>
        </m:r>
        <m:r>
          <m:t>0</m:t>
        </m:r>
      </m:oMath>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r>
              <w:t xml:space="preserve"> </w:t>
            </w:r>
            <m:oMath>
              <m:r>
                <m:t>t</m:t>
              </m:r>
            </m:oMath>
          </w:p>
        </w:tc>
        <w:tc>
          <w:tcPr/>
          <w:p>
            <w:pPr>
              <w:pStyle w:val="Compact"/>
            </w:pPr>
            <m:oMath>
              <m:sSub>
                <m:e>
                  <m:r>
                    <m:t>M</m:t>
                  </m:r>
                </m:e>
                <m:sub>
                  <m:r>
                    <m:t>g</m:t>
                  </m:r>
                </m:sub>
              </m:sSub>
              <m:r>
                <m:rPr>
                  <m:sty m:val="p"/>
                </m:rPr>
                <m:t>(</m:t>
              </m:r>
              <m:r>
                <m:t>t</m:t>
              </m:r>
              <m:r>
                <m:rPr>
                  <m:sty m:val="p"/>
                </m:rPr>
                <m:t>)</m:t>
              </m:r>
            </m:oMath>
          </w:p>
        </w:tc>
        <w:tc>
          <w:tcPr/>
          <w:p>
            <w:pPr>
              <w:pStyle w:val="Compact"/>
            </w:pPr>
            <m:oMath>
              <m:r>
                <m:t>δ</m:t>
              </m:r>
              <m:sSub>
                <m:e>
                  <m:r>
                    <m:t>M</m:t>
                  </m:r>
                </m:e>
                <m:sub>
                  <m:r>
                    <m:t>g</m:t>
                  </m:r>
                </m:sub>
              </m:sSub>
            </m:oMath>
            <w:r>
              <w:t xml:space="preserve"> </w:t>
            </w:r>
            <w:r>
              <w:t xml:space="preserve">(maint.)</w:t>
            </w:r>
          </w:p>
        </w:tc>
        <w:tc>
          <w:tcPr/>
          <w:p>
            <w:pPr>
              <w:pStyle w:val="Compact"/>
            </w:pPr>
            <m:oMath>
              <m:sSub>
                <m:e>
                  <m:r>
                    <m:t>I</m:t>
                  </m:r>
                </m:e>
                <m:sub>
                  <m:r>
                    <m:t>g</m:t>
                  </m:r>
                </m:sub>
              </m:sSub>
              <m:r>
                <m:rPr>
                  <m:sty m:val="p"/>
                </m:rPr>
                <m:t>−</m:t>
              </m:r>
              <m:r>
                <m:t>δ</m:t>
              </m:r>
              <m:sSub>
                <m:e>
                  <m:r>
                    <m:t>M</m:t>
                  </m:r>
                </m:e>
                <m:sub>
                  <m:r>
                    <m:t>g</m:t>
                  </m:r>
                </m:sub>
              </m:sSub>
            </m:oMath>
            <w:r>
              <w:t xml:space="preserve"> </w:t>
            </w:r>
            <w:r>
              <w:t xml:space="preserve">(new)</w:t>
            </w:r>
          </w:p>
        </w:tc>
        <w:tc>
          <w:tcPr/>
          <w:p>
            <w:pPr>
              <w:pStyle w:val="Compact"/>
            </w:pPr>
            <m:oMath>
              <m:r>
                <m:t>R</m:t>
              </m:r>
              <m:r>
                <m:rPr>
                  <m:sty m:val="p"/>
                </m:rPr>
                <m:t>(</m:t>
              </m:r>
              <m:sSub>
                <m:e>
                  <m:r>
                    <m:t>M</m:t>
                  </m:r>
                </m:e>
                <m:sub>
                  <m:r>
                    <m:t>g</m:t>
                  </m:r>
                </m:sub>
              </m:sSub>
              <m:r>
                <m:rPr>
                  <m:sty m:val="p"/>
                </m:rPr>
                <m:t>)</m:t>
              </m:r>
            </m:oMath>
          </w:p>
        </w:tc>
      </w:tr>
      <w:tr>
        <w:tc>
          <w:tcPr/>
          <w:p>
            <w:pPr>
              <w:pStyle w:val="Compact"/>
            </w:pPr>
            <w:r>
              <w:t xml:space="preserve">12</w:t>
            </w:r>
          </w:p>
        </w:tc>
        <w:tc>
          <w:tcPr/>
          <w:p>
            <w:pPr>
              <w:pStyle w:val="Compact"/>
            </w:pPr>
            <w:r>
              <w:t xml:space="preserve">81</w:t>
            </w:r>
          </w:p>
        </w:tc>
        <w:tc>
          <w:tcPr/>
          <w:p>
            <w:pPr>
              <w:pStyle w:val="Compact"/>
            </w:pPr>
            <w:r>
              <w:t xml:space="preserve">6.5</w:t>
            </w:r>
          </w:p>
        </w:tc>
        <w:tc>
          <w:tcPr/>
          <w:p>
            <w:pPr>
              <w:pStyle w:val="Compact"/>
            </w:pPr>
            <w:r>
              <w:t xml:space="preserve">3.9</w:t>
            </w:r>
          </w:p>
        </w:tc>
        <w:tc>
          <w:tcPr/>
          <w:p>
            <w:pPr>
              <w:pStyle w:val="Compact"/>
            </w:pPr>
            <w:r>
              <w:t xml:space="preserve">1.65</w:t>
            </w:r>
          </w:p>
        </w:tc>
      </w:tr>
      <w:tr>
        <w:tc>
          <w:tcPr/>
          <w:p>
            <w:pPr>
              <w:pStyle w:val="Compact"/>
            </w:pPr>
            <w:r>
              <w:t xml:space="preserve">25</w:t>
            </w:r>
          </w:p>
        </w:tc>
        <w:tc>
          <w:tcPr/>
          <w:p>
            <w:pPr>
              <w:pStyle w:val="Compact"/>
            </w:pPr>
            <w:r>
              <w:t xml:space="preserve">112</w:t>
            </w:r>
          </w:p>
        </w:tc>
        <w:tc>
          <w:tcPr/>
          <w:p>
            <w:pPr>
              <w:pStyle w:val="Compact"/>
            </w:pPr>
            <w:r>
              <w:t xml:space="preserve">8.96</w:t>
            </w:r>
          </w:p>
        </w:tc>
        <w:tc>
          <w:tcPr/>
          <w:p>
            <w:pPr>
              <w:pStyle w:val="Compact"/>
            </w:pPr>
            <w:r>
              <w:t xml:space="preserve">1.44</w:t>
            </w:r>
          </w:p>
        </w:tc>
        <w:tc>
          <w:tcPr/>
          <w:p>
            <w:pPr>
              <w:pStyle w:val="Compact"/>
            </w:pPr>
            <w:r>
              <w:t xml:space="preserve">6.2</w:t>
            </w:r>
          </w:p>
        </w:tc>
      </w:tr>
      <w:tr>
        <w:tc>
          <w:tcPr/>
          <w:p>
            <w:pPr>
              <w:pStyle w:val="Compact"/>
            </w:pPr>
            <w:r>
              <w:t xml:space="preserve">50</w:t>
            </w:r>
          </w:p>
        </w:tc>
        <w:tc>
          <w:tcPr/>
          <w:p>
            <w:pPr>
              <w:pStyle w:val="Compact"/>
            </w:pPr>
            <w:r>
              <w:t xml:space="preserve">127</w:t>
            </w:r>
          </w:p>
        </w:tc>
        <w:tc>
          <w:tcPr/>
          <w:p>
            <w:pPr>
              <w:pStyle w:val="Compact"/>
            </w:pPr>
            <w:r>
              <w:t xml:space="preserve">10.16</w:t>
            </w:r>
          </w:p>
        </w:tc>
        <w:tc>
          <w:tcPr/>
          <w:p>
            <w:pPr>
              <w:pStyle w:val="Compact"/>
            </w:pPr>
            <w:r>
              <w:t xml:space="preserve">0.24</w:t>
            </w:r>
          </w:p>
        </w:tc>
        <w:tc>
          <w:tcPr/>
          <w:p>
            <w:pPr>
              <w:pStyle w:val="Compact"/>
            </w:pPr>
            <w:r>
              <w:t xml:space="preserve">42</w:t>
            </w:r>
          </w:p>
        </w:tc>
      </w:tr>
      <w:tr>
        <w:tc>
          <w:tcPr/>
          <w:p>
            <w:pPr>
              <w:pStyle w:val="Compact"/>
            </w:pPr>
            <w:r>
              <w:t xml:space="preserve">75</w:t>
            </w:r>
          </w:p>
        </w:tc>
        <w:tc>
          <w:tcPr/>
          <w:p>
            <w:pPr>
              <w:pStyle w:val="Compact"/>
            </w:pPr>
            <w:r>
              <w:t xml:space="preserve">129.5</w:t>
            </w:r>
          </w:p>
        </w:tc>
        <w:tc>
          <w:tcPr/>
          <w:p>
            <w:pPr>
              <w:pStyle w:val="Compact"/>
            </w:pPr>
            <w:r>
              <w:t xml:space="preserve">10.36</w:t>
            </w:r>
          </w:p>
        </w:tc>
        <w:tc>
          <w:tcPr/>
          <w:p>
            <w:pPr>
              <w:pStyle w:val="Compact"/>
            </w:pPr>
            <w:r>
              <w:t xml:space="preserve">0.02</w:t>
            </w:r>
          </w:p>
        </w:tc>
        <w:tc>
          <w:tcPr/>
          <w:p>
            <w:pPr>
              <w:pStyle w:val="Compact"/>
            </w:pPr>
            <w:r>
              <w:t xml:space="preserve">&gt;500</w:t>
            </w:r>
          </w:p>
        </w:tc>
      </w:tr>
    </w:tbl>
    <w:p>
      <w:pPr>
        <w:pStyle w:val="BodyText"/>
      </w:pPr>
      <w:r>
        <w:t xml:space="preserve">Over the 75-year active interval (Kidder and Grooms 2024 Bayesian-modeled active-construction window), cumulative maintenance is</w:t>
      </w:r>
      <w:r>
        <w:t xml:space="preserve"> </w:t>
      </w:r>
      <m:oMath>
        <m:r>
          <m:rPr>
            <m:sty m:val="p"/>
          </m:rPr>
          <m:t>≈</m:t>
        </m:r>
        <m:r>
          <m:t>5.0</m:t>
        </m:r>
      </m:oMath>
      <w:r>
        <w:t xml:space="preserve"> </w:t>
      </w:r>
      <w:r>
        <w:t xml:space="preserve">times cumulative net new construction (83% of total labor is renewal). PP therefore sits deep in the maintenance-dominated regime for most of its active interval, as predicted by the framework.</w:t>
      </w:r>
    </w:p>
    <w:p>
      <w:pPr>
        <w:pStyle w:val="BodyText"/>
      </w:pPr>
      <w:r>
        <w:rPr>
          <w:b/>
          <w:bCs/>
        </w:rPr>
        <w:t xml:space="preserve">WB-scenario trajectory.</w:t>
      </w:r>
      <w:r>
        <w:t xml:space="preserve"> </w:t>
      </w:r>
      <w:r>
        <w:t xml:space="preserve">At WB-scenario parameters (</w:t>
      </w:r>
      <m:oMath>
        <m:r>
          <m:t>σ</m:t>
        </m:r>
        <m:r>
          <m:rPr>
            <m:sty m:val="p"/>
          </m:rPr>
          <m:t>≈</m:t>
        </m:r>
        <m:r>
          <m:t>0.56</m:t>
        </m:r>
      </m:oMath>
      <w:r>
        <w:t xml:space="preserve">,</w:t>
      </w:r>
      <w:r>
        <w:t xml:space="preserve"> </w:t>
      </w:r>
      <m:oMath>
        <m:sSub>
          <m:e>
            <m:r>
              <m:t>n</m:t>
            </m:r>
          </m:e>
          <m:sub>
            <m:r>
              <m:t>a</m:t>
            </m:r>
            <m:r>
              <m:t>g</m:t>
            </m:r>
            <m:r>
              <m:t>g</m:t>
            </m:r>
          </m:sub>
        </m:sSub>
        <m:r>
          <m:rPr>
            <m:sty m:val="p"/>
          </m:rPr>
          <m:t>≈</m:t>
        </m:r>
        <m:r>
          <m:t>8</m:t>
        </m:r>
      </m:oMath>
      <w:r>
        <w:t xml:space="preserve">, same</w:t>
      </w:r>
      <w:r>
        <w:t xml:space="preserve"> </w:t>
      </w:r>
      <m:oMath>
        <m:r>
          <m:t>δ</m:t>
        </m:r>
      </m:oMath>
      <w:r>
        <w:t xml:space="preserve">),</w:t>
      </w:r>
      <w:r>
        <w:t xml:space="preserve"> </w:t>
      </w:r>
      <m:oMath>
        <m:sSubSup>
          <m:e>
            <m:r>
              <m:t>M</m:t>
            </m:r>
          </m:e>
          <m:sub>
            <m:r>
              <m:t>g</m:t>
            </m:r>
          </m:sub>
          <m:sup>
            <m:r>
              <m:rPr>
                <m:sty m:val="p"/>
              </m:rPr>
              <m:t>*</m:t>
            </m:r>
          </m:sup>
        </m:sSubSup>
        <m:r>
          <m:rPr>
            <m:sty m:val="p"/>
          </m:rPr>
          <m:t>=</m:t>
        </m:r>
        <m:r>
          <m:t>41.5</m:t>
        </m:r>
      </m:oMath>
      <w:r>
        <w:t xml:space="preserve"> </w:t>
      </w:r>
      <w:r>
        <w:t xml:space="preserve">units and</w:t>
      </w:r>
      <w:r>
        <w:t xml:space="preserve"> </w:t>
      </w:r>
      <m:oMath>
        <m:sSub>
          <m:e>
            <m:r>
              <m:t>I</m:t>
            </m:r>
          </m:e>
          <m:sub>
            <m:r>
              <m:t>g</m:t>
            </m:r>
          </m:sub>
        </m:sSub>
        <m:r>
          <m:rPr>
            <m:sty m:val="p"/>
          </m:rPr>
          <m:t>=</m:t>
        </m:r>
        <m:r>
          <m:t>3.32</m:t>
        </m:r>
      </m:oMath>
      <w:r>
        <w:t xml:space="preserve"> </w:t>
      </w:r>
      <w:r>
        <w:t xml:space="preserve">units/yr. Under the documented episodic regime (Saunders et al. 2005: 200+ year inter-stage gaps), each construction burst begins from a partly-depreciated stock and operates closer to initial construction than maintenance. Modeled as 4 episodes</w:t>
      </w:r>
      <w:r>
        <w:t xml:space="preserve"> </w:t>
      </w:r>
      <m:oMath>
        <m:r>
          <m:rPr>
            <m:sty m:val="p"/>
          </m:rPr>
          <m:t>×</m:t>
        </m:r>
      </m:oMath>
      <w:r>
        <w:t xml:space="preserve"> </w:t>
      </w:r>
      <w:r>
        <w:t xml:space="preserve">50 yr separated by 200 yr hiatuses (illustrative simplification of the actual chronology): within-episode</w:t>
      </w:r>
      <w:r>
        <w:t xml:space="preserve"> </w:t>
      </w:r>
      <m:oMath>
        <m:r>
          <m:t>R</m:t>
        </m:r>
        <m:r>
          <m:rPr>
            <m:sty m:val="p"/>
          </m:rPr>
          <m:t>≈</m:t>
        </m:r>
        <m:r>
          <m:t>4</m:t>
        </m:r>
      </m:oMath>
      <w:r>
        <w:t xml:space="preserve">, but the cumulative-across-700 yr event rate is dominated by the long silences.</w:t>
      </w:r>
    </w:p>
    <w:p>
      <w:pPr>
        <w:pStyle w:val="BodyText"/>
      </w:pPr>
      <w:r>
        <w:rPr>
          <w:b/>
          <w:bCs/>
        </w:rPr>
        <w:t xml:space="preserve">Event-density operationalization.</w:t>
      </w:r>
      <w:r>
        <w:t xml:space="preserve"> </w:t>
      </w:r>
      <m:oMath>
        <m:r>
          <m:t>R</m:t>
        </m:r>
        <m:r>
          <m:rPr>
            <m:sty m:val="p"/>
          </m:rPr>
          <m:t>(</m:t>
        </m:r>
        <m:sSub>
          <m:e>
            <m:r>
              <m:t>M</m:t>
            </m:r>
          </m:e>
          <m:sub>
            <m:r>
              <m:t>g</m:t>
            </m:r>
          </m:sub>
        </m:sSub>
        <m:r>
          <m:rPr>
            <m:sty m:val="p"/>
          </m:rPr>
          <m:t>)</m:t>
        </m:r>
      </m:oMath>
      <w:r>
        <w:t xml:space="preserve"> </w:t>
      </w:r>
      <w:r>
        <w:t xml:space="preserve">is not directly observable in the archaeological record because preserved evidence does not cleanly separate maintenance from new construction. The framework’s operational expression is event density per unit time: a maintenance-dominated regime produces many small renewal events per active year (re-cappings, surface preparations, post-circle rebuilds), while a growth-dominated regime produces fewer initial-construction events with long gaps.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Site</w:t>
            </w:r>
          </w:p>
        </w:tc>
        <w:tc>
          <w:tcPr/>
          <w:p>
            <w:pPr>
              <w:pStyle w:val="Compact"/>
            </w:pPr>
            <w:r>
              <w:t xml:space="preserve">Event count (lower bound)</w:t>
            </w:r>
          </w:p>
        </w:tc>
        <w:tc>
          <w:tcPr/>
          <w:p>
            <w:pPr>
              <w:pStyle w:val="Compact"/>
            </w:pPr>
            <w:r>
              <w:t xml:space="preserve">Active interval</w:t>
            </w:r>
          </w:p>
        </w:tc>
        <w:tc>
          <w:tcPr/>
          <w:p>
            <w:pPr>
              <w:pStyle w:val="Compact"/>
            </w:pPr>
            <w:r>
              <w:t xml:space="preserve">Event density (yr</w:t>
            </w:r>
            <m:oMath>
              <m:sSup>
                <m:e>
                  <m:r>
                    <m:t>​</m:t>
                  </m:r>
                </m:e>
                <m:sup>
                  <m:r>
                    <m:rPr>
                      <m:sty m:val="p"/>
                    </m:rPr>
                    <m:t>−</m:t>
                  </m:r>
                  <m:r>
                    <m:t>1</m:t>
                  </m:r>
                </m:sup>
              </m:sSup>
            </m:oMath>
            <w:r>
              <w:t xml:space="preserve">)</w:t>
            </w:r>
          </w:p>
        </w:tc>
        <w:tc>
          <w:tcPr/>
          <w:p>
            <w:pPr>
              <w:pStyle w:val="Compact"/>
            </w:pPr>
            <w:r>
              <w:t xml:space="preserve">Source</w:t>
            </w:r>
          </w:p>
        </w:tc>
      </w:tr>
      <w:tr>
        <w:tc>
          <w:tcPr/>
          <w:p>
            <w:pPr>
              <w:pStyle w:val="Compact"/>
            </w:pPr>
            <w:r>
              <w:t xml:space="preserve">Poverty Point</w:t>
            </w:r>
          </w:p>
        </w:tc>
        <w:tc>
          <w:tcPr/>
          <w:p>
            <w:pPr>
              <w:pStyle w:val="Compact"/>
            </w:pPr>
            <m:oMath>
              <m:r>
                <m:rPr>
                  <m:sty m:val="p"/>
                </m:rPr>
                <m:t>≥</m:t>
              </m:r>
              <m:r>
                <m:t>100</m:t>
              </m:r>
            </m:oMath>
            <w:r>
              <w:t xml:space="preserve"> </w:t>
            </w:r>
            <w:r>
              <w:t xml:space="preserve">(64 ridge components + 16 prepared surfaces beneath Mound C + plaza post-circle build-decommission-rebuild cycles)</w:t>
            </w:r>
          </w:p>
        </w:tc>
        <w:tc>
          <w:tcPr/>
          <w:p>
            <w:pPr>
              <w:pStyle w:val="Compact"/>
            </w:pPr>
            <w:r>
              <w:t xml:space="preserve">75 yr</w:t>
            </w:r>
          </w:p>
        </w:tc>
        <w:tc>
          <w:tcPr/>
          <w:p>
            <w:pPr>
              <w:pStyle w:val="Compact"/>
            </w:pPr>
            <m:oMath>
              <m:r>
                <m:rPr>
                  <m:sty m:val="p"/>
                </m:rPr>
                <m:t>≥</m:t>
              </m:r>
              <m:r>
                <m:t>1.33</m:t>
              </m:r>
            </m:oMath>
          </w:p>
        </w:tc>
        <w:tc>
          <w:tcPr/>
          <w:p>
            <w:pPr>
              <w:pStyle w:val="Compact"/>
            </w:pPr>
            <w:r>
              <w:t xml:space="preserve">Hargrave et al. 2021; Clay 2023; Ortmann and Kidder 2013; Kidder and Grooms 2024</w:t>
            </w:r>
          </w:p>
        </w:tc>
      </w:tr>
      <w:tr>
        <w:tc>
          <w:tcPr/>
          <w:p>
            <w:pPr>
              <w:pStyle w:val="Compact"/>
            </w:pPr>
            <w:r>
              <w:t xml:space="preserve">Watson Brake</w:t>
            </w:r>
          </w:p>
        </w:tc>
        <w:tc>
          <w:tcPr/>
          <w:p>
            <w:pPr>
              <w:pStyle w:val="Compact"/>
            </w:pPr>
            <w:r>
              <w:t xml:space="preserve">11-20 (11 mounds + connecting ridges, 200+ yr inter-stage gaps)</w:t>
            </w:r>
          </w:p>
        </w:tc>
        <w:tc>
          <w:tcPr/>
          <w:p>
            <w:pPr>
              <w:pStyle w:val="Compact"/>
            </w:pPr>
            <w:r>
              <w:t xml:space="preserve">700 yr</w:t>
            </w:r>
          </w:p>
        </w:tc>
        <w:tc>
          <w:tcPr/>
          <w:p>
            <w:pPr>
              <w:pStyle w:val="Compact"/>
            </w:pPr>
            <w:r>
              <w:t xml:space="preserve">0.016-0.029</w:t>
            </w:r>
          </w:p>
        </w:tc>
        <w:tc>
          <w:tcPr/>
          <w:p>
            <w:pPr>
              <w:pStyle w:val="Compact"/>
            </w:pPr>
            <w:r>
              <w:t xml:space="preserve">Saunders et al. 2005</w:t>
            </w:r>
          </w:p>
        </w:tc>
      </w:tr>
    </w:tbl>
    <w:p>
      <w:pPr>
        <w:pStyle w:val="BodyText"/>
      </w:pPr>
      <w:r>
        <w:t xml:space="preserve">PP-to-WB event-density ratio:</w:t>
      </w:r>
      <w:r>
        <w:t xml:space="preserve"> </w:t>
      </w:r>
      <m:oMath>
        <m:r>
          <m:rPr>
            <m:sty m:val="p"/>
          </m:rPr>
          <m:t>≈</m:t>
        </m:r>
      </m:oMath>
      <w:r>
        <w:t xml:space="preserve"> </w:t>
      </w:r>
      <w:r>
        <w:t xml:space="preserve">47-85</w:t>
      </w:r>
      <m:oMath>
        <m:r>
          <m:rPr>
            <m:sty m:val="p"/>
          </m:rPr>
          <m:t>×</m:t>
        </m:r>
      </m:oMath>
      <w:r>
        <w:t xml:space="preserve">. The framework predicts a ratio substantially greater than unity, given that PP held</w:t>
      </w:r>
      <w:r>
        <w:t xml:space="preserve"> </w:t>
      </w:r>
      <m:oMath>
        <m:sSub>
          <m:e>
            <m:r>
              <m:t>M</m:t>
            </m:r>
          </m:e>
          <m:sub>
            <m:r>
              <m:t>g</m:t>
            </m:r>
          </m:sub>
        </m:sSub>
      </m:oMath>
      <w:r>
        <w:t xml:space="preserve"> </w:t>
      </w:r>
      <w:r>
        <w:t xml:space="preserve">near saturation for the duration of its 75-year active interval while WB operated episodically with depreciation gaps that reset the system toward zero between bursts. The observed contrast matches.</w:t>
      </w:r>
    </w:p>
    <w:p>
      <w:pPr>
        <w:pStyle w:val="BodyText"/>
      </w:pPr>
      <w:r>
        <w:rPr>
          <w:b/>
          <w:bCs/>
        </w:rPr>
        <w:t xml:space="preserve">Status: independently weighted test.</w:t>
      </w:r>
      <w:r>
        <w:t xml:space="preserve"> </w:t>
      </w:r>
      <w:r>
        <w:t xml:space="preserve">The PP-vs-WB event-density contrast is a second-axis test on top of the §6.3 magnitude contrast: both predictions follow from the same lambda-sigma fixed point plus the geometric depreciation recurrence, without additional free parameters. A reversal of the contrast (WB showing higher event density than PP) or its reduction below an order of magnitude would weaken the signal-half-life mechanism. The mechanism is currently supported.</w:t>
      </w:r>
    </w:p>
    <w:p>
      <w:pPr>
        <w:pStyle w:val="BodyText"/>
      </w:pPr>
      <w:r>
        <w:rPr>
          <w:b/>
          <w:bCs/>
        </w:rPr>
        <w:t xml:space="preserve">Caveats.</w:t>
      </w:r>
      <w:r>
        <w:t xml:space="preserve"> </w:t>
      </w:r>
      <w:r>
        <w:t xml:space="preserve">- The constant-</w:t>
      </w:r>
      <m:oMath>
        <m:sSub>
          <m:e>
            <m:r>
              <m:t>I</m:t>
            </m:r>
          </m:e>
          <m:sub>
            <m:r>
              <m:t>g</m:t>
            </m:r>
          </m:sub>
        </m:sSub>
      </m:oMath>
      <w:r>
        <w:t xml:space="preserve"> </w:t>
      </w:r>
      <w:r>
        <w:t xml:space="preserve">approximation does not capture within-interval labor variation. Mound A’s compressed $</w:t>
      </w:r>
      <m:oMath>
        <m:r>
          <m:t>90</m:t>
        </m:r>
        <m:r>
          <m:rPr>
            <m:sty m:val="p"/>
          </m:rPr>
          <m:t>−</m:t>
        </m:r>
        <m:r>
          <m:t>d</m:t>
        </m:r>
        <m:r>
          <m:t>a</m:t>
        </m:r>
        <m:r>
          <m:t>y</m:t>
        </m:r>
        <m:r>
          <m:t>c</m:t>
        </m:r>
        <m:r>
          <m:t>o</m:t>
        </m:r>
        <m:r>
          <m:t>n</m:t>
        </m:r>
        <m:r>
          <m:t>s</m:t>
        </m:r>
        <m:r>
          <m:t>t</m:t>
        </m:r>
        <m:r>
          <m:t>r</m:t>
        </m:r>
        <m:r>
          <m:t>u</m:t>
        </m:r>
        <m:r>
          <m:t>c</m:t>
        </m:r>
        <m:r>
          <m:t>t</m:t>
        </m:r>
        <m:r>
          <m:t>i</m:t>
        </m:r>
        <m:r>
          <m:t>o</m:t>
        </m:r>
        <m:r>
          <m:t>n</m:t>
        </m:r>
        <m:r>
          <m:rPr>
            <m:sty m:val="p"/>
          </m:rPr>
          <m:t>(</m:t>
        </m:r>
        <m:r>
          <m:t>O</m:t>
        </m:r>
        <m:r>
          <m:t>r</m:t>
        </m:r>
        <m:r>
          <m:t>t</m:t>
        </m:r>
        <m:r>
          <m:t>m</m:t>
        </m:r>
        <m:r>
          <m:t>a</m:t>
        </m:r>
        <m:r>
          <m:t>n</m:t>
        </m:r>
        <m:r>
          <m:t>n</m:t>
        </m:r>
        <m:r>
          <m:t>a</m:t>
        </m:r>
        <m:r>
          <m:t>n</m:t>
        </m:r>
        <m:r>
          <m:t>d</m:t>
        </m:r>
        <m:r>
          <m:t>K</m:t>
        </m:r>
        <m:r>
          <m:t>i</m:t>
        </m:r>
        <m:r>
          <m:t>d</m:t>
        </m:r>
        <m:r>
          <m:t>d</m:t>
        </m:r>
        <m:r>
          <m:t>e</m:t>
        </m:r>
        <m:r>
          <m:t>r</m:t>
        </m:r>
        <m:r>
          <m:t>2013</m:t>
        </m:r>
        <m:r>
          <m:rPr>
            <m:sty m:val="p"/>
          </m:rPr>
          <m:t>)</m:t>
        </m:r>
        <m:r>
          <m:t>a</m:t>
        </m:r>
        <m:r>
          <m:t>n</m:t>
        </m:r>
        <m:r>
          <m:t>d</m:t>
        </m:r>
        <m:r>
          <m:t>t</m:t>
        </m:r>
        <m:r>
          <m:t>h</m:t>
        </m:r>
        <m:r>
          <m:t>e</m:t>
        </m:r>
        <m:r>
          <m:t>d</m:t>
        </m:r>
        <m:r>
          <m:t>e</m:t>
        </m:r>
        <m:r>
          <m:t>n</m:t>
        </m:r>
        <m:r>
          <m:t>s</m:t>
        </m:r>
        <m:r>
          <m:t>e</m:t>
        </m:r>
        <m:r>
          <m:t>e</m:t>
        </m:r>
        <m:r>
          <m:t>a</m:t>
        </m:r>
        <m:r>
          <m:t>r</m:t>
        </m:r>
        <m:r>
          <m:t>l</m:t>
        </m:r>
        <m:r>
          <m:t>y</m:t>
        </m:r>
        <m:r>
          <m:rPr>
            <m:sty m:val="p"/>
          </m:rPr>
          <m:t>−</m:t>
        </m:r>
        <m:r>
          <m:t>a</m:t>
        </m:r>
        <m:r>
          <m:t>c</m:t>
        </m:r>
        <m:r>
          <m:t>t</m:t>
        </m:r>
        <m:r>
          <m:t>i</m:t>
        </m:r>
        <m:r>
          <m:t>v</m:t>
        </m:r>
        <m:r>
          <m:t>e</m:t>
        </m:r>
        <m:r>
          <m:rPr>
            <m:sty m:val="p"/>
          </m:rPr>
          <m:t>−</m:t>
        </m:r>
        <m:r>
          <m:t>i</m:t>
        </m:r>
        <m:r>
          <m:t>n</m:t>
        </m:r>
        <m:r>
          <m:t>t</m:t>
        </m:r>
        <m:r>
          <m:t>e</m:t>
        </m:r>
        <m:r>
          <m:t>r</m:t>
        </m:r>
        <m:r>
          <m:t>v</m:t>
        </m:r>
        <m:r>
          <m:t>a</m:t>
        </m:r>
        <m:r>
          <m:t>l</m:t>
        </m:r>
        <m:r>
          <m:t>c</m:t>
        </m:r>
        <m:r>
          <m:t>o</m:t>
        </m:r>
        <m:r>
          <m:t>n</m:t>
        </m:r>
        <m:r>
          <m:t>s</m:t>
        </m:r>
        <m:r>
          <m:t>t</m:t>
        </m:r>
        <m:r>
          <m:t>r</m:t>
        </m:r>
        <m:r>
          <m:t>u</m:t>
        </m:r>
        <m:r>
          <m:t>c</m:t>
        </m:r>
        <m:r>
          <m:t>t</m:t>
        </m:r>
        <m:r>
          <m:t>i</m:t>
        </m:r>
        <m:r>
          <m:t>o</m:t>
        </m:r>
        <m:r>
          <m:t>n</m:t>
        </m:r>
        <m:r>
          <m:t>a</m:t>
        </m:r>
        <m:r>
          <m:t>t</m:t>
        </m:r>
        <m:r>
          <m:t>R</m:t>
        </m:r>
        <m:r>
          <m:t>i</m:t>
        </m:r>
        <m:r>
          <m:t>d</m:t>
        </m:r>
        <m:r>
          <m:t>g</m:t>
        </m:r>
        <m:r>
          <m:t>e</m:t>
        </m:r>
        <m:r>
          <m:t>3</m:t>
        </m:r>
        <m:r>
          <m:t>W</m:t>
        </m:r>
        <m:r>
          <m:t>e</m:t>
        </m:r>
        <m:r>
          <m:t>s</m:t>
        </m:r>
        <m:r>
          <m:t>t</m:t>
        </m:r>
        <m:r>
          <m:rPr>
            <m:sty m:val="p"/>
          </m:rPr>
          <m:t>(</m:t>
        </m:r>
        <m:r>
          <m:t>K</m:t>
        </m:r>
        <m:r>
          <m:t>i</m:t>
        </m:r>
        <m:r>
          <m:t>d</m:t>
        </m:r>
        <m:r>
          <m:t>d</m:t>
        </m:r>
        <m:r>
          <m:t>e</m:t>
        </m:r>
        <m:r>
          <m:t>r</m:t>
        </m:r>
        <m:r>
          <m:t>e</m:t>
        </m:r>
        <m:r>
          <m:t>t</m:t>
        </m:r>
        <m:r>
          <m:t>a</m:t>
        </m:r>
        <m:r>
          <m:t>l</m:t>
        </m:r>
        <m:r>
          <m:rPr>
            <m:sty m:val="p"/>
          </m:rPr>
          <m:t>.</m:t>
        </m:r>
        <m:r>
          <m:t>2021</m:t>
        </m:r>
        <m:r>
          <m:rPr>
            <m:sty m:val="p"/>
          </m:rPr>
          <m:t>)</m:t>
        </m:r>
        <m:r>
          <m:t>s</m:t>
        </m:r>
        <m:r>
          <m:t>u</m:t>
        </m:r>
        <m:r>
          <m:t>g</m:t>
        </m:r>
        <m:r>
          <m:t>g</m:t>
        </m:r>
        <m:r>
          <m:t>e</m:t>
        </m:r>
        <m:r>
          <m:t>s</m:t>
        </m:r>
        <m:r>
          <m:t>t</m:t>
        </m:r>
        <m:r>
          <m:t>p</m:t>
        </m:r>
        <m:r>
          <m:t>e</m:t>
        </m:r>
        <m:r>
          <m:t>a</m:t>
        </m:r>
        <m:r>
          <m:t>k</m:t>
        </m:r>
        <m:r>
          <m:t>l</m:t>
        </m:r>
        <m:r>
          <m:t>a</m:t>
        </m:r>
        <m:r>
          <m:t>b</m:t>
        </m:r>
        <m:r>
          <m:t>o</m:t>
        </m:r>
        <m:r>
          <m:t>r</m:t>
        </m:r>
        <m:r>
          <m:t>e</m:t>
        </m:r>
        <m:r>
          <m:t>a</m:t>
        </m:r>
        <m:r>
          <m:t>r</m:t>
        </m:r>
        <m:r>
          <m:t>l</m:t>
        </m:r>
        <m:r>
          <m:t>y</m:t>
        </m:r>
        <m:r>
          <m:t>f</m:t>
        </m:r>
        <m:r>
          <m:t>o</m:t>
        </m:r>
        <m:r>
          <m:t>l</m:t>
        </m:r>
        <m:r>
          <m:t>l</m:t>
        </m:r>
        <m:r>
          <m:t>o</m:t>
        </m:r>
        <m:r>
          <m:t>w</m:t>
        </m:r>
        <m:r>
          <m:t>e</m:t>
        </m:r>
        <m:r>
          <m:t>d</m:t>
        </m:r>
        <m:r>
          <m:t>b</m:t>
        </m:r>
        <m:r>
          <m:t>y</m:t>
        </m:r>
        <m:r>
          <m:t>t</m:t>
        </m:r>
        <m:r>
          <m:t>a</m:t>
        </m:r>
        <m:r>
          <m:t>i</m:t>
        </m:r>
        <m:r>
          <m:t>l</m:t>
        </m:r>
        <m:r>
          <m:rPr>
            <m:sty m:val="p"/>
          </m:rPr>
          <m:t>,</m:t>
        </m:r>
        <m:r>
          <m:t>w</m:t>
        </m:r>
        <m:r>
          <m:t>h</m:t>
        </m:r>
        <m:r>
          <m:t>i</m:t>
        </m:r>
        <m:r>
          <m:t>c</m:t>
        </m:r>
        <m:r>
          <m:t>h</m:t>
        </m:r>
        <m:r>
          <m:t>t</m:t>
        </m:r>
        <m:r>
          <m:t>h</m:t>
        </m:r>
        <m:r>
          <m:t>e</m:t>
        </m:r>
        <m:r>
          <m:t>c</m:t>
        </m:r>
        <m:r>
          <m:t>o</m:t>
        </m:r>
        <m:r>
          <m:t>n</m:t>
        </m:r>
        <m:r>
          <m:t>s</m:t>
        </m:r>
        <m:r>
          <m:t>t</m:t>
        </m:r>
        <m:r>
          <m:t>a</m:t>
        </m:r>
        <m:r>
          <m:t>n</m:t>
        </m:r>
        <m:r>
          <m:t>t</m:t>
        </m:r>
        <m:r>
          <m:rPr>
            <m:sty m:val="p"/>
          </m:rPr>
          <m:t>−</m:t>
        </m:r>
      </m:oMath>
      <w:r>
        <w:t xml:space="preserve">I_g$ model does not capture; the cumulative-labor decomposition is unaffected, but the year-by-year</w:t>
      </w:r>
      <w:r>
        <w:t xml:space="preserve"> </w:t>
      </w:r>
      <m:oMath>
        <m:r>
          <m:t>R</m:t>
        </m:r>
        <m:r>
          <m:rPr>
            <m:sty m:val="p"/>
          </m:rPr>
          <m:t>(</m:t>
        </m:r>
        <m:r>
          <m:t>t</m:t>
        </m:r>
        <m:r>
          <m:rPr>
            <m:sty m:val="p"/>
          </m:rPr>
          <m:t>)</m:t>
        </m:r>
      </m:oMath>
      <w:r>
        <w:t xml:space="preserve"> </w:t>
      </w:r>
      <w:r>
        <w:t xml:space="preserve">trajectory is approximate.</w:t>
      </w:r>
      <w:r>
        <w:t xml:space="preserve"> </w:t>
      </w:r>
      <w:r>
        <w:t xml:space="preserve">- The published event counts mix renewal and new-construction events without a clean separator; the framework’s maintenance-vs-new split cannot be directly verified at per-event resolution from the existing archaeology.</w:t>
      </w:r>
      <w:r>
        <w:t xml:space="preserve"> </w:t>
      </w:r>
      <w:r>
        <w:t xml:space="preserve">- The WB episodic structure is approximated as four equal-spaced 50-year blocks; the published WB chronology (Saunders et al. 2005) shows actual episode timing differing from this simplification. The qualitative event-density contrast does not depend on the specific episode schedule.</w:t>
      </w:r>
      <w:r>
        <w:t xml:space="preserve"> </w:t>
      </w:r>
      <w:r>
        <w:t xml:space="preserve">- The depreciation rate</w:t>
      </w:r>
      <w:r>
        <w:t xml:space="preserve"> </w:t>
      </w:r>
      <m:oMath>
        <m:r>
          <m:t>δ</m:t>
        </m:r>
        <m:r>
          <m:rPr>
            <m:sty m:val="p"/>
          </m:rPr>
          <m:t>=</m:t>
        </m:r>
        <m:r>
          <m:t>0.08</m:t>
        </m:r>
      </m:oMath>
      <w:r>
        <w:t xml:space="preserve"> </w:t>
      </w:r>
      <w:r>
        <w:t xml:space="preserve">is set from Table S2’s earthen-mound weathering-rate range</w:t>
      </w:r>
      <w:r>
        <w:t xml:space="preserve"> </w:t>
      </w:r>
      <m:oMath>
        <m:r>
          <m:rPr>
            <m:sty m:val="p"/>
          </m:rPr>
          <m:t>[</m:t>
        </m:r>
        <m:r>
          <m:t>0.04</m:t>
        </m:r>
        <m:r>
          <m:rPr>
            <m:sty m:val="p"/>
          </m:rPr>
          <m:t>,</m:t>
        </m:r>
        <m:r>
          <m:t>0.16</m:t>
        </m:r>
        <m:r>
          <m:rPr>
            <m:sty m:val="p"/>
          </m:rPr>
          <m:t>]</m:t>
        </m:r>
      </m:oMath>
      <w:r>
        <w:t xml:space="preserve"> </w:t>
      </w:r>
      <w:r>
        <w:t xml:space="preserve">but is not derived from a per-site earthwork-decay study. The PP-vs-WB contrast is robust across this range; the precise</w:t>
      </w:r>
      <w:r>
        <w:t xml:space="preserve"> </w:t>
      </w:r>
      <m:oMath>
        <m:r>
          <m:t>R</m:t>
        </m:r>
      </m:oMath>
      <w:r>
        <w:t xml:space="preserve"> </w:t>
      </w:r>
      <w:r>
        <w:t xml:space="preserve">values are not.</w:t>
      </w:r>
    </w:p>
    <w:p>
      <w:pPr>
        <w:pStyle w:val="BodyText"/>
      </w:pPr>
      <w:r>
        <w:t xml:space="preserve">Reproducible from</w:t>
      </w:r>
      <w:r>
        <w:t xml:space="preserve"> </w:t>
      </w:r>
      <w:r>
        <w:rPr>
          <w:rStyle w:val="VerbatimChar"/>
        </w:rPr>
        <w:t xml:space="preserve">scripts/analysis/renovation_ratio.py</w:t>
      </w:r>
      <w:r>
        <w:t xml:space="preserve">; outputs in</w:t>
      </w:r>
      <w:r>
        <w:t xml:space="preserve"> </w:t>
      </w:r>
      <w:r>
        <w:rPr>
          <w:rStyle w:val="VerbatimChar"/>
        </w:rPr>
        <w:t xml:space="preserve">results/sensitivity/renovation_ratio.json</w:t>
      </w:r>
      <w:r>
        <w:t xml:space="preserve">.</w:t>
      </w:r>
    </w:p>
    <w:bookmarkEnd w:id="93"/>
    <w:bookmarkStart w:id="94" w:name="s17.8-priority-follow-up-work"/>
    <w:p>
      <w:pPr>
        <w:pStyle w:val="Heading3"/>
      </w:pPr>
      <w:r>
        <w:t xml:space="preserve">S17.8 Priority follow-up work</w:t>
      </w:r>
    </w:p>
    <w:p>
      <w:pPr>
        <w:pStyle w:val="FirstParagraph"/>
      </w:pPr>
      <w:r>
        <w:t xml:space="preserve">The seven components above each identify a specific item of follow-up work that would either tighten the present implementation or convert a conditional consistency demonstration into a forward-prediction test. We consolidate the items here so that the empirical agenda the framework calls for is visible in one place, and so the §7 Discussion can refer to them collectively.</w:t>
      </w:r>
    </w:p>
    <w:p>
      <w:pPr>
        <w:numPr>
          <w:ilvl w:val="0"/>
          <w:numId w:val="1005"/>
        </w:numPr>
      </w:pPr>
      <w:r>
        <w:rPr>
          <w:b/>
          <w:bCs/>
        </w:rPr>
        <w:t xml:space="preserve">Full ABM-level regime switching</w:t>
      </w:r>
      <w:r>
        <w:t xml:space="preserve"> </w:t>
      </w:r>
      <w:r>
        <w:t xml:space="preserve">with endogenous strategy choice and explicit annual fitness comparison, replacing the analytical-stochastic version implemented in §S17.1. This would derive the band-coordination persistence parameter</w:t>
      </w:r>
      <w:r>
        <w:t xml:space="preserve"> </w:t>
      </w:r>
      <m:oMath>
        <m:r>
          <m:t>K</m:t>
        </m:r>
      </m:oMath>
      <w:r>
        <w:t xml:space="preserve"> </w:t>
      </w:r>
      <w:r>
        <w:t xml:space="preserve">from agent dynamics rather than treating it as a free parameter.</w:t>
      </w:r>
    </w:p>
    <w:p>
      <w:pPr>
        <w:numPr>
          <w:ilvl w:val="0"/>
          <w:numId w:val="1005"/>
        </w:numPr>
      </w:pPr>
      <w:r>
        <w:rPr>
          <w:b/>
          <w:bCs/>
        </w:rPr>
        <w:t xml:space="preserve">Independent ethnographic anchoring of the labor-scaling exponent</w:t>
      </w:r>
      <w:r>
        <w:t xml:space="preserve"> </w:t>
      </w:r>
      <m:oMath>
        <m:r>
          <m:t>α</m:t>
        </m:r>
      </m:oMath>
      <w:r>
        <w:t xml:space="preserve"> </w:t>
      </w:r>
      <w:r>
        <w:t xml:space="preserve">(§S17.2) at the crew sizes relevant for Watson Brake versus Poverty Point. The current</w:t>
      </w:r>
      <w:r>
        <w:t xml:space="preserve"> </w:t>
      </w:r>
      <m:oMath>
        <m:r>
          <m:t>α</m:t>
        </m:r>
        <m:r>
          <m:rPr>
            <m:sty m:val="p"/>
          </m:rPr>
          <m:t>=</m:t>
        </m:r>
        <m:r>
          <m:t>2</m:t>
        </m:r>
      </m:oMath>
      <w:r>
        <w:t xml:space="preserve"> </w:t>
      </w:r>
      <w:r>
        <w:t xml:space="preserve">closure exceeds the Erasmus (1965) baseline of</w:t>
      </w:r>
      <w:r>
        <w:t xml:space="preserve"> </w:t>
      </w:r>
      <m:oMath>
        <m:r>
          <m:t>α</m:t>
        </m:r>
        <m:r>
          <m:rPr>
            <m:sty m:val="p"/>
          </m:rPr>
          <m:t>≈</m:t>
        </m:r>
        <m:r>
          <m:t>1</m:t>
        </m:r>
      </m:oMath>
      <w:r>
        <w:t xml:space="preserve"> </w:t>
      </w:r>
      <w:r>
        <w:t xml:space="preserve">and is calibrated to the eleven-site sample rather than derived independently.</w:t>
      </w:r>
    </w:p>
    <w:p>
      <w:pPr>
        <w:numPr>
          <w:ilvl w:val="0"/>
          <w:numId w:val="1005"/>
        </w:numPr>
      </w:pPr>
      <w:r>
        <w:rPr>
          <w:b/>
          <w:bCs/>
        </w:rPr>
        <w:t xml:space="preserve">Full hydrographic-routing regional ABM</w:t>
      </w:r>
      <w:r>
        <w:t xml:space="preserve"> </w:t>
      </w:r>
      <w:r>
        <w:t xml:space="preserve">with carrying-capacity dynamics, path dependence over multi-century timescales, and stochastic exploration-exploitation balance, extending the minimal band-allocation version in §S17.3. The full version would soften the winner-takes-most outcome and produce more graded</w:t>
      </w:r>
      <w:r>
        <w:t xml:space="preserve"> </w:t>
      </w:r>
      <m:oMath>
        <m:sSub>
          <m:e>
            <m:r>
              <m:t>n</m:t>
            </m:r>
          </m:e>
          <m:sub>
            <m:r>
              <m:t>a</m:t>
            </m:r>
            <m:r>
              <m:t>g</m:t>
            </m:r>
            <m:r>
              <m:t>g</m:t>
            </m:r>
          </m:sub>
        </m:sSub>
      </m:oMath>
      <w:r>
        <w:t xml:space="preserve"> </w:t>
      </w:r>
      <w:r>
        <w:t xml:space="preserve">predictions.</w:t>
      </w:r>
    </w:p>
    <w:p>
      <w:pPr>
        <w:numPr>
          <w:ilvl w:val="0"/>
          <w:numId w:val="1005"/>
        </w:numPr>
      </w:pPr>
      <w:r>
        <w:rPr>
          <w:b/>
          <w:bCs/>
        </w:rPr>
        <w:t xml:space="preserve">Paleo-discharge-resolved</w:t>
      </w:r>
      <w:r>
        <w:rPr>
          <w:b/>
          <w:bCs/>
        </w:rPr>
        <w:t xml:space="preserve"> </w:t>
      </w:r>
      <m:oMath>
        <m:r>
          <m:t>ε</m:t>
        </m:r>
      </m:oMath>
      <w:r>
        <w:t xml:space="preserve"> </w:t>
      </w:r>
      <w:r>
        <w:t xml:space="preserve">using sediment-yield reconstructions or paleo-flood-frequency proxies per drainage at each focal site, replacing the modern hydrograph-as-proxy treatment in §S17.4. Pre-Holocene drainage correlations may differ from modern values conditioned on artificial levee systems and 19th–20th century channelization.</w:t>
      </w:r>
    </w:p>
    <w:p>
      <w:pPr>
        <w:numPr>
          <w:ilvl w:val="0"/>
          <w:numId w:val="1005"/>
        </w:numPr>
      </w:pPr>
      <w:r>
        <w:rPr>
          <w:b/>
          <w:bCs/>
        </w:rPr>
        <w:t xml:space="preserve">Footprint-independent</w:t>
      </w:r>
      <w:r>
        <w:rPr>
          <w:b/>
          <w:bCs/>
        </w:rPr>
        <w:t xml:space="preserve"> </w:t>
      </w:r>
      <m:oMath>
        <m:sSub>
          <m:e>
            <m:r>
              <m:t>n</m:t>
            </m:r>
          </m:e>
          <m:sub>
            <m:r>
              <m:t>a</m:t>
            </m:r>
            <m:r>
              <m:t>g</m:t>
            </m:r>
            <m:r>
              <m:t>g</m:t>
            </m:r>
          </m:sub>
        </m:sSub>
      </m:oMath>
      <w:r>
        <w:rPr>
          <w:b/>
          <w:bCs/>
        </w:rPr>
        <w:t xml:space="preserve"> </w:t>
      </w:r>
      <w:r>
        <w:rPr>
          <w:b/>
          <w:bCs/>
        </w:rPr>
        <w:t xml:space="preserve">estimates</w:t>
      </w:r>
      <w:r>
        <w:t xml:space="preserve"> </w:t>
      </w:r>
      <w:r>
        <w:t xml:space="preserve">(Bayesian-modeled radiocarbon density per site, lithic-density catchment estimates) and out-of-sample tests at non-LMV sites with independently-derived</w:t>
      </w:r>
      <w:r>
        <w:t xml:space="preserve"> </w:t>
      </w:r>
      <m:oMath>
        <m:sSub>
          <m:e>
            <m:r>
              <m:t>n</m:t>
            </m:r>
          </m:e>
          <m:sub>
            <m:r>
              <m:t>a</m:t>
            </m:r>
            <m:r>
              <m:t>g</m:t>
            </m:r>
            <m:r>
              <m:t>g</m:t>
            </m:r>
          </m:sub>
        </m:sSub>
      </m:oMath>
      <w:r>
        <w:t xml:space="preserve">, addressing the partial-correlation result in §S17.5 that the joint</w:t>
      </w:r>
      <w:r>
        <w:t xml:space="preserve"> </w:t>
      </w:r>
      <m:oMath>
        <m:r>
          <m:t>ρ</m:t>
        </m:r>
        <m:r>
          <m:rPr>
            <m:sty m:val="p"/>
          </m:rPr>
          <m:t>=</m:t>
        </m:r>
        <m:r>
          <m:rPr>
            <m:sty m:val="p"/>
          </m:rPr>
          <m:t>+</m:t>
        </m:r>
        <m:r>
          <m:t>0.91</m:t>
        </m:r>
      </m:oMath>
      <w:r>
        <w:t xml:space="preserve"> </w:t>
      </w:r>
      <w:r>
        <w:t xml:space="preserve">is dominated by the literature</w:t>
      </w:r>
      <w:r>
        <w:t xml:space="preserve"> </w:t>
      </w:r>
      <m:oMath>
        <m:sSub>
          <m:e>
            <m:r>
              <m:t>n</m:t>
            </m:r>
          </m:e>
          <m:sub>
            <m:r>
              <m:t>a</m:t>
            </m:r>
            <m:r>
              <m:t>g</m:t>
            </m:r>
            <m:r>
              <m:t>g</m:t>
            </m:r>
          </m:sub>
        </m:sSub>
      </m:oMath>
      <w:r>
        <w:t xml:space="preserve"> </w:t>
      </w:r>
      <w:r>
        <w:t xml:space="preserve">values rather than by the framework’s</w:t>
      </w:r>
      <w:r>
        <w:t xml:space="preserve"> </w:t>
      </w:r>
      <m:oMath>
        <m:r>
          <m:t>ε</m:t>
        </m:r>
      </m:oMath>
      <w:r>
        <w:t xml:space="preserve">.</w:t>
      </w:r>
    </w:p>
    <w:p>
      <w:pPr>
        <w:numPr>
          <w:ilvl w:val="0"/>
          <w:numId w:val="1005"/>
        </w:numPr>
      </w:pPr>
      <w:r>
        <w:rPr>
          <w:b/>
          <w:bCs/>
        </w:rPr>
        <w:t xml:space="preserve">Non-LMV-derived phenology calendar</w:t>
      </w:r>
      <w:r>
        <w:t xml:space="preserve"> </w:t>
      </w:r>
      <w:r>
        <w:t xml:space="preserve">for a non-circular seasonality test, extending the minimal version in §S17.6. The current top-3-months prediction is partly tautological because the script reads its phenology windows from the same Webb (1982) and Jackson (1986) sources that the published interpretations use.</w:t>
      </w:r>
    </w:p>
    <w:p>
      <w:pPr>
        <w:numPr>
          <w:ilvl w:val="0"/>
          <w:numId w:val="1005"/>
        </w:numPr>
      </w:pPr>
      <w:r>
        <w:rPr>
          <w:b/>
          <w:bCs/>
        </w:rPr>
        <w:t xml:space="preserve">Per-site earthwork-decay calibration of</w:t>
      </w:r>
      <w:r>
        <w:rPr>
          <w:b/>
          <w:bCs/>
        </w:rPr>
        <w:t xml:space="preserve"> </w:t>
      </w:r>
      <m:oMath>
        <m:r>
          <m:t>δ</m:t>
        </m:r>
      </m:oMath>
      <w:r>
        <w:t xml:space="preserve"> </w:t>
      </w:r>
      <w:r>
        <w:t xml:space="preserve">and labor-resolved chronology for the</w:t>
      </w:r>
      <w:r>
        <w:t xml:space="preserve"> </w:t>
      </w:r>
      <m:oMath>
        <m:r>
          <m:t>R</m:t>
        </m:r>
        <m:r>
          <m:rPr>
            <m:sty m:val="p"/>
          </m:rPr>
          <m:t>(</m:t>
        </m:r>
        <m:sSub>
          <m:e>
            <m:r>
              <m:t>M</m:t>
            </m:r>
          </m:e>
          <m:sub>
            <m:r>
              <m:t>g</m:t>
            </m:r>
          </m:sub>
        </m:sSub>
        <m:r>
          <m:rPr>
            <m:sty m:val="p"/>
          </m:rPr>
          <m:t>)</m:t>
        </m:r>
      </m:oMath>
      <w:r>
        <w:t xml:space="preserve"> </w:t>
      </w:r>
      <w:r>
        <w:t xml:space="preserve">event-density prediction (§S17.7). The current PP-vs-WB contrast uses Table S2’s earthen-mound weathering-rate range</w:t>
      </w:r>
      <w:r>
        <w:t xml:space="preserve"> </w:t>
      </w:r>
      <m:oMath>
        <m:r>
          <m:t>δ</m:t>
        </m:r>
        <m:r>
          <m:rPr>
            <m:sty m:val="p"/>
          </m:rPr>
          <m:t>∈</m:t>
        </m:r>
        <m:r>
          <m:rPr>
            <m:sty m:val="p"/>
          </m:rPr>
          <m:t>[</m:t>
        </m:r>
        <m:r>
          <m:t>0.04</m:t>
        </m:r>
        <m:r>
          <m:rPr>
            <m:sty m:val="p"/>
          </m:rPr>
          <m:t>,</m:t>
        </m:r>
        <m:r>
          <m:t>0.16</m:t>
        </m:r>
        <m:r>
          <m:rPr>
            <m:sty m:val="p"/>
          </m:rPr>
          <m:t>]</m:t>
        </m:r>
      </m:oMath>
      <w:r>
        <w:t xml:space="preserve"> </w:t>
      </w:r>
      <w:r>
        <w:t xml:space="preserve">rather than a site-specific decay estimate, and the published event counts mix maintenance/renewal with new construction without a clean separator. Per-site</w:t>
      </w:r>
      <w:r>
        <w:t xml:space="preserve"> </w:t>
      </w:r>
      <m:oMath>
        <m:r>
          <m:t>δ</m:t>
        </m:r>
      </m:oMath>
      <w:r>
        <w:t xml:space="preserve"> </w:t>
      </w:r>
      <w:r>
        <w:t xml:space="preserve">from sediment-cap weathering studies and event-resolved labor estimates (per-component fill volumes, per-stage labor budgets) would convert the structural event-density contrast into a quantitative</w:t>
      </w:r>
      <w:r>
        <w:t xml:space="preserve"> </w:t>
      </w:r>
      <m:oMath>
        <m:r>
          <m:t>R</m:t>
        </m:r>
      </m:oMath>
      <w:r>
        <w:t xml:space="preserve">-vs-</w:t>
      </w:r>
      <m:oMath>
        <m:r>
          <m:t>R</m:t>
        </m:r>
      </m:oMath>
      <w:r>
        <w:t xml:space="preserve"> </w:t>
      </w:r>
      <w:r>
        <w:t xml:space="preserve">comparison.</w:t>
      </w:r>
    </w:p>
    <w:p>
      <w:pPr>
        <w:pStyle w:val="FirstParagraph"/>
      </w:pPr>
      <w:r>
        <w:t xml:space="preserve">The framework’s contribution sits in the structural register: the threshold-crossing necessity claim, the asymmetric-flow signature, the screening claim across LMV sites, and the event-density contrast under depreciation are all defended by the analyses in the main text. The predictive register at the magnitude scale awaits the full implementations of items 1, 3, 4, 6, and 7.</w:t>
      </w:r>
    </w:p>
    <w:p>
      <w:r>
        <w:pict>
          <v:rect style="width:0;height:1.5pt" o:hralign="center" o:hrstd="t" o:hr="t"/>
        </w:pict>
      </w:r>
    </w:p>
    <w:p>
      <w:r>
        <w:pict>
          <v:rect style="width:0;height:1.5pt" o:hralign="center" o:hrstd="t" o:hr="t"/>
        </w:pict>
      </w:r>
    </w:p>
    <w:bookmarkEnd w:id="94"/>
    <w:bookmarkEnd w:id="95"/>
    <w:bookmarkStart w:id="96" w:name="supplemental-references"/>
    <w:p>
      <w:pPr>
        <w:pStyle w:val="Heading2"/>
      </w:pPr>
      <w:r>
        <w:t xml:space="preserve">Supplemental References</w:t>
      </w:r>
    </w:p>
    <w:p>
      <w:pPr>
        <w:pStyle w:val="FirstParagraph"/>
      </w:pPr>
      <w:r>
        <w:t xml:space="preserve">In addition to the references in the main paper:</w:t>
      </w:r>
    </w:p>
    <w:p>
      <w:pPr>
        <w:pStyle w:val="BodyText"/>
      </w:pPr>
      <w:r>
        <w:t xml:space="preserve">Conkey, M.W., 1980. The identification of prehistoric hunter-gatherer aggregation sites: The case of Altamira. Current Anthropology 21, 609-630.</w:t>
      </w:r>
    </w:p>
    <w:p>
      <w:pPr>
        <w:pStyle w:val="BodyText"/>
      </w:pPr>
      <w:r>
        <w:t xml:space="preserve">Erasmus, C.J., 1965. Monument building: Some field experiments. Southwestern Journal of Anthropology 21, 277-301.</w:t>
      </w:r>
    </w:p>
    <w:p>
      <w:pPr>
        <w:pStyle w:val="BodyText"/>
      </w:pPr>
      <w:r>
        <w:t xml:space="preserve">Ford, J.A., Phillips, P., Haag, W.G., 1955. The Jaketown Site in West-Central Mississippi. Anthropological Papers of the American Museum of Natural History 45(1).</w:t>
      </w:r>
    </w:p>
    <w:p>
      <w:pPr>
        <w:pStyle w:val="BodyText"/>
      </w:pPr>
      <w:r>
        <w:t xml:space="preserve">Grimm, V., Berger, U., DeAngelis, D.L., Polhill, J.G., Giske, J., Railsback, S.F., 2010. The ODD protocol: A review and first update. Ecological Modelling 221, 2760-2768.</w:t>
      </w:r>
    </w:p>
    <w:p>
      <w:pPr>
        <w:pStyle w:val="BodyText"/>
      </w:pPr>
      <w:r>
        <w:t xml:space="preserve">Hawkes, K., 2000. Hunting and the evolution of egalitarian societies: Lessons from the Hadza. In Hierarchies in Action (M.W. Diehl, ed.), pp. 59-83. Center for Archaeological Investigations, Carbondale.</w:t>
      </w:r>
    </w:p>
    <w:p>
      <w:pPr>
        <w:pStyle w:val="BodyText"/>
      </w:pPr>
      <w:r>
        <w:t xml:space="preserve">Liefert, D.T., Shuman, B.N., 2022. Pervasive Late Holocene ENSO-Like Hydroclimate in the U.S. Lower Mississippi Valley. Geophysical Research Letters 49, e2022GL098345.</w:t>
      </w:r>
    </w:p>
    <w:p>
      <w:pPr>
        <w:pStyle w:val="BodyText"/>
      </w:pPr>
      <w:r>
        <w:t xml:space="preserve">Saunders, J.W., Allen, T., Labatt, D., Jones, R., Griffing, D., 2001. An assessment of the antiquity of the Lower Jackson Mound. Southeastern Archaeology 20, 67-77.</w:t>
      </w:r>
    </w:p>
    <w:p>
      <w:pPr>
        <w:pStyle w:val="BodyText"/>
      </w:pPr>
      <w:r>
        <w:t xml:space="preserve">Sherwood, S.C., Kidder, T.R., 2011. The DaVincis of dirt: Geoarchaeological perspectives on Native American mound building in the Mississippi River basin. Journal of Anthropological Archaeology 30, 69-87.</w:t>
      </w:r>
    </w:p>
    <w:p>
      <w:pPr>
        <w:pStyle w:val="BodyText"/>
      </w:pPr>
      <w:r>
        <w:t xml:space="preserve">Wiessner, P., 2002. Hunting, healing, and hxaro exchange: A long-term perspective on !Kung (Ju/’hoansi) large-game hunting. Evolution and Human Behavior 23, 407-436.</w:t>
      </w:r>
    </w:p>
    <w:bookmarkEnd w:id="96"/>
    <w:bookmarkEnd w:id="97"/>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outlineLvl w:val="0"/>
    </w:pPr>
    <w:rPr>
      <w:rFonts w:ascii="Times New Roman" w:asciiTheme="majorHAnsi" w:cstheme="majorBidi" w:eastAsiaTheme="majorEastAsia" w:hAnsi="Times New Roman" w:hAnsiTheme="majorHAnsi"/>
      <w:b/>
      <w:bCs/>
      <w:i w:val="0"/>
      <w:color w:val="000000"/>
      <w:sz w:val="28"/>
      <w:szCs w:val="28"/>
      <w:u w:val="none"/>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Times New Roman" w:asciiTheme="majorHAnsi" w:cstheme="majorBidi" w:eastAsiaTheme="majorEastAsia" w:hAnsi="Times New Roman" w:hAnsiTheme="majorHAnsi"/>
      <w:b w:val="0"/>
      <w:bCs/>
      <w:i/>
      <w:color w:val="000000"/>
      <w:sz w:val="24"/>
      <w:szCs w:val="26"/>
      <w:u w:val="none"/>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Theme="majorEastAsia" w:hAnsi="Times New Roman" w:hAnsiTheme="majorHAnsi"/>
      <w:b w:val="0"/>
      <w:bCs/>
      <w:i w:val="0"/>
      <w:color w:val="000000"/>
      <w:sz w:val="22"/>
      <w:u w:val="single"/>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val="0"/>
      <w:bCs/>
      <w:i/>
      <w:iCs/>
      <w:color w:val="000000"/>
      <w:sz w:val="22"/>
      <w:u w:val="none"/>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heme="majorBidi" w:eastAsiaTheme="majorEastAsia" w:hAnsi="Times New Roman"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Times New Roman" w:hAnsi="Times New Roman"/>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line="276" w:lineRule="auto"/>
    </w:pPr>
    <w:rPr>
      <w:rFonts w:ascii="Times New Roman" w:hAnsi="Times New Roman"/>
      <w:color w:val="000000"/>
      <w:sz w:val="22"/>
    </w:rPr>
  </w:style>
  <w:style w:customStyle="1" w:styleId="ImageCaption" w:type="paragraph">
    <w:name w:val="Image Caption"/>
    <w:rPr>
      <w:rFonts w:ascii="Times New Roman" w:hAnsi="Times New Roman"/>
      <w:i/>
      <w:color w:val="000000"/>
      <w:sz w:val="20"/>
    </w:rPr>
  </w:style>
  <w:style w:customStyle="1" w:styleId="Abstract" w:type="paragraph">
    <w:name w:val="Abstract"/>
    <w:rPr>
      <w:rFonts w:ascii="Times New Roman" w:hAnsi="Times New Roman"/>
      <w:i/>
      <w:color w:val="000000"/>
      <w:sz w:val="20"/>
    </w:rPr>
  </w:style>
  <w:style w:customStyle="1" w:styleId="Author" w:type="paragraph">
    <w:name w:val="Author"/>
    <w:rPr>
      <w:rFonts w:ascii="Times New Roman" w:hAnsi="Times New Roman"/>
      <w:color w:val="0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71" Target="media/rId71.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2026-05-27T14:42:23Z</dcterms:created>
  <dcterms:modified xsi:type="dcterms:W3CDTF">2026-05-27T14:42:23Z</dcterms:modified>
</cp:coreProperties>
</file>

<file path=docProps/custom.xml><?xml version="1.0" encoding="utf-8"?>
<Properties xmlns="http://schemas.openxmlformats.org/officeDocument/2006/custom-properties" xmlns:vt="http://schemas.openxmlformats.org/officeDocument/2006/docPropsVTypes"/>
</file>