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15064" w14:textId="77777777" w:rsidR="00506C35" w:rsidRPr="009D048A" w:rsidRDefault="00000000">
      <w:pPr>
        <w:pStyle w:val="Heading1"/>
        <w:rPr>
          <w:rFonts w:ascii="Times New Roman" w:hAnsi="Times New Roman" w:cs="Times New Roman"/>
          <w:sz w:val="32"/>
          <w:szCs w:val="32"/>
        </w:rPr>
      </w:pPr>
      <w:bookmarkStart w:id="0" w:name="X1306883cd613673ba3bf354b908bb0e7cbf2f40"/>
      <w:r w:rsidRPr="009D048A">
        <w:rPr>
          <w:rFonts w:ascii="Times New Roman" w:hAnsi="Times New Roman" w:cs="Times New Roman"/>
          <w:sz w:val="32"/>
          <w:szCs w:val="32"/>
        </w:rPr>
        <w:t>Modeling Seasonal Aggregation at Lamoka Lake: A Mathematical and Methodological Guide for Dissertation Research</w:t>
      </w:r>
    </w:p>
    <w:p w14:paraId="3275F699" w14:textId="77833780" w:rsidR="00506C35" w:rsidRPr="009D048A" w:rsidRDefault="00000000" w:rsidP="009D048A">
      <w:pPr>
        <w:pStyle w:val="FirstParagraph"/>
        <w:rPr>
          <w:rFonts w:ascii="Times New Roman" w:hAnsi="Times New Roman" w:cs="Times New Roman"/>
          <w:sz w:val="21"/>
          <w:szCs w:val="21"/>
        </w:rPr>
      </w:pPr>
      <w:r w:rsidRPr="009D048A">
        <w:rPr>
          <w:rFonts w:ascii="Times New Roman" w:hAnsi="Times New Roman" w:cs="Times New Roman"/>
          <w:b/>
          <w:bCs/>
          <w:sz w:val="21"/>
          <w:szCs w:val="21"/>
        </w:rPr>
        <w:t>A companion document to:</w:t>
      </w:r>
      <w:r w:rsidRPr="009D048A">
        <w:rPr>
          <w:rFonts w:ascii="Times New Roman" w:hAnsi="Times New Roman" w:cs="Times New Roman"/>
          <w:sz w:val="21"/>
          <w:szCs w:val="21"/>
        </w:rPr>
        <w:t xml:space="preserve"> </w:t>
      </w:r>
      <w:r w:rsidRPr="009D048A">
        <w:rPr>
          <w:rFonts w:ascii="Times New Roman" w:hAnsi="Times New Roman" w:cs="Times New Roman"/>
          <w:i/>
          <w:iCs/>
          <w:sz w:val="21"/>
          <w:szCs w:val="21"/>
        </w:rPr>
        <w:t>Modeling Seasonal Aggregation at a Late Archaic Ecotone: Predictions for Lamoka Lake, New York</w:t>
      </w:r>
    </w:p>
    <w:p w14:paraId="72820E1E" w14:textId="77777777" w:rsidR="00506C35" w:rsidRPr="009D048A" w:rsidRDefault="00000000">
      <w:pPr>
        <w:pStyle w:val="Heading1"/>
        <w:rPr>
          <w:rFonts w:ascii="Times New Roman" w:hAnsi="Times New Roman" w:cs="Times New Roman"/>
          <w:sz w:val="32"/>
          <w:szCs w:val="32"/>
        </w:rPr>
      </w:pPr>
      <w:bookmarkStart w:id="1" w:name="part-i-the-puzzle-and-the-framework"/>
      <w:bookmarkEnd w:id="0"/>
      <w:r w:rsidRPr="009D048A">
        <w:rPr>
          <w:rFonts w:ascii="Times New Roman" w:hAnsi="Times New Roman" w:cs="Times New Roman"/>
          <w:sz w:val="32"/>
          <w:szCs w:val="32"/>
        </w:rPr>
        <w:t>PART I: THE PUZZLE AND THE FRAMEWORK</w:t>
      </w:r>
    </w:p>
    <w:p w14:paraId="02647A21"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2C6E4F23">
          <v:rect id="_x0000_i1050" alt="" style="width:468pt;height:.05pt;mso-width-percent:0;mso-height-percent:0;mso-width-percent:0;mso-height-percent:0" o:hralign="center" o:hrstd="t" o:hr="t"/>
        </w:pict>
      </w:r>
    </w:p>
    <w:p w14:paraId="63AE06BF" w14:textId="77777777" w:rsidR="00506C35" w:rsidRPr="009D048A" w:rsidRDefault="00000000">
      <w:pPr>
        <w:pStyle w:val="Heading2"/>
        <w:rPr>
          <w:rFonts w:ascii="Times New Roman" w:hAnsi="Times New Roman" w:cs="Times New Roman"/>
          <w:sz w:val="24"/>
          <w:szCs w:val="24"/>
        </w:rPr>
      </w:pPr>
      <w:bookmarkStart w:id="2" w:name="introduction-the-lamoka-lake-puzzle"/>
      <w:r w:rsidRPr="009D048A">
        <w:rPr>
          <w:rFonts w:ascii="Times New Roman" w:hAnsi="Times New Roman" w:cs="Times New Roman"/>
          <w:sz w:val="24"/>
          <w:szCs w:val="24"/>
        </w:rPr>
        <w:t>1. Introduction: The Lamoka Lake Puzzle</w:t>
      </w:r>
    </w:p>
    <w:p w14:paraId="2645C786" w14:textId="77777777" w:rsidR="00506C35" w:rsidRPr="009D048A" w:rsidRDefault="00000000">
      <w:pPr>
        <w:pStyle w:val="Heading3"/>
        <w:rPr>
          <w:rFonts w:ascii="Times New Roman" w:hAnsi="Times New Roman" w:cs="Times New Roman"/>
          <w:sz w:val="22"/>
          <w:szCs w:val="22"/>
        </w:rPr>
      </w:pPr>
      <w:bookmarkStart w:id="3" w:name="why-this-site-matters"/>
      <w:r w:rsidRPr="009D048A">
        <w:rPr>
          <w:rFonts w:ascii="Times New Roman" w:hAnsi="Times New Roman" w:cs="Times New Roman"/>
          <w:sz w:val="22"/>
          <w:szCs w:val="22"/>
        </w:rPr>
        <w:t>1.1 Why This Site Matters</w:t>
      </w:r>
    </w:p>
    <w:p w14:paraId="5E042D0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Lamoka Lake, a 1.2-hectare site at the southern end of Lamoka Lake in Schuyler County, New York, presents one of the most puzzling cases of hunter-gatherer investment in eastern North America. When William Ritchie excavated the site in the 1920s and 1930s, he found over 380 storage pits, numerous hearths and smoking platforms, fish weirs in the lake outlet channel, and approximately 80 burials in midden deposits reaching 150 cm in depth (Ritchie 1932, 1969). Recent AMS redating suggests the most intensive occupation occurred within a remarkably compressed window of roughly 60 years, approximately 2962 to 2902 BCE, though the broader occupation spans approximately 3500 to 1300 BCE.</w:t>
      </w:r>
    </w:p>
    <w:p w14:paraId="613F6A9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puzzle is not that hunter-gatherers lived near a lake. That is entirely expected. The puzzle is </w:t>
      </w:r>
      <w:r w:rsidRPr="009D048A">
        <w:rPr>
          <w:rFonts w:ascii="Times New Roman" w:hAnsi="Times New Roman" w:cs="Times New Roman"/>
          <w:i/>
          <w:iCs/>
          <w:sz w:val="21"/>
          <w:szCs w:val="21"/>
        </w:rPr>
        <w:t>scale</w:t>
      </w:r>
      <w:r w:rsidRPr="009D048A">
        <w:rPr>
          <w:rFonts w:ascii="Times New Roman" w:hAnsi="Times New Roman" w:cs="Times New Roman"/>
          <w:sz w:val="21"/>
          <w:szCs w:val="21"/>
        </w:rPr>
        <w:t xml:space="preserve">. A storage pit density of 317 per hectare far exceeds what any single band would need. Fish weirs require cooperative labor. Smoking platforms indicate organized food preservation beyond household production. The aggregate estimated storage volume of approximately 50,000 liters could have provisioned several hundred people through a winter season. Everything about the site screams </w:t>
      </w:r>
      <w:r w:rsidRPr="009D048A">
        <w:rPr>
          <w:rFonts w:ascii="Times New Roman" w:hAnsi="Times New Roman" w:cs="Times New Roman"/>
          <w:i/>
          <w:iCs/>
          <w:sz w:val="21"/>
          <w:szCs w:val="21"/>
        </w:rPr>
        <w:t>communal investment</w:t>
      </w:r>
      <w:r w:rsidRPr="009D048A">
        <w:rPr>
          <w:rFonts w:ascii="Times New Roman" w:hAnsi="Times New Roman" w:cs="Times New Roman"/>
          <w:sz w:val="21"/>
          <w:szCs w:val="21"/>
        </w:rPr>
        <w:t>, yet these are mobile foragers who, by all conventional expectations, should have been traveling light and moving on.</w:t>
      </w:r>
    </w:p>
    <w:p w14:paraId="58E8D38F" w14:textId="77777777" w:rsidR="00506C35" w:rsidRPr="009D048A" w:rsidRDefault="00000000">
      <w:pPr>
        <w:pStyle w:val="Heading3"/>
        <w:rPr>
          <w:rFonts w:ascii="Times New Roman" w:hAnsi="Times New Roman" w:cs="Times New Roman"/>
          <w:sz w:val="22"/>
          <w:szCs w:val="22"/>
        </w:rPr>
      </w:pPr>
      <w:bookmarkStart w:id="4" w:name="why-model-rather-than-just-describe"/>
      <w:bookmarkEnd w:id="3"/>
      <w:r w:rsidRPr="009D048A">
        <w:rPr>
          <w:rFonts w:ascii="Times New Roman" w:hAnsi="Times New Roman" w:cs="Times New Roman"/>
          <w:sz w:val="22"/>
          <w:szCs w:val="22"/>
        </w:rPr>
        <w:t>1.2 Why Model Rather Than Just Describe?</w:t>
      </w:r>
    </w:p>
    <w:p w14:paraId="7708F15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You might reasonably ask: why build a mathematical model when we could simply describe what we see at Lamoka Lake and propose an interpretation? The answer is that description tells us </w:t>
      </w:r>
      <w:r w:rsidRPr="009D048A">
        <w:rPr>
          <w:rFonts w:ascii="Times New Roman" w:hAnsi="Times New Roman" w:cs="Times New Roman"/>
          <w:i/>
          <w:iCs/>
          <w:sz w:val="21"/>
          <w:szCs w:val="21"/>
        </w:rPr>
        <w:t>what</w:t>
      </w:r>
      <w:r w:rsidRPr="009D048A">
        <w:rPr>
          <w:rFonts w:ascii="Times New Roman" w:hAnsi="Times New Roman" w:cs="Times New Roman"/>
          <w:sz w:val="21"/>
          <w:szCs w:val="21"/>
        </w:rPr>
        <w:t xml:space="preserve"> but not </w:t>
      </w:r>
      <w:r w:rsidRPr="009D048A">
        <w:rPr>
          <w:rFonts w:ascii="Times New Roman" w:hAnsi="Times New Roman" w:cs="Times New Roman"/>
          <w:i/>
          <w:iCs/>
          <w:sz w:val="21"/>
          <w:szCs w:val="21"/>
        </w:rPr>
        <w:t>when</w:t>
      </w:r>
      <w:r w:rsidRPr="009D048A">
        <w:rPr>
          <w:rFonts w:ascii="Times New Roman" w:hAnsi="Times New Roman" w:cs="Times New Roman"/>
          <w:sz w:val="21"/>
          <w:szCs w:val="21"/>
        </w:rPr>
        <w:t xml:space="preserve"> or </w:t>
      </w:r>
      <w:r w:rsidRPr="009D048A">
        <w:rPr>
          <w:rFonts w:ascii="Times New Roman" w:hAnsi="Times New Roman" w:cs="Times New Roman"/>
          <w:i/>
          <w:iCs/>
          <w:sz w:val="21"/>
          <w:szCs w:val="21"/>
        </w:rPr>
        <w:t>why</w:t>
      </w:r>
      <w:r w:rsidRPr="009D048A">
        <w:rPr>
          <w:rFonts w:ascii="Times New Roman" w:hAnsi="Times New Roman" w:cs="Times New Roman"/>
          <w:sz w:val="21"/>
          <w:szCs w:val="21"/>
        </w:rPr>
        <w:t>. A descriptive interpretation, for example “Lamoka Lake was a seasonal aggregation site,” leaves critical questions unanswered:</w:t>
      </w:r>
    </w:p>
    <w:p w14:paraId="2D1F48A9" w14:textId="77777777" w:rsidR="00506C35" w:rsidRPr="009D048A" w:rsidRDefault="00000000">
      <w:pPr>
        <w:pStyle w:val="Compact"/>
        <w:numPr>
          <w:ilvl w:val="0"/>
          <w:numId w:val="2"/>
        </w:numPr>
        <w:rPr>
          <w:rFonts w:ascii="Times New Roman" w:hAnsi="Times New Roman" w:cs="Times New Roman"/>
          <w:sz w:val="21"/>
          <w:szCs w:val="21"/>
        </w:rPr>
      </w:pPr>
      <w:r w:rsidRPr="009D048A">
        <w:rPr>
          <w:rFonts w:ascii="Times New Roman" w:hAnsi="Times New Roman" w:cs="Times New Roman"/>
          <w:sz w:val="21"/>
          <w:szCs w:val="21"/>
        </w:rPr>
        <w:t>Under what environmental conditions should we expect aggregation to emerge?</w:t>
      </w:r>
    </w:p>
    <w:p w14:paraId="24333BC3" w14:textId="77777777" w:rsidR="00506C35" w:rsidRPr="009D048A" w:rsidRDefault="00000000">
      <w:pPr>
        <w:pStyle w:val="Compact"/>
        <w:numPr>
          <w:ilvl w:val="0"/>
          <w:numId w:val="2"/>
        </w:numPr>
        <w:rPr>
          <w:rFonts w:ascii="Times New Roman" w:hAnsi="Times New Roman" w:cs="Times New Roman"/>
          <w:sz w:val="21"/>
          <w:szCs w:val="21"/>
        </w:rPr>
      </w:pPr>
      <w:r w:rsidRPr="009D048A">
        <w:rPr>
          <w:rFonts w:ascii="Times New Roman" w:hAnsi="Times New Roman" w:cs="Times New Roman"/>
          <w:sz w:val="21"/>
          <w:szCs w:val="21"/>
        </w:rPr>
        <w:t>How much environmental variability is “enough” to make aggregation worth the cost?</w:t>
      </w:r>
    </w:p>
    <w:p w14:paraId="5C885C70" w14:textId="77777777" w:rsidR="00506C35" w:rsidRPr="009D048A" w:rsidRDefault="00000000">
      <w:pPr>
        <w:pStyle w:val="Compact"/>
        <w:numPr>
          <w:ilvl w:val="0"/>
          <w:numId w:val="2"/>
        </w:numPr>
        <w:rPr>
          <w:rFonts w:ascii="Times New Roman" w:hAnsi="Times New Roman" w:cs="Times New Roman"/>
          <w:sz w:val="21"/>
          <w:szCs w:val="21"/>
        </w:rPr>
      </w:pPr>
      <w:r w:rsidRPr="009D048A">
        <w:rPr>
          <w:rFonts w:ascii="Times New Roman" w:hAnsi="Times New Roman" w:cs="Times New Roman"/>
          <w:sz w:val="21"/>
          <w:szCs w:val="21"/>
        </w:rPr>
        <w:t>What would cause the system to collapse?</w:t>
      </w:r>
    </w:p>
    <w:p w14:paraId="764F2228" w14:textId="77777777" w:rsidR="00506C35" w:rsidRPr="009D048A" w:rsidRDefault="00000000">
      <w:pPr>
        <w:pStyle w:val="Compact"/>
        <w:numPr>
          <w:ilvl w:val="0"/>
          <w:numId w:val="2"/>
        </w:numPr>
        <w:rPr>
          <w:rFonts w:ascii="Times New Roman" w:hAnsi="Times New Roman" w:cs="Times New Roman"/>
          <w:sz w:val="21"/>
          <w:szCs w:val="21"/>
        </w:rPr>
      </w:pPr>
      <w:r w:rsidRPr="009D048A">
        <w:rPr>
          <w:rFonts w:ascii="Times New Roman" w:hAnsi="Times New Roman" w:cs="Times New Roman"/>
          <w:sz w:val="21"/>
          <w:szCs w:val="21"/>
        </w:rPr>
        <w:t>Should we expect similar sites at other locations?</w:t>
      </w:r>
    </w:p>
    <w:p w14:paraId="54DE40D5" w14:textId="77777777" w:rsidR="00506C35" w:rsidRPr="009D048A" w:rsidRDefault="00000000">
      <w:pPr>
        <w:pStyle w:val="Compact"/>
        <w:numPr>
          <w:ilvl w:val="0"/>
          <w:numId w:val="2"/>
        </w:numPr>
        <w:rPr>
          <w:rFonts w:ascii="Times New Roman" w:hAnsi="Times New Roman" w:cs="Times New Roman"/>
          <w:sz w:val="21"/>
          <w:szCs w:val="21"/>
        </w:rPr>
      </w:pPr>
      <w:r w:rsidRPr="009D048A">
        <w:rPr>
          <w:rFonts w:ascii="Times New Roman" w:hAnsi="Times New Roman" w:cs="Times New Roman"/>
          <w:sz w:val="21"/>
          <w:szCs w:val="21"/>
        </w:rPr>
        <w:t xml:space="preserve">What specific evidence would </w:t>
      </w:r>
      <w:r w:rsidRPr="009D048A">
        <w:rPr>
          <w:rFonts w:ascii="Times New Roman" w:hAnsi="Times New Roman" w:cs="Times New Roman"/>
          <w:i/>
          <w:iCs/>
          <w:sz w:val="21"/>
          <w:szCs w:val="21"/>
        </w:rPr>
        <w:t>falsify</w:t>
      </w:r>
      <w:r w:rsidRPr="009D048A">
        <w:rPr>
          <w:rFonts w:ascii="Times New Roman" w:hAnsi="Times New Roman" w:cs="Times New Roman"/>
          <w:sz w:val="21"/>
          <w:szCs w:val="21"/>
        </w:rPr>
        <w:t xml:space="preserve"> the interpretation?</w:t>
      </w:r>
    </w:p>
    <w:p w14:paraId="6D69FF3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A formal model answers all of these questions. It gives us a number, a critical threshold of environmental variability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sz w:val="21"/>
          <w:szCs w:val="21"/>
        </w:rPr>
        <w:t>), that makes a precise, testable prediction: below that level of variability, independent foraging should dominate; above it, aggregation should emerge. It tells us what should happen if the environment stabilizes (the system should collapse, not strengthen). It tells us where to look for similar sites (at ecotone intersections, not random locations). And it tells us exactly what evidence would prove the model wrong.</w:t>
      </w:r>
    </w:p>
    <w:p w14:paraId="1671115D" w14:textId="77777777" w:rsidR="00506C35" w:rsidRPr="009D048A" w:rsidRDefault="00000000">
      <w:pPr>
        <w:pStyle w:val="Heading3"/>
        <w:rPr>
          <w:rFonts w:ascii="Times New Roman" w:hAnsi="Times New Roman" w:cs="Times New Roman"/>
          <w:sz w:val="22"/>
          <w:szCs w:val="22"/>
        </w:rPr>
      </w:pPr>
      <w:bookmarkStart w:id="5" w:name="what-a-dissertation-can-contribute"/>
      <w:bookmarkEnd w:id="4"/>
      <w:r w:rsidRPr="009D048A">
        <w:rPr>
          <w:rFonts w:ascii="Times New Roman" w:hAnsi="Times New Roman" w:cs="Times New Roman"/>
          <w:sz w:val="22"/>
          <w:szCs w:val="22"/>
        </w:rPr>
        <w:lastRenderedPageBreak/>
        <w:t>1.3 What a Dissertation Can Contribute</w:t>
      </w:r>
    </w:p>
    <w:p w14:paraId="0AB3E69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model published in the JAS manuscript is a </w:t>
      </w:r>
      <w:r w:rsidRPr="009D048A">
        <w:rPr>
          <w:rFonts w:ascii="Times New Roman" w:hAnsi="Times New Roman" w:cs="Times New Roman"/>
          <w:i/>
          <w:iCs/>
          <w:sz w:val="21"/>
          <w:szCs w:val="21"/>
        </w:rPr>
        <w:t>proposal</w:t>
      </w:r>
      <w:r w:rsidRPr="009D048A">
        <w:rPr>
          <w:rFonts w:ascii="Times New Roman" w:hAnsi="Times New Roman" w:cs="Times New Roman"/>
          <w:sz w:val="21"/>
          <w:szCs w:val="21"/>
        </w:rPr>
        <w:t>. It generates seven specific, falsifiable predictions, but those predictions remain untested. A dissertation project can take the model from proposal to evaluated hypothesis by:</w:t>
      </w:r>
    </w:p>
    <w:p w14:paraId="32A20579" w14:textId="77777777" w:rsidR="00506C35" w:rsidRPr="009D048A" w:rsidRDefault="00000000">
      <w:pPr>
        <w:pStyle w:val="Compact"/>
        <w:numPr>
          <w:ilvl w:val="0"/>
          <w:numId w:val="3"/>
        </w:numPr>
        <w:rPr>
          <w:rFonts w:ascii="Times New Roman" w:hAnsi="Times New Roman" w:cs="Times New Roman"/>
          <w:sz w:val="21"/>
          <w:szCs w:val="21"/>
        </w:rPr>
      </w:pPr>
      <w:r w:rsidRPr="009D048A">
        <w:rPr>
          <w:rFonts w:ascii="Times New Roman" w:hAnsi="Times New Roman" w:cs="Times New Roman"/>
          <w:sz w:val="21"/>
          <w:szCs w:val="21"/>
        </w:rPr>
        <w:t>Compiling and generating the data needed to test each prediction</w:t>
      </w:r>
    </w:p>
    <w:p w14:paraId="0CB8CBE6" w14:textId="77777777" w:rsidR="00506C35" w:rsidRPr="009D048A" w:rsidRDefault="00000000">
      <w:pPr>
        <w:pStyle w:val="Compact"/>
        <w:numPr>
          <w:ilvl w:val="0"/>
          <w:numId w:val="3"/>
        </w:numPr>
        <w:rPr>
          <w:rFonts w:ascii="Times New Roman" w:hAnsi="Times New Roman" w:cs="Times New Roman"/>
          <w:sz w:val="21"/>
          <w:szCs w:val="21"/>
        </w:rPr>
      </w:pPr>
      <w:r w:rsidRPr="009D048A">
        <w:rPr>
          <w:rFonts w:ascii="Times New Roman" w:hAnsi="Times New Roman" w:cs="Times New Roman"/>
          <w:sz w:val="21"/>
          <w:szCs w:val="21"/>
        </w:rPr>
        <w:t>Running the tests and reporting the results honestly, including failures</w:t>
      </w:r>
    </w:p>
    <w:p w14:paraId="28730156" w14:textId="77777777" w:rsidR="00506C35" w:rsidRPr="009D048A" w:rsidRDefault="00000000">
      <w:pPr>
        <w:pStyle w:val="Compact"/>
        <w:numPr>
          <w:ilvl w:val="0"/>
          <w:numId w:val="3"/>
        </w:numPr>
        <w:rPr>
          <w:rFonts w:ascii="Times New Roman" w:hAnsi="Times New Roman" w:cs="Times New Roman"/>
          <w:sz w:val="21"/>
          <w:szCs w:val="21"/>
        </w:rPr>
      </w:pPr>
      <w:r w:rsidRPr="009D048A">
        <w:rPr>
          <w:rFonts w:ascii="Times New Roman" w:hAnsi="Times New Roman" w:cs="Times New Roman"/>
          <w:sz w:val="21"/>
          <w:szCs w:val="21"/>
        </w:rPr>
        <w:t>Evaluating alternative hypotheses with the same data</w:t>
      </w:r>
    </w:p>
    <w:p w14:paraId="5F06FE5B" w14:textId="77777777" w:rsidR="00506C35" w:rsidRPr="009D048A" w:rsidRDefault="00000000">
      <w:pPr>
        <w:pStyle w:val="Compact"/>
        <w:numPr>
          <w:ilvl w:val="0"/>
          <w:numId w:val="3"/>
        </w:numPr>
        <w:rPr>
          <w:rFonts w:ascii="Times New Roman" w:hAnsi="Times New Roman" w:cs="Times New Roman"/>
          <w:sz w:val="21"/>
          <w:szCs w:val="21"/>
        </w:rPr>
      </w:pPr>
      <w:r w:rsidRPr="009D048A">
        <w:rPr>
          <w:rFonts w:ascii="Times New Roman" w:hAnsi="Times New Roman" w:cs="Times New Roman"/>
          <w:sz w:val="21"/>
          <w:szCs w:val="21"/>
        </w:rPr>
        <w:t>Refining the model parameters based on empirical findings</w:t>
      </w:r>
    </w:p>
    <w:p w14:paraId="2A58D92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guide walks you through the mathematics behind the model, explains how each variable maps to measurable archaeological and environmental data, and lays out a concrete research design for testing the model’s predictions.</w:t>
      </w:r>
    </w:p>
    <w:p w14:paraId="2D8F7CD1" w14:textId="77777777" w:rsidR="00506C35" w:rsidRPr="009D048A" w:rsidRDefault="00000000">
      <w:pPr>
        <w:pStyle w:val="Heading3"/>
        <w:rPr>
          <w:rFonts w:ascii="Times New Roman" w:hAnsi="Times New Roman" w:cs="Times New Roman"/>
          <w:sz w:val="22"/>
          <w:szCs w:val="22"/>
        </w:rPr>
      </w:pPr>
      <w:bookmarkStart w:id="6" w:name="roadmap"/>
      <w:bookmarkEnd w:id="5"/>
      <w:r w:rsidRPr="009D048A">
        <w:rPr>
          <w:rFonts w:ascii="Times New Roman" w:hAnsi="Times New Roman" w:cs="Times New Roman"/>
          <w:sz w:val="22"/>
          <w:szCs w:val="22"/>
        </w:rPr>
        <w:t>1.4 Roadmap</w:t>
      </w:r>
    </w:p>
    <w:p w14:paraId="74B43AF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document is organized in four parts:</w:t>
      </w:r>
    </w:p>
    <w:p w14:paraId="4147C650" w14:textId="77777777" w:rsidR="00506C35" w:rsidRPr="009D048A" w:rsidRDefault="00000000">
      <w:pPr>
        <w:pStyle w:val="Compact"/>
        <w:numPr>
          <w:ilvl w:val="0"/>
          <w:numId w:val="4"/>
        </w:numPr>
        <w:rPr>
          <w:rFonts w:ascii="Times New Roman" w:hAnsi="Times New Roman" w:cs="Times New Roman"/>
          <w:sz w:val="21"/>
          <w:szCs w:val="21"/>
        </w:rPr>
      </w:pPr>
      <w:r w:rsidRPr="009D048A">
        <w:rPr>
          <w:rFonts w:ascii="Times New Roman" w:hAnsi="Times New Roman" w:cs="Times New Roman"/>
          <w:b/>
          <w:bCs/>
          <w:sz w:val="21"/>
          <w:szCs w:val="21"/>
        </w:rPr>
        <w:t>Part I (Sections 1-3)</w:t>
      </w:r>
      <w:r w:rsidRPr="009D048A">
        <w:rPr>
          <w:rFonts w:ascii="Times New Roman" w:hAnsi="Times New Roman" w:cs="Times New Roman"/>
          <w:sz w:val="21"/>
          <w:szCs w:val="21"/>
        </w:rPr>
        <w:t>: The puzzle and the conceptual framework, in plain language</w:t>
      </w:r>
    </w:p>
    <w:p w14:paraId="798FD322" w14:textId="77777777" w:rsidR="00506C35" w:rsidRPr="009D048A" w:rsidRDefault="00000000">
      <w:pPr>
        <w:pStyle w:val="Compact"/>
        <w:numPr>
          <w:ilvl w:val="0"/>
          <w:numId w:val="4"/>
        </w:numPr>
        <w:rPr>
          <w:rFonts w:ascii="Times New Roman" w:hAnsi="Times New Roman" w:cs="Times New Roman"/>
          <w:sz w:val="21"/>
          <w:szCs w:val="21"/>
        </w:rPr>
      </w:pPr>
      <w:r w:rsidRPr="009D048A">
        <w:rPr>
          <w:rFonts w:ascii="Times New Roman" w:hAnsi="Times New Roman" w:cs="Times New Roman"/>
          <w:b/>
          <w:bCs/>
          <w:sz w:val="21"/>
          <w:szCs w:val="21"/>
        </w:rPr>
        <w:t>Part II (Sections 4-10)</w:t>
      </w:r>
      <w:r w:rsidRPr="009D048A">
        <w:rPr>
          <w:rFonts w:ascii="Times New Roman" w:hAnsi="Times New Roman" w:cs="Times New Roman"/>
          <w:sz w:val="21"/>
          <w:szCs w:val="21"/>
        </w:rPr>
        <w:t>: Building the mathematical model step by step, with every symbol explained</w:t>
      </w:r>
    </w:p>
    <w:p w14:paraId="1DA3CB05" w14:textId="77777777" w:rsidR="00506C35" w:rsidRPr="009D048A" w:rsidRDefault="00000000">
      <w:pPr>
        <w:pStyle w:val="Compact"/>
        <w:numPr>
          <w:ilvl w:val="0"/>
          <w:numId w:val="4"/>
        </w:numPr>
        <w:rPr>
          <w:rFonts w:ascii="Times New Roman" w:hAnsi="Times New Roman" w:cs="Times New Roman"/>
          <w:sz w:val="21"/>
          <w:szCs w:val="21"/>
        </w:rPr>
      </w:pPr>
      <w:r w:rsidRPr="009D048A">
        <w:rPr>
          <w:rFonts w:ascii="Times New Roman" w:hAnsi="Times New Roman" w:cs="Times New Roman"/>
          <w:b/>
          <w:bCs/>
          <w:sz w:val="21"/>
          <w:szCs w:val="21"/>
        </w:rPr>
        <w:t>Part III (Sections 11-12)</w:t>
      </w:r>
      <w:r w:rsidRPr="009D048A">
        <w:rPr>
          <w:rFonts w:ascii="Times New Roman" w:hAnsi="Times New Roman" w:cs="Times New Roman"/>
          <w:sz w:val="21"/>
          <w:szCs w:val="21"/>
        </w:rPr>
        <w:t>: The complete model and what simulations add</w:t>
      </w:r>
    </w:p>
    <w:p w14:paraId="2FB04879" w14:textId="77777777" w:rsidR="00506C35" w:rsidRPr="009D048A" w:rsidRDefault="00000000">
      <w:pPr>
        <w:pStyle w:val="Compact"/>
        <w:numPr>
          <w:ilvl w:val="0"/>
          <w:numId w:val="4"/>
        </w:numPr>
        <w:rPr>
          <w:rFonts w:ascii="Times New Roman" w:hAnsi="Times New Roman" w:cs="Times New Roman"/>
          <w:sz w:val="21"/>
          <w:szCs w:val="21"/>
        </w:rPr>
      </w:pPr>
      <w:r w:rsidRPr="009D048A">
        <w:rPr>
          <w:rFonts w:ascii="Times New Roman" w:hAnsi="Times New Roman" w:cs="Times New Roman"/>
          <w:b/>
          <w:bCs/>
          <w:sz w:val="21"/>
          <w:szCs w:val="21"/>
        </w:rPr>
        <w:t>Part IV (Sections 13-17)</w:t>
      </w:r>
      <w:r w:rsidRPr="009D048A">
        <w:rPr>
          <w:rFonts w:ascii="Times New Roman" w:hAnsi="Times New Roman" w:cs="Times New Roman"/>
          <w:sz w:val="21"/>
          <w:szCs w:val="21"/>
        </w:rPr>
        <w:t>: A concrete research design for testing the model</w:t>
      </w:r>
    </w:p>
    <w:p w14:paraId="18D912A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Each section in Part II follows the same template: (1) what we are adding and why, in plain language; (2) the math, with intuitive explanation of every symbol; (3) how to measure or estimate this in the archaeological and environmental record; and (4) what the parameter values are for Lamoka Lake and why.</w:t>
      </w:r>
    </w:p>
    <w:p w14:paraId="5AACD865"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14280618">
          <v:rect id="_x0000_i1049" alt="" style="width:468pt;height:.05pt;mso-width-percent:0;mso-height-percent:0;mso-width-percent:0;mso-height-percent:0" o:hralign="center" o:hrstd="t" o:hr="t"/>
        </w:pict>
      </w:r>
    </w:p>
    <w:p w14:paraId="33F68B16" w14:textId="77777777" w:rsidR="00506C35" w:rsidRPr="009D048A" w:rsidRDefault="00000000">
      <w:pPr>
        <w:pStyle w:val="Heading2"/>
        <w:rPr>
          <w:rFonts w:ascii="Times New Roman" w:hAnsi="Times New Roman" w:cs="Times New Roman"/>
          <w:sz w:val="24"/>
          <w:szCs w:val="24"/>
        </w:rPr>
      </w:pPr>
      <w:bookmarkStart w:id="7" w:name="the-core-idea-in-plain-language"/>
      <w:bookmarkEnd w:id="2"/>
      <w:bookmarkEnd w:id="6"/>
      <w:r w:rsidRPr="009D048A">
        <w:rPr>
          <w:rFonts w:ascii="Times New Roman" w:hAnsi="Times New Roman" w:cs="Times New Roman"/>
          <w:sz w:val="24"/>
          <w:szCs w:val="24"/>
        </w:rPr>
        <w:t>2. The Core Idea in Plain Language</w:t>
      </w:r>
    </w:p>
    <w:p w14:paraId="14429027" w14:textId="77777777" w:rsidR="00506C35" w:rsidRPr="009D048A" w:rsidRDefault="00000000">
      <w:pPr>
        <w:pStyle w:val="Heading3"/>
        <w:rPr>
          <w:rFonts w:ascii="Times New Roman" w:hAnsi="Times New Roman" w:cs="Times New Roman"/>
          <w:sz w:val="22"/>
          <w:szCs w:val="22"/>
        </w:rPr>
      </w:pPr>
      <w:bookmarkStart w:id="8" w:name="Xb3ea438a6e98e4157107afaa2db3ee851c27f29"/>
      <w:r w:rsidRPr="009D048A">
        <w:rPr>
          <w:rFonts w:ascii="Times New Roman" w:hAnsi="Times New Roman" w:cs="Times New Roman"/>
          <w:sz w:val="22"/>
          <w:szCs w:val="22"/>
        </w:rPr>
        <w:t>2.1 The Intuition: Insurance Under Uncertainty</w:t>
      </w:r>
    </w:p>
    <w:p w14:paraId="58A0F4B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Imagine you are a hunter-gatherer band of 20 people living in the Finger Lakes region around 3000 BCE. Every fall, you face a decision: do you stay in your home range and harvest whatever the local area provides? Or do you travel to a lakeside site where other bands are gathering, invest time and labor in shared infrastructure (storage pits, fish weirs, smoking platforms), and participate in communal food processing?</w:t>
      </w:r>
    </w:p>
    <w:p w14:paraId="31DA0F4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Staying home is simpler. You avoid travel costs, you do not have to share, and you can focus entirely on your own foraging. But you are also alone. If your local area has a bad year, poor nut harvest, fewer deer, low fish runs, you bear that loss entirely by yourself.</w:t>
      </w:r>
    </w:p>
    <w:p w14:paraId="158963C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Going to the aggregation site costs you something: the energy to travel, the labor to help build and maintain shared facilities, the foraging opportunities you miss while at the site. But you gain three things in return:</w:t>
      </w:r>
    </w:p>
    <w:p w14:paraId="52C661C0" w14:textId="77777777" w:rsidR="00506C35" w:rsidRPr="009D048A" w:rsidRDefault="00000000">
      <w:pPr>
        <w:numPr>
          <w:ilvl w:val="0"/>
          <w:numId w:val="5"/>
        </w:numPr>
        <w:rPr>
          <w:rFonts w:ascii="Times New Roman" w:hAnsi="Times New Roman" w:cs="Times New Roman"/>
          <w:sz w:val="21"/>
          <w:szCs w:val="21"/>
        </w:rPr>
      </w:pPr>
      <w:r w:rsidRPr="009D048A">
        <w:rPr>
          <w:rFonts w:ascii="Times New Roman" w:hAnsi="Times New Roman" w:cs="Times New Roman"/>
          <w:b/>
          <w:bCs/>
          <w:sz w:val="21"/>
          <w:szCs w:val="21"/>
        </w:rPr>
        <w:t>Access to multiple ecological zones.</w:t>
      </w:r>
      <w:r w:rsidRPr="009D048A">
        <w:rPr>
          <w:rFonts w:ascii="Times New Roman" w:hAnsi="Times New Roman" w:cs="Times New Roman"/>
          <w:sz w:val="21"/>
          <w:szCs w:val="21"/>
        </w:rPr>
        <w:t xml:space="preserve"> The aggregation site sits at the intersection of lake, forest, wetland, and upland environments. If the nut crop fails, maybe the fish runs are good. If terrestrial game is scarce, maybe the wetlands are productive. By being at the intersection, you are hedging your bets across multiple resource types.</w:t>
      </w:r>
    </w:p>
    <w:p w14:paraId="1FA0D805" w14:textId="77777777" w:rsidR="00506C35" w:rsidRPr="009D048A" w:rsidRDefault="00000000">
      <w:pPr>
        <w:numPr>
          <w:ilvl w:val="0"/>
          <w:numId w:val="5"/>
        </w:numPr>
        <w:rPr>
          <w:rFonts w:ascii="Times New Roman" w:hAnsi="Times New Roman" w:cs="Times New Roman"/>
          <w:sz w:val="21"/>
          <w:szCs w:val="21"/>
        </w:rPr>
      </w:pPr>
      <w:r w:rsidRPr="009D048A">
        <w:rPr>
          <w:rFonts w:ascii="Times New Roman" w:hAnsi="Times New Roman" w:cs="Times New Roman"/>
          <w:b/>
          <w:bCs/>
          <w:sz w:val="21"/>
          <w:szCs w:val="21"/>
        </w:rPr>
        <w:t>Communal processing returns.</w:t>
      </w:r>
      <w:r w:rsidRPr="009D048A">
        <w:rPr>
          <w:rFonts w:ascii="Times New Roman" w:hAnsi="Times New Roman" w:cs="Times New Roman"/>
          <w:sz w:val="21"/>
          <w:szCs w:val="21"/>
        </w:rPr>
        <w:t xml:space="preserve"> More hands make lighter work. Fish weirs are more productive per person when more people operate them. Nut processing is faster and more efficient with division of labor. You get more food per unit of effort than you would working alone.</w:t>
      </w:r>
    </w:p>
    <w:p w14:paraId="788C066A" w14:textId="77777777" w:rsidR="00506C35" w:rsidRPr="009D048A" w:rsidRDefault="00000000">
      <w:pPr>
        <w:numPr>
          <w:ilvl w:val="0"/>
          <w:numId w:val="5"/>
        </w:numPr>
        <w:rPr>
          <w:rFonts w:ascii="Times New Roman" w:hAnsi="Times New Roman" w:cs="Times New Roman"/>
          <w:sz w:val="21"/>
          <w:szCs w:val="21"/>
        </w:rPr>
      </w:pPr>
      <w:r w:rsidRPr="009D048A">
        <w:rPr>
          <w:rFonts w:ascii="Times New Roman" w:hAnsi="Times New Roman" w:cs="Times New Roman"/>
          <w:b/>
          <w:bCs/>
          <w:sz w:val="21"/>
          <w:szCs w:val="21"/>
        </w:rPr>
        <w:lastRenderedPageBreak/>
        <w:t>Social insurance.</w:t>
      </w:r>
      <w:r w:rsidRPr="009D048A">
        <w:rPr>
          <w:rFonts w:ascii="Times New Roman" w:hAnsi="Times New Roman" w:cs="Times New Roman"/>
          <w:sz w:val="21"/>
          <w:szCs w:val="21"/>
        </w:rPr>
        <w:t xml:space="preserve"> By aggregating with other bands, you build reciprocal relationships. If your band has a tough winter, you can call on bands you helped last year. These relationships are a safety net.</w:t>
      </w:r>
    </w:p>
    <w:p w14:paraId="2EDEFF1A" w14:textId="77777777" w:rsidR="00506C35" w:rsidRPr="009D048A" w:rsidRDefault="00000000">
      <w:pPr>
        <w:pStyle w:val="Heading3"/>
        <w:rPr>
          <w:rFonts w:ascii="Times New Roman" w:hAnsi="Times New Roman" w:cs="Times New Roman"/>
          <w:sz w:val="22"/>
          <w:szCs w:val="22"/>
        </w:rPr>
      </w:pPr>
      <w:bookmarkStart w:id="9" w:name="the-insurance-analogy"/>
      <w:bookmarkEnd w:id="8"/>
      <w:r w:rsidRPr="009D048A">
        <w:rPr>
          <w:rFonts w:ascii="Times New Roman" w:hAnsi="Times New Roman" w:cs="Times New Roman"/>
          <w:sz w:val="22"/>
          <w:szCs w:val="22"/>
        </w:rPr>
        <w:t>2.2 The Insurance Analogy</w:t>
      </w:r>
    </w:p>
    <w:p w14:paraId="3BED662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Think of aggregation as buying insurance. Insurance costs money (the premium). In good years, you “wasted” that premium, you would have been fine without it. But in bad years, insurance pays off, possibly saving you from ruin.</w:t>
      </w:r>
    </w:p>
    <w:p w14:paraId="1D75D57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key insight is that whether insurance is worth buying depends on </w:t>
      </w:r>
      <w:r w:rsidRPr="009D048A">
        <w:rPr>
          <w:rFonts w:ascii="Times New Roman" w:hAnsi="Times New Roman" w:cs="Times New Roman"/>
          <w:i/>
          <w:iCs/>
          <w:sz w:val="21"/>
          <w:szCs w:val="21"/>
        </w:rPr>
        <w:t>how variable</w:t>
      </w:r>
      <w:r w:rsidRPr="009D048A">
        <w:rPr>
          <w:rFonts w:ascii="Times New Roman" w:hAnsi="Times New Roman" w:cs="Times New Roman"/>
          <w:sz w:val="21"/>
          <w:szCs w:val="21"/>
        </w:rPr>
        <w:t xml:space="preserve"> your situation is:</w:t>
      </w:r>
    </w:p>
    <w:p w14:paraId="4C8B1F81" w14:textId="77777777" w:rsidR="00506C35" w:rsidRPr="009D048A" w:rsidRDefault="00000000">
      <w:pPr>
        <w:pStyle w:val="Compact"/>
        <w:numPr>
          <w:ilvl w:val="0"/>
          <w:numId w:val="6"/>
        </w:numPr>
        <w:rPr>
          <w:rFonts w:ascii="Times New Roman" w:hAnsi="Times New Roman" w:cs="Times New Roman"/>
          <w:sz w:val="21"/>
          <w:szCs w:val="21"/>
        </w:rPr>
      </w:pPr>
      <w:r w:rsidRPr="009D048A">
        <w:rPr>
          <w:rFonts w:ascii="Times New Roman" w:hAnsi="Times New Roman" w:cs="Times New Roman"/>
          <w:sz w:val="21"/>
          <w:szCs w:val="21"/>
        </w:rPr>
        <w:t>If your house will definitely not burn down, fire insurance is a waste of money.</w:t>
      </w:r>
    </w:p>
    <w:p w14:paraId="10447993" w14:textId="77777777" w:rsidR="00506C35" w:rsidRPr="009D048A" w:rsidRDefault="00000000">
      <w:pPr>
        <w:pStyle w:val="Compact"/>
        <w:numPr>
          <w:ilvl w:val="0"/>
          <w:numId w:val="6"/>
        </w:numPr>
        <w:rPr>
          <w:rFonts w:ascii="Times New Roman" w:hAnsi="Times New Roman" w:cs="Times New Roman"/>
          <w:sz w:val="21"/>
          <w:szCs w:val="21"/>
        </w:rPr>
      </w:pPr>
      <w:r w:rsidRPr="009D048A">
        <w:rPr>
          <w:rFonts w:ascii="Times New Roman" w:hAnsi="Times New Roman" w:cs="Times New Roman"/>
          <w:sz w:val="21"/>
          <w:szCs w:val="21"/>
        </w:rPr>
        <w:t>If your house has a 50% chance of burning down each year, fire insurance is essential.</w:t>
      </w:r>
    </w:p>
    <w:p w14:paraId="2DF8AA7C" w14:textId="77777777" w:rsidR="00506C35" w:rsidRPr="009D048A" w:rsidRDefault="00000000">
      <w:pPr>
        <w:pStyle w:val="Compact"/>
        <w:numPr>
          <w:ilvl w:val="0"/>
          <w:numId w:val="6"/>
        </w:numPr>
        <w:rPr>
          <w:rFonts w:ascii="Times New Roman" w:hAnsi="Times New Roman" w:cs="Times New Roman"/>
          <w:sz w:val="21"/>
          <w:szCs w:val="21"/>
        </w:rPr>
      </w:pPr>
      <w:r w:rsidRPr="009D048A">
        <w:rPr>
          <w:rFonts w:ascii="Times New Roman" w:hAnsi="Times New Roman" w:cs="Times New Roman"/>
          <w:sz w:val="21"/>
          <w:szCs w:val="21"/>
        </w:rPr>
        <w:t>Somewhere in between, there is a tipping point where the expected payoff of insurance exactly equals its cost.</w:t>
      </w:r>
    </w:p>
    <w:p w14:paraId="37B125B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That tipping point is what we call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the </w:t>
      </w:r>
      <w:r w:rsidRPr="009D048A">
        <w:rPr>
          <w:rFonts w:ascii="Times New Roman" w:hAnsi="Times New Roman" w:cs="Times New Roman"/>
          <w:b/>
          <w:bCs/>
          <w:sz w:val="21"/>
          <w:szCs w:val="21"/>
        </w:rPr>
        <w:t>critical threshold of environmental uncertainty</w:t>
      </w:r>
      <w:r w:rsidRPr="009D048A">
        <w:rPr>
          <w:rFonts w:ascii="Times New Roman" w:hAnsi="Times New Roman" w:cs="Times New Roman"/>
          <w:sz w:val="21"/>
          <w:szCs w:val="21"/>
        </w:rPr>
        <w:t xml:space="preserve">. Below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the environment is stable enough that the “insurance premium” of aggregation (travel costs, shared labor, lost foraging time) is not worth paying. Above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the environment is variable enough that the insurance value (ecotone buffering, communal returns, social networks) more than compensates for the costs.</w:t>
      </w:r>
    </w:p>
    <w:p w14:paraId="2200F969" w14:textId="77777777" w:rsidR="00506C35" w:rsidRPr="009D048A" w:rsidRDefault="00000000">
      <w:pPr>
        <w:pStyle w:val="Heading3"/>
        <w:rPr>
          <w:rFonts w:ascii="Times New Roman" w:hAnsi="Times New Roman" w:cs="Times New Roman"/>
          <w:sz w:val="22"/>
          <w:szCs w:val="22"/>
        </w:rPr>
      </w:pPr>
      <w:bookmarkStart w:id="10" w:name="two-strategies-aggregate-vs.-go-it-alone"/>
      <w:bookmarkEnd w:id="9"/>
      <w:r w:rsidRPr="009D048A">
        <w:rPr>
          <w:rFonts w:ascii="Times New Roman" w:hAnsi="Times New Roman" w:cs="Times New Roman"/>
          <w:sz w:val="22"/>
          <w:szCs w:val="22"/>
        </w:rPr>
        <w:t>2.3 Two Strategies: Aggregate vs. Go It Alone</w:t>
      </w:r>
    </w:p>
    <w:p w14:paraId="1A6CE46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model formalizes this intuition as a choice between two strategies:</w:t>
      </w:r>
    </w:p>
    <w:p w14:paraId="5E82D9D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Strategy 1: Aggregate.</w:t>
      </w:r>
      <w:r w:rsidRPr="009D048A">
        <w:rPr>
          <w:rFonts w:ascii="Times New Roman" w:hAnsi="Times New Roman" w:cs="Times New Roman"/>
          <w:sz w:val="21"/>
          <w:szCs w:val="21"/>
        </w:rPr>
        <w:t xml:space="preserve"> Travel to the lakeside site in fall. Invest in shared infrastructure. Participate in communal processing. Build reciprocal relationships. Pay costs, but gain insurance and cooperation benefits.</w:t>
      </w:r>
    </w:p>
    <w:p w14:paraId="5CEB330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Strategy 2: Independent.</w:t>
      </w:r>
      <w:r w:rsidRPr="009D048A">
        <w:rPr>
          <w:rFonts w:ascii="Times New Roman" w:hAnsi="Times New Roman" w:cs="Times New Roman"/>
          <w:sz w:val="21"/>
          <w:szCs w:val="21"/>
        </w:rPr>
        <w:t xml:space="preserve"> Stay in your home range year-round. Forage alone. Keep everything you produce. Pay no cooperation costs, but bear all environmental risk yourself.</w:t>
      </w:r>
    </w:p>
    <w:p w14:paraId="4611FA1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Neither strategy is always better. Each wins under different conditions. The model’s job is to identify the exact conditions under which each strategy dominates.</w:t>
      </w:r>
    </w:p>
    <w:p w14:paraId="3AB46766"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drawing>
          <wp:inline distT="0" distB="0" distL="0" distR="0" wp14:anchorId="40000DBA" wp14:editId="5D1B6585">
            <wp:extent cx="5334000" cy="2222350"/>
            <wp:effectExtent l="0" t="0" r="0" b="0"/>
            <wp:docPr id="18" name="Picture" descr="Figure 1. Two strategies under uncertainty. Panel A shows a stable environment where both strategies perform similarly. Panel B shows a variable environment where aggregators (blue) have smoother returns while independents (red) suffer frequent shortfall years (triangles)."/>
            <wp:cNvGraphicFramePr/>
            <a:graphic xmlns:a="http://schemas.openxmlformats.org/drawingml/2006/main">
              <a:graphicData uri="http://schemas.openxmlformats.org/drawingml/2006/picture">
                <pic:pic xmlns:pic="http://schemas.openxmlformats.org/drawingml/2006/picture">
                  <pic:nvPicPr>
                    <pic:cNvPr id="19" name="Picture" descr="figures/fig_01_two_strategies.png"/>
                    <pic:cNvPicPr>
                      <a:picLocks noChangeAspect="1" noChangeArrowheads="1"/>
                    </pic:cNvPicPr>
                  </pic:nvPicPr>
                  <pic:blipFill>
                    <a:blip r:embed="rId5"/>
                    <a:stretch>
                      <a:fillRect/>
                    </a:stretch>
                  </pic:blipFill>
                  <pic:spPr bwMode="auto">
                    <a:xfrm>
                      <a:off x="0" y="0"/>
                      <a:ext cx="5334000" cy="2222350"/>
                    </a:xfrm>
                    <a:prstGeom prst="rect">
                      <a:avLst/>
                    </a:prstGeom>
                    <a:noFill/>
                    <a:ln w="9525">
                      <a:noFill/>
                      <a:headEnd/>
                      <a:tailEnd/>
                    </a:ln>
                  </pic:spPr>
                </pic:pic>
              </a:graphicData>
            </a:graphic>
          </wp:inline>
        </w:drawing>
      </w:r>
    </w:p>
    <w:p w14:paraId="35EF977C"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1. Two strategies under uncertainty. Panel A shows a stable environment where both strategies perform similarly. Panel B shows a variable environment where aggregators (blue) have smoother returns while independents (red) suffer frequent shortfall years (triangles).</w:t>
      </w:r>
    </w:p>
    <w:p w14:paraId="43934B4F" w14:textId="77777777" w:rsidR="00506C35" w:rsidRPr="009D048A" w:rsidRDefault="00000000">
      <w:pPr>
        <w:pStyle w:val="Heading3"/>
        <w:rPr>
          <w:rFonts w:ascii="Times New Roman" w:hAnsi="Times New Roman" w:cs="Times New Roman"/>
          <w:sz w:val="22"/>
          <w:szCs w:val="22"/>
        </w:rPr>
      </w:pPr>
      <w:bookmarkStart w:id="11" w:name="the-threshold-concept"/>
      <w:bookmarkEnd w:id="10"/>
      <w:r w:rsidRPr="009D048A">
        <w:rPr>
          <w:rFonts w:ascii="Times New Roman" w:hAnsi="Times New Roman" w:cs="Times New Roman"/>
          <w:sz w:val="22"/>
          <w:szCs w:val="22"/>
        </w:rPr>
        <w:lastRenderedPageBreak/>
        <w:t>2.4 The Threshold Concept</w:t>
      </w:r>
    </w:p>
    <w:p w14:paraId="04BCF8A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Here is the central result of the model, stated in plain language:</w:t>
      </w:r>
    </w:p>
    <w:p w14:paraId="609D0306" w14:textId="77777777" w:rsidR="00506C35" w:rsidRPr="009D048A" w:rsidRDefault="00000000">
      <w:pPr>
        <w:pStyle w:val="BlockText"/>
        <w:rPr>
          <w:rFonts w:ascii="Times New Roman" w:hAnsi="Times New Roman" w:cs="Times New Roman"/>
          <w:sz w:val="21"/>
          <w:szCs w:val="21"/>
        </w:rPr>
      </w:pPr>
      <w:r w:rsidRPr="009D048A">
        <w:rPr>
          <w:rFonts w:ascii="Times New Roman" w:hAnsi="Times New Roman" w:cs="Times New Roman"/>
          <w:sz w:val="21"/>
          <w:szCs w:val="21"/>
        </w:rPr>
        <w:t xml:space="preserve">There exists a specific level of environmental variability, which we call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below which independent foraging is the better strategy and above which aggregation is the better strategy.</w:t>
      </w:r>
    </w:p>
    <w:p w14:paraId="0289F8E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For Lamoka Lake,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sz w:val="21"/>
          <w:szCs w:val="21"/>
        </w:rPr>
        <w:t>. This means that if the Finger Lakes environment during the Late Archaic had a coefficient of variation in annual resource returns greater than about 0.31, aggregation should have been the dominant strategy.</w:t>
      </w:r>
    </w:p>
    <w:p w14:paraId="021DF20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What does a CV of 0.31 feel like in practical terms? It means that if the average band’s annual food intake is 1,000 units, the standard deviation is 310 units. In a typical year, returns might range from about 690 to 1,310 (within one standard deviation of the mean). Roughly one year in six, returns would fall below 690, which for a band of 20 people could mean serious hunger. One year in twenty, returns would fall below about 380, which could mean starvation. That is the level of unpredictability at which the insurance value of aggregation starts to outweigh its costs.</w:t>
      </w:r>
    </w:p>
    <w:p w14:paraId="51DB076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estimated environmental variability for the Finger Lakes during this period is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w:t>
      </w:r>
      <m:oMath>
        <m:r>
          <w:rPr>
            <w:rFonts w:ascii="Cambria Math" w:hAnsi="Cambria Math" w:cs="Times New Roman"/>
            <w:sz w:val="21"/>
            <w:szCs w:val="21"/>
          </w:rPr>
          <m:t>0.45</m:t>
        </m:r>
      </m:oMath>
      <w:r w:rsidRPr="009D048A">
        <w:rPr>
          <w:rFonts w:ascii="Times New Roman" w:hAnsi="Times New Roman" w:cs="Times New Roman"/>
          <w:sz w:val="21"/>
          <w:szCs w:val="21"/>
        </w:rPr>
        <w:t>, well above the threshold. The model predicts aggregation, and that is what we observe.</w:t>
      </w:r>
    </w:p>
    <w:p w14:paraId="5AB70958" w14:textId="77777777" w:rsidR="00506C35" w:rsidRPr="009D048A" w:rsidRDefault="00000000">
      <w:pPr>
        <w:pStyle w:val="Heading3"/>
        <w:rPr>
          <w:rFonts w:ascii="Times New Roman" w:hAnsi="Times New Roman" w:cs="Times New Roman"/>
          <w:sz w:val="22"/>
          <w:szCs w:val="22"/>
        </w:rPr>
      </w:pPr>
      <w:bookmarkStart w:id="12" w:name="why-lamoka-lake"/>
      <w:bookmarkEnd w:id="11"/>
      <w:r w:rsidRPr="009D048A">
        <w:rPr>
          <w:rFonts w:ascii="Times New Roman" w:hAnsi="Times New Roman" w:cs="Times New Roman"/>
          <w:sz w:val="22"/>
          <w:szCs w:val="22"/>
        </w:rPr>
        <w:t>2.5 Why Lamoka Lake?</w:t>
      </w:r>
    </w:p>
    <w:p w14:paraId="3AEE69D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model does not just predict </w:t>
      </w:r>
      <w:r w:rsidRPr="009D048A">
        <w:rPr>
          <w:rFonts w:ascii="Times New Roman" w:hAnsi="Times New Roman" w:cs="Times New Roman"/>
          <w:i/>
          <w:iCs/>
          <w:sz w:val="21"/>
          <w:szCs w:val="21"/>
        </w:rPr>
        <w:t>that</w:t>
      </w:r>
      <w:r w:rsidRPr="009D048A">
        <w:rPr>
          <w:rFonts w:ascii="Times New Roman" w:hAnsi="Times New Roman" w:cs="Times New Roman"/>
          <w:sz w:val="21"/>
          <w:szCs w:val="21"/>
        </w:rPr>
        <w:t xml:space="preserve"> aggregation should occur; it predicts </w:t>
      </w:r>
      <w:r w:rsidRPr="009D048A">
        <w:rPr>
          <w:rFonts w:ascii="Times New Roman" w:hAnsi="Times New Roman" w:cs="Times New Roman"/>
          <w:i/>
          <w:iCs/>
          <w:sz w:val="21"/>
          <w:szCs w:val="21"/>
        </w:rPr>
        <w:t>where</w:t>
      </w:r>
      <w:r w:rsidRPr="009D048A">
        <w:rPr>
          <w:rFonts w:ascii="Times New Roman" w:hAnsi="Times New Roman" w:cs="Times New Roman"/>
          <w:sz w:val="21"/>
          <w:szCs w:val="21"/>
        </w:rPr>
        <w:t>. Not every location makes a good aggregation site. What makes Lamoka Lake special is its position at the intersection of five ecological zones:</w:t>
      </w:r>
    </w:p>
    <w:p w14:paraId="675FDE2F" w14:textId="77777777" w:rsidR="00506C35" w:rsidRPr="009D048A" w:rsidRDefault="00000000">
      <w:pPr>
        <w:pStyle w:val="Compact"/>
        <w:numPr>
          <w:ilvl w:val="0"/>
          <w:numId w:val="7"/>
        </w:numPr>
        <w:rPr>
          <w:rFonts w:ascii="Times New Roman" w:hAnsi="Times New Roman" w:cs="Times New Roman"/>
          <w:sz w:val="21"/>
          <w:szCs w:val="21"/>
        </w:rPr>
      </w:pPr>
      <w:r w:rsidRPr="009D048A">
        <w:rPr>
          <w:rFonts w:ascii="Times New Roman" w:hAnsi="Times New Roman" w:cs="Times New Roman"/>
          <w:b/>
          <w:bCs/>
          <w:sz w:val="21"/>
          <w:szCs w:val="21"/>
        </w:rPr>
        <w:t>Lacustrine</w:t>
      </w:r>
      <w:r w:rsidRPr="009D048A">
        <w:rPr>
          <w:rFonts w:ascii="Times New Roman" w:hAnsi="Times New Roman" w:cs="Times New Roman"/>
          <w:sz w:val="21"/>
          <w:szCs w:val="21"/>
        </w:rPr>
        <w:t xml:space="preserve"> (the lake itself): fish, waterfowl, mussels</w:t>
      </w:r>
    </w:p>
    <w:p w14:paraId="63DB92EE" w14:textId="77777777" w:rsidR="00506C35" w:rsidRPr="009D048A" w:rsidRDefault="00000000">
      <w:pPr>
        <w:pStyle w:val="Compact"/>
        <w:numPr>
          <w:ilvl w:val="0"/>
          <w:numId w:val="7"/>
        </w:numPr>
        <w:rPr>
          <w:rFonts w:ascii="Times New Roman" w:hAnsi="Times New Roman" w:cs="Times New Roman"/>
          <w:sz w:val="21"/>
          <w:szCs w:val="21"/>
        </w:rPr>
      </w:pPr>
      <w:r w:rsidRPr="009D048A">
        <w:rPr>
          <w:rFonts w:ascii="Times New Roman" w:hAnsi="Times New Roman" w:cs="Times New Roman"/>
          <w:b/>
          <w:bCs/>
          <w:sz w:val="21"/>
          <w:szCs w:val="21"/>
        </w:rPr>
        <w:t>Upland forest</w:t>
      </w:r>
      <w:r w:rsidRPr="009D048A">
        <w:rPr>
          <w:rFonts w:ascii="Times New Roman" w:hAnsi="Times New Roman" w:cs="Times New Roman"/>
          <w:sz w:val="21"/>
          <w:szCs w:val="21"/>
        </w:rPr>
        <w:t xml:space="preserve"> (ridges between lakes): deer, turkey, small mammals</w:t>
      </w:r>
    </w:p>
    <w:p w14:paraId="79A096D7" w14:textId="77777777" w:rsidR="00506C35" w:rsidRPr="009D048A" w:rsidRDefault="00000000">
      <w:pPr>
        <w:pStyle w:val="Compact"/>
        <w:numPr>
          <w:ilvl w:val="0"/>
          <w:numId w:val="7"/>
        </w:numPr>
        <w:rPr>
          <w:rFonts w:ascii="Times New Roman" w:hAnsi="Times New Roman" w:cs="Times New Roman"/>
          <w:sz w:val="21"/>
          <w:szCs w:val="21"/>
        </w:rPr>
      </w:pPr>
      <w:r w:rsidRPr="009D048A">
        <w:rPr>
          <w:rFonts w:ascii="Times New Roman" w:hAnsi="Times New Roman" w:cs="Times New Roman"/>
          <w:b/>
          <w:bCs/>
          <w:sz w:val="21"/>
          <w:szCs w:val="21"/>
        </w:rPr>
        <w:t>Mast forest</w:t>
      </w:r>
      <w:r w:rsidRPr="009D048A">
        <w:rPr>
          <w:rFonts w:ascii="Times New Roman" w:hAnsi="Times New Roman" w:cs="Times New Roman"/>
          <w:sz w:val="21"/>
          <w:szCs w:val="21"/>
        </w:rPr>
        <w:t xml:space="preserve"> (nut-bearing trees): hickory, walnut, acorn</w:t>
      </w:r>
    </w:p>
    <w:p w14:paraId="20C7A2E7" w14:textId="77777777" w:rsidR="00506C35" w:rsidRPr="009D048A" w:rsidRDefault="00000000">
      <w:pPr>
        <w:pStyle w:val="Compact"/>
        <w:numPr>
          <w:ilvl w:val="0"/>
          <w:numId w:val="7"/>
        </w:numPr>
        <w:rPr>
          <w:rFonts w:ascii="Times New Roman" w:hAnsi="Times New Roman" w:cs="Times New Roman"/>
          <w:sz w:val="21"/>
          <w:szCs w:val="21"/>
        </w:rPr>
      </w:pPr>
      <w:r w:rsidRPr="009D048A">
        <w:rPr>
          <w:rFonts w:ascii="Times New Roman" w:hAnsi="Times New Roman" w:cs="Times New Roman"/>
          <w:b/>
          <w:bCs/>
          <w:sz w:val="21"/>
          <w:szCs w:val="21"/>
        </w:rPr>
        <w:t>Wetland</w:t>
      </w:r>
      <w:r w:rsidRPr="009D048A">
        <w:rPr>
          <w:rFonts w:ascii="Times New Roman" w:hAnsi="Times New Roman" w:cs="Times New Roman"/>
          <w:sz w:val="21"/>
          <w:szCs w:val="21"/>
        </w:rPr>
        <w:t xml:space="preserve"> (stream corridors and margins): fish, turtles, aquatic plants</w:t>
      </w:r>
    </w:p>
    <w:p w14:paraId="25C147DE" w14:textId="77777777" w:rsidR="00506C35" w:rsidRPr="009D048A" w:rsidRDefault="00000000">
      <w:pPr>
        <w:pStyle w:val="Compact"/>
        <w:numPr>
          <w:ilvl w:val="0"/>
          <w:numId w:val="7"/>
        </w:numPr>
        <w:rPr>
          <w:rFonts w:ascii="Times New Roman" w:hAnsi="Times New Roman" w:cs="Times New Roman"/>
          <w:sz w:val="21"/>
          <w:szCs w:val="21"/>
        </w:rPr>
      </w:pPr>
      <w:r w:rsidRPr="009D048A">
        <w:rPr>
          <w:rFonts w:ascii="Times New Roman" w:hAnsi="Times New Roman" w:cs="Times New Roman"/>
          <w:b/>
          <w:bCs/>
          <w:sz w:val="21"/>
          <w:szCs w:val="21"/>
        </w:rPr>
        <w:t>Montane</w:t>
      </w:r>
      <w:r w:rsidRPr="009D048A">
        <w:rPr>
          <w:rFonts w:ascii="Times New Roman" w:hAnsi="Times New Roman" w:cs="Times New Roman"/>
          <w:sz w:val="21"/>
          <w:szCs w:val="21"/>
        </w:rPr>
        <w:t xml:space="preserve"> (higher elevations): patchy, variable resources</w:t>
      </w:r>
    </w:p>
    <w:p w14:paraId="02EEE23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When one zone has a bad year, others often do well, especially zones whose productivity responds to different environmental drivers. Lake productivity and upland forest productivity, for example, tend to be negatively correlated: wet years favor fish but can hinder terrestrial game, and vice versa. This negative covariance creates a natural buffering effect, what we call the </w:t>
      </w:r>
      <w:r w:rsidRPr="009D048A">
        <w:rPr>
          <w:rFonts w:ascii="Times New Roman" w:hAnsi="Times New Roman" w:cs="Times New Roman"/>
          <w:b/>
          <w:bCs/>
          <w:sz w:val="21"/>
          <w:szCs w:val="21"/>
        </w:rPr>
        <w:t>ecotone advantage</w:t>
      </w:r>
      <w:r w:rsidRPr="009D048A">
        <w:rPr>
          <w:rFonts w:ascii="Times New Roman" w:hAnsi="Times New Roman" w:cs="Times New Roman"/>
          <w:sz w:val="21"/>
          <w:szCs w:val="21"/>
        </w:rPr>
        <w:t>.</w:t>
      </w:r>
    </w:p>
    <w:p w14:paraId="21695EA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A band that aggregates at this five-zone intersection experiences lower effective uncertainty than a band stuck in a single zone. That is why aggregation specifically at ecotone locations makes sense, and why the model predicts that aggregation sites should cluster at ecological intersections.</w:t>
      </w:r>
    </w:p>
    <w:p w14:paraId="626009A0"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1A019E9">
          <v:rect id="_x0000_i1048" alt="" style="width:468pt;height:.05pt;mso-width-percent:0;mso-height-percent:0;mso-width-percent:0;mso-height-percent:0" o:hralign="center" o:hrstd="t" o:hr="t"/>
        </w:pict>
      </w:r>
    </w:p>
    <w:p w14:paraId="195E2661" w14:textId="77777777" w:rsidR="00506C35" w:rsidRPr="009D048A" w:rsidRDefault="00000000">
      <w:pPr>
        <w:pStyle w:val="Heading2"/>
        <w:rPr>
          <w:rFonts w:ascii="Times New Roman" w:hAnsi="Times New Roman" w:cs="Times New Roman"/>
          <w:sz w:val="24"/>
          <w:szCs w:val="24"/>
        </w:rPr>
      </w:pPr>
      <w:bookmarkStart w:id="13" w:name="why-start-from-the-price-equation"/>
      <w:bookmarkEnd w:id="7"/>
      <w:bookmarkEnd w:id="12"/>
      <w:r w:rsidRPr="009D048A">
        <w:rPr>
          <w:rFonts w:ascii="Times New Roman" w:hAnsi="Times New Roman" w:cs="Times New Roman"/>
          <w:sz w:val="24"/>
          <w:szCs w:val="24"/>
        </w:rPr>
        <w:t>3. Why Start from the Price Equation?</w:t>
      </w:r>
    </w:p>
    <w:p w14:paraId="4BF31641" w14:textId="77777777" w:rsidR="00506C35" w:rsidRPr="009D048A" w:rsidRDefault="00000000">
      <w:pPr>
        <w:pStyle w:val="Heading3"/>
        <w:rPr>
          <w:rFonts w:ascii="Times New Roman" w:hAnsi="Times New Roman" w:cs="Times New Roman"/>
          <w:sz w:val="22"/>
          <w:szCs w:val="22"/>
        </w:rPr>
      </w:pPr>
      <w:bookmarkStart w:id="14" w:name="what-the-price-equation-is"/>
      <w:r w:rsidRPr="009D048A">
        <w:rPr>
          <w:rFonts w:ascii="Times New Roman" w:hAnsi="Times New Roman" w:cs="Times New Roman"/>
          <w:sz w:val="22"/>
          <w:szCs w:val="22"/>
        </w:rPr>
        <w:t>3.1 What the Price Equation Is</w:t>
      </w:r>
    </w:p>
    <w:p w14:paraId="47A98C3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Price equation, developed by George Price in 1970, is the most general mathematical statement about how any trait changes frequency in a population over time. In plain English, it says:</w:t>
      </w:r>
    </w:p>
    <w:p w14:paraId="4E75C4B8" w14:textId="77777777" w:rsidR="00506C35" w:rsidRPr="009D048A" w:rsidRDefault="00000000">
      <w:pPr>
        <w:pStyle w:val="BlockText"/>
        <w:rPr>
          <w:rFonts w:ascii="Times New Roman" w:hAnsi="Times New Roman" w:cs="Times New Roman"/>
          <w:sz w:val="21"/>
          <w:szCs w:val="21"/>
        </w:rPr>
      </w:pPr>
      <w:r w:rsidRPr="009D048A">
        <w:rPr>
          <w:rFonts w:ascii="Times New Roman" w:hAnsi="Times New Roman" w:cs="Times New Roman"/>
          <w:sz w:val="21"/>
          <w:szCs w:val="21"/>
        </w:rPr>
        <w:t>A trait increases in a population when individuals who carry that trait have higher fitness (more offspring, better survival) than individuals who do not.</w:t>
      </w:r>
    </w:p>
    <w:p w14:paraId="1708A86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lastRenderedPageBreak/>
        <w:t>That sounds obvious, but the equation captures it in a way that is completely general. It does not assume anything about how traits are inherited (genes, culture, learning), what kind of organisms we are talking about, or how the population is structured. It just says:</w:t>
      </w:r>
    </w:p>
    <w:p w14:paraId="42313DED" w14:textId="77777777" w:rsidR="00506C35" w:rsidRPr="009D048A" w:rsidRDefault="00000000">
      <w:pPr>
        <w:pStyle w:val="BodyText"/>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Δ</m:t>
          </m:r>
          <m:acc>
            <m:accPr>
              <m:chr m:val="‾"/>
              <m:ctrlPr>
                <w:rPr>
                  <w:rFonts w:ascii="Cambria Math" w:hAnsi="Cambria Math" w:cs="Times New Roman"/>
                  <w:sz w:val="21"/>
                  <w:szCs w:val="21"/>
                </w:rPr>
              </m:ctrlPr>
            </m:accPr>
            <m:e>
              <m:r>
                <w:rPr>
                  <w:rFonts w:ascii="Cambria Math" w:hAnsi="Cambria Math" w:cs="Times New Roman"/>
                  <w:sz w:val="21"/>
                  <w:szCs w:val="21"/>
                </w:rPr>
                <m:t>p</m:t>
              </m:r>
            </m:e>
          </m:acc>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num>
            <m:den>
              <m:acc>
                <m:accPr>
                  <m:chr m:val="‾"/>
                  <m:ctrlPr>
                    <w:rPr>
                      <w:rFonts w:ascii="Cambria Math" w:hAnsi="Cambria Math" w:cs="Times New Roman"/>
                      <w:sz w:val="21"/>
                      <w:szCs w:val="21"/>
                    </w:rPr>
                  </m:ctrlPr>
                </m:accPr>
                <m:e>
                  <m:r>
                    <w:rPr>
                      <w:rFonts w:ascii="Cambria Math" w:hAnsi="Cambria Math" w:cs="Times New Roman"/>
                      <w:sz w:val="21"/>
                      <w:szCs w:val="21"/>
                    </w:rPr>
                    <m:t>w</m:t>
                  </m:r>
                </m:e>
              </m:acc>
            </m:den>
          </m:f>
          <m:r>
            <m:rPr>
              <m:nor/>
            </m:rPr>
            <w:rPr>
              <w:rFonts w:ascii="Times New Roman" w:hAnsi="Times New Roman" w:cs="Times New Roman"/>
              <w:sz w:val="21"/>
              <w:szCs w:val="21"/>
            </w:rPr>
            <m:t>Cov</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oMath>
      </m:oMathPara>
    </w:p>
    <w:p w14:paraId="7621840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Let us unpack every piece:</w:t>
      </w:r>
    </w:p>
    <w:p w14:paraId="7ED25BE6" w14:textId="77777777" w:rsidR="00506C35" w:rsidRPr="009D048A" w:rsidRDefault="00000000">
      <w:pPr>
        <w:pStyle w:val="Compact"/>
        <w:numPr>
          <w:ilvl w:val="0"/>
          <w:numId w:val="8"/>
        </w:numPr>
        <w:rPr>
          <w:rFonts w:ascii="Times New Roman" w:hAnsi="Times New Roman" w:cs="Times New Roman"/>
          <w:sz w:val="21"/>
          <w:szCs w:val="21"/>
        </w:rPr>
      </w:pPr>
      <m:oMath>
        <m:r>
          <m:rPr>
            <m:sty m:val="p"/>
          </m:rPr>
          <w:rPr>
            <w:rFonts w:ascii="Cambria Math" w:hAnsi="Cambria Math" w:cs="Times New Roman"/>
            <w:sz w:val="21"/>
            <w:szCs w:val="21"/>
          </w:rPr>
          <m:t>Δ</m:t>
        </m:r>
        <m:acc>
          <m:accPr>
            <m:chr m:val="‾"/>
            <m:ctrlPr>
              <w:rPr>
                <w:rFonts w:ascii="Cambria Math" w:hAnsi="Cambria Math" w:cs="Times New Roman"/>
                <w:sz w:val="21"/>
                <w:szCs w:val="21"/>
              </w:rPr>
            </m:ctrlPr>
          </m:accPr>
          <m:e>
            <m:r>
              <w:rPr>
                <w:rFonts w:ascii="Cambria Math" w:hAnsi="Cambria Math" w:cs="Times New Roman"/>
                <w:sz w:val="21"/>
                <w:szCs w:val="21"/>
              </w:rPr>
              <m:t>p</m:t>
            </m:r>
          </m:e>
        </m:acc>
      </m:oMath>
      <w:r w:rsidRPr="009D048A">
        <w:rPr>
          <w:rFonts w:ascii="Times New Roman" w:hAnsi="Times New Roman" w:cs="Times New Roman"/>
          <w:sz w:val="21"/>
          <w:szCs w:val="21"/>
        </w:rPr>
        <w:t>: the change in the average frequency of the trait in the population. If this is positive, the trait is spreading; if negative, it is declining.</w:t>
      </w:r>
    </w:p>
    <w:p w14:paraId="671C8DA6" w14:textId="77777777" w:rsidR="00506C35" w:rsidRPr="009D048A" w:rsidRDefault="00000000">
      <w:pPr>
        <w:pStyle w:val="Compact"/>
        <w:numPr>
          <w:ilvl w:val="0"/>
          <w:numId w:val="8"/>
        </w:numPr>
        <w:rPr>
          <w:rFonts w:ascii="Times New Roman" w:hAnsi="Times New Roman" w:cs="Times New Roman"/>
          <w:sz w:val="21"/>
          <w:szCs w:val="21"/>
        </w:rPr>
      </w:pPr>
      <m:oMath>
        <m:acc>
          <m:accPr>
            <m:chr m:val="‾"/>
            <m:ctrlPr>
              <w:rPr>
                <w:rFonts w:ascii="Cambria Math" w:hAnsi="Cambria Math" w:cs="Times New Roman"/>
                <w:sz w:val="21"/>
                <w:szCs w:val="21"/>
              </w:rPr>
            </m:ctrlPr>
          </m:accPr>
          <m:e>
            <m:r>
              <w:rPr>
                <w:rFonts w:ascii="Cambria Math" w:hAnsi="Cambria Math" w:cs="Times New Roman"/>
                <w:sz w:val="21"/>
                <w:szCs w:val="21"/>
              </w:rPr>
              <m:t>w</m:t>
            </m:r>
          </m:e>
        </m:acc>
      </m:oMath>
      <w:r w:rsidRPr="009D048A">
        <w:rPr>
          <w:rFonts w:ascii="Times New Roman" w:hAnsi="Times New Roman" w:cs="Times New Roman"/>
          <w:sz w:val="21"/>
          <w:szCs w:val="21"/>
        </w:rPr>
        <w:t>: the average fitness across all individuals in the population. This is a scaling factor.</w:t>
      </w:r>
    </w:p>
    <w:p w14:paraId="4D730653" w14:textId="77777777" w:rsidR="00506C35" w:rsidRPr="009D048A" w:rsidRDefault="00000000">
      <w:pPr>
        <w:pStyle w:val="Compact"/>
        <w:numPr>
          <w:ilvl w:val="0"/>
          <w:numId w:val="8"/>
        </w:numPr>
        <w:rPr>
          <w:rFonts w:ascii="Times New Roman" w:hAnsi="Times New Roman" w:cs="Times New Roman"/>
          <w:sz w:val="21"/>
          <w:szCs w:val="21"/>
        </w:rPr>
      </w:pPr>
      <m:oMath>
        <m:r>
          <m:rPr>
            <m:nor/>
          </m:rPr>
          <w:rPr>
            <w:rFonts w:ascii="Times New Roman" w:hAnsi="Times New Roman" w:cs="Times New Roman"/>
            <w:sz w:val="21"/>
            <w:szCs w:val="21"/>
          </w:rPr>
          <m:t>Cov</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i</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the covariance between individual fitness (</w:t>
      </w:r>
      <m:oMath>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i</m:t>
            </m:r>
          </m:sub>
        </m:sSub>
      </m:oMath>
      <w:r w:rsidRPr="009D048A">
        <w:rPr>
          <w:rFonts w:ascii="Times New Roman" w:hAnsi="Times New Roman" w:cs="Times New Roman"/>
          <w:sz w:val="21"/>
          <w:szCs w:val="21"/>
        </w:rPr>
        <w:t>) and individual trait value (</w:t>
      </w:r>
      <m:oMath>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i</m:t>
            </m:r>
          </m:sub>
        </m:sSub>
      </m:oMath>
      <w:r w:rsidRPr="009D048A">
        <w:rPr>
          <w:rFonts w:ascii="Times New Roman" w:hAnsi="Times New Roman" w:cs="Times New Roman"/>
          <w:sz w:val="21"/>
          <w:szCs w:val="21"/>
        </w:rPr>
        <w:t>). In plain language: if individuals with the trait tend to have higher fitness, this covariance is positive, and the trait spreads.</w:t>
      </w:r>
    </w:p>
    <w:p w14:paraId="50C6830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For our purposes, the “trait” is the strategy of aggregating (cooperating) versus foraging independently, and “fitness” is a composite measure of survival and reproductive success.</w:t>
      </w:r>
    </w:p>
    <w:p w14:paraId="6A9CA9EF" w14:textId="77777777" w:rsidR="00506C35" w:rsidRPr="009D048A" w:rsidRDefault="00000000">
      <w:pPr>
        <w:pStyle w:val="Heading3"/>
        <w:rPr>
          <w:rFonts w:ascii="Times New Roman" w:hAnsi="Times New Roman" w:cs="Times New Roman"/>
          <w:sz w:val="22"/>
          <w:szCs w:val="22"/>
        </w:rPr>
      </w:pPr>
      <w:bookmarkStart w:id="15" w:name="X32488ad91a8324e876ad6bf90653b8f1bd6d449"/>
      <w:bookmarkEnd w:id="14"/>
      <w:r w:rsidRPr="009D048A">
        <w:rPr>
          <w:rFonts w:ascii="Times New Roman" w:hAnsi="Times New Roman" w:cs="Times New Roman"/>
          <w:sz w:val="22"/>
          <w:szCs w:val="22"/>
        </w:rPr>
        <w:t>3.2 The Multilevel Version: Groups Within Groups</w:t>
      </w:r>
    </w:p>
    <w:p w14:paraId="1730173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Price (1972) showed that when individuals are organized into groups, the equation can be split into two parts:</w:t>
      </w:r>
    </w:p>
    <w:p w14:paraId="2AF8115F" w14:textId="77777777" w:rsidR="00506C35" w:rsidRPr="009D048A" w:rsidRDefault="00000000">
      <w:pPr>
        <w:pStyle w:val="BodyText"/>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Δ</m:t>
          </m:r>
          <m:acc>
            <m:accPr>
              <m:chr m:val="‾"/>
              <m:ctrlPr>
                <w:rPr>
                  <w:rFonts w:ascii="Cambria Math" w:hAnsi="Cambria Math" w:cs="Times New Roman"/>
                  <w:sz w:val="21"/>
                  <w:szCs w:val="21"/>
                </w:rPr>
              </m:ctrlPr>
            </m:accPr>
            <m:e>
              <m:r>
                <w:rPr>
                  <w:rFonts w:ascii="Cambria Math" w:hAnsi="Cambria Math" w:cs="Times New Roman"/>
                  <w:sz w:val="21"/>
                  <w:szCs w:val="21"/>
                </w:rPr>
                <m:t>p</m:t>
              </m:r>
            </m:e>
          </m:acc>
          <m:r>
            <m:rPr>
              <m:sty m:val="p"/>
            </m:rPr>
            <w:rPr>
              <w:rFonts w:ascii="Cambria Math" w:hAnsi="Cambria Math" w:cs="Times New Roman"/>
              <w:sz w:val="21"/>
              <w:szCs w:val="21"/>
            </w:rPr>
            <m:t>=</m:t>
          </m:r>
          <m:limLow>
            <m:limLowPr>
              <m:ctrlPr>
                <w:rPr>
                  <w:rFonts w:ascii="Cambria Math" w:hAnsi="Cambria Math" w:cs="Times New Roman"/>
                  <w:sz w:val="21"/>
                  <w:szCs w:val="21"/>
                </w:rPr>
              </m:ctrlPr>
            </m:limLowPr>
            <m:e>
              <m:limLow>
                <m:limLowPr>
                  <m:ctrlPr>
                    <w:rPr>
                      <w:rFonts w:ascii="Cambria Math" w:hAnsi="Cambria Math" w:cs="Times New Roman"/>
                      <w:sz w:val="21"/>
                      <w:szCs w:val="21"/>
                    </w:rPr>
                  </m:ctrlPr>
                </m:limLowPr>
                <m:e>
                  <m:f>
                    <m:fPr>
                      <m:ctrlPr>
                        <w:rPr>
                          <w:rFonts w:ascii="Cambria Math" w:hAnsi="Cambria Math" w:cs="Times New Roman"/>
                          <w:sz w:val="21"/>
                          <w:szCs w:val="21"/>
                        </w:rPr>
                      </m:ctrlPr>
                    </m:fPr>
                    <m:num>
                      <m:r>
                        <w:rPr>
                          <w:rFonts w:ascii="Cambria Math" w:hAnsi="Cambria Math" w:cs="Times New Roman"/>
                          <w:sz w:val="21"/>
                          <w:szCs w:val="21"/>
                        </w:rPr>
                        <m:t>1</m:t>
                      </m:r>
                    </m:num>
                    <m:den>
                      <m:acc>
                        <m:accPr>
                          <m:chr m:val="‾"/>
                          <m:ctrlPr>
                            <w:rPr>
                              <w:rFonts w:ascii="Cambria Math" w:hAnsi="Cambria Math" w:cs="Times New Roman"/>
                              <w:sz w:val="21"/>
                              <w:szCs w:val="21"/>
                            </w:rPr>
                          </m:ctrlPr>
                        </m:accPr>
                        <m:e>
                          <m:r>
                            <w:rPr>
                              <w:rFonts w:ascii="Cambria Math" w:hAnsi="Cambria Math" w:cs="Times New Roman"/>
                              <w:sz w:val="21"/>
                              <w:szCs w:val="21"/>
                            </w:rPr>
                            <m:t>w</m:t>
                          </m:r>
                        </m:e>
                      </m:acc>
                    </m:den>
                  </m:f>
                  <m:r>
                    <m:rPr>
                      <m:nor/>
                    </m:rPr>
                    <w:rPr>
                      <w:rFonts w:ascii="Times New Roman" w:hAnsi="Times New Roman" w:cs="Times New Roman"/>
                      <w:sz w:val="21"/>
                      <w:szCs w:val="21"/>
                    </w:rPr>
                    <m:t>Cov</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g</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g</m:t>
                      </m:r>
                    </m:sub>
                  </m:sSub>
                  <m:r>
                    <m:rPr>
                      <m:sty m:val="p"/>
                    </m:rPr>
                    <w:rPr>
                      <w:rFonts w:ascii="Cambria Math" w:hAnsi="Cambria Math" w:cs="Times New Roman"/>
                      <w:sz w:val="21"/>
                      <w:szCs w:val="21"/>
                    </w:rPr>
                    <m:t>)</m:t>
                  </m:r>
                </m:e>
                <m:lim>
                  <m:r>
                    <m:rPr>
                      <m:sty m:val="p"/>
                    </m:rPr>
                    <w:rPr>
                      <w:rFonts w:ascii="Cambria Math" w:hAnsi="Cambria Math" w:cs="Times New Roman"/>
                      <w:sz w:val="21"/>
                      <w:szCs w:val="21"/>
                    </w:rPr>
                    <m:t>⏟</m:t>
                  </m:r>
                </m:lim>
              </m:limLow>
            </m:e>
            <m:lim>
              <m:r>
                <m:rPr>
                  <m:nor/>
                </m:rPr>
                <w:rPr>
                  <w:rFonts w:ascii="Times New Roman" w:hAnsi="Times New Roman" w:cs="Times New Roman"/>
                  <w:sz w:val="21"/>
                  <w:szCs w:val="21"/>
                </w:rPr>
                <m:t>between-group selection</m:t>
              </m:r>
            </m:lim>
          </m:limLow>
          <m:r>
            <m:rPr>
              <m:sty m:val="p"/>
            </m:rPr>
            <w:rPr>
              <w:rFonts w:ascii="Cambria Math" w:hAnsi="Cambria Math" w:cs="Times New Roman"/>
              <w:sz w:val="21"/>
              <w:szCs w:val="21"/>
            </w:rPr>
            <m:t>+</m:t>
          </m:r>
          <m:limLow>
            <m:limLowPr>
              <m:ctrlPr>
                <w:rPr>
                  <w:rFonts w:ascii="Cambria Math" w:hAnsi="Cambria Math" w:cs="Times New Roman"/>
                  <w:sz w:val="21"/>
                  <w:szCs w:val="21"/>
                </w:rPr>
              </m:ctrlPr>
            </m:limLowPr>
            <m:e>
              <m:limLow>
                <m:limLowPr>
                  <m:ctrlPr>
                    <w:rPr>
                      <w:rFonts w:ascii="Cambria Math" w:hAnsi="Cambria Math" w:cs="Times New Roman"/>
                      <w:sz w:val="21"/>
                      <w:szCs w:val="21"/>
                    </w:rPr>
                  </m:ctrlPr>
                </m:limLowPr>
                <m:e>
                  <m:f>
                    <m:fPr>
                      <m:ctrlPr>
                        <w:rPr>
                          <w:rFonts w:ascii="Cambria Math" w:hAnsi="Cambria Math" w:cs="Times New Roman"/>
                          <w:sz w:val="21"/>
                          <w:szCs w:val="21"/>
                        </w:rPr>
                      </m:ctrlPr>
                    </m:fPr>
                    <m:num>
                      <m:r>
                        <w:rPr>
                          <w:rFonts w:ascii="Cambria Math" w:hAnsi="Cambria Math" w:cs="Times New Roman"/>
                          <w:sz w:val="21"/>
                          <w:szCs w:val="21"/>
                        </w:rPr>
                        <m:t>1</m:t>
                      </m:r>
                    </m:num>
                    <m:den>
                      <m:acc>
                        <m:accPr>
                          <m:chr m:val="‾"/>
                          <m:ctrlPr>
                            <w:rPr>
                              <w:rFonts w:ascii="Cambria Math" w:hAnsi="Cambria Math" w:cs="Times New Roman"/>
                              <w:sz w:val="21"/>
                              <w:szCs w:val="21"/>
                            </w:rPr>
                          </m:ctrlPr>
                        </m:accPr>
                        <m:e>
                          <m:r>
                            <w:rPr>
                              <w:rFonts w:ascii="Cambria Math" w:hAnsi="Cambria Math" w:cs="Times New Roman"/>
                              <w:sz w:val="21"/>
                              <w:szCs w:val="21"/>
                            </w:rPr>
                            <m:t>w</m:t>
                          </m:r>
                        </m:e>
                      </m:acc>
                    </m:den>
                  </m:f>
                  <m:r>
                    <w:rPr>
                      <w:rFonts w:ascii="Cambria Math" w:hAnsi="Cambria Math" w:cs="Times New Roman"/>
                      <w:sz w:val="21"/>
                      <w:szCs w:val="21"/>
                    </w:rPr>
                    <m:t>E</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g</m:t>
                      </m:r>
                    </m:sub>
                  </m:sSub>
                  <m:r>
                    <m:rPr>
                      <m:sty m:val="p"/>
                    </m:rPr>
                    <w:rPr>
                      <w:rFonts w:ascii="Cambria Math" w:hAnsi="Cambria Math" w:cs="Times New Roman"/>
                      <w:sz w:val="21"/>
                      <w:szCs w:val="21"/>
                    </w:rPr>
                    <m:t>⋅Δ</m:t>
                  </m:r>
                  <m:sSub>
                    <m:sSubPr>
                      <m:ctrlPr>
                        <w:rPr>
                          <w:rFonts w:ascii="Cambria Math" w:hAnsi="Cambria Math" w:cs="Times New Roman"/>
                          <w:sz w:val="21"/>
                          <w:szCs w:val="21"/>
                        </w:rPr>
                      </m:ctrlPr>
                    </m:sSubPr>
                    <m:e>
                      <m:r>
                        <w:rPr>
                          <w:rFonts w:ascii="Cambria Math" w:hAnsi="Cambria Math" w:cs="Times New Roman"/>
                          <w:sz w:val="21"/>
                          <w:szCs w:val="21"/>
                        </w:rPr>
                        <m:t>p</m:t>
                      </m:r>
                    </m:e>
                    <m:sub>
                      <m:r>
                        <w:rPr>
                          <w:rFonts w:ascii="Cambria Math" w:hAnsi="Cambria Math" w:cs="Times New Roman"/>
                          <w:sz w:val="21"/>
                          <w:szCs w:val="21"/>
                        </w:rPr>
                        <m:t>g</m:t>
                      </m:r>
                    </m:sub>
                  </m:sSub>
                  <m:r>
                    <m:rPr>
                      <m:sty m:val="p"/>
                    </m:rPr>
                    <w:rPr>
                      <w:rFonts w:ascii="Cambria Math" w:hAnsi="Cambria Math" w:cs="Times New Roman"/>
                      <w:sz w:val="21"/>
                      <w:szCs w:val="21"/>
                    </w:rPr>
                    <m:t>]</m:t>
                  </m:r>
                </m:e>
                <m:lim>
                  <m:r>
                    <m:rPr>
                      <m:sty m:val="p"/>
                    </m:rPr>
                    <w:rPr>
                      <w:rFonts w:ascii="Cambria Math" w:hAnsi="Cambria Math" w:cs="Times New Roman"/>
                      <w:sz w:val="21"/>
                      <w:szCs w:val="21"/>
                    </w:rPr>
                    <m:t>⏟</m:t>
                  </m:r>
                </m:lim>
              </m:limLow>
            </m:e>
            <m:lim>
              <m:r>
                <m:rPr>
                  <m:nor/>
                </m:rPr>
                <w:rPr>
                  <w:rFonts w:ascii="Times New Roman" w:hAnsi="Times New Roman" w:cs="Times New Roman"/>
                  <w:sz w:val="21"/>
                  <w:szCs w:val="21"/>
                </w:rPr>
                <m:t>within-group selection</m:t>
              </m:r>
            </m:lim>
          </m:limLow>
        </m:oMath>
      </m:oMathPara>
    </w:p>
    <w:p w14:paraId="09BF225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first term captures </w:t>
      </w:r>
      <w:r w:rsidRPr="009D048A">
        <w:rPr>
          <w:rFonts w:ascii="Times New Roman" w:hAnsi="Times New Roman" w:cs="Times New Roman"/>
          <w:b/>
          <w:bCs/>
          <w:sz w:val="21"/>
          <w:szCs w:val="21"/>
        </w:rPr>
        <w:t>between-group selection</w:t>
      </w:r>
      <w:r w:rsidRPr="009D048A">
        <w:rPr>
          <w:rFonts w:ascii="Times New Roman" w:hAnsi="Times New Roman" w:cs="Times New Roman"/>
          <w:sz w:val="21"/>
          <w:szCs w:val="21"/>
        </w:rPr>
        <w:t>: groups with more cooperators have higher average fitness, so the cooperative trait spreads through differential group success.</w:t>
      </w:r>
    </w:p>
    <w:p w14:paraId="0493FE6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second term captures </w:t>
      </w:r>
      <w:r w:rsidRPr="009D048A">
        <w:rPr>
          <w:rFonts w:ascii="Times New Roman" w:hAnsi="Times New Roman" w:cs="Times New Roman"/>
          <w:b/>
          <w:bCs/>
          <w:sz w:val="21"/>
          <w:szCs w:val="21"/>
        </w:rPr>
        <w:t>within-group selection</w:t>
      </w:r>
      <w:r w:rsidRPr="009D048A">
        <w:rPr>
          <w:rFonts w:ascii="Times New Roman" w:hAnsi="Times New Roman" w:cs="Times New Roman"/>
          <w:sz w:val="21"/>
          <w:szCs w:val="21"/>
        </w:rPr>
        <w:t>: within any given group, free-riders (who enjoy cooperation benefits without paying costs) do better than cooperators, so the cooperative trait declines within each group.</w:t>
      </w:r>
    </w:p>
    <w:p w14:paraId="3C9376C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This decomposition reveals the fundamental tension in the evolution of cooperation: free-riders prosper within groups, but cooperative groups outperform non-cooperative ones. Cooperation evolves when between-group selection is strong enough to overwhelm within-group selection.</w:t>
      </w:r>
    </w:p>
    <w:p w14:paraId="003FB2F1" w14:textId="77777777" w:rsidR="00506C35" w:rsidRPr="009D048A" w:rsidRDefault="00000000">
      <w:pPr>
        <w:pStyle w:val="Heading3"/>
        <w:rPr>
          <w:rFonts w:ascii="Times New Roman" w:hAnsi="Times New Roman" w:cs="Times New Roman"/>
          <w:sz w:val="22"/>
          <w:szCs w:val="22"/>
        </w:rPr>
      </w:pPr>
      <w:bookmarkStart w:id="16" w:name="how-this-maps-to-our-problem"/>
      <w:bookmarkEnd w:id="15"/>
      <w:r w:rsidRPr="009D048A">
        <w:rPr>
          <w:rFonts w:ascii="Times New Roman" w:hAnsi="Times New Roman" w:cs="Times New Roman"/>
          <w:sz w:val="22"/>
          <w:szCs w:val="22"/>
        </w:rPr>
        <w:t>3.3 How This Maps to Our Problem</w:t>
      </w:r>
    </w:p>
    <w:p w14:paraId="26C07F7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In the Lamoka Lake context:</w:t>
      </w:r>
    </w:p>
    <w:p w14:paraId="41E62596" w14:textId="77777777" w:rsidR="00506C35" w:rsidRPr="009D048A" w:rsidRDefault="00000000">
      <w:pPr>
        <w:pStyle w:val="Compact"/>
        <w:numPr>
          <w:ilvl w:val="0"/>
          <w:numId w:val="9"/>
        </w:numPr>
        <w:rPr>
          <w:rFonts w:ascii="Times New Roman" w:hAnsi="Times New Roman" w:cs="Times New Roman"/>
          <w:sz w:val="21"/>
          <w:szCs w:val="21"/>
        </w:rPr>
      </w:pPr>
      <w:r w:rsidRPr="009D048A">
        <w:rPr>
          <w:rFonts w:ascii="Times New Roman" w:hAnsi="Times New Roman" w:cs="Times New Roman"/>
          <w:b/>
          <w:bCs/>
          <w:sz w:val="21"/>
          <w:szCs w:val="21"/>
        </w:rPr>
        <w:t>Groups</w:t>
      </w:r>
      <w:r w:rsidRPr="009D048A">
        <w:rPr>
          <w:rFonts w:ascii="Times New Roman" w:hAnsi="Times New Roman" w:cs="Times New Roman"/>
          <w:sz w:val="21"/>
          <w:szCs w:val="21"/>
        </w:rPr>
        <w:t xml:space="preserve"> are bands, small units of 15-30 people that make collective decisions.</w:t>
      </w:r>
    </w:p>
    <w:p w14:paraId="353CC64E" w14:textId="77777777" w:rsidR="00506C35" w:rsidRPr="009D048A" w:rsidRDefault="00000000">
      <w:pPr>
        <w:pStyle w:val="Compact"/>
        <w:numPr>
          <w:ilvl w:val="0"/>
          <w:numId w:val="9"/>
        </w:numPr>
        <w:rPr>
          <w:rFonts w:ascii="Times New Roman" w:hAnsi="Times New Roman" w:cs="Times New Roman"/>
          <w:sz w:val="21"/>
          <w:szCs w:val="21"/>
        </w:rPr>
      </w:pPr>
      <w:r w:rsidRPr="009D048A">
        <w:rPr>
          <w:rFonts w:ascii="Times New Roman" w:hAnsi="Times New Roman" w:cs="Times New Roman"/>
          <w:b/>
          <w:bCs/>
          <w:sz w:val="21"/>
          <w:szCs w:val="21"/>
        </w:rPr>
        <w:t>Cooperators</w:t>
      </w:r>
      <w:r w:rsidRPr="009D048A">
        <w:rPr>
          <w:rFonts w:ascii="Times New Roman" w:hAnsi="Times New Roman" w:cs="Times New Roman"/>
          <w:sz w:val="21"/>
          <w:szCs w:val="21"/>
        </w:rPr>
        <w:t xml:space="preserve"> are bands that aggregate, investing in shared infrastructure and communal processing.</w:t>
      </w:r>
    </w:p>
    <w:p w14:paraId="77907DDE" w14:textId="77777777" w:rsidR="00506C35" w:rsidRPr="009D048A" w:rsidRDefault="00000000">
      <w:pPr>
        <w:pStyle w:val="Compact"/>
        <w:numPr>
          <w:ilvl w:val="0"/>
          <w:numId w:val="9"/>
        </w:numPr>
        <w:rPr>
          <w:rFonts w:ascii="Times New Roman" w:hAnsi="Times New Roman" w:cs="Times New Roman"/>
          <w:sz w:val="21"/>
          <w:szCs w:val="21"/>
        </w:rPr>
      </w:pPr>
      <w:r w:rsidRPr="009D048A">
        <w:rPr>
          <w:rFonts w:ascii="Times New Roman" w:hAnsi="Times New Roman" w:cs="Times New Roman"/>
          <w:b/>
          <w:bCs/>
          <w:sz w:val="21"/>
          <w:szCs w:val="21"/>
        </w:rPr>
        <w:t>Defectors</w:t>
      </w:r>
      <w:r w:rsidRPr="009D048A">
        <w:rPr>
          <w:rFonts w:ascii="Times New Roman" w:hAnsi="Times New Roman" w:cs="Times New Roman"/>
          <w:sz w:val="21"/>
          <w:szCs w:val="21"/>
        </w:rPr>
        <w:t xml:space="preserve"> (free-riders) are bands that forage independently, avoiding cooperation costs.</w:t>
      </w:r>
    </w:p>
    <w:p w14:paraId="7D399E30" w14:textId="77777777" w:rsidR="00506C35" w:rsidRPr="009D048A" w:rsidRDefault="00000000">
      <w:pPr>
        <w:pStyle w:val="Compact"/>
        <w:numPr>
          <w:ilvl w:val="0"/>
          <w:numId w:val="9"/>
        </w:numPr>
        <w:rPr>
          <w:rFonts w:ascii="Times New Roman" w:hAnsi="Times New Roman" w:cs="Times New Roman"/>
          <w:sz w:val="21"/>
          <w:szCs w:val="21"/>
        </w:rPr>
      </w:pPr>
      <w:r w:rsidRPr="009D048A">
        <w:rPr>
          <w:rFonts w:ascii="Times New Roman" w:hAnsi="Times New Roman" w:cs="Times New Roman"/>
          <w:b/>
          <w:bCs/>
          <w:sz w:val="21"/>
          <w:szCs w:val="21"/>
        </w:rPr>
        <w:t>Between-group selection</w:t>
      </w:r>
      <w:r w:rsidRPr="009D048A">
        <w:rPr>
          <w:rFonts w:ascii="Times New Roman" w:hAnsi="Times New Roman" w:cs="Times New Roman"/>
          <w:sz w:val="21"/>
          <w:szCs w:val="21"/>
        </w:rPr>
        <w:t xml:space="preserve"> acts because cooperative groups (aggregators) survive environmental shocks better than non-cooperative groups (independents).</w:t>
      </w:r>
    </w:p>
    <w:p w14:paraId="267690E6" w14:textId="77777777" w:rsidR="00506C35" w:rsidRPr="009D048A" w:rsidRDefault="00000000">
      <w:pPr>
        <w:pStyle w:val="Compact"/>
        <w:numPr>
          <w:ilvl w:val="0"/>
          <w:numId w:val="9"/>
        </w:numPr>
        <w:rPr>
          <w:rFonts w:ascii="Times New Roman" w:hAnsi="Times New Roman" w:cs="Times New Roman"/>
          <w:sz w:val="21"/>
          <w:szCs w:val="21"/>
        </w:rPr>
      </w:pPr>
      <w:r w:rsidRPr="009D048A">
        <w:rPr>
          <w:rFonts w:ascii="Times New Roman" w:hAnsi="Times New Roman" w:cs="Times New Roman"/>
          <w:b/>
          <w:bCs/>
          <w:sz w:val="21"/>
          <w:szCs w:val="21"/>
        </w:rPr>
        <w:t>Within-group selection</w:t>
      </w:r>
      <w:r w:rsidRPr="009D048A">
        <w:rPr>
          <w:rFonts w:ascii="Times New Roman" w:hAnsi="Times New Roman" w:cs="Times New Roman"/>
          <w:sz w:val="21"/>
          <w:szCs w:val="21"/>
        </w:rPr>
        <w:t xml:space="preserve"> acts because, at any given aggregation event, a band that showed up but contributed nothing to shared infrastructure would do even better than one that contributed fully.</w:t>
      </w:r>
    </w:p>
    <w:p w14:paraId="2DA18BF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key question is: when does between-group selection win? The answer, as we will derive formally in Part II, is: when environmental uncertainty (</w:t>
      </w:r>
      <m:oMath>
        <m:r>
          <w:rPr>
            <w:rFonts w:ascii="Cambria Math" w:hAnsi="Cambria Math" w:cs="Times New Roman"/>
            <w:sz w:val="21"/>
            <w:szCs w:val="21"/>
          </w:rPr>
          <m:t>σ</m:t>
        </m:r>
      </m:oMath>
      <w:r w:rsidRPr="009D048A">
        <w:rPr>
          <w:rFonts w:ascii="Times New Roman" w:hAnsi="Times New Roman" w:cs="Times New Roman"/>
          <w:sz w:val="21"/>
          <w:szCs w:val="21"/>
        </w:rPr>
        <w:t>) is high enough that the survival advantage of cooperation overwhelms the free-rider advantage within groups.</w:t>
      </w:r>
    </w:p>
    <w:p w14:paraId="2983565A" w14:textId="77777777" w:rsidR="00506C35" w:rsidRPr="009D048A" w:rsidRDefault="00000000">
      <w:pPr>
        <w:pStyle w:val="Heading3"/>
        <w:rPr>
          <w:rFonts w:ascii="Times New Roman" w:hAnsi="Times New Roman" w:cs="Times New Roman"/>
          <w:sz w:val="22"/>
          <w:szCs w:val="22"/>
        </w:rPr>
      </w:pPr>
      <w:bookmarkStart w:id="17" w:name="why-not-just-use-game-theory"/>
      <w:bookmarkEnd w:id="16"/>
      <w:r w:rsidRPr="009D048A">
        <w:rPr>
          <w:rFonts w:ascii="Times New Roman" w:hAnsi="Times New Roman" w:cs="Times New Roman"/>
          <w:sz w:val="22"/>
          <w:szCs w:val="22"/>
        </w:rPr>
        <w:lastRenderedPageBreak/>
        <w:t>3.4 Why Not Just Use Game Theory?</w:t>
      </w:r>
    </w:p>
    <w:p w14:paraId="2E94897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You might wonder why we start from the Price equation rather than, say, the prisoner’s dilemma or some other game-theoretic framework. Three reasons:</w:t>
      </w:r>
    </w:p>
    <w:p w14:paraId="1369B096" w14:textId="77777777" w:rsidR="00506C35" w:rsidRPr="009D048A" w:rsidRDefault="00000000">
      <w:pPr>
        <w:numPr>
          <w:ilvl w:val="0"/>
          <w:numId w:val="10"/>
        </w:numPr>
        <w:rPr>
          <w:rFonts w:ascii="Times New Roman" w:hAnsi="Times New Roman" w:cs="Times New Roman"/>
          <w:sz w:val="21"/>
          <w:szCs w:val="21"/>
        </w:rPr>
      </w:pPr>
      <w:r w:rsidRPr="009D048A">
        <w:rPr>
          <w:rFonts w:ascii="Times New Roman" w:hAnsi="Times New Roman" w:cs="Times New Roman"/>
          <w:b/>
          <w:bCs/>
          <w:sz w:val="21"/>
          <w:szCs w:val="21"/>
        </w:rPr>
        <w:t>Generality.</w:t>
      </w:r>
      <w:r w:rsidRPr="009D048A">
        <w:rPr>
          <w:rFonts w:ascii="Times New Roman" w:hAnsi="Times New Roman" w:cs="Times New Roman"/>
          <w:sz w:val="21"/>
          <w:szCs w:val="21"/>
        </w:rPr>
        <w:t xml:space="preserve"> The Price equation makes no assumptions about how strategies are transmitted (genetic, cultural, learned). For archaeological populations where we cannot observe transmission directly, this generality is essential.</w:t>
      </w:r>
    </w:p>
    <w:p w14:paraId="58A8199F" w14:textId="77777777" w:rsidR="00506C35" w:rsidRPr="009D048A" w:rsidRDefault="00000000">
      <w:pPr>
        <w:numPr>
          <w:ilvl w:val="0"/>
          <w:numId w:val="10"/>
        </w:numPr>
        <w:rPr>
          <w:rFonts w:ascii="Times New Roman" w:hAnsi="Times New Roman" w:cs="Times New Roman"/>
          <w:sz w:val="21"/>
          <w:szCs w:val="21"/>
        </w:rPr>
      </w:pPr>
      <w:r w:rsidRPr="009D048A">
        <w:rPr>
          <w:rFonts w:ascii="Times New Roman" w:hAnsi="Times New Roman" w:cs="Times New Roman"/>
          <w:b/>
          <w:bCs/>
          <w:sz w:val="21"/>
          <w:szCs w:val="21"/>
        </w:rPr>
        <w:t>Multilevel structure.</w:t>
      </w:r>
      <w:r w:rsidRPr="009D048A">
        <w:rPr>
          <w:rFonts w:ascii="Times New Roman" w:hAnsi="Times New Roman" w:cs="Times New Roman"/>
          <w:sz w:val="21"/>
          <w:szCs w:val="21"/>
        </w:rPr>
        <w:t xml:space="preserve"> The Price equation’s partition into between-group and within-group selection directly captures the tension at the heart of our problem. Game-theoretic models can capture this too, but it has to be built in explicitly rather than falling out naturally.</w:t>
      </w:r>
    </w:p>
    <w:p w14:paraId="43EBCC44" w14:textId="77777777" w:rsidR="00506C35" w:rsidRPr="009D048A" w:rsidRDefault="00000000">
      <w:pPr>
        <w:numPr>
          <w:ilvl w:val="0"/>
          <w:numId w:val="10"/>
        </w:numPr>
        <w:rPr>
          <w:rFonts w:ascii="Times New Roman" w:hAnsi="Times New Roman" w:cs="Times New Roman"/>
          <w:sz w:val="21"/>
          <w:szCs w:val="21"/>
        </w:rPr>
      </w:pPr>
      <w:r w:rsidRPr="009D048A">
        <w:rPr>
          <w:rFonts w:ascii="Times New Roman" w:hAnsi="Times New Roman" w:cs="Times New Roman"/>
          <w:b/>
          <w:bCs/>
          <w:sz w:val="21"/>
          <w:szCs w:val="21"/>
        </w:rPr>
        <w:t>Fitness decomposition.</w:t>
      </w:r>
      <w:r w:rsidRPr="009D048A">
        <w:rPr>
          <w:rFonts w:ascii="Times New Roman" w:hAnsi="Times New Roman" w:cs="Times New Roman"/>
          <w:sz w:val="21"/>
          <w:szCs w:val="21"/>
        </w:rPr>
        <w:t xml:space="preserve"> The Price equation lets us write fitness as a product of separate components, survival under environmental stress, cooperation returns, conflict avoidance, each of which can depend on different parameters. This modular structure maps directly onto the ecological mechanisms we want to model.</w:t>
      </w:r>
    </w:p>
    <w:p w14:paraId="48082EE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rest of Part II takes these insights and progressively adds the ecological and social mechanisms specific to Lamoka Lake, building up the complete model step by step.</w:t>
      </w:r>
    </w:p>
    <w:p w14:paraId="7CFD65AE" w14:textId="77777777" w:rsidR="00506C35" w:rsidRPr="009D048A" w:rsidRDefault="00000000">
      <w:pPr>
        <w:pStyle w:val="Heading3"/>
        <w:rPr>
          <w:rFonts w:ascii="Times New Roman" w:hAnsi="Times New Roman" w:cs="Times New Roman"/>
          <w:sz w:val="22"/>
          <w:szCs w:val="22"/>
        </w:rPr>
      </w:pPr>
      <w:bookmarkStart w:id="18" w:name="X92fc6cbe2e9167077a07033c9cdb2bb72f32f1e"/>
      <w:bookmarkEnd w:id="17"/>
      <w:r w:rsidRPr="009D048A">
        <w:rPr>
          <w:rFonts w:ascii="Times New Roman" w:hAnsi="Times New Roman" w:cs="Times New Roman"/>
          <w:sz w:val="22"/>
          <w:szCs w:val="22"/>
        </w:rPr>
        <w:t>3.5 An Important Clarification: From Price to Fitness Comparison</w:t>
      </w:r>
    </w:p>
    <w:p w14:paraId="2032C2C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Here is something that may seem surprising: the Lamoka Lake model itself does not actually use the full Price equation machinery. Instead, it uses a simpler </w:t>
      </w:r>
      <w:r w:rsidRPr="009D048A">
        <w:rPr>
          <w:rFonts w:ascii="Times New Roman" w:hAnsi="Times New Roman" w:cs="Times New Roman"/>
          <w:b/>
          <w:bCs/>
          <w:sz w:val="21"/>
          <w:szCs w:val="21"/>
        </w:rPr>
        <w:t>individual-level fitness comparison</w:t>
      </w:r>
      <w:r w:rsidRPr="009D048A">
        <w:rPr>
          <w:rFonts w:ascii="Times New Roman" w:hAnsi="Times New Roman" w:cs="Times New Roman"/>
          <w:sz w:val="21"/>
          <w:szCs w:val="21"/>
        </w:rPr>
        <w:t xml:space="preserve"> between two strategies (aggregate vs. independent). No group selection or multilevel selection calculation is required.</w:t>
      </w:r>
    </w:p>
    <w:p w14:paraId="5666AB1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So why did we just spend several pages on the Price equation? Because it tells us </w:t>
      </w:r>
      <w:r w:rsidRPr="009D048A">
        <w:rPr>
          <w:rFonts w:ascii="Times New Roman" w:hAnsi="Times New Roman" w:cs="Times New Roman"/>
          <w:i/>
          <w:iCs/>
          <w:sz w:val="21"/>
          <w:szCs w:val="21"/>
        </w:rPr>
        <w:t>why</w:t>
      </w:r>
      <w:r w:rsidRPr="009D048A">
        <w:rPr>
          <w:rFonts w:ascii="Times New Roman" w:hAnsi="Times New Roman" w:cs="Times New Roman"/>
          <w:sz w:val="21"/>
          <w:szCs w:val="21"/>
        </w:rPr>
        <w:t xml:space="preserve"> the simpler fitness comparison works. The Price equation’s multilevel decomposition reveals that cooperation can be favored when between-group selection (cooperative groups outsurvive non-cooperative ones) outweighs within-group selection (free-riders outcompete cooperators within groups). For the Lamoka Lake case, environmental uncertainty creates exactly these conditions: the survival advantage of cooperation under high </w:t>
      </w:r>
      <m:oMath>
        <m:r>
          <w:rPr>
            <w:rFonts w:ascii="Cambria Math" w:hAnsi="Cambria Math" w:cs="Times New Roman"/>
            <w:sz w:val="21"/>
            <w:szCs w:val="21"/>
          </w:rPr>
          <m:t>σ</m:t>
        </m:r>
      </m:oMath>
      <w:r w:rsidRPr="009D048A">
        <w:rPr>
          <w:rFonts w:ascii="Times New Roman" w:hAnsi="Times New Roman" w:cs="Times New Roman"/>
          <w:sz w:val="21"/>
          <w:szCs w:val="21"/>
        </w:rPr>
        <w:t xml:space="preserve"> acts as the “between-group” force, while the cost of cooperation acts as the “within-group” force. The Price equation tells us that a threshold must exist; the fitness comparison approach calculates where it is.</w:t>
      </w:r>
    </w:p>
    <w:p w14:paraId="3BBECC6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Think of it this way: the Price equation is the </w:t>
      </w:r>
      <w:r w:rsidRPr="009D048A">
        <w:rPr>
          <w:rFonts w:ascii="Times New Roman" w:hAnsi="Times New Roman" w:cs="Times New Roman"/>
          <w:i/>
          <w:iCs/>
          <w:sz w:val="21"/>
          <w:szCs w:val="21"/>
        </w:rPr>
        <w:t>theoretical justification</w:t>
      </w:r>
      <w:r w:rsidRPr="009D048A">
        <w:rPr>
          <w:rFonts w:ascii="Times New Roman" w:hAnsi="Times New Roman" w:cs="Times New Roman"/>
          <w:sz w:val="21"/>
          <w:szCs w:val="21"/>
        </w:rPr>
        <w:t xml:space="preserve"> for why a threshold-based fitness comparison is the right tool. The fitness comparison is the </w:t>
      </w:r>
      <w:r w:rsidRPr="009D048A">
        <w:rPr>
          <w:rFonts w:ascii="Times New Roman" w:hAnsi="Times New Roman" w:cs="Times New Roman"/>
          <w:i/>
          <w:iCs/>
          <w:sz w:val="21"/>
          <w:szCs w:val="21"/>
        </w:rPr>
        <w:t>practical model</w:t>
      </w:r>
      <w:r w:rsidRPr="009D048A">
        <w:rPr>
          <w:rFonts w:ascii="Times New Roman" w:hAnsi="Times New Roman" w:cs="Times New Roman"/>
          <w:sz w:val="21"/>
          <w:szCs w:val="21"/>
        </w:rPr>
        <w:t xml:space="preserve"> we use to calculate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You need to understand the theoretical justification to know why the model works, but you need the practical model to generate testable predictions.</w:t>
      </w:r>
    </w:p>
    <w:p w14:paraId="21B3671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In what follows, we build the fitness comparison model step by step. Each section adds a mechanism (environmental uncertainty, vulnerability asymmetry, costs, ecotone buffering, cooperation returns, reciprocal obligations), and we track how each mechanism shifts the threshold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The Price equation stays in the background as the theoretical warrant for the whole approach.</w:t>
      </w:r>
    </w:p>
    <w:p w14:paraId="7A871D52"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42B2B5C7">
          <v:rect id="_x0000_i1047" alt="" style="width:468pt;height:.05pt;mso-width-percent:0;mso-height-percent:0;mso-width-percent:0;mso-height-percent:0" o:hralign="center" o:hrstd="t" o:hr="t"/>
        </w:pict>
      </w:r>
    </w:p>
    <w:p w14:paraId="2C7CBA91" w14:textId="77777777" w:rsidR="00506C35" w:rsidRPr="009D048A" w:rsidRDefault="00000000">
      <w:pPr>
        <w:pStyle w:val="Heading1"/>
        <w:rPr>
          <w:rFonts w:ascii="Times New Roman" w:hAnsi="Times New Roman" w:cs="Times New Roman"/>
          <w:sz w:val="32"/>
          <w:szCs w:val="32"/>
        </w:rPr>
      </w:pPr>
      <w:bookmarkStart w:id="19" w:name="part-ii-building-the-model-step-by-step"/>
      <w:bookmarkEnd w:id="1"/>
      <w:bookmarkEnd w:id="13"/>
      <w:bookmarkEnd w:id="18"/>
      <w:r w:rsidRPr="009D048A">
        <w:rPr>
          <w:rFonts w:ascii="Times New Roman" w:hAnsi="Times New Roman" w:cs="Times New Roman"/>
          <w:sz w:val="32"/>
          <w:szCs w:val="32"/>
        </w:rPr>
        <w:t>PART II: BUILDING THE MODEL STEP BY STEP</w:t>
      </w:r>
    </w:p>
    <w:p w14:paraId="480E162E"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A2838A9">
          <v:rect id="_x0000_i1046" alt="" style="width:468pt;height:.05pt;mso-width-percent:0;mso-height-percent:0;mso-width-percent:0;mso-height-percent:0" o:hralign="center" o:hrstd="t" o:hr="t"/>
        </w:pict>
      </w:r>
    </w:p>
    <w:p w14:paraId="5F75C3D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A note on “fitness” before we begin.</w:t>
      </w:r>
      <w:r w:rsidRPr="009D048A">
        <w:rPr>
          <w:rFonts w:ascii="Times New Roman" w:hAnsi="Times New Roman" w:cs="Times New Roman"/>
          <w:sz w:val="21"/>
          <w:szCs w:val="21"/>
        </w:rPr>
        <w:t xml:space="preserve"> Throughout Part II, we talk about the “fitness” of each strategy. For our purposes, fitness is simply a number that captures how well a strategy performs, combining survival probability, reproductive success, and resource acquisition into a single score. A strategy with fitness 0.80 does better than one with fitness 0.60. We are not measuring fitness directly in the archaeological record; instead, </w:t>
      </w:r>
      <w:r w:rsidRPr="009D048A">
        <w:rPr>
          <w:rFonts w:ascii="Times New Roman" w:hAnsi="Times New Roman" w:cs="Times New Roman"/>
          <w:sz w:val="21"/>
          <w:szCs w:val="21"/>
        </w:rPr>
        <w:lastRenderedPageBreak/>
        <w:t xml:space="preserve">we are comparing fitness </w:t>
      </w:r>
      <w:r w:rsidRPr="009D048A">
        <w:rPr>
          <w:rFonts w:ascii="Times New Roman" w:hAnsi="Times New Roman" w:cs="Times New Roman"/>
          <w:i/>
          <w:iCs/>
          <w:sz w:val="21"/>
          <w:szCs w:val="21"/>
        </w:rPr>
        <w:t>functions</w:t>
      </w:r>
      <w:r w:rsidRPr="009D048A">
        <w:rPr>
          <w:rFonts w:ascii="Times New Roman" w:hAnsi="Times New Roman" w:cs="Times New Roman"/>
          <w:sz w:val="21"/>
          <w:szCs w:val="21"/>
        </w:rPr>
        <w:t xml:space="preserve"> (equations) for the two strategies and finding the conditions under which one exceeds the other. Think of fitness as a scorecard: we want to know when the aggregation scorecard beats the independence scorecard.</w:t>
      </w:r>
    </w:p>
    <w:p w14:paraId="43E6125A"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642769D7">
          <v:rect id="_x0000_i1045" alt="" style="width:468pt;height:.05pt;mso-width-percent:0;mso-height-percent:0;mso-width-percent:0;mso-height-percent:0" o:hralign="center" o:hrstd="t" o:hr="t"/>
        </w:pict>
      </w:r>
    </w:p>
    <w:p w14:paraId="6C5ACFF9" w14:textId="77777777" w:rsidR="00506C35" w:rsidRPr="009D048A" w:rsidRDefault="00000000">
      <w:pPr>
        <w:pStyle w:val="Heading2"/>
        <w:rPr>
          <w:rFonts w:ascii="Times New Roman" w:hAnsi="Times New Roman" w:cs="Times New Roman"/>
          <w:sz w:val="24"/>
          <w:szCs w:val="24"/>
        </w:rPr>
      </w:pPr>
      <w:bookmarkStart w:id="20" w:name="environmental-uncertainty-sigma"/>
      <w:r w:rsidRPr="009D048A">
        <w:rPr>
          <w:rFonts w:ascii="Times New Roman" w:hAnsi="Times New Roman" w:cs="Times New Roman"/>
          <w:sz w:val="24"/>
          <w:szCs w:val="24"/>
        </w:rPr>
        <w:t>4. Environmental Uncertainty (</w:t>
      </w:r>
      <m:oMath>
        <m:r>
          <w:rPr>
            <w:rFonts w:ascii="Cambria Math" w:hAnsi="Cambria Math" w:cs="Times New Roman"/>
            <w:sz w:val="24"/>
            <w:szCs w:val="24"/>
          </w:rPr>
          <m:t>σ</m:t>
        </m:r>
      </m:oMath>
      <w:r w:rsidRPr="009D048A">
        <w:rPr>
          <w:rFonts w:ascii="Times New Roman" w:hAnsi="Times New Roman" w:cs="Times New Roman"/>
          <w:sz w:val="24"/>
          <w:szCs w:val="24"/>
        </w:rPr>
        <w:t>)</w:t>
      </w:r>
    </w:p>
    <w:p w14:paraId="72E97605" w14:textId="77777777" w:rsidR="00506C35" w:rsidRPr="009D048A" w:rsidRDefault="00000000">
      <w:pPr>
        <w:pStyle w:val="Heading3"/>
        <w:rPr>
          <w:rFonts w:ascii="Times New Roman" w:hAnsi="Times New Roman" w:cs="Times New Roman"/>
          <w:sz w:val="22"/>
          <w:szCs w:val="22"/>
        </w:rPr>
      </w:pPr>
      <w:bookmarkStart w:id="21" w:name="what-we-are-adding-and-why"/>
      <w:r w:rsidRPr="009D048A">
        <w:rPr>
          <w:rFonts w:ascii="Times New Roman" w:hAnsi="Times New Roman" w:cs="Times New Roman"/>
          <w:sz w:val="22"/>
          <w:szCs w:val="22"/>
        </w:rPr>
        <w:t>4.1 What We Are Adding and Why</w:t>
      </w:r>
    </w:p>
    <w:p w14:paraId="016193A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standard fitness comparison treats fitness as a fixed property of individuals: cooperators always have fitness </w:t>
      </w:r>
      <m:oMath>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C</m:t>
            </m:r>
          </m:sub>
        </m:sSub>
      </m:oMath>
      <w:r w:rsidRPr="009D048A">
        <w:rPr>
          <w:rFonts w:ascii="Times New Roman" w:hAnsi="Times New Roman" w:cs="Times New Roman"/>
          <w:sz w:val="21"/>
          <w:szCs w:val="21"/>
        </w:rPr>
        <w:t xml:space="preserve">, defectors always have fitness </w:t>
      </w:r>
      <m:oMath>
        <m:sSub>
          <m:sSubPr>
            <m:ctrlPr>
              <w:rPr>
                <w:rFonts w:ascii="Cambria Math" w:hAnsi="Cambria Math" w:cs="Times New Roman"/>
                <w:sz w:val="21"/>
                <w:szCs w:val="21"/>
              </w:rPr>
            </m:ctrlPr>
          </m:sSubPr>
          <m:e>
            <m:r>
              <w:rPr>
                <w:rFonts w:ascii="Cambria Math" w:hAnsi="Cambria Math" w:cs="Times New Roman"/>
                <w:sz w:val="21"/>
                <w:szCs w:val="21"/>
              </w:rPr>
              <m:t>w</m:t>
            </m:r>
          </m:e>
          <m:sub>
            <m:r>
              <w:rPr>
                <w:rFonts w:ascii="Cambria Math" w:hAnsi="Cambria Math" w:cs="Times New Roman"/>
                <w:sz w:val="21"/>
                <w:szCs w:val="21"/>
              </w:rPr>
              <m:t>D</m:t>
            </m:r>
          </m:sub>
        </m:sSub>
      </m:oMath>
      <w:r w:rsidRPr="009D048A">
        <w:rPr>
          <w:rFonts w:ascii="Times New Roman" w:hAnsi="Times New Roman" w:cs="Times New Roman"/>
          <w:sz w:val="21"/>
          <w:szCs w:val="21"/>
        </w:rPr>
        <w:t>. But the fitness consequences of cooperation depend on context. In a stable environment where resources are predictable, cooperation imposes costs with minimal benefit. Why share when there is enough for everyone? In a variable environment where resources fluctuate unpredictably, cooperation provides insurance, information sharing, and risk pooling that can be the difference between surviving and not.</w:t>
      </w:r>
    </w:p>
    <w:p w14:paraId="176B496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To capture this context-dependence, we need to make fitness a function of how variable the environment is. That is what </w:t>
      </w:r>
      <m:oMath>
        <m:r>
          <w:rPr>
            <w:rFonts w:ascii="Cambria Math" w:hAnsi="Cambria Math" w:cs="Times New Roman"/>
            <w:sz w:val="21"/>
            <w:szCs w:val="21"/>
          </w:rPr>
          <m:t>σ</m:t>
        </m:r>
      </m:oMath>
      <w:r w:rsidRPr="009D048A">
        <w:rPr>
          <w:rFonts w:ascii="Times New Roman" w:hAnsi="Times New Roman" w:cs="Times New Roman"/>
          <w:sz w:val="21"/>
          <w:szCs w:val="21"/>
        </w:rPr>
        <w:t xml:space="preserve"> does.</w:t>
      </w:r>
    </w:p>
    <w:p w14:paraId="09EC1AC3" w14:textId="77777777" w:rsidR="00506C35" w:rsidRPr="009D048A" w:rsidRDefault="00000000">
      <w:pPr>
        <w:pStyle w:val="Heading3"/>
        <w:rPr>
          <w:rFonts w:ascii="Times New Roman" w:hAnsi="Times New Roman" w:cs="Times New Roman"/>
          <w:sz w:val="22"/>
          <w:szCs w:val="22"/>
        </w:rPr>
      </w:pPr>
      <w:bookmarkStart w:id="22" w:name="the-math"/>
      <w:bookmarkEnd w:id="21"/>
      <w:r w:rsidRPr="009D048A">
        <w:rPr>
          <w:rFonts w:ascii="Times New Roman" w:hAnsi="Times New Roman" w:cs="Times New Roman"/>
          <w:sz w:val="22"/>
          <w:szCs w:val="22"/>
        </w:rPr>
        <w:t>4.2 The Math</w:t>
      </w:r>
    </w:p>
    <w:p w14:paraId="41CB731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We define </w:t>
      </w:r>
      <m:oMath>
        <m:r>
          <w:rPr>
            <w:rFonts w:ascii="Cambria Math" w:hAnsi="Cambria Math" w:cs="Times New Roman"/>
            <w:sz w:val="21"/>
            <w:szCs w:val="21"/>
          </w:rPr>
          <m:t>σ</m:t>
        </m:r>
      </m:oMath>
      <w:r w:rsidRPr="009D048A">
        <w:rPr>
          <w:rFonts w:ascii="Times New Roman" w:hAnsi="Times New Roman" w:cs="Times New Roman"/>
          <w:sz w:val="21"/>
          <w:szCs w:val="21"/>
        </w:rPr>
        <w:t xml:space="preserve"> as the </w:t>
      </w:r>
      <w:r w:rsidRPr="009D048A">
        <w:rPr>
          <w:rFonts w:ascii="Times New Roman" w:hAnsi="Times New Roman" w:cs="Times New Roman"/>
          <w:b/>
          <w:bCs/>
          <w:sz w:val="21"/>
          <w:szCs w:val="21"/>
        </w:rPr>
        <w:t>coefficient of variation</w:t>
      </w:r>
      <w:r w:rsidRPr="009D048A">
        <w:rPr>
          <w:rFonts w:ascii="Times New Roman" w:hAnsi="Times New Roman" w:cs="Times New Roman"/>
          <w:sz w:val="21"/>
          <w:szCs w:val="21"/>
        </w:rPr>
        <w:t xml:space="preserve"> in annual resource returns:</w:t>
      </w:r>
    </w:p>
    <w:p w14:paraId="350BC736"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σ</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Standard deviation of annual resource returns</m:t>
              </m:r>
            </m:num>
            <m:den>
              <m:r>
                <m:rPr>
                  <m:nor/>
                </m:rPr>
                <w:rPr>
                  <w:rFonts w:ascii="Times New Roman" w:hAnsi="Times New Roman" w:cs="Times New Roman"/>
                  <w:sz w:val="21"/>
                  <w:szCs w:val="21"/>
                </w:rPr>
                <m:t>Mean annual resource returns</m:t>
              </m:r>
            </m:den>
          </m:f>
        </m:oMath>
      </m:oMathPara>
    </w:p>
    <w:p w14:paraId="1FE6302C" w14:textId="77777777" w:rsidR="00506C35" w:rsidRPr="009D048A" w:rsidRDefault="00000000">
      <w:pPr>
        <w:pStyle w:val="FirstParagraph"/>
        <w:rPr>
          <w:rFonts w:ascii="Times New Roman" w:hAnsi="Times New Roman" w:cs="Times New Roman"/>
          <w:sz w:val="21"/>
          <w:szCs w:val="21"/>
        </w:rPr>
      </w:pPr>
      <m:oMath>
        <m:r>
          <w:rPr>
            <w:rFonts w:ascii="Cambria Math" w:hAnsi="Cambria Math" w:cs="Times New Roman"/>
            <w:sz w:val="21"/>
            <w:szCs w:val="21"/>
          </w:rPr>
          <m:t>σ</m:t>
        </m:r>
      </m:oMath>
      <w:r w:rsidRPr="009D048A">
        <w:rPr>
          <w:rFonts w:ascii="Times New Roman" w:hAnsi="Times New Roman" w:cs="Times New Roman"/>
          <w:sz w:val="21"/>
          <w:szCs w:val="21"/>
        </w:rPr>
        <w:t xml:space="preserve"> ranges from 0 to 1. At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xml:space="preserve">, resources are perfectly predictable, the same every year. At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oMath>
      <w:r w:rsidRPr="009D048A">
        <w:rPr>
          <w:rFonts w:ascii="Times New Roman" w:hAnsi="Times New Roman" w:cs="Times New Roman"/>
          <w:sz w:val="21"/>
          <w:szCs w:val="21"/>
        </w:rPr>
        <w:t xml:space="preserve">, the standard deviation equals the mean, meaning resources fluctuate so wildly that some years produce nothing. In practice, </w:t>
      </w:r>
      <m:oMath>
        <m:r>
          <w:rPr>
            <w:rFonts w:ascii="Cambria Math" w:hAnsi="Cambria Math" w:cs="Times New Roman"/>
            <w:sz w:val="21"/>
            <w:szCs w:val="21"/>
          </w:rPr>
          <m:t>σ</m:t>
        </m:r>
        <m:r>
          <m:rPr>
            <m:sty m:val="p"/>
          </m:rPr>
          <w:rPr>
            <w:rFonts w:ascii="Cambria Math" w:hAnsi="Cambria Math" w:cs="Times New Roman"/>
            <w:sz w:val="21"/>
            <w:szCs w:val="21"/>
          </w:rPr>
          <m:t>&gt;</m:t>
        </m:r>
        <m:r>
          <w:rPr>
            <w:rFonts w:ascii="Cambria Math" w:hAnsi="Cambria Math" w:cs="Times New Roman"/>
            <w:sz w:val="21"/>
            <w:szCs w:val="21"/>
          </w:rPr>
          <m:t>0.80</m:t>
        </m:r>
      </m:oMath>
      <w:r w:rsidRPr="009D048A">
        <w:rPr>
          <w:rFonts w:ascii="Times New Roman" w:hAnsi="Times New Roman" w:cs="Times New Roman"/>
          <w:sz w:val="21"/>
          <w:szCs w:val="21"/>
        </w:rPr>
        <w:t xml:space="preserve"> represents environments too variable for sustained human occupation.</w:t>
      </w:r>
    </w:p>
    <w:p w14:paraId="5CD2BB6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What does this look like concretely? Imagine a region where the average annual nut harvest is 1,000 kg. If the standard deviation is 350 kg (some years you get 650 kg, other years 1,350 kg), then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 That is the lower end of what we estimate for the Finger Lakes during the Late Archaic.</w:t>
      </w:r>
    </w:p>
    <w:p w14:paraId="1B6B8FAC" w14:textId="77777777" w:rsidR="00506C35" w:rsidRPr="009D048A" w:rsidRDefault="00000000">
      <w:pPr>
        <w:pStyle w:val="BodyText"/>
        <w:rPr>
          <w:rFonts w:ascii="Times New Roman" w:hAnsi="Times New Roman" w:cs="Times New Roman"/>
          <w:sz w:val="21"/>
          <w:szCs w:val="21"/>
        </w:rPr>
      </w:pPr>
      <m:oMath>
        <m:r>
          <w:rPr>
            <w:rFonts w:ascii="Cambria Math" w:hAnsi="Cambria Math" w:cs="Times New Roman"/>
            <w:sz w:val="21"/>
            <w:szCs w:val="21"/>
          </w:rPr>
          <m:t>σ</m:t>
        </m:r>
      </m:oMath>
      <w:r w:rsidRPr="009D048A">
        <w:rPr>
          <w:rFonts w:ascii="Times New Roman" w:hAnsi="Times New Roman" w:cs="Times New Roman"/>
          <w:sz w:val="21"/>
          <w:szCs w:val="21"/>
        </w:rPr>
        <w:t xml:space="preserve"> integrates three components of environmental risk:</w:t>
      </w:r>
    </w:p>
    <w:p w14:paraId="087370A3"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σ</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magnitude</m:t>
              </m:r>
              <m:r>
                <m:rPr>
                  <m:sty m:val="p"/>
                </m:rPr>
                <w:rPr>
                  <w:rFonts w:ascii="Cambria Math" w:hAnsi="Cambria Math" w:cs="Times New Roman"/>
                  <w:sz w:val="21"/>
                  <w:szCs w:val="21"/>
                </w:rPr>
                <m:t>×</m:t>
              </m:r>
              <m:r>
                <m:rPr>
                  <m:nor/>
                </m:rPr>
                <w:rPr>
                  <w:rFonts w:ascii="Times New Roman" w:hAnsi="Times New Roman" w:cs="Times New Roman"/>
                  <w:sz w:val="21"/>
                  <w:szCs w:val="21"/>
                </w:rPr>
                <m:t>duration</m:t>
              </m:r>
            </m:num>
            <m:den>
              <m:r>
                <m:rPr>
                  <m:nor/>
                </m:rPr>
                <w:rPr>
                  <w:rFonts w:ascii="Times New Roman" w:hAnsi="Times New Roman" w:cs="Times New Roman"/>
                  <w:sz w:val="21"/>
                  <w:szCs w:val="21"/>
                </w:rPr>
                <m:t>return period</m:t>
              </m:r>
            </m:den>
          </m:f>
        </m:oMath>
      </m:oMathPara>
    </w:p>
    <w:p w14:paraId="4FB4C4B4" w14:textId="77777777" w:rsidR="00506C35" w:rsidRPr="009D048A" w:rsidRDefault="00000000">
      <w:pPr>
        <w:pStyle w:val="Compact"/>
        <w:numPr>
          <w:ilvl w:val="0"/>
          <w:numId w:val="11"/>
        </w:numPr>
        <w:rPr>
          <w:rFonts w:ascii="Times New Roman" w:hAnsi="Times New Roman" w:cs="Times New Roman"/>
          <w:sz w:val="21"/>
          <w:szCs w:val="21"/>
        </w:rPr>
      </w:pPr>
      <w:r w:rsidRPr="009D048A">
        <w:rPr>
          <w:rFonts w:ascii="Times New Roman" w:hAnsi="Times New Roman" w:cs="Times New Roman"/>
          <w:b/>
          <w:bCs/>
          <w:sz w:val="21"/>
          <w:szCs w:val="21"/>
        </w:rPr>
        <w:t>Magnitude</w:t>
      </w:r>
      <w:r w:rsidRPr="009D048A">
        <w:rPr>
          <w:rFonts w:ascii="Times New Roman" w:hAnsi="Times New Roman" w:cs="Times New Roman"/>
          <w:sz w:val="21"/>
          <w:szCs w:val="21"/>
        </w:rPr>
        <w:t>: how severe is a shortfall when it happens? (0 to 1 scale, where 1 means complete failure)</w:t>
      </w:r>
    </w:p>
    <w:p w14:paraId="64EAFCAA" w14:textId="77777777" w:rsidR="00506C35" w:rsidRPr="009D048A" w:rsidRDefault="00000000">
      <w:pPr>
        <w:pStyle w:val="Compact"/>
        <w:numPr>
          <w:ilvl w:val="0"/>
          <w:numId w:val="11"/>
        </w:numPr>
        <w:rPr>
          <w:rFonts w:ascii="Times New Roman" w:hAnsi="Times New Roman" w:cs="Times New Roman"/>
          <w:sz w:val="21"/>
          <w:szCs w:val="21"/>
        </w:rPr>
      </w:pPr>
      <w:r w:rsidRPr="009D048A">
        <w:rPr>
          <w:rFonts w:ascii="Times New Roman" w:hAnsi="Times New Roman" w:cs="Times New Roman"/>
          <w:b/>
          <w:bCs/>
          <w:sz w:val="21"/>
          <w:szCs w:val="21"/>
        </w:rPr>
        <w:t>Duration</w:t>
      </w:r>
      <w:r w:rsidRPr="009D048A">
        <w:rPr>
          <w:rFonts w:ascii="Times New Roman" w:hAnsi="Times New Roman" w:cs="Times New Roman"/>
          <w:sz w:val="21"/>
          <w:szCs w:val="21"/>
        </w:rPr>
        <w:t>: how many years does a shortfall last?</w:t>
      </w:r>
    </w:p>
    <w:p w14:paraId="25EBE658" w14:textId="77777777" w:rsidR="00506C35" w:rsidRPr="009D048A" w:rsidRDefault="00000000">
      <w:pPr>
        <w:pStyle w:val="Compact"/>
        <w:numPr>
          <w:ilvl w:val="0"/>
          <w:numId w:val="11"/>
        </w:numPr>
        <w:rPr>
          <w:rFonts w:ascii="Times New Roman" w:hAnsi="Times New Roman" w:cs="Times New Roman"/>
          <w:sz w:val="21"/>
          <w:szCs w:val="21"/>
        </w:rPr>
      </w:pPr>
      <w:r w:rsidRPr="009D048A">
        <w:rPr>
          <w:rFonts w:ascii="Times New Roman" w:hAnsi="Times New Roman" w:cs="Times New Roman"/>
          <w:b/>
          <w:bCs/>
          <w:sz w:val="21"/>
          <w:szCs w:val="21"/>
        </w:rPr>
        <w:t>Return period</w:t>
      </w:r>
      <w:r w:rsidRPr="009D048A">
        <w:rPr>
          <w:rFonts w:ascii="Times New Roman" w:hAnsi="Times New Roman" w:cs="Times New Roman"/>
          <w:sz w:val="21"/>
          <w:szCs w:val="21"/>
        </w:rPr>
        <w:t>: on average, how many years between shortfall events?</w:t>
      </w:r>
    </w:p>
    <w:p w14:paraId="65F0769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An environment where shortfalls are severe (magnitude 0.6), prolonged (duration 3 years), and frequent (return period 5 years) has much higher </w:t>
      </w:r>
      <m:oMath>
        <m:r>
          <w:rPr>
            <w:rFonts w:ascii="Cambria Math" w:hAnsi="Cambria Math" w:cs="Times New Roman"/>
            <w:sz w:val="21"/>
            <w:szCs w:val="21"/>
          </w:rPr>
          <m:t>σ</m:t>
        </m:r>
      </m:oMath>
      <w:r w:rsidRPr="009D048A">
        <w:rPr>
          <w:rFonts w:ascii="Times New Roman" w:hAnsi="Times New Roman" w:cs="Times New Roman"/>
          <w:sz w:val="21"/>
          <w:szCs w:val="21"/>
        </w:rPr>
        <w:t xml:space="preserve"> than one where shortfalls are mild (magnitude 0.2), brief (duration 1 year), and rare (return period 20 years).</w:t>
      </w:r>
    </w:p>
    <w:p w14:paraId="55034B29"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lastRenderedPageBreak/>
        <w:drawing>
          <wp:inline distT="0" distB="0" distL="0" distR="0" wp14:anchorId="6E20C833" wp14:editId="7AAD2CA8">
            <wp:extent cx="5334000" cy="3403035"/>
            <wp:effectExtent l="0" t="0" r="0" b="0"/>
            <wp:docPr id="33" name="Picture" descr="Figure 2. What sigma feels like. Three resource distributions centered at mean = 1.0 with different levels of variability. The shaded regions below the shortfall threshold (0.6) show how increasing sigma dramatically increases the probability of a bad year."/>
            <wp:cNvGraphicFramePr/>
            <a:graphic xmlns:a="http://schemas.openxmlformats.org/drawingml/2006/main">
              <a:graphicData uri="http://schemas.openxmlformats.org/drawingml/2006/picture">
                <pic:pic xmlns:pic="http://schemas.openxmlformats.org/drawingml/2006/picture">
                  <pic:nvPicPr>
                    <pic:cNvPr id="34" name="Picture" descr="figures/fig_02_sigma_distributions.png"/>
                    <pic:cNvPicPr>
                      <a:picLocks noChangeAspect="1" noChangeArrowheads="1"/>
                    </pic:cNvPicPr>
                  </pic:nvPicPr>
                  <pic:blipFill>
                    <a:blip r:embed="rId6"/>
                    <a:stretch>
                      <a:fillRect/>
                    </a:stretch>
                  </pic:blipFill>
                  <pic:spPr bwMode="auto">
                    <a:xfrm>
                      <a:off x="0" y="0"/>
                      <a:ext cx="5334000" cy="3403035"/>
                    </a:xfrm>
                    <a:prstGeom prst="rect">
                      <a:avLst/>
                    </a:prstGeom>
                    <a:noFill/>
                    <a:ln w="9525">
                      <a:noFill/>
                      <a:headEnd/>
                      <a:tailEnd/>
                    </a:ln>
                  </pic:spPr>
                </pic:pic>
              </a:graphicData>
            </a:graphic>
          </wp:inline>
        </w:drawing>
      </w:r>
    </w:p>
    <w:p w14:paraId="7A6753D6"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2. What sigma feels like. Three resource distributions centered at mean = 1.0 with different levels of variability. The shaded regions below the shortfall threshold (0.6) show how increasing sigma dramatically increases the probability of a bad year.</w:t>
      </w:r>
    </w:p>
    <w:p w14:paraId="690820D1" w14:textId="77777777" w:rsidR="00506C35" w:rsidRPr="009D048A" w:rsidRDefault="00000000">
      <w:pPr>
        <w:pStyle w:val="Heading3"/>
        <w:rPr>
          <w:rFonts w:ascii="Times New Roman" w:hAnsi="Times New Roman" w:cs="Times New Roman"/>
          <w:sz w:val="22"/>
          <w:szCs w:val="22"/>
        </w:rPr>
      </w:pPr>
      <w:bookmarkStart w:id="23" w:name="how-to-estimate-sigma-from-the-record"/>
      <w:bookmarkEnd w:id="22"/>
      <w:r w:rsidRPr="009D048A">
        <w:rPr>
          <w:rFonts w:ascii="Times New Roman" w:hAnsi="Times New Roman" w:cs="Times New Roman"/>
          <w:sz w:val="22"/>
          <w:szCs w:val="22"/>
        </w:rPr>
        <w:t xml:space="preserve">4.3 How to Estimate </w:t>
      </w:r>
      <m:oMath>
        <m:r>
          <w:rPr>
            <w:rFonts w:ascii="Cambria Math" w:hAnsi="Cambria Math" w:cs="Times New Roman"/>
            <w:sz w:val="22"/>
            <w:szCs w:val="22"/>
          </w:rPr>
          <m:t>σ</m:t>
        </m:r>
      </m:oMath>
      <w:r w:rsidRPr="009D048A">
        <w:rPr>
          <w:rFonts w:ascii="Times New Roman" w:hAnsi="Times New Roman" w:cs="Times New Roman"/>
          <w:sz w:val="22"/>
          <w:szCs w:val="22"/>
        </w:rPr>
        <w:t xml:space="preserve"> from the Record</w:t>
      </w:r>
    </w:p>
    <w:p w14:paraId="77DFD74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This is where things get practical. You cannot directly measure </w:t>
      </w:r>
      <m:oMath>
        <m:r>
          <w:rPr>
            <w:rFonts w:ascii="Cambria Math" w:hAnsi="Cambria Math" w:cs="Times New Roman"/>
            <w:sz w:val="21"/>
            <w:szCs w:val="21"/>
          </w:rPr>
          <m:t>σ</m:t>
        </m:r>
      </m:oMath>
      <w:r w:rsidRPr="009D048A">
        <w:rPr>
          <w:rFonts w:ascii="Times New Roman" w:hAnsi="Times New Roman" w:cs="Times New Roman"/>
          <w:sz w:val="21"/>
          <w:szCs w:val="21"/>
        </w:rPr>
        <w:t xml:space="preserve"> for the Late Archaic Finger Lakes, but you can estimate it from multiple proxy sources:</w:t>
      </w:r>
    </w:p>
    <w:p w14:paraId="61539BF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Pollen cores from Finger Lakes sediments.</w:t>
      </w:r>
      <w:r w:rsidRPr="009D048A">
        <w:rPr>
          <w:rFonts w:ascii="Times New Roman" w:hAnsi="Times New Roman" w:cs="Times New Roman"/>
          <w:sz w:val="21"/>
          <w:szCs w:val="21"/>
        </w:rPr>
        <w:t xml:space="preserve"> Pollen data from lake sediment cores record changes in vegetation composition over time. High variability in pollen percentages (especially for mast-producing trees like </w:t>
      </w:r>
      <w:r w:rsidRPr="009D048A">
        <w:rPr>
          <w:rFonts w:ascii="Times New Roman" w:hAnsi="Times New Roman" w:cs="Times New Roman"/>
          <w:i/>
          <w:iCs/>
          <w:sz w:val="21"/>
          <w:szCs w:val="21"/>
        </w:rPr>
        <w:t>Carya</w:t>
      </w:r>
      <w:r w:rsidRPr="009D048A">
        <w:rPr>
          <w:rFonts w:ascii="Times New Roman" w:hAnsi="Times New Roman" w:cs="Times New Roman"/>
          <w:sz w:val="21"/>
          <w:szCs w:val="21"/>
        </w:rPr>
        <w:t xml:space="preserve"> and </w:t>
      </w:r>
      <w:r w:rsidRPr="009D048A">
        <w:rPr>
          <w:rFonts w:ascii="Times New Roman" w:hAnsi="Times New Roman" w:cs="Times New Roman"/>
          <w:i/>
          <w:iCs/>
          <w:sz w:val="21"/>
          <w:szCs w:val="21"/>
        </w:rPr>
        <w:t>Quercus</w:t>
      </w:r>
      <w:r w:rsidRPr="009D048A">
        <w:rPr>
          <w:rFonts w:ascii="Times New Roman" w:hAnsi="Times New Roman" w:cs="Times New Roman"/>
          <w:sz w:val="21"/>
          <w:szCs w:val="21"/>
        </w:rPr>
        <w:t>) indicates variable growing conditions. Look for existing cores from Lamoka Lake, Waneta Lake, Seneca Lake, and other nearby water bodies.</w:t>
      </w:r>
    </w:p>
    <w:p w14:paraId="5F92F0E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Lake sediment cores (varved sediments).</w:t>
      </w:r>
      <w:r w:rsidRPr="009D048A">
        <w:rPr>
          <w:rFonts w:ascii="Times New Roman" w:hAnsi="Times New Roman" w:cs="Times New Roman"/>
          <w:sz w:val="21"/>
          <w:szCs w:val="21"/>
        </w:rPr>
        <w:t xml:space="preserve"> Some Finger Lakes have annually laminated (varved) sediments. Layer thickness variations reflect changes in sediment input, which correlate with precipitation variability. Higher variance in layer thickness implies higher </w:t>
      </w:r>
      <m:oMath>
        <m:r>
          <w:rPr>
            <w:rFonts w:ascii="Cambria Math" w:hAnsi="Cambria Math" w:cs="Times New Roman"/>
            <w:sz w:val="21"/>
            <w:szCs w:val="21"/>
          </w:rPr>
          <m:t>σ</m:t>
        </m:r>
      </m:oMath>
      <w:r w:rsidRPr="009D048A">
        <w:rPr>
          <w:rFonts w:ascii="Times New Roman" w:hAnsi="Times New Roman" w:cs="Times New Roman"/>
          <w:sz w:val="21"/>
          <w:szCs w:val="21"/>
        </w:rPr>
        <w:t>.</w:t>
      </w:r>
    </w:p>
    <w:p w14:paraId="233195A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Speleothem (cave formation) records.</w:t>
      </w:r>
      <w:r w:rsidRPr="009D048A">
        <w:rPr>
          <w:rFonts w:ascii="Times New Roman" w:hAnsi="Times New Roman" w:cs="Times New Roman"/>
          <w:sz w:val="21"/>
          <w:szCs w:val="21"/>
        </w:rPr>
        <w:t xml:space="preserve"> Oxygen isotope ratios (</w:t>
      </w:r>
      <m:oMath>
        <m:sSup>
          <m:sSupPr>
            <m:ctrlPr>
              <w:rPr>
                <w:rFonts w:ascii="Cambria Math" w:hAnsi="Cambria Math" w:cs="Times New Roman"/>
                <w:sz w:val="21"/>
                <w:szCs w:val="21"/>
              </w:rPr>
            </m:ctrlPr>
          </m:sSupPr>
          <m:e>
            <m:r>
              <w:rPr>
                <w:rFonts w:ascii="Cambria Math" w:hAnsi="Cambria Math" w:cs="Times New Roman"/>
                <w:sz w:val="21"/>
                <w:szCs w:val="21"/>
              </w:rPr>
              <m:t>δ</m:t>
            </m:r>
          </m:e>
          <m:sup>
            <m:r>
              <w:rPr>
                <w:rFonts w:ascii="Cambria Math" w:hAnsi="Cambria Math" w:cs="Times New Roman"/>
                <w:sz w:val="21"/>
                <w:szCs w:val="21"/>
              </w:rPr>
              <m:t>18</m:t>
            </m:r>
          </m:sup>
        </m:sSup>
      </m:oMath>
      <w:r w:rsidRPr="009D048A">
        <w:rPr>
          <w:rFonts w:ascii="Times New Roman" w:hAnsi="Times New Roman" w:cs="Times New Roman"/>
          <w:sz w:val="21"/>
          <w:szCs w:val="21"/>
        </w:rPr>
        <w:t xml:space="preserve">O) in speleothem calcite record precipitation and temperature variability. Regional caves in Pennsylvania and West Virginia provide records extending into the Late Archaic. The variance in </w:t>
      </w:r>
      <m:oMath>
        <m:sSup>
          <m:sSupPr>
            <m:ctrlPr>
              <w:rPr>
                <w:rFonts w:ascii="Cambria Math" w:hAnsi="Cambria Math" w:cs="Times New Roman"/>
                <w:sz w:val="21"/>
                <w:szCs w:val="21"/>
              </w:rPr>
            </m:ctrlPr>
          </m:sSupPr>
          <m:e>
            <m:r>
              <w:rPr>
                <w:rFonts w:ascii="Cambria Math" w:hAnsi="Cambria Math" w:cs="Times New Roman"/>
                <w:sz w:val="21"/>
                <w:szCs w:val="21"/>
              </w:rPr>
              <m:t>δ</m:t>
            </m:r>
          </m:e>
          <m:sup>
            <m:r>
              <w:rPr>
                <w:rFonts w:ascii="Cambria Math" w:hAnsi="Cambria Math" w:cs="Times New Roman"/>
                <w:sz w:val="21"/>
                <w:szCs w:val="21"/>
              </w:rPr>
              <m:t>18</m:t>
            </m:r>
          </m:sup>
        </m:sSup>
      </m:oMath>
      <w:r w:rsidRPr="009D048A">
        <w:rPr>
          <w:rFonts w:ascii="Times New Roman" w:hAnsi="Times New Roman" w:cs="Times New Roman"/>
          <w:sz w:val="21"/>
          <w:szCs w:val="21"/>
        </w:rPr>
        <w:t>O values during the period of interest provides a precipitation variability proxy.</w:t>
      </w:r>
    </w:p>
    <w:p w14:paraId="4047148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Tree-ring records (limited for this period).</w:t>
      </w:r>
      <w:r w:rsidRPr="009D048A">
        <w:rPr>
          <w:rFonts w:ascii="Times New Roman" w:hAnsi="Times New Roman" w:cs="Times New Roman"/>
          <w:sz w:val="21"/>
          <w:szCs w:val="21"/>
        </w:rPr>
        <w:t xml:space="preserve"> Where preserved wood of sufficient age exists, tree-ring width variability directly measures growing-season conditions. For the Late Archaic, preserved wood is rare, but any available records from the broader Northeast would be informative.</w:t>
      </w:r>
    </w:p>
    <w:p w14:paraId="01EBC90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Modern ecological data on mast production variability.</w:t>
      </w:r>
      <w:r w:rsidRPr="009D048A">
        <w:rPr>
          <w:rFonts w:ascii="Times New Roman" w:hAnsi="Times New Roman" w:cs="Times New Roman"/>
          <w:sz w:val="21"/>
          <w:szCs w:val="21"/>
        </w:rPr>
        <w:t xml:space="preserve"> Long-term monitoring data on nut production in modern temperate forests provides an analog for past variability. Hickory and oak mast crops are notoriously variable: Koenig and Knops (2000) documented coefficients of variation of 0.35-0.50 for acorn production in eastern deciduous forests, with multi-year cycles of boom and bust driven by the complex interaction of weather, pollination success, and insect herbivory. Silvertown (1980) showed that mast-fruiting species exhibit </w:t>
      </w:r>
      <w:r w:rsidRPr="009D048A">
        <w:rPr>
          <w:rFonts w:ascii="Times New Roman" w:hAnsi="Times New Roman" w:cs="Times New Roman"/>
          <w:sz w:val="21"/>
          <w:szCs w:val="21"/>
        </w:rPr>
        <w:lastRenderedPageBreak/>
        <w:t>substantially higher inter-annual variability than species with more regular reproduction. These data give us a lower bound on the resource variability component.</w:t>
      </w:r>
    </w:p>
    <w:p w14:paraId="4D8CC62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Table 4.1. Sources for estimating </w:t>
      </w:r>
      <m:oMath>
        <m:r>
          <w:rPr>
            <w:rFonts w:ascii="Cambria Math" w:hAnsi="Cambria Math" w:cs="Times New Roman"/>
            <w:sz w:val="21"/>
            <w:szCs w:val="21"/>
          </w:rPr>
          <m:t>σ</m:t>
        </m:r>
      </m:oMath>
      <w:r w:rsidRPr="009D048A">
        <w:rPr>
          <w:rFonts w:ascii="Times New Roman" w:hAnsi="Times New Roman" w:cs="Times New Roman"/>
          <w:b/>
          <w:bCs/>
          <w:sz w:val="21"/>
          <w:szCs w:val="21"/>
        </w:rPr>
        <w:t xml:space="preserve"> in the Finger Lakes Late Archaic.</w:t>
      </w:r>
    </w:p>
    <w:tbl>
      <w:tblPr>
        <w:tblStyle w:val="Table"/>
        <w:tblW w:w="5000" w:type="pct"/>
        <w:tblLayout w:type="fixed"/>
        <w:tblLook w:val="0020" w:firstRow="1" w:lastRow="0" w:firstColumn="0" w:lastColumn="0" w:noHBand="0" w:noVBand="0"/>
      </w:tblPr>
      <w:tblGrid>
        <w:gridCol w:w="1576"/>
        <w:gridCol w:w="1916"/>
        <w:gridCol w:w="2366"/>
        <w:gridCol w:w="2366"/>
        <w:gridCol w:w="1352"/>
      </w:tblGrid>
      <w:tr w:rsidR="00506C35" w:rsidRPr="009D048A" w14:paraId="2738AE1D"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304" w:type="dxa"/>
          </w:tcPr>
          <w:p w14:paraId="2C9B66A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Proxy source</w:t>
            </w:r>
          </w:p>
        </w:tc>
        <w:tc>
          <w:tcPr>
            <w:tcW w:w="1584" w:type="dxa"/>
          </w:tcPr>
          <w:p w14:paraId="60BD9E8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What it measures</w:t>
            </w:r>
          </w:p>
        </w:tc>
        <w:tc>
          <w:tcPr>
            <w:tcW w:w="1956" w:type="dxa"/>
          </w:tcPr>
          <w:p w14:paraId="6578ACE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Temporal resolution</w:t>
            </w:r>
          </w:p>
        </w:tc>
        <w:tc>
          <w:tcPr>
            <w:tcW w:w="1956" w:type="dxa"/>
          </w:tcPr>
          <w:p w14:paraId="618D719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Key datasets to seek</w:t>
            </w:r>
          </w:p>
        </w:tc>
        <w:tc>
          <w:tcPr>
            <w:tcW w:w="1118" w:type="dxa"/>
          </w:tcPr>
          <w:p w14:paraId="0A4C2BC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Limitation</w:t>
            </w:r>
          </w:p>
        </w:tc>
      </w:tr>
      <w:tr w:rsidR="00506C35" w:rsidRPr="009D048A" w14:paraId="6A61F47E" w14:textId="77777777">
        <w:tc>
          <w:tcPr>
            <w:tcW w:w="1304" w:type="dxa"/>
          </w:tcPr>
          <w:p w14:paraId="447C5E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Pollen cores</w:t>
            </w:r>
          </w:p>
        </w:tc>
        <w:tc>
          <w:tcPr>
            <w:tcW w:w="1584" w:type="dxa"/>
          </w:tcPr>
          <w:p w14:paraId="72360E2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Vegetation variability</w:t>
            </w:r>
          </w:p>
        </w:tc>
        <w:tc>
          <w:tcPr>
            <w:tcW w:w="1956" w:type="dxa"/>
          </w:tcPr>
          <w:p w14:paraId="1EC91F1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Decades to centuries</w:t>
            </w:r>
          </w:p>
        </w:tc>
        <w:tc>
          <w:tcPr>
            <w:tcW w:w="1956" w:type="dxa"/>
          </w:tcPr>
          <w:p w14:paraId="24BBA9F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NY State Museum collections; published Finger Lakes pollen diagrams</w:t>
            </w:r>
          </w:p>
        </w:tc>
        <w:tc>
          <w:tcPr>
            <w:tcW w:w="1118" w:type="dxa"/>
          </w:tcPr>
          <w:p w14:paraId="4E749AC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Low temporal resolution</w:t>
            </w:r>
          </w:p>
        </w:tc>
      </w:tr>
      <w:tr w:rsidR="00506C35" w:rsidRPr="009D048A" w14:paraId="7016BBDF" w14:textId="77777777">
        <w:tc>
          <w:tcPr>
            <w:tcW w:w="1304" w:type="dxa"/>
          </w:tcPr>
          <w:p w14:paraId="4AED74D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Lake varves</w:t>
            </w:r>
          </w:p>
        </w:tc>
        <w:tc>
          <w:tcPr>
            <w:tcW w:w="1584" w:type="dxa"/>
          </w:tcPr>
          <w:p w14:paraId="12A7571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Hydrological variability</w:t>
            </w:r>
          </w:p>
        </w:tc>
        <w:tc>
          <w:tcPr>
            <w:tcW w:w="1956" w:type="dxa"/>
          </w:tcPr>
          <w:p w14:paraId="38C5973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Annual (if varved)</w:t>
            </w:r>
          </w:p>
        </w:tc>
        <w:tc>
          <w:tcPr>
            <w:tcW w:w="1956" w:type="dxa"/>
          </w:tcPr>
          <w:p w14:paraId="0F466B0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Cornell Geological Sciences; USGS sediment data</w:t>
            </w:r>
          </w:p>
        </w:tc>
        <w:tc>
          <w:tcPr>
            <w:tcW w:w="1118" w:type="dxa"/>
          </w:tcPr>
          <w:p w14:paraId="1B859E4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Not all lakes are varved</w:t>
            </w:r>
          </w:p>
        </w:tc>
      </w:tr>
      <w:tr w:rsidR="00506C35" w:rsidRPr="009D048A" w14:paraId="4E0220D4" w14:textId="77777777">
        <w:tc>
          <w:tcPr>
            <w:tcW w:w="1304" w:type="dxa"/>
          </w:tcPr>
          <w:p w14:paraId="33325A4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Speleothems</w:t>
            </w:r>
          </w:p>
        </w:tc>
        <w:tc>
          <w:tcPr>
            <w:tcW w:w="1584" w:type="dxa"/>
          </w:tcPr>
          <w:p w14:paraId="2DBEA18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Precipitation variability</w:t>
            </w:r>
          </w:p>
        </w:tc>
        <w:tc>
          <w:tcPr>
            <w:tcW w:w="1956" w:type="dxa"/>
          </w:tcPr>
          <w:p w14:paraId="054766F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Sub-annual to decadal</w:t>
            </w:r>
          </w:p>
        </w:tc>
        <w:tc>
          <w:tcPr>
            <w:tcW w:w="1956" w:type="dxa"/>
          </w:tcPr>
          <w:p w14:paraId="1F4546E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Published PA/WV cave records</w:t>
            </w:r>
          </w:p>
        </w:tc>
        <w:tc>
          <w:tcPr>
            <w:tcW w:w="1118" w:type="dxa"/>
          </w:tcPr>
          <w:p w14:paraId="3FBCEDF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Distant from Finger Lakes</w:t>
            </w:r>
          </w:p>
        </w:tc>
      </w:tr>
      <w:tr w:rsidR="00506C35" w:rsidRPr="009D048A" w14:paraId="7DEC139D" w14:textId="77777777">
        <w:tc>
          <w:tcPr>
            <w:tcW w:w="1304" w:type="dxa"/>
          </w:tcPr>
          <w:p w14:paraId="42B247C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Tree rings</w:t>
            </w:r>
          </w:p>
        </w:tc>
        <w:tc>
          <w:tcPr>
            <w:tcW w:w="1584" w:type="dxa"/>
          </w:tcPr>
          <w:p w14:paraId="4C7839D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Growing season variability</w:t>
            </w:r>
          </w:p>
        </w:tc>
        <w:tc>
          <w:tcPr>
            <w:tcW w:w="1956" w:type="dxa"/>
          </w:tcPr>
          <w:p w14:paraId="3B4FCED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Annual</w:t>
            </w:r>
          </w:p>
        </w:tc>
        <w:tc>
          <w:tcPr>
            <w:tcW w:w="1956" w:type="dxa"/>
          </w:tcPr>
          <w:p w14:paraId="7FBDD60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ITRDB; Mohonk Preserve long chronology</w:t>
            </w:r>
          </w:p>
        </w:tc>
        <w:tc>
          <w:tcPr>
            <w:tcW w:w="1118" w:type="dxa"/>
          </w:tcPr>
          <w:p w14:paraId="30C7D96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Rare for Late Archaic period</w:t>
            </w:r>
          </w:p>
        </w:tc>
      </w:tr>
      <w:tr w:rsidR="00506C35" w:rsidRPr="009D048A" w14:paraId="5B41E6A1" w14:textId="77777777">
        <w:tc>
          <w:tcPr>
            <w:tcW w:w="1304" w:type="dxa"/>
          </w:tcPr>
          <w:p w14:paraId="64B96E0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Modern mast data</w:t>
            </w:r>
          </w:p>
        </w:tc>
        <w:tc>
          <w:tcPr>
            <w:tcW w:w="1584" w:type="dxa"/>
          </w:tcPr>
          <w:p w14:paraId="38BE4C3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Nut crop variability</w:t>
            </w:r>
          </w:p>
        </w:tc>
        <w:tc>
          <w:tcPr>
            <w:tcW w:w="1956" w:type="dxa"/>
          </w:tcPr>
          <w:p w14:paraId="777EE61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Annual</w:t>
            </w:r>
          </w:p>
        </w:tc>
        <w:tc>
          <w:tcPr>
            <w:tcW w:w="1956" w:type="dxa"/>
          </w:tcPr>
          <w:p w14:paraId="5A4E1A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USDA Forest Service mast surveys</w:t>
            </w:r>
          </w:p>
        </w:tc>
        <w:tc>
          <w:tcPr>
            <w:tcW w:w="1118" w:type="dxa"/>
          </w:tcPr>
          <w:p w14:paraId="014F537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Modern analog assumption</w:t>
            </w:r>
          </w:p>
        </w:tc>
      </w:tr>
    </w:tbl>
    <w:p w14:paraId="0A3985A2" w14:textId="77777777" w:rsidR="00506C35" w:rsidRPr="009D048A" w:rsidRDefault="00000000">
      <w:pPr>
        <w:pStyle w:val="Heading3"/>
        <w:rPr>
          <w:rFonts w:ascii="Times New Roman" w:hAnsi="Times New Roman" w:cs="Times New Roman"/>
          <w:sz w:val="22"/>
          <w:szCs w:val="22"/>
        </w:rPr>
      </w:pPr>
      <w:bookmarkStart w:id="24" w:name="what-lamoka-lakes-sigma-is-and-why"/>
      <w:bookmarkEnd w:id="23"/>
      <w:r w:rsidRPr="009D048A">
        <w:rPr>
          <w:rFonts w:ascii="Times New Roman" w:hAnsi="Times New Roman" w:cs="Times New Roman"/>
          <w:sz w:val="22"/>
          <w:szCs w:val="22"/>
        </w:rPr>
        <w:t xml:space="preserve">4.4 What Lamoka Lake’s </w:t>
      </w:r>
      <m:oMath>
        <m:r>
          <w:rPr>
            <w:rFonts w:ascii="Cambria Math" w:hAnsi="Cambria Math" w:cs="Times New Roman"/>
            <w:sz w:val="22"/>
            <w:szCs w:val="22"/>
          </w:rPr>
          <m:t>σ</m:t>
        </m:r>
      </m:oMath>
      <w:r w:rsidRPr="009D048A">
        <w:rPr>
          <w:rFonts w:ascii="Times New Roman" w:hAnsi="Times New Roman" w:cs="Times New Roman"/>
          <w:sz w:val="22"/>
          <w:szCs w:val="22"/>
        </w:rPr>
        <w:t xml:space="preserve"> Is and Why</w:t>
      </w:r>
    </w:p>
    <w:p w14:paraId="5BC8604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We estimate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w:t>
      </w:r>
      <m:oMath>
        <m:r>
          <w:rPr>
            <w:rFonts w:ascii="Cambria Math" w:hAnsi="Cambria Math" w:cs="Times New Roman"/>
            <w:sz w:val="21"/>
            <w:szCs w:val="21"/>
          </w:rPr>
          <m:t>0.45</m:t>
        </m:r>
      </m:oMath>
      <w:r w:rsidRPr="009D048A">
        <w:rPr>
          <w:rFonts w:ascii="Times New Roman" w:hAnsi="Times New Roman" w:cs="Times New Roman"/>
          <w:sz w:val="21"/>
          <w:szCs w:val="21"/>
        </w:rPr>
        <w:t xml:space="preserve"> for the Finger Lakes during the Late Archaic. This reflects:</w:t>
      </w:r>
    </w:p>
    <w:p w14:paraId="312382FA" w14:textId="77777777" w:rsidR="00506C35" w:rsidRPr="009D048A" w:rsidRDefault="00000000">
      <w:pPr>
        <w:pStyle w:val="Compact"/>
        <w:numPr>
          <w:ilvl w:val="0"/>
          <w:numId w:val="12"/>
        </w:numPr>
        <w:rPr>
          <w:rFonts w:ascii="Times New Roman" w:hAnsi="Times New Roman" w:cs="Times New Roman"/>
          <w:sz w:val="21"/>
          <w:szCs w:val="21"/>
        </w:rPr>
      </w:pPr>
      <w:r w:rsidRPr="009D048A">
        <w:rPr>
          <w:rFonts w:ascii="Times New Roman" w:hAnsi="Times New Roman" w:cs="Times New Roman"/>
          <w:sz w:val="21"/>
          <w:szCs w:val="21"/>
        </w:rPr>
        <w:t>The continental climate of interior New York, which produces greater interannual variation than coastal or oceanic environments</w:t>
      </w:r>
    </w:p>
    <w:p w14:paraId="3A648737" w14:textId="77777777" w:rsidR="00506C35" w:rsidRPr="009D048A" w:rsidRDefault="00000000">
      <w:pPr>
        <w:pStyle w:val="Compact"/>
        <w:numPr>
          <w:ilvl w:val="0"/>
          <w:numId w:val="12"/>
        </w:numPr>
        <w:rPr>
          <w:rFonts w:ascii="Times New Roman" w:hAnsi="Times New Roman" w:cs="Times New Roman"/>
          <w:sz w:val="21"/>
          <w:szCs w:val="21"/>
        </w:rPr>
      </w:pPr>
      <w:r w:rsidRPr="009D048A">
        <w:rPr>
          <w:rFonts w:ascii="Times New Roman" w:hAnsi="Times New Roman" w:cs="Times New Roman"/>
          <w:sz w:val="21"/>
          <w:szCs w:val="21"/>
        </w:rPr>
        <w:t>The high inherent variability of mast crops (CV of 0.35-0.50 in modern data), which were a critical fall resource</w:t>
      </w:r>
    </w:p>
    <w:p w14:paraId="3DA40D04" w14:textId="77777777" w:rsidR="00506C35" w:rsidRPr="009D048A" w:rsidRDefault="00000000">
      <w:pPr>
        <w:pStyle w:val="Compact"/>
        <w:numPr>
          <w:ilvl w:val="0"/>
          <w:numId w:val="12"/>
        </w:numPr>
        <w:rPr>
          <w:rFonts w:ascii="Times New Roman" w:hAnsi="Times New Roman" w:cs="Times New Roman"/>
          <w:sz w:val="21"/>
          <w:szCs w:val="21"/>
        </w:rPr>
      </w:pPr>
      <w:r w:rsidRPr="009D048A">
        <w:rPr>
          <w:rFonts w:ascii="Times New Roman" w:hAnsi="Times New Roman" w:cs="Times New Roman"/>
          <w:sz w:val="21"/>
          <w:szCs w:val="21"/>
        </w:rPr>
        <w:t xml:space="preserve">Lake-effect moderation from the Finger Lakes themselves, which buffers temperature extremes and reduces </w:t>
      </w:r>
      <m:oMath>
        <m:r>
          <w:rPr>
            <w:rFonts w:ascii="Cambria Math" w:hAnsi="Cambria Math" w:cs="Times New Roman"/>
            <w:sz w:val="21"/>
            <w:szCs w:val="21"/>
          </w:rPr>
          <m:t>σ</m:t>
        </m:r>
      </m:oMath>
      <w:r w:rsidRPr="009D048A">
        <w:rPr>
          <w:rFonts w:ascii="Times New Roman" w:hAnsi="Times New Roman" w:cs="Times New Roman"/>
          <w:sz w:val="21"/>
          <w:szCs w:val="21"/>
        </w:rPr>
        <w:t xml:space="preserve"> somewhat</w:t>
      </w:r>
    </w:p>
    <w:p w14:paraId="59942998" w14:textId="77777777" w:rsidR="00506C35" w:rsidRPr="009D048A" w:rsidRDefault="00000000">
      <w:pPr>
        <w:pStyle w:val="Compact"/>
        <w:numPr>
          <w:ilvl w:val="0"/>
          <w:numId w:val="12"/>
        </w:numPr>
        <w:rPr>
          <w:rFonts w:ascii="Times New Roman" w:hAnsi="Times New Roman" w:cs="Times New Roman"/>
          <w:sz w:val="21"/>
          <w:szCs w:val="21"/>
        </w:rPr>
      </w:pPr>
      <w:r w:rsidRPr="009D048A">
        <w:rPr>
          <w:rFonts w:ascii="Times New Roman" w:hAnsi="Times New Roman" w:cs="Times New Roman"/>
          <w:sz w:val="21"/>
          <w:szCs w:val="21"/>
        </w:rPr>
        <w:t>Late Holocene paleoclimate conditions, which were generally stable but with notable episodes of increased variability</w:t>
      </w:r>
    </w:p>
    <w:p w14:paraId="240C8F9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estimated range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w:t>
      </w:r>
      <m:oMath>
        <m:r>
          <w:rPr>
            <w:rFonts w:ascii="Cambria Math" w:hAnsi="Cambria Math" w:cs="Times New Roman"/>
            <w:sz w:val="21"/>
            <w:szCs w:val="21"/>
          </w:rPr>
          <m:t>0.45</m:t>
        </m:r>
      </m:oMath>
      <w:r w:rsidRPr="009D048A">
        <w:rPr>
          <w:rFonts w:ascii="Times New Roman" w:hAnsi="Times New Roman" w:cs="Times New Roman"/>
          <w:sz w:val="21"/>
          <w:szCs w:val="21"/>
        </w:rPr>
        <w:t xml:space="preserve"> places the Finger Lakes well above the model’s predicted threshold of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sz w:val="21"/>
          <w:szCs w:val="21"/>
        </w:rPr>
        <w:t>, which is consistent with the observation that aggregation did occur at Lamoka Lake.</w:t>
      </w:r>
    </w:p>
    <w:p w14:paraId="10ECCEB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Table 4.2. Environmental uncertainty ranges across four case studies.</w:t>
      </w:r>
    </w:p>
    <w:tbl>
      <w:tblPr>
        <w:tblStyle w:val="Table"/>
        <w:tblW w:w="5000" w:type="pct"/>
        <w:tblLayout w:type="fixed"/>
        <w:tblLook w:val="0020" w:firstRow="1" w:lastRow="0" w:firstColumn="0" w:lastColumn="0" w:noHBand="0" w:noVBand="0"/>
      </w:tblPr>
      <w:tblGrid>
        <w:gridCol w:w="1849"/>
        <w:gridCol w:w="1343"/>
        <w:gridCol w:w="3192"/>
        <w:gridCol w:w="3192"/>
      </w:tblGrid>
      <w:tr w:rsidR="00506C35" w:rsidRPr="009D048A" w14:paraId="070EA355"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528" w:type="dxa"/>
          </w:tcPr>
          <w:p w14:paraId="67C269C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Case study</w:t>
            </w:r>
          </w:p>
        </w:tc>
        <w:tc>
          <w:tcPr>
            <w:tcW w:w="1111" w:type="dxa"/>
          </w:tcPr>
          <w:p w14:paraId="28605BA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Region</w:t>
            </w:r>
          </w:p>
        </w:tc>
        <w:tc>
          <w:tcPr>
            <w:tcW w:w="2640" w:type="dxa"/>
          </w:tcPr>
          <w:p w14:paraId="13A8A1CF" w14:textId="77777777" w:rsidR="00506C35" w:rsidRPr="009D048A" w:rsidRDefault="00000000">
            <w:pPr>
              <w:pStyle w:val="Compact"/>
              <w:rPr>
                <w:rFonts w:ascii="Times New Roman" w:hAnsi="Times New Roman" w:cs="Times New Roman"/>
                <w:sz w:val="21"/>
                <w:szCs w:val="21"/>
              </w:rPr>
            </w:pPr>
            <m:oMath>
              <m:r>
                <w:rPr>
                  <w:rFonts w:ascii="Cambria Math" w:hAnsi="Cambria Math" w:cs="Times New Roman"/>
                  <w:sz w:val="21"/>
                  <w:szCs w:val="21"/>
                </w:rPr>
                <m:t>σ</m:t>
              </m:r>
            </m:oMath>
            <w:r w:rsidRPr="009D048A">
              <w:rPr>
                <w:rFonts w:ascii="Times New Roman" w:hAnsi="Times New Roman" w:cs="Times New Roman"/>
                <w:sz w:val="21"/>
                <w:szCs w:val="21"/>
              </w:rPr>
              <w:t xml:space="preserve"> estimate</w:t>
            </w:r>
          </w:p>
        </w:tc>
        <w:tc>
          <w:tcPr>
            <w:tcW w:w="2640" w:type="dxa"/>
          </w:tcPr>
          <w:p w14:paraId="4754460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Calibration basis</w:t>
            </w:r>
          </w:p>
        </w:tc>
      </w:tr>
      <w:tr w:rsidR="00506C35" w:rsidRPr="009D048A" w14:paraId="1D3577D0" w14:textId="77777777">
        <w:tc>
          <w:tcPr>
            <w:tcW w:w="1528" w:type="dxa"/>
          </w:tcPr>
          <w:p w14:paraId="579C96D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Rapa Nui</w:t>
            </w:r>
          </w:p>
        </w:tc>
        <w:tc>
          <w:tcPr>
            <w:tcW w:w="1111" w:type="dxa"/>
          </w:tcPr>
          <w:p w14:paraId="2D54BC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SE Pacific</w:t>
            </w:r>
          </w:p>
        </w:tc>
        <w:tc>
          <w:tcPr>
            <w:tcW w:w="2640" w:type="dxa"/>
          </w:tcPr>
          <w:p w14:paraId="26C4226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~0.31</w:t>
            </w:r>
          </w:p>
        </w:tc>
        <w:tc>
          <w:tcPr>
            <w:tcW w:w="2640" w:type="dxa"/>
          </w:tcPr>
          <w:p w14:paraId="4D67ABC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ENSO-driven drought frequency</w:t>
            </w:r>
          </w:p>
        </w:tc>
      </w:tr>
      <w:tr w:rsidR="00506C35" w:rsidRPr="009D048A" w14:paraId="203F5B85" w14:textId="77777777">
        <w:tc>
          <w:tcPr>
            <w:tcW w:w="1528" w:type="dxa"/>
          </w:tcPr>
          <w:p w14:paraId="274238D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Chaco Canyon</w:t>
            </w:r>
          </w:p>
        </w:tc>
        <w:tc>
          <w:tcPr>
            <w:tcW w:w="1111" w:type="dxa"/>
          </w:tcPr>
          <w:p w14:paraId="328B2E2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SW North America</w:t>
            </w:r>
          </w:p>
        </w:tc>
        <w:tc>
          <w:tcPr>
            <w:tcW w:w="2640" w:type="dxa"/>
          </w:tcPr>
          <w:p w14:paraId="207661C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~0.17</w:t>
            </w:r>
          </w:p>
        </w:tc>
        <w:tc>
          <w:tcPr>
            <w:tcW w:w="2640" w:type="dxa"/>
          </w:tcPr>
          <w:p w14:paraId="7892512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Tree-ring records</w:t>
            </w:r>
          </w:p>
        </w:tc>
      </w:tr>
      <w:tr w:rsidR="00506C35" w:rsidRPr="009D048A" w14:paraId="0AAA42F5" w14:textId="77777777">
        <w:tc>
          <w:tcPr>
            <w:tcW w:w="1528" w:type="dxa"/>
          </w:tcPr>
          <w:p w14:paraId="39A6D2C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Poverty Point</w:t>
            </w:r>
          </w:p>
        </w:tc>
        <w:tc>
          <w:tcPr>
            <w:tcW w:w="1111" w:type="dxa"/>
          </w:tcPr>
          <w:p w14:paraId="4FF232B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SE North America</w:t>
            </w:r>
          </w:p>
        </w:tc>
        <w:tc>
          <w:tcPr>
            <w:tcW w:w="2640" w:type="dxa"/>
          </w:tcPr>
          <w:p w14:paraId="199005A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0.45-0.55</w:t>
            </w:r>
          </w:p>
        </w:tc>
        <w:tc>
          <w:tcPr>
            <w:tcW w:w="2640" w:type="dxa"/>
          </w:tcPr>
          <w:p w14:paraId="4534839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Gulf Coast paleoclimate</w:t>
            </w:r>
          </w:p>
        </w:tc>
      </w:tr>
      <w:tr w:rsidR="00506C35" w:rsidRPr="009D048A" w14:paraId="4940CFA2" w14:textId="77777777">
        <w:tc>
          <w:tcPr>
            <w:tcW w:w="1528" w:type="dxa"/>
          </w:tcPr>
          <w:p w14:paraId="40D75C7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Lamoka Lake</w:t>
            </w:r>
          </w:p>
        </w:tc>
        <w:tc>
          <w:tcPr>
            <w:tcW w:w="1111" w:type="dxa"/>
          </w:tcPr>
          <w:p w14:paraId="2103023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NE North America</w:t>
            </w:r>
          </w:p>
        </w:tc>
        <w:tc>
          <w:tcPr>
            <w:tcW w:w="2640" w:type="dxa"/>
          </w:tcPr>
          <w:p w14:paraId="0B77FE2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0.35-0.45</w:t>
            </w:r>
          </w:p>
        </w:tc>
        <w:tc>
          <w:tcPr>
            <w:tcW w:w="2640" w:type="dxa"/>
          </w:tcPr>
          <w:p w14:paraId="155DC44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Lake sediments, mast variability</w:t>
            </w:r>
          </w:p>
        </w:tc>
      </w:tr>
    </w:tbl>
    <w:p w14:paraId="566A57E3"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71465B23">
          <v:rect id="_x0000_i1044" alt="" style="width:468pt;height:.05pt;mso-width-percent:0;mso-height-percent:0;mso-width-percent:0;mso-height-percent:0" o:hralign="center" o:hrstd="t" o:hr="t"/>
        </w:pict>
      </w:r>
    </w:p>
    <w:p w14:paraId="48BA77BB" w14:textId="77777777" w:rsidR="00506C35" w:rsidRPr="009D048A" w:rsidRDefault="00000000">
      <w:pPr>
        <w:pStyle w:val="Heading2"/>
        <w:rPr>
          <w:rFonts w:ascii="Times New Roman" w:hAnsi="Times New Roman" w:cs="Times New Roman"/>
          <w:sz w:val="24"/>
          <w:szCs w:val="24"/>
        </w:rPr>
      </w:pPr>
      <w:bookmarkStart w:id="25" w:name="Xac43032c01f05b55ce402db26c1465f4ee46b6f"/>
      <w:bookmarkEnd w:id="20"/>
      <w:bookmarkEnd w:id="24"/>
      <w:r w:rsidRPr="009D048A">
        <w:rPr>
          <w:rFonts w:ascii="Times New Roman" w:hAnsi="Times New Roman" w:cs="Times New Roman"/>
          <w:sz w:val="24"/>
          <w:szCs w:val="24"/>
        </w:rPr>
        <w:lastRenderedPageBreak/>
        <w:t>5. Who Gets Hurt More? Vulnerability Parameters (</w:t>
      </w:r>
      <m:oMath>
        <m:r>
          <w:rPr>
            <w:rFonts w:ascii="Cambria Math" w:hAnsi="Cambria Math" w:cs="Times New Roman"/>
            <w:sz w:val="24"/>
            <w:szCs w:val="24"/>
          </w:rPr>
          <m:t>α</m:t>
        </m:r>
      </m:oMath>
      <w:r w:rsidRPr="009D048A">
        <w:rPr>
          <w:rFonts w:ascii="Times New Roman" w:hAnsi="Times New Roman" w:cs="Times New Roman"/>
          <w:sz w:val="24"/>
          <w:szCs w:val="24"/>
        </w:rPr>
        <w:t xml:space="preserve"> and </w:t>
      </w:r>
      <m:oMath>
        <m:r>
          <w:rPr>
            <w:rFonts w:ascii="Cambria Math" w:hAnsi="Cambria Math" w:cs="Times New Roman"/>
            <w:sz w:val="24"/>
            <w:szCs w:val="24"/>
          </w:rPr>
          <m:t>β</m:t>
        </m:r>
      </m:oMath>
      <w:r w:rsidRPr="009D048A">
        <w:rPr>
          <w:rFonts w:ascii="Times New Roman" w:hAnsi="Times New Roman" w:cs="Times New Roman"/>
          <w:sz w:val="24"/>
          <w:szCs w:val="24"/>
        </w:rPr>
        <w:t>)</w:t>
      </w:r>
    </w:p>
    <w:p w14:paraId="349019BA" w14:textId="77777777" w:rsidR="00506C35" w:rsidRPr="009D048A" w:rsidRDefault="00000000">
      <w:pPr>
        <w:pStyle w:val="Heading3"/>
        <w:rPr>
          <w:rFonts w:ascii="Times New Roman" w:hAnsi="Times New Roman" w:cs="Times New Roman"/>
          <w:sz w:val="22"/>
          <w:szCs w:val="22"/>
        </w:rPr>
      </w:pPr>
      <w:bookmarkStart w:id="26" w:name="what-we-are-adding-and-why-1"/>
      <w:r w:rsidRPr="009D048A">
        <w:rPr>
          <w:rFonts w:ascii="Times New Roman" w:hAnsi="Times New Roman" w:cs="Times New Roman"/>
          <w:sz w:val="22"/>
          <w:szCs w:val="22"/>
        </w:rPr>
        <w:t>5.1 What We Are Adding and Why</w:t>
      </w:r>
    </w:p>
    <w:p w14:paraId="1737B16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Making fitness depend on environmental variability (</w:t>
      </w:r>
      <m:oMath>
        <m:r>
          <w:rPr>
            <w:rFonts w:ascii="Cambria Math" w:hAnsi="Cambria Math" w:cs="Times New Roman"/>
            <w:sz w:val="21"/>
            <w:szCs w:val="21"/>
          </w:rPr>
          <m:t>σ</m:t>
        </m:r>
      </m:oMath>
      <w:r w:rsidRPr="009D048A">
        <w:rPr>
          <w:rFonts w:ascii="Times New Roman" w:hAnsi="Times New Roman" w:cs="Times New Roman"/>
          <w:sz w:val="21"/>
          <w:szCs w:val="21"/>
        </w:rPr>
        <w:t xml:space="preserve">) is necessary but not sufficient. If both aggregators and independents were equally hurt by bad years, there would be no reason to prefer one strategy over the other regardless of </w:t>
      </w:r>
      <m:oMath>
        <m:r>
          <w:rPr>
            <w:rFonts w:ascii="Cambria Math" w:hAnsi="Cambria Math" w:cs="Times New Roman"/>
            <w:sz w:val="21"/>
            <w:szCs w:val="21"/>
          </w:rPr>
          <m:t>σ</m:t>
        </m:r>
      </m:oMath>
      <w:r w:rsidRPr="009D048A">
        <w:rPr>
          <w:rFonts w:ascii="Times New Roman" w:hAnsi="Times New Roman" w:cs="Times New Roman"/>
          <w:sz w:val="21"/>
          <w:szCs w:val="21"/>
        </w:rPr>
        <w:t xml:space="preserve">. The crucial insight is that </w:t>
      </w:r>
      <w:r w:rsidRPr="009D048A">
        <w:rPr>
          <w:rFonts w:ascii="Times New Roman" w:hAnsi="Times New Roman" w:cs="Times New Roman"/>
          <w:i/>
          <w:iCs/>
          <w:sz w:val="21"/>
          <w:szCs w:val="21"/>
        </w:rPr>
        <w:t>different strategies experience environmental uncertainty differently</w:t>
      </w:r>
      <w:r w:rsidRPr="009D048A">
        <w:rPr>
          <w:rFonts w:ascii="Times New Roman" w:hAnsi="Times New Roman" w:cs="Times New Roman"/>
          <w:sz w:val="21"/>
          <w:szCs w:val="21"/>
        </w:rPr>
        <w:t>.</w:t>
      </w:r>
    </w:p>
    <w:p w14:paraId="4E9DF5D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Aggregators pool risk. They access multiple ecological zones. They share information about resource conditions. They have stored surplus to fall back on. When a bad year hits, they are buffered.</w:t>
      </w:r>
    </w:p>
    <w:p w14:paraId="1CEE0EA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Independents bear the full variance of their local environment. A solitary band dependent on whatever their home range provides is exposed to every fluctuation, good and bad.</w:t>
      </w:r>
    </w:p>
    <w:p w14:paraId="73B40D2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This difference in exposure is captured by two parameters: </w:t>
      </w:r>
      <m:oMath>
        <m:r>
          <w:rPr>
            <w:rFonts w:ascii="Cambria Math" w:hAnsi="Cambria Math" w:cs="Times New Roman"/>
            <w:sz w:val="21"/>
            <w:szCs w:val="21"/>
          </w:rPr>
          <m:t>α</m:t>
        </m:r>
      </m:oMath>
      <w:r w:rsidRPr="009D048A">
        <w:rPr>
          <w:rFonts w:ascii="Times New Roman" w:hAnsi="Times New Roman" w:cs="Times New Roman"/>
          <w:sz w:val="21"/>
          <w:szCs w:val="21"/>
        </w:rPr>
        <w:t xml:space="preserve"> (how much a bad year hurts aggregators) and </w:t>
      </w:r>
      <m:oMath>
        <m:r>
          <w:rPr>
            <w:rFonts w:ascii="Cambria Math" w:hAnsi="Cambria Math" w:cs="Times New Roman"/>
            <w:sz w:val="21"/>
            <w:szCs w:val="21"/>
          </w:rPr>
          <m:t>β</m:t>
        </m:r>
      </m:oMath>
      <w:r w:rsidRPr="009D048A">
        <w:rPr>
          <w:rFonts w:ascii="Times New Roman" w:hAnsi="Times New Roman" w:cs="Times New Roman"/>
          <w:sz w:val="21"/>
          <w:szCs w:val="21"/>
        </w:rPr>
        <w:t xml:space="preserve"> (how much a bad year hurts independents).</w:t>
      </w:r>
    </w:p>
    <w:p w14:paraId="5D6A7D9E" w14:textId="77777777" w:rsidR="00506C35" w:rsidRPr="009D048A" w:rsidRDefault="00000000">
      <w:pPr>
        <w:pStyle w:val="Heading3"/>
        <w:rPr>
          <w:rFonts w:ascii="Times New Roman" w:hAnsi="Times New Roman" w:cs="Times New Roman"/>
          <w:sz w:val="22"/>
          <w:szCs w:val="22"/>
        </w:rPr>
      </w:pPr>
      <w:bookmarkStart w:id="27" w:name="the-math-1"/>
      <w:bookmarkEnd w:id="26"/>
      <w:r w:rsidRPr="009D048A">
        <w:rPr>
          <w:rFonts w:ascii="Times New Roman" w:hAnsi="Times New Roman" w:cs="Times New Roman"/>
          <w:sz w:val="22"/>
          <w:szCs w:val="22"/>
        </w:rPr>
        <w:t>5.2 The Math</w:t>
      </w:r>
    </w:p>
    <w:p w14:paraId="5962036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survival component of fitness for each strategy is:</w:t>
      </w:r>
    </w:p>
    <w:p w14:paraId="202A04BA"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S</m:t>
              </m:r>
            </m:e>
            <m:sub>
              <m:r>
                <m:rPr>
                  <m:nor/>
                </m:rPr>
                <w:rPr>
                  <w:rFonts w:ascii="Times New Roman" w:hAnsi="Times New Roman" w:cs="Times New Roman"/>
                  <w:sz w:val="21"/>
                  <w:szCs w:val="21"/>
                </w:rPr>
                <m:t>aggregator</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σ</m:t>
              </m:r>
            </m:e>
            <m:sub>
              <m:r>
                <m:rPr>
                  <m:nor/>
                </m:rPr>
                <w:rPr>
                  <w:rFonts w:ascii="Times New Roman" w:hAnsi="Times New Roman" w:cs="Times New Roman"/>
                  <w:sz w:val="21"/>
                  <w:szCs w:val="21"/>
                </w:rPr>
                <m:t>eff</m:t>
              </m:r>
            </m:sub>
          </m:sSub>
        </m:oMath>
      </m:oMathPara>
    </w:p>
    <w:p w14:paraId="070419C8" w14:textId="77777777" w:rsidR="00506C35" w:rsidRPr="009D048A" w:rsidRDefault="00000000">
      <w:pPr>
        <w:pStyle w:val="FirstParagraph"/>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S</m:t>
              </m:r>
            </m:e>
            <m:sub>
              <m:r>
                <m:rPr>
                  <m:nor/>
                </m:rPr>
                <w:rPr>
                  <w:rFonts w:ascii="Times New Roman" w:hAnsi="Times New Roman" w:cs="Times New Roman"/>
                  <w:sz w:val="21"/>
                  <w:szCs w:val="21"/>
                </w:rPr>
                <m:t>independent</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oMath>
      </m:oMathPara>
    </w:p>
    <w:p w14:paraId="435DC8B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Let us unpack each piece:</w:t>
      </w:r>
    </w:p>
    <w:p w14:paraId="7FE959F5" w14:textId="77777777" w:rsidR="00506C35" w:rsidRPr="009D048A" w:rsidRDefault="00000000">
      <w:pPr>
        <w:pStyle w:val="Compact"/>
        <w:numPr>
          <w:ilvl w:val="0"/>
          <w:numId w:val="13"/>
        </w:numPr>
        <w:rPr>
          <w:rFonts w:ascii="Times New Roman" w:hAnsi="Times New Roman" w:cs="Times New Roman"/>
          <w:sz w:val="21"/>
          <w:szCs w:val="21"/>
        </w:rPr>
      </w:pPr>
      <m:oMath>
        <m:r>
          <w:rPr>
            <w:rFonts w:ascii="Cambria Math" w:hAnsi="Cambria Math" w:cs="Times New Roman"/>
            <w:sz w:val="21"/>
            <w:szCs w:val="21"/>
          </w:rPr>
          <m:t>S</m:t>
        </m:r>
      </m:oMath>
      <w:r w:rsidRPr="009D048A">
        <w:rPr>
          <w:rFonts w:ascii="Times New Roman" w:hAnsi="Times New Roman" w:cs="Times New Roman"/>
          <w:sz w:val="21"/>
          <w:szCs w:val="21"/>
        </w:rPr>
        <w:t xml:space="preserve">: Survival probability. At </w:t>
      </w:r>
      <m:oMath>
        <m:r>
          <w:rPr>
            <w:rFonts w:ascii="Cambria Math" w:hAnsi="Cambria Math" w:cs="Times New Roman"/>
            <w:sz w:val="21"/>
            <w:szCs w:val="21"/>
          </w:rPr>
          <m:t>S</m:t>
        </m:r>
        <m:r>
          <m:rPr>
            <m:sty m:val="p"/>
          </m:rPr>
          <w:rPr>
            <w:rFonts w:ascii="Cambria Math" w:hAnsi="Cambria Math" w:cs="Times New Roman"/>
            <w:sz w:val="21"/>
            <w:szCs w:val="21"/>
          </w:rPr>
          <m:t>=</m:t>
        </m:r>
        <m:r>
          <w:rPr>
            <w:rFonts w:ascii="Cambria Math" w:hAnsi="Cambria Math" w:cs="Times New Roman"/>
            <w:sz w:val="21"/>
            <w:szCs w:val="21"/>
          </w:rPr>
          <m:t>1</m:t>
        </m:r>
      </m:oMath>
      <w:r w:rsidRPr="009D048A">
        <w:rPr>
          <w:rFonts w:ascii="Times New Roman" w:hAnsi="Times New Roman" w:cs="Times New Roman"/>
          <w:sz w:val="21"/>
          <w:szCs w:val="21"/>
        </w:rPr>
        <w:t xml:space="preserve">, everyone survives. At </w:t>
      </w:r>
      <m:oMath>
        <m:r>
          <w:rPr>
            <w:rFonts w:ascii="Cambria Math" w:hAnsi="Cambria Math" w:cs="Times New Roman"/>
            <w:sz w:val="21"/>
            <w:szCs w:val="21"/>
          </w:rPr>
          <m:t>S</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no one does.</w:t>
      </w:r>
    </w:p>
    <w:p w14:paraId="362D1187" w14:textId="77777777" w:rsidR="00506C35" w:rsidRPr="009D048A" w:rsidRDefault="00000000">
      <w:pPr>
        <w:pStyle w:val="Compact"/>
        <w:numPr>
          <w:ilvl w:val="0"/>
          <w:numId w:val="13"/>
        </w:numPr>
        <w:rPr>
          <w:rFonts w:ascii="Times New Roman" w:hAnsi="Times New Roman" w:cs="Times New Roman"/>
          <w:sz w:val="21"/>
          <w:szCs w:val="21"/>
        </w:rPr>
      </w:pPr>
      <m:oMath>
        <m:r>
          <w:rPr>
            <w:rFonts w:ascii="Cambria Math" w:hAnsi="Cambria Math" w:cs="Times New Roman"/>
            <w:sz w:val="21"/>
            <w:szCs w:val="21"/>
          </w:rPr>
          <m:t>α</m:t>
        </m:r>
      </m:oMath>
      <w:r w:rsidRPr="009D048A">
        <w:rPr>
          <w:rFonts w:ascii="Times New Roman" w:hAnsi="Times New Roman" w:cs="Times New Roman"/>
          <w:sz w:val="21"/>
          <w:szCs w:val="21"/>
        </w:rPr>
        <w:t>: Aggregator vulnerability. How sensitive are cooperators to each unit of environmental uncertainty? Range: 0.10-0.50. Lower values mean better buffering.</w:t>
      </w:r>
    </w:p>
    <w:p w14:paraId="7A0635BE" w14:textId="77777777" w:rsidR="00506C35" w:rsidRPr="009D048A" w:rsidRDefault="00000000">
      <w:pPr>
        <w:pStyle w:val="Compact"/>
        <w:numPr>
          <w:ilvl w:val="0"/>
          <w:numId w:val="13"/>
        </w:numPr>
        <w:rPr>
          <w:rFonts w:ascii="Times New Roman" w:hAnsi="Times New Roman" w:cs="Times New Roman"/>
          <w:sz w:val="21"/>
          <w:szCs w:val="21"/>
        </w:rPr>
      </w:pPr>
      <m:oMath>
        <m:r>
          <w:rPr>
            <w:rFonts w:ascii="Cambria Math" w:hAnsi="Cambria Math" w:cs="Times New Roman"/>
            <w:sz w:val="21"/>
            <w:szCs w:val="21"/>
          </w:rPr>
          <m:t>β</m:t>
        </m:r>
      </m:oMath>
      <w:r w:rsidRPr="009D048A">
        <w:rPr>
          <w:rFonts w:ascii="Times New Roman" w:hAnsi="Times New Roman" w:cs="Times New Roman"/>
          <w:sz w:val="21"/>
          <w:szCs w:val="21"/>
        </w:rPr>
        <w:t>: Independent vulnerability. How sensitive are independents to each unit of environmental uncertainty? Range: 0.50-0.95. Higher values mean more exposure.</w:t>
      </w:r>
    </w:p>
    <w:p w14:paraId="5B48A1B9" w14:textId="77777777" w:rsidR="00506C35" w:rsidRPr="009D048A" w:rsidRDefault="00000000">
      <w:pPr>
        <w:pStyle w:val="Compact"/>
        <w:numPr>
          <w:ilvl w:val="0"/>
          <w:numId w:val="13"/>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σ</m:t>
            </m:r>
          </m:e>
          <m:sub>
            <m:r>
              <m:rPr>
                <m:nor/>
              </m:rPr>
              <w:rPr>
                <w:rFonts w:ascii="Times New Roman" w:hAnsi="Times New Roman" w:cs="Times New Roman"/>
                <w:sz w:val="21"/>
                <w:szCs w:val="21"/>
              </w:rPr>
              <m:t>eff</m:t>
            </m:r>
          </m:sub>
        </m:sSub>
      </m:oMath>
      <w:r w:rsidRPr="009D048A">
        <w:rPr>
          <w:rFonts w:ascii="Times New Roman" w:hAnsi="Times New Roman" w:cs="Times New Roman"/>
          <w:sz w:val="21"/>
          <w:szCs w:val="21"/>
        </w:rPr>
        <w:t xml:space="preserve">: Effective uncertainty at the aggregation site (we will define this precisely in Section 8; for now, think of it as </w:t>
      </w:r>
      <m:oMath>
        <m:r>
          <w:rPr>
            <w:rFonts w:ascii="Cambria Math" w:hAnsi="Cambria Math" w:cs="Times New Roman"/>
            <w:sz w:val="21"/>
            <w:szCs w:val="21"/>
          </w:rPr>
          <m:t>σ</m:t>
        </m:r>
      </m:oMath>
      <w:r w:rsidRPr="009D048A">
        <w:rPr>
          <w:rFonts w:ascii="Times New Roman" w:hAnsi="Times New Roman" w:cs="Times New Roman"/>
          <w:sz w:val="21"/>
          <w:szCs w:val="21"/>
        </w:rPr>
        <w:t xml:space="preserve"> reduced by the ecotone advantage).</w:t>
      </w:r>
    </w:p>
    <w:p w14:paraId="0C711F09"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lastRenderedPageBreak/>
        <w:drawing>
          <wp:inline distT="0" distB="0" distL="0" distR="0" wp14:anchorId="0C56063C" wp14:editId="5B39D887">
            <wp:extent cx="5334000" cy="3405613"/>
            <wp:effectExtent l="0" t="0" r="0" b="0"/>
            <wp:docPr id="41" name="Picture" descr="Figure 3. Vulnerability: why aggregators weather bad years better. Aggregator survival (blue) declines more slowly with increasing sigma than independent survival (red), because ecotone buffering reduces effective exposure. At sigma = 0.45, aggregators retain 89% of baseline survival while independents retain only 69%."/>
            <wp:cNvGraphicFramePr/>
            <a:graphic xmlns:a="http://schemas.openxmlformats.org/drawingml/2006/main">
              <a:graphicData uri="http://schemas.openxmlformats.org/drawingml/2006/picture">
                <pic:pic xmlns:pic="http://schemas.openxmlformats.org/drawingml/2006/picture">
                  <pic:nvPicPr>
                    <pic:cNvPr id="42" name="Picture" descr="figures/fig_03_vulnerability.png"/>
                    <pic:cNvPicPr>
                      <a:picLocks noChangeAspect="1" noChangeArrowheads="1"/>
                    </pic:cNvPicPr>
                  </pic:nvPicPr>
                  <pic:blipFill>
                    <a:blip r:embed="rId7"/>
                    <a:stretch>
                      <a:fillRect/>
                    </a:stretch>
                  </pic:blipFill>
                  <pic:spPr bwMode="auto">
                    <a:xfrm>
                      <a:off x="0" y="0"/>
                      <a:ext cx="5334000" cy="3405613"/>
                    </a:xfrm>
                    <a:prstGeom prst="rect">
                      <a:avLst/>
                    </a:prstGeom>
                    <a:noFill/>
                    <a:ln w="9525">
                      <a:noFill/>
                      <a:headEnd/>
                      <a:tailEnd/>
                    </a:ln>
                  </pic:spPr>
                </pic:pic>
              </a:graphicData>
            </a:graphic>
          </wp:inline>
        </w:drawing>
      </w:r>
    </w:p>
    <w:p w14:paraId="6AC0542A"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3. Vulnerability: why aggregators weather bad years better. Aggregator survival (blue) declines more slowly with increasing sigma than independent survival (red), because ecotone buffering reduces effective exposure. At sigma = 0.45, aggregators retain 89% of baseline survival while independents retain only 69%.</w:t>
      </w:r>
    </w:p>
    <w:p w14:paraId="6F69BC6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critical constraint is </w:t>
      </w:r>
      <m:oMath>
        <m:r>
          <w:rPr>
            <w:rFonts w:ascii="Cambria Math" w:hAnsi="Cambria Math" w:cs="Times New Roman"/>
            <w:sz w:val="21"/>
            <w:szCs w:val="21"/>
          </w:rPr>
          <m:t>α</m:t>
        </m:r>
        <m:r>
          <m:rPr>
            <m:sty m:val="p"/>
          </m:rPr>
          <w:rPr>
            <w:rFonts w:ascii="Cambria Math" w:hAnsi="Cambria Math" w:cs="Times New Roman"/>
            <w:sz w:val="21"/>
            <w:szCs w:val="21"/>
          </w:rPr>
          <m:t>&lt;</m:t>
        </m:r>
        <m:r>
          <w:rPr>
            <w:rFonts w:ascii="Cambria Math" w:hAnsi="Cambria Math" w:cs="Times New Roman"/>
            <w:sz w:val="21"/>
            <w:szCs w:val="21"/>
          </w:rPr>
          <m:t>β</m:t>
        </m:r>
      </m:oMath>
      <w:r w:rsidRPr="009D048A">
        <w:rPr>
          <w:rFonts w:ascii="Times New Roman" w:hAnsi="Times New Roman" w:cs="Times New Roman"/>
          <w:sz w:val="21"/>
          <w:szCs w:val="21"/>
        </w:rPr>
        <w:t>. This says that aggregators are less vulnerable than independents to environmental shocks. This is the mechanism by which aggregation provides a fitness advantage. Without this asymmetry (</w:t>
      </w: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β</m:t>
        </m:r>
      </m:oMath>
      <w:r w:rsidRPr="009D048A">
        <w:rPr>
          <w:rFonts w:ascii="Times New Roman" w:hAnsi="Times New Roman" w:cs="Times New Roman"/>
          <w:sz w:val="21"/>
          <w:szCs w:val="21"/>
        </w:rPr>
        <w:t>), there would be no survival benefit to aggregation, and the strategy would never be selected because its costs would never be offset.</w:t>
      </w:r>
    </w:p>
    <w:p w14:paraId="466E946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ratio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oMath>
      <w:r w:rsidRPr="009D048A">
        <w:rPr>
          <w:rFonts w:ascii="Times New Roman" w:hAnsi="Times New Roman" w:cs="Times New Roman"/>
          <w:sz w:val="21"/>
          <w:szCs w:val="21"/>
        </w:rPr>
        <w:t xml:space="preserve"> captures the </w:t>
      </w:r>
      <w:r w:rsidRPr="009D048A">
        <w:rPr>
          <w:rFonts w:ascii="Times New Roman" w:hAnsi="Times New Roman" w:cs="Times New Roman"/>
          <w:b/>
          <w:bCs/>
          <w:sz w:val="21"/>
          <w:szCs w:val="21"/>
        </w:rPr>
        <w:t>strength of the buffering effect</w:t>
      </w:r>
      <w:r w:rsidRPr="009D048A">
        <w:rPr>
          <w:rFonts w:ascii="Times New Roman" w:hAnsi="Times New Roman" w:cs="Times New Roman"/>
          <w:sz w:val="21"/>
          <w:szCs w:val="21"/>
        </w:rPr>
        <w:t xml:space="preserve">. At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2</m:t>
        </m:r>
      </m:oMath>
      <w:r w:rsidRPr="009D048A">
        <w:rPr>
          <w:rFonts w:ascii="Times New Roman" w:hAnsi="Times New Roman" w:cs="Times New Roman"/>
          <w:sz w:val="21"/>
          <w:szCs w:val="21"/>
        </w:rPr>
        <w:t xml:space="preserve">, aggregation halves your vulnerability. At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3</m:t>
        </m:r>
      </m:oMath>
      <w:r w:rsidRPr="009D048A">
        <w:rPr>
          <w:rFonts w:ascii="Times New Roman" w:hAnsi="Times New Roman" w:cs="Times New Roman"/>
          <w:sz w:val="21"/>
          <w:szCs w:val="21"/>
        </w:rPr>
        <w:t>, it cuts vulnerability by two-thirds. The higher the ratio, the stronger the advantage of cooperation.</w:t>
      </w:r>
    </w:p>
    <w:p w14:paraId="1B3F7E4C" w14:textId="77777777" w:rsidR="00506C35" w:rsidRPr="009D048A" w:rsidRDefault="00000000">
      <w:pPr>
        <w:pStyle w:val="Heading3"/>
        <w:rPr>
          <w:rFonts w:ascii="Times New Roman" w:hAnsi="Times New Roman" w:cs="Times New Roman"/>
          <w:sz w:val="22"/>
          <w:szCs w:val="22"/>
        </w:rPr>
      </w:pPr>
      <w:bookmarkStart w:id="28" w:name="why-alpha-beta-four-concrete-mechanisms"/>
      <w:bookmarkEnd w:id="27"/>
      <w:r w:rsidRPr="009D048A">
        <w:rPr>
          <w:rFonts w:ascii="Times New Roman" w:hAnsi="Times New Roman" w:cs="Times New Roman"/>
          <w:sz w:val="22"/>
          <w:szCs w:val="22"/>
        </w:rPr>
        <w:t xml:space="preserve">5.3 Why </w:t>
      </w:r>
      <m:oMath>
        <m:r>
          <w:rPr>
            <w:rFonts w:ascii="Cambria Math" w:hAnsi="Cambria Math" w:cs="Times New Roman"/>
            <w:sz w:val="22"/>
            <w:szCs w:val="22"/>
          </w:rPr>
          <m:t>α</m:t>
        </m:r>
        <m:r>
          <m:rPr>
            <m:sty m:val="p"/>
          </m:rPr>
          <w:rPr>
            <w:rFonts w:ascii="Cambria Math" w:hAnsi="Cambria Math" w:cs="Times New Roman"/>
            <w:sz w:val="22"/>
            <w:szCs w:val="22"/>
          </w:rPr>
          <m:t>&lt;</m:t>
        </m:r>
        <m:r>
          <w:rPr>
            <w:rFonts w:ascii="Cambria Math" w:hAnsi="Cambria Math" w:cs="Times New Roman"/>
            <w:sz w:val="22"/>
            <w:szCs w:val="22"/>
          </w:rPr>
          <m:t>β</m:t>
        </m:r>
      </m:oMath>
      <w:r w:rsidRPr="009D048A">
        <w:rPr>
          <w:rFonts w:ascii="Times New Roman" w:hAnsi="Times New Roman" w:cs="Times New Roman"/>
          <w:sz w:val="22"/>
          <w:szCs w:val="22"/>
        </w:rPr>
        <w:t>: Four Concrete Mechanisms</w:t>
      </w:r>
    </w:p>
    <w:p w14:paraId="6DDCE56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asymmetry </w:t>
      </w:r>
      <m:oMath>
        <m:r>
          <w:rPr>
            <w:rFonts w:ascii="Cambria Math" w:hAnsi="Cambria Math" w:cs="Times New Roman"/>
            <w:sz w:val="21"/>
            <w:szCs w:val="21"/>
          </w:rPr>
          <m:t>α</m:t>
        </m:r>
        <m:r>
          <m:rPr>
            <m:sty m:val="p"/>
          </m:rPr>
          <w:rPr>
            <w:rFonts w:ascii="Cambria Math" w:hAnsi="Cambria Math" w:cs="Times New Roman"/>
            <w:sz w:val="21"/>
            <w:szCs w:val="21"/>
          </w:rPr>
          <m:t>&lt;</m:t>
        </m:r>
        <m:r>
          <w:rPr>
            <w:rFonts w:ascii="Cambria Math" w:hAnsi="Cambria Math" w:cs="Times New Roman"/>
            <w:sz w:val="21"/>
            <w:szCs w:val="21"/>
          </w:rPr>
          <m:t>β</m:t>
        </m:r>
      </m:oMath>
      <w:r w:rsidRPr="009D048A">
        <w:rPr>
          <w:rFonts w:ascii="Times New Roman" w:hAnsi="Times New Roman" w:cs="Times New Roman"/>
          <w:sz w:val="21"/>
          <w:szCs w:val="21"/>
        </w:rPr>
        <w:t xml:space="preserve"> is not an arbitrary assumption. It reflects specific, documentable mechanisms:</w:t>
      </w:r>
    </w:p>
    <w:p w14:paraId="4E59784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Risk pooling.</w:t>
      </w:r>
      <w:r w:rsidRPr="009D048A">
        <w:rPr>
          <w:rFonts w:ascii="Times New Roman" w:hAnsi="Times New Roman" w:cs="Times New Roman"/>
          <w:sz w:val="21"/>
          <w:szCs w:val="21"/>
        </w:rPr>
        <w:t xml:space="preserve"> If 12 bands each forage in different patches and pool some of their production, the unpredictability of any individual band’s food supply drops substantially. Here is the intuition: if one band has a bad year, the other 11 probably did not all have bad years too (assuming their foraging areas are somewhat independent). By sharing, the risk is spread across the group. Statistically, when </w:t>
      </w:r>
      <m:oMath>
        <m:r>
          <w:rPr>
            <w:rFonts w:ascii="Cambria Math" w:hAnsi="Cambria Math" w:cs="Times New Roman"/>
            <w:sz w:val="21"/>
            <w:szCs w:val="21"/>
          </w:rPr>
          <m:t>N</m:t>
        </m:r>
      </m:oMath>
      <w:r w:rsidRPr="009D048A">
        <w:rPr>
          <w:rFonts w:ascii="Times New Roman" w:hAnsi="Times New Roman" w:cs="Times New Roman"/>
          <w:sz w:val="21"/>
          <w:szCs w:val="21"/>
        </w:rPr>
        <w:t xml:space="preserve"> bands pool independently varying resources, the variance of the average per-band consumption drops by a factor of </w:t>
      </w:r>
      <m:oMath>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N</m:t>
        </m:r>
      </m:oMath>
      <w:r w:rsidRPr="009D048A">
        <w:rPr>
          <w:rFonts w:ascii="Times New Roman" w:hAnsi="Times New Roman" w:cs="Times New Roman"/>
          <w:sz w:val="21"/>
          <w:szCs w:val="21"/>
        </w:rPr>
        <w:t>. With 12 bands, the pooled average is only 1/12th as variable as any individual band’s returns. In practice, bands do not pool everything, but even partial sharing (contributing 20% to a communal store) meaningfully reduces the chance that any one band faces catastrophic shortfall (Winterhalder 1986).</w:t>
      </w:r>
    </w:p>
    <w:p w14:paraId="59694B1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Information sharing.</w:t>
      </w:r>
      <w:r w:rsidRPr="009D048A">
        <w:rPr>
          <w:rFonts w:ascii="Times New Roman" w:hAnsi="Times New Roman" w:cs="Times New Roman"/>
          <w:sz w:val="21"/>
          <w:szCs w:val="21"/>
        </w:rPr>
        <w:t xml:space="preserve"> Aggregating bands exchange knowledge about resource conditions: where the fish are running, which groves have good mast this year, where game trails are active. This information reduces the effective uncertainty each band faces because it allows more efficient patch choice.</w:t>
      </w:r>
    </w:p>
    <w:p w14:paraId="3772636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lastRenderedPageBreak/>
        <w:t>Ecotone access.</w:t>
      </w:r>
      <w:r w:rsidRPr="009D048A">
        <w:rPr>
          <w:rFonts w:ascii="Times New Roman" w:hAnsi="Times New Roman" w:cs="Times New Roman"/>
          <w:sz w:val="21"/>
          <w:szCs w:val="21"/>
        </w:rPr>
        <w:t xml:space="preserve"> As discussed in Section 2.5, aggregation at an ecotone location provides access to multiple resource zones with different variability profiles. This is formalized as the ecotone advantage </w:t>
      </w:r>
      <m:oMath>
        <m:r>
          <w:rPr>
            <w:rFonts w:ascii="Cambria Math" w:hAnsi="Cambria Math" w:cs="Times New Roman"/>
            <w:sz w:val="21"/>
            <w:szCs w:val="21"/>
          </w:rPr>
          <m:t>ε</m:t>
        </m:r>
      </m:oMath>
      <w:r w:rsidRPr="009D048A">
        <w:rPr>
          <w:rFonts w:ascii="Times New Roman" w:hAnsi="Times New Roman" w:cs="Times New Roman"/>
          <w:sz w:val="21"/>
          <w:szCs w:val="21"/>
        </w:rPr>
        <w:t xml:space="preserve"> in Section 8, but the effect here is that it lowers the uncertainty aggregators actually experience.</w:t>
      </w:r>
    </w:p>
    <w:p w14:paraId="3A5C738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Stored surplus.</w:t>
      </w:r>
      <w:r w:rsidRPr="009D048A">
        <w:rPr>
          <w:rFonts w:ascii="Times New Roman" w:hAnsi="Times New Roman" w:cs="Times New Roman"/>
          <w:sz w:val="21"/>
          <w:szCs w:val="21"/>
        </w:rPr>
        <w:t xml:space="preserve"> Aggregating bands accumulate processed food (smoked fish, dried nuts) that provides a buffer against winter shortfalls. This stored surplus directly reduces the mortality risk from bad years.</w:t>
      </w:r>
    </w:p>
    <w:p w14:paraId="07C81D31" w14:textId="77777777" w:rsidR="00506C35" w:rsidRPr="009D048A" w:rsidRDefault="00000000">
      <w:pPr>
        <w:pStyle w:val="Heading3"/>
        <w:rPr>
          <w:rFonts w:ascii="Times New Roman" w:hAnsi="Times New Roman" w:cs="Times New Roman"/>
          <w:sz w:val="22"/>
          <w:szCs w:val="22"/>
        </w:rPr>
      </w:pPr>
      <w:bookmarkStart w:id="29" w:name="how-to-estimate-alpha-and-beta"/>
      <w:bookmarkEnd w:id="28"/>
      <w:r w:rsidRPr="009D048A">
        <w:rPr>
          <w:rFonts w:ascii="Times New Roman" w:hAnsi="Times New Roman" w:cs="Times New Roman"/>
          <w:sz w:val="22"/>
          <w:szCs w:val="22"/>
        </w:rPr>
        <w:t xml:space="preserve">5.4 How to Estimate </w:t>
      </w:r>
      <m:oMath>
        <m:r>
          <w:rPr>
            <w:rFonts w:ascii="Cambria Math" w:hAnsi="Cambria Math" w:cs="Times New Roman"/>
            <w:sz w:val="22"/>
            <w:szCs w:val="22"/>
          </w:rPr>
          <m:t>α</m:t>
        </m:r>
      </m:oMath>
      <w:r w:rsidRPr="009D048A">
        <w:rPr>
          <w:rFonts w:ascii="Times New Roman" w:hAnsi="Times New Roman" w:cs="Times New Roman"/>
          <w:sz w:val="22"/>
          <w:szCs w:val="22"/>
        </w:rPr>
        <w:t xml:space="preserve"> and </w:t>
      </w:r>
      <m:oMath>
        <m:r>
          <w:rPr>
            <w:rFonts w:ascii="Cambria Math" w:hAnsi="Cambria Math" w:cs="Times New Roman"/>
            <w:sz w:val="22"/>
            <w:szCs w:val="22"/>
          </w:rPr>
          <m:t>β</m:t>
        </m:r>
      </m:oMath>
    </w:p>
    <w:p w14:paraId="2314A7E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Ethnographic analogs.</w:t>
      </w:r>
      <w:r w:rsidRPr="009D048A">
        <w:rPr>
          <w:rFonts w:ascii="Times New Roman" w:hAnsi="Times New Roman" w:cs="Times New Roman"/>
          <w:sz w:val="21"/>
          <w:szCs w:val="21"/>
        </w:rPr>
        <w:t xml:space="preserve"> Studies of modern and historically documented foraging societies provide data on mortality rates during resource shortfalls. Societies with extensive sharing networks and diversified subsistence bases show lower shortfall mortality than those dependent on narrow resource bases. Wiessner (2002) documents how !Kung (Ju/’hoansi) exchange networks (</w:t>
      </w:r>
      <m:oMath>
        <m:r>
          <w:rPr>
            <w:rFonts w:ascii="Cambria Math" w:hAnsi="Cambria Math" w:cs="Times New Roman"/>
            <w:sz w:val="21"/>
            <w:szCs w:val="21"/>
          </w:rPr>
          <m:t>hxaro</m:t>
        </m:r>
      </m:oMath>
      <w:r w:rsidRPr="009D048A">
        <w:rPr>
          <w:rFonts w:ascii="Times New Roman" w:hAnsi="Times New Roman" w:cs="Times New Roman"/>
          <w:sz w:val="21"/>
          <w:szCs w:val="21"/>
        </w:rPr>
        <w:t>) buffer individual shortfalls, reducing mortality by an estimated 30-50% compared to unnetworked individuals.</w:t>
      </w:r>
    </w:p>
    <w:p w14:paraId="6A7A579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Faunal assemblage diversity as a proxy for </w:t>
      </w:r>
      <m:oMath>
        <m:r>
          <w:rPr>
            <w:rFonts w:ascii="Cambria Math" w:hAnsi="Cambria Math" w:cs="Times New Roman"/>
            <w:sz w:val="21"/>
            <w:szCs w:val="21"/>
          </w:rPr>
          <m:t>α</m:t>
        </m:r>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A highly diverse faunal assemblage (many species, multiple ecological zones represented) at an aggregation site indicates broad dietary buffering, supporting lower </w:t>
      </w:r>
      <m:oMath>
        <m:r>
          <w:rPr>
            <w:rFonts w:ascii="Cambria Math" w:hAnsi="Cambria Math" w:cs="Times New Roman"/>
            <w:sz w:val="21"/>
            <w:szCs w:val="21"/>
          </w:rPr>
          <m:t>α</m:t>
        </m:r>
      </m:oMath>
      <w:r w:rsidRPr="009D048A">
        <w:rPr>
          <w:rFonts w:ascii="Times New Roman" w:hAnsi="Times New Roman" w:cs="Times New Roman"/>
          <w:sz w:val="21"/>
          <w:szCs w:val="21"/>
        </w:rPr>
        <w:t xml:space="preserve"> values. If Lamoka Lake’s faunal assemblage shows high diversity (deer, fish, squirrel, waterfowl, turtle, multiple plant species), this is consistent with effective risk buffering.</w:t>
      </w:r>
    </w:p>
    <w:p w14:paraId="727EC2F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Storage capacity as a proxy for </w:t>
      </w:r>
      <m:oMath>
        <m:r>
          <w:rPr>
            <w:rFonts w:ascii="Cambria Math" w:hAnsi="Cambria Math" w:cs="Times New Roman"/>
            <w:sz w:val="21"/>
            <w:szCs w:val="21"/>
          </w:rPr>
          <m:t>α</m:t>
        </m:r>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The estimated 50,000 liters of storage capacity at Lamoka Lake represents substantial buffering potential. If this volume could provision 200-300 people for 2-3 months, the stored surplus reduces winter shortfall vulnerability significantly, supporting </w:t>
      </w: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w:t>
      </w:r>
    </w:p>
    <w:p w14:paraId="040AAE1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Modern ecological data on zone-specific failure rates for </w:t>
      </w:r>
      <m:oMath>
        <m:r>
          <w:rPr>
            <w:rFonts w:ascii="Cambria Math" w:hAnsi="Cambria Math" w:cs="Times New Roman"/>
            <w:sz w:val="21"/>
            <w:szCs w:val="21"/>
          </w:rPr>
          <m:t>β</m:t>
        </m:r>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How often does a single ecological zone fail? Modern monitoring data on fish populations, deer densities, and mast crops show that individual zones can fail severely (&gt;50% below average) in any given year. A band dependent on a single zone would be fully exposed to these failures, supporting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0.70</m:t>
        </m:r>
      </m:oMath>
      <w:r w:rsidRPr="009D048A">
        <w:rPr>
          <w:rFonts w:ascii="Times New Roman" w:hAnsi="Times New Roman" w:cs="Times New Roman"/>
          <w:sz w:val="21"/>
          <w:szCs w:val="21"/>
        </w:rPr>
        <w:t>.</w:t>
      </w:r>
    </w:p>
    <w:p w14:paraId="28C65857" w14:textId="77777777" w:rsidR="00506C35" w:rsidRPr="009D048A" w:rsidRDefault="00000000">
      <w:pPr>
        <w:pStyle w:val="Heading3"/>
        <w:rPr>
          <w:rFonts w:ascii="Times New Roman" w:hAnsi="Times New Roman" w:cs="Times New Roman"/>
          <w:sz w:val="22"/>
          <w:szCs w:val="22"/>
        </w:rPr>
      </w:pPr>
      <w:bookmarkStart w:id="30" w:name="lamoka-lake-values"/>
      <w:bookmarkEnd w:id="29"/>
      <w:r w:rsidRPr="009D048A">
        <w:rPr>
          <w:rFonts w:ascii="Times New Roman" w:hAnsi="Times New Roman" w:cs="Times New Roman"/>
          <w:sz w:val="22"/>
          <w:szCs w:val="22"/>
        </w:rPr>
        <w:t>5.5 Lamoka Lake Values</w:t>
      </w:r>
    </w:p>
    <w:p w14:paraId="5C37D83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For Lamoka Lake, we use </w:t>
      </w: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 xml:space="preserve"> and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0.70</m:t>
        </m:r>
      </m:oMath>
      <w:r w:rsidRPr="009D048A">
        <w:rPr>
          <w:rFonts w:ascii="Times New Roman" w:hAnsi="Times New Roman" w:cs="Times New Roman"/>
          <w:sz w:val="21"/>
          <w:szCs w:val="21"/>
        </w:rPr>
        <w:t xml:space="preserve">, giving a ratio of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2.00</m:t>
        </m:r>
      </m:oMath>
      <w:r w:rsidRPr="009D048A">
        <w:rPr>
          <w:rFonts w:ascii="Times New Roman" w:hAnsi="Times New Roman" w:cs="Times New Roman"/>
          <w:sz w:val="21"/>
          <w:szCs w:val="21"/>
        </w:rPr>
        <w:t>.</w:t>
      </w:r>
    </w:p>
    <w:p w14:paraId="656EDBA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Why </w:t>
      </w: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Aggregators at Lamoka Lake benefit from five-zone ecotone access, stored surplus (50,000 liters capacity), communal processing that generates additional food, and reciprocal sharing networks. These multiple buffering mechanisms justify a vulnerability about one-third as large as the maximum possible.</w:t>
      </w:r>
    </w:p>
    <w:p w14:paraId="68ED3A1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Why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0.70</m:t>
        </m:r>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Independents in the Finger Lakes are not maximally vulnerable (northeastern winters are harsh but not as extreme as, say, subarctic conditions), and even lone bands have some resilience through mobility and local knowledge. But single-zone dependence means that a bad year for your primary resource hits hard. A value of 0.70 reflects substantial but not catastrophic exposure.</w:t>
      </w:r>
    </w:p>
    <w:p w14:paraId="6FDA1C1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Table 5.1. Vulnerability parameters across four case studies.</w:t>
      </w:r>
    </w:p>
    <w:tbl>
      <w:tblPr>
        <w:tblStyle w:val="Table"/>
        <w:tblW w:w="5000" w:type="pct"/>
        <w:tblLayout w:type="fixed"/>
        <w:tblLook w:val="0020" w:firstRow="1" w:lastRow="0" w:firstColumn="0" w:lastColumn="0" w:noHBand="0" w:noVBand="0"/>
      </w:tblPr>
      <w:tblGrid>
        <w:gridCol w:w="1572"/>
        <w:gridCol w:w="1430"/>
        <w:gridCol w:w="2000"/>
        <w:gridCol w:w="2144"/>
        <w:gridCol w:w="2430"/>
      </w:tblGrid>
      <w:tr w:rsidR="00506C35" w:rsidRPr="009D048A" w14:paraId="3F2AD2E6"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300" w:type="dxa"/>
          </w:tcPr>
          <w:p w14:paraId="1D7527E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Parameter</w:t>
            </w:r>
          </w:p>
        </w:tc>
        <w:tc>
          <w:tcPr>
            <w:tcW w:w="1182" w:type="dxa"/>
          </w:tcPr>
          <w:p w14:paraId="3288989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Rapa Nui</w:t>
            </w:r>
          </w:p>
        </w:tc>
        <w:tc>
          <w:tcPr>
            <w:tcW w:w="1654" w:type="dxa"/>
          </w:tcPr>
          <w:p w14:paraId="3D51CFB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Chaco Canyon</w:t>
            </w:r>
          </w:p>
        </w:tc>
        <w:tc>
          <w:tcPr>
            <w:tcW w:w="1773" w:type="dxa"/>
          </w:tcPr>
          <w:p w14:paraId="069B501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Poverty Point</w:t>
            </w:r>
          </w:p>
        </w:tc>
        <w:tc>
          <w:tcPr>
            <w:tcW w:w="2009" w:type="dxa"/>
          </w:tcPr>
          <w:p w14:paraId="0F5B5DD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Lamoka Lake</w:t>
            </w:r>
          </w:p>
        </w:tc>
      </w:tr>
      <w:tr w:rsidR="00506C35" w:rsidRPr="009D048A" w14:paraId="4714E992" w14:textId="77777777">
        <w:tc>
          <w:tcPr>
            <w:tcW w:w="1300" w:type="dxa"/>
          </w:tcPr>
          <w:p w14:paraId="68E98F54"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α</m:t>
                </m:r>
              </m:oMath>
            </m:oMathPara>
          </w:p>
        </w:tc>
        <w:tc>
          <w:tcPr>
            <w:tcW w:w="1182" w:type="dxa"/>
          </w:tcPr>
          <w:p w14:paraId="632C78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w:t>
            </w:r>
          </w:p>
        </w:tc>
        <w:tc>
          <w:tcPr>
            <w:tcW w:w="1654" w:type="dxa"/>
          </w:tcPr>
          <w:p w14:paraId="3C0B87C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w:t>
            </w:r>
          </w:p>
        </w:tc>
        <w:tc>
          <w:tcPr>
            <w:tcW w:w="1773" w:type="dxa"/>
          </w:tcPr>
          <w:p w14:paraId="2164BBE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0.40</w:t>
            </w:r>
          </w:p>
        </w:tc>
        <w:tc>
          <w:tcPr>
            <w:tcW w:w="2009" w:type="dxa"/>
          </w:tcPr>
          <w:p w14:paraId="308A5CB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0.35</w:t>
            </w:r>
          </w:p>
        </w:tc>
      </w:tr>
      <w:tr w:rsidR="00506C35" w:rsidRPr="009D048A" w14:paraId="48F4F3BD" w14:textId="77777777">
        <w:tc>
          <w:tcPr>
            <w:tcW w:w="1300" w:type="dxa"/>
          </w:tcPr>
          <w:p w14:paraId="08516C3F"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β</m:t>
                </m:r>
              </m:oMath>
            </m:oMathPara>
          </w:p>
        </w:tc>
        <w:tc>
          <w:tcPr>
            <w:tcW w:w="1182" w:type="dxa"/>
          </w:tcPr>
          <w:p w14:paraId="36B2571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0.90</w:t>
            </w:r>
          </w:p>
        </w:tc>
        <w:tc>
          <w:tcPr>
            <w:tcW w:w="1654" w:type="dxa"/>
          </w:tcPr>
          <w:p w14:paraId="72C3317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0.85</w:t>
            </w:r>
          </w:p>
        </w:tc>
        <w:tc>
          <w:tcPr>
            <w:tcW w:w="1773" w:type="dxa"/>
          </w:tcPr>
          <w:p w14:paraId="454E947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0.75</w:t>
            </w:r>
          </w:p>
        </w:tc>
        <w:tc>
          <w:tcPr>
            <w:tcW w:w="2009" w:type="dxa"/>
          </w:tcPr>
          <w:p w14:paraId="72A1EC5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0.70</w:t>
            </w:r>
          </w:p>
        </w:tc>
      </w:tr>
      <w:tr w:rsidR="00506C35" w:rsidRPr="009D048A" w14:paraId="21202071" w14:textId="77777777">
        <w:tc>
          <w:tcPr>
            <w:tcW w:w="1300" w:type="dxa"/>
          </w:tcPr>
          <w:p w14:paraId="78377897"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oMath>
            </m:oMathPara>
          </w:p>
        </w:tc>
        <w:tc>
          <w:tcPr>
            <w:tcW w:w="1182" w:type="dxa"/>
          </w:tcPr>
          <w:p w14:paraId="031A3E6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3.00</w:t>
            </w:r>
          </w:p>
        </w:tc>
        <w:tc>
          <w:tcPr>
            <w:tcW w:w="1654" w:type="dxa"/>
          </w:tcPr>
          <w:p w14:paraId="20D7DCF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2.83</w:t>
            </w:r>
          </w:p>
        </w:tc>
        <w:tc>
          <w:tcPr>
            <w:tcW w:w="1773" w:type="dxa"/>
          </w:tcPr>
          <w:p w14:paraId="1443CAE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1.88</w:t>
            </w:r>
          </w:p>
        </w:tc>
        <w:tc>
          <w:tcPr>
            <w:tcW w:w="2009" w:type="dxa"/>
          </w:tcPr>
          <w:p w14:paraId="07CB664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2.00</w:t>
            </w:r>
          </w:p>
        </w:tc>
      </w:tr>
    </w:tbl>
    <w:p w14:paraId="688956A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Note the pattern: island and arid environments (Rapa Nui, Chaco) show higher </w:t>
      </w:r>
      <m:oMath>
        <m:r>
          <w:rPr>
            <w:rFonts w:ascii="Cambria Math" w:hAnsi="Cambria Math" w:cs="Times New Roman"/>
            <w:sz w:val="21"/>
            <w:szCs w:val="21"/>
          </w:rPr>
          <m:t>β</m:t>
        </m:r>
      </m:oMath>
      <w:r w:rsidRPr="009D048A">
        <w:rPr>
          <w:rFonts w:ascii="Times New Roman" w:hAnsi="Times New Roman" w:cs="Times New Roman"/>
          <w:sz w:val="21"/>
          <w:szCs w:val="21"/>
        </w:rPr>
        <w:t xml:space="preserve"> (independents are more exposed, fewer fallback options) and higher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α</m:t>
        </m:r>
      </m:oMath>
      <w:r w:rsidRPr="009D048A">
        <w:rPr>
          <w:rFonts w:ascii="Times New Roman" w:hAnsi="Times New Roman" w:cs="Times New Roman"/>
          <w:sz w:val="21"/>
          <w:szCs w:val="21"/>
        </w:rPr>
        <w:t xml:space="preserve"> ratios. Continental settings with more fallback options (Poverty Point, Lamoka Lake) show lower </w:t>
      </w:r>
      <m:oMath>
        <m:r>
          <w:rPr>
            <w:rFonts w:ascii="Cambria Math" w:hAnsi="Cambria Math" w:cs="Times New Roman"/>
            <w:sz w:val="21"/>
            <w:szCs w:val="21"/>
          </w:rPr>
          <m:t>β</m:t>
        </m:r>
      </m:oMath>
      <w:r w:rsidRPr="009D048A">
        <w:rPr>
          <w:rFonts w:ascii="Times New Roman" w:hAnsi="Times New Roman" w:cs="Times New Roman"/>
          <w:sz w:val="21"/>
          <w:szCs w:val="21"/>
        </w:rPr>
        <w:t xml:space="preserve"> and moderate ratios.</w:t>
      </w:r>
    </w:p>
    <w:p w14:paraId="77CF43EC"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45EB3685">
          <v:rect id="_x0000_i1043" alt="" style="width:468pt;height:.05pt;mso-width-percent:0;mso-height-percent:0;mso-width-percent:0;mso-height-percent:0" o:hralign="center" o:hrstd="t" o:hr="t"/>
        </w:pict>
      </w:r>
    </w:p>
    <w:p w14:paraId="656DB875" w14:textId="77777777" w:rsidR="00506C35" w:rsidRPr="009D048A" w:rsidRDefault="00000000">
      <w:pPr>
        <w:pStyle w:val="Heading2"/>
        <w:rPr>
          <w:rFonts w:ascii="Times New Roman" w:hAnsi="Times New Roman" w:cs="Times New Roman"/>
          <w:sz w:val="24"/>
          <w:szCs w:val="24"/>
        </w:rPr>
      </w:pPr>
      <w:bookmarkStart w:id="31" w:name="the-cost-of-cooperating-c_texttotal"/>
      <w:bookmarkEnd w:id="25"/>
      <w:bookmarkEnd w:id="30"/>
      <w:r w:rsidRPr="009D048A">
        <w:rPr>
          <w:rFonts w:ascii="Times New Roman" w:hAnsi="Times New Roman" w:cs="Times New Roman"/>
          <w:sz w:val="24"/>
          <w:szCs w:val="24"/>
        </w:rPr>
        <w:lastRenderedPageBreak/>
        <w:t>6. The Cost of Cooperating (</w:t>
      </w:r>
      <m:oMath>
        <m:sSub>
          <m:sSubPr>
            <m:ctrlPr>
              <w:rPr>
                <w:rFonts w:ascii="Cambria Math" w:hAnsi="Cambria Math" w:cs="Times New Roman"/>
                <w:sz w:val="24"/>
                <w:szCs w:val="24"/>
              </w:rPr>
            </m:ctrlPr>
          </m:sSubPr>
          <m:e>
            <m:r>
              <w:rPr>
                <w:rFonts w:ascii="Cambria Math" w:hAnsi="Cambria Math" w:cs="Times New Roman"/>
                <w:sz w:val="24"/>
                <w:szCs w:val="24"/>
              </w:rPr>
              <m:t>C</m:t>
            </m:r>
          </m:e>
          <m:sub>
            <m:r>
              <m:rPr>
                <m:nor/>
              </m:rPr>
              <w:rPr>
                <w:rFonts w:ascii="Times New Roman" w:hAnsi="Times New Roman" w:cs="Times New Roman"/>
                <w:sz w:val="24"/>
                <w:szCs w:val="24"/>
              </w:rPr>
              <m:t>total</m:t>
            </m:r>
          </m:sub>
        </m:sSub>
      </m:oMath>
      <w:r w:rsidRPr="009D048A">
        <w:rPr>
          <w:rFonts w:ascii="Times New Roman" w:hAnsi="Times New Roman" w:cs="Times New Roman"/>
          <w:sz w:val="24"/>
          <w:szCs w:val="24"/>
        </w:rPr>
        <w:t>)</w:t>
      </w:r>
    </w:p>
    <w:p w14:paraId="3D4A46C8" w14:textId="77777777" w:rsidR="00506C35" w:rsidRPr="009D048A" w:rsidRDefault="00000000">
      <w:pPr>
        <w:pStyle w:val="Heading3"/>
        <w:rPr>
          <w:rFonts w:ascii="Times New Roman" w:hAnsi="Times New Roman" w:cs="Times New Roman"/>
          <w:sz w:val="22"/>
          <w:szCs w:val="22"/>
        </w:rPr>
      </w:pPr>
      <w:bookmarkStart w:id="32" w:name="what-we-are-adding-and-why-2"/>
      <w:r w:rsidRPr="009D048A">
        <w:rPr>
          <w:rFonts w:ascii="Times New Roman" w:hAnsi="Times New Roman" w:cs="Times New Roman"/>
          <w:sz w:val="22"/>
          <w:szCs w:val="22"/>
        </w:rPr>
        <w:t>6.1 What We Are Adding and Why</w:t>
      </w:r>
    </w:p>
    <w:p w14:paraId="658A3E2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If cooperation were free, everyone would do it, and the “signal” would carry no useful information. The defining feature of the model is that aggregation imposes real costs on participating bands, costs that are only justified when the insurance benefits are large enough. We need to specify what those costs are, how large they are, and how to estimate them from the archaeological record.</w:t>
      </w:r>
    </w:p>
    <w:p w14:paraId="037FFDD2" w14:textId="77777777" w:rsidR="00506C35" w:rsidRPr="009D048A" w:rsidRDefault="00000000">
      <w:pPr>
        <w:pStyle w:val="Heading3"/>
        <w:rPr>
          <w:rFonts w:ascii="Times New Roman" w:hAnsi="Times New Roman" w:cs="Times New Roman"/>
          <w:sz w:val="22"/>
          <w:szCs w:val="22"/>
        </w:rPr>
      </w:pPr>
      <w:bookmarkStart w:id="33" w:name="the-math-2"/>
      <w:bookmarkEnd w:id="32"/>
      <w:r w:rsidRPr="009D048A">
        <w:rPr>
          <w:rFonts w:ascii="Times New Roman" w:hAnsi="Times New Roman" w:cs="Times New Roman"/>
          <w:sz w:val="22"/>
          <w:szCs w:val="22"/>
        </w:rPr>
        <w:t>6.2 The Math</w:t>
      </w:r>
    </w:p>
    <w:p w14:paraId="603920F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total cost of aggregation is decomposed into three components:</w:t>
      </w:r>
    </w:p>
    <w:p w14:paraId="0AB2FFCC"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opportunity</m:t>
              </m:r>
            </m:sub>
          </m:sSub>
        </m:oMath>
      </m:oMathPara>
    </w:p>
    <w:p w14:paraId="100BFAF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Each component represents a fraction of baseline fitness (between 0 and 1) that aggregators sacrifice:</w:t>
      </w:r>
    </w:p>
    <w:p w14:paraId="36A6D47B" w14:textId="77777777" w:rsidR="00506C35" w:rsidRPr="009D048A" w:rsidRDefault="00000000">
      <w:pPr>
        <w:pStyle w:val="Compact"/>
        <w:numPr>
          <w:ilvl w:val="0"/>
          <w:numId w:val="14"/>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oMath>
      <w:r w:rsidRPr="009D048A">
        <w:rPr>
          <w:rFonts w:ascii="Times New Roman" w:hAnsi="Times New Roman" w:cs="Times New Roman"/>
          <w:sz w:val="21"/>
          <w:szCs w:val="21"/>
        </w:rPr>
        <w:t>: The cost of traveling to the aggregation site. Energy and time spent in transit instead of foraging.</w:t>
      </w:r>
    </w:p>
    <w:p w14:paraId="39323FDC" w14:textId="77777777" w:rsidR="00506C35" w:rsidRPr="009D048A" w:rsidRDefault="00000000">
      <w:pPr>
        <w:pStyle w:val="Compact"/>
        <w:numPr>
          <w:ilvl w:val="0"/>
          <w:numId w:val="14"/>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oMath>
      <w:r w:rsidRPr="009D048A">
        <w:rPr>
          <w:rFonts w:ascii="Times New Roman" w:hAnsi="Times New Roman" w:cs="Times New Roman"/>
          <w:sz w:val="21"/>
          <w:szCs w:val="21"/>
        </w:rPr>
        <w:t>: The cost of building and maintaining shared facilities, storage pits, fish weirs, smoking platforms.</w:t>
      </w:r>
    </w:p>
    <w:p w14:paraId="57C8B835" w14:textId="77777777" w:rsidR="00506C35" w:rsidRPr="009D048A" w:rsidRDefault="00000000">
      <w:pPr>
        <w:pStyle w:val="Compact"/>
        <w:numPr>
          <w:ilvl w:val="0"/>
          <w:numId w:val="14"/>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opportunity</m:t>
            </m:r>
          </m:sub>
        </m:sSub>
      </m:oMath>
      <w:r w:rsidRPr="009D048A">
        <w:rPr>
          <w:rFonts w:ascii="Times New Roman" w:hAnsi="Times New Roman" w:cs="Times New Roman"/>
          <w:sz w:val="21"/>
          <w:szCs w:val="21"/>
        </w:rPr>
        <w:t>: The foregone foraging that occurs because bands spend time at the aggregation site rather than in their home ranges.</w:t>
      </w:r>
    </w:p>
    <w:p w14:paraId="4A4FA89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These costs enter the aggregator fitness function as a multiplicative penalty:</w:t>
      </w:r>
    </w:p>
    <w:p w14:paraId="6D0277F3"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aggregator</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m:rPr>
              <m:nor/>
            </m:rPr>
            <w:rPr>
              <w:rFonts w:ascii="Times New Roman" w:hAnsi="Times New Roman" w:cs="Times New Roman"/>
              <w:sz w:val="21"/>
              <w:szCs w:val="21"/>
            </w:rPr>
            <m:t>survival term</m:t>
          </m:r>
          <m:r>
            <m:rPr>
              <m:sty m:val="p"/>
            </m:rPr>
            <w:rPr>
              <w:rFonts w:ascii="Cambria Math" w:hAnsi="Cambria Math" w:cs="Times New Roman"/>
              <w:sz w:val="21"/>
              <w:szCs w:val="21"/>
            </w:rPr>
            <m:t>)×(</m:t>
          </m:r>
          <m:r>
            <m:rPr>
              <m:nor/>
            </m:rPr>
            <w:rPr>
              <w:rFonts w:ascii="Times New Roman" w:hAnsi="Times New Roman" w:cs="Times New Roman"/>
              <w:sz w:val="21"/>
              <w:szCs w:val="21"/>
            </w:rPr>
            <m:t>cooperation benefits</m:t>
          </m:r>
          <m:r>
            <m:rPr>
              <m:sty m:val="p"/>
            </m:rPr>
            <w:rPr>
              <w:rFonts w:ascii="Cambria Math" w:hAnsi="Cambria Math" w:cs="Times New Roman"/>
              <w:sz w:val="21"/>
              <w:szCs w:val="21"/>
            </w:rPr>
            <m:t>)</m:t>
          </m:r>
        </m:oMath>
      </m:oMathPara>
    </w:p>
    <w:p w14:paraId="12C084B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w:t>
      </w: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term means that if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aggregators retain 70% of their baseline productive capacity after paying all aggregation costs.</w:t>
      </w:r>
    </w:p>
    <w:p w14:paraId="7EB109D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We also need a parameter for the baseline advantage of the independent strategy:</w:t>
      </w:r>
    </w:p>
    <w:p w14:paraId="68D4873A"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m:rPr>
              <m:nor/>
            </m:rPr>
            <w:rPr>
              <w:rFonts w:ascii="Times New Roman" w:hAnsi="Times New Roman" w:cs="Times New Roman"/>
              <w:sz w:val="21"/>
              <w:szCs w:val="21"/>
            </w:rPr>
            <m:t xml:space="preserve">independent reproductive advantage when </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m:oMathPara>
    </w:p>
    <w:p w14:paraId="3C54A66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This captures the fact that, in a perfectly stable environment, independents can invest all their time and energy in foraging and reproduction, whereas aggregators divert some to cooperation.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&gt;</m:t>
        </m:r>
        <m:r>
          <w:rPr>
            <w:rFonts w:ascii="Cambria Math" w:hAnsi="Cambria Math" w:cs="Times New Roman"/>
            <w:sz w:val="21"/>
            <w:szCs w:val="21"/>
          </w:rPr>
          <m:t>1</m:t>
        </m:r>
      </m:oMath>
      <w:r w:rsidRPr="009D048A">
        <w:rPr>
          <w:rFonts w:ascii="Times New Roman" w:hAnsi="Times New Roman" w:cs="Times New Roman"/>
          <w:sz w:val="21"/>
          <w:szCs w:val="21"/>
        </w:rPr>
        <w:t xml:space="preserve"> means independents have a head start; cooperation has to overcome this advantage through its insurance and cooperation benefits.</w:t>
      </w:r>
    </w:p>
    <w:p w14:paraId="168040DE" w14:textId="77777777" w:rsidR="00506C35" w:rsidRPr="009D048A" w:rsidRDefault="00000000">
      <w:pPr>
        <w:pStyle w:val="Heading3"/>
        <w:rPr>
          <w:rFonts w:ascii="Times New Roman" w:hAnsi="Times New Roman" w:cs="Times New Roman"/>
          <w:sz w:val="22"/>
          <w:szCs w:val="22"/>
        </w:rPr>
      </w:pPr>
      <w:bookmarkStart w:id="34" w:name="how-to-estimate-each-cost-component"/>
      <w:bookmarkEnd w:id="33"/>
      <w:r w:rsidRPr="009D048A">
        <w:rPr>
          <w:rFonts w:ascii="Times New Roman" w:hAnsi="Times New Roman" w:cs="Times New Roman"/>
          <w:sz w:val="22"/>
          <w:szCs w:val="22"/>
        </w:rPr>
        <w:t>6.3 How to Estimate Each Cost Component</w:t>
      </w:r>
    </w:p>
    <w:p w14:paraId="514545C3" w14:textId="77777777" w:rsidR="00506C35" w:rsidRPr="009D048A" w:rsidRDefault="00000000">
      <w:pPr>
        <w:pStyle w:val="FirstParagraph"/>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r>
          <m:rPr>
            <m:sty m:val="p"/>
          </m:rPr>
          <w:rPr>
            <w:rFonts w:ascii="Cambria Math" w:hAnsi="Cambria Math" w:cs="Times New Roman"/>
            <w:sz w:val="21"/>
            <w:szCs w:val="21"/>
          </w:rPr>
          <m:t>=</m:t>
        </m:r>
        <m:r>
          <w:rPr>
            <w:rFonts w:ascii="Cambria Math" w:hAnsi="Cambria Math" w:cs="Times New Roman"/>
            <w:sz w:val="21"/>
            <w:szCs w:val="21"/>
          </w:rPr>
          <m:t>0.08</m:t>
        </m:r>
      </m:oMath>
      <w:r w:rsidRPr="009D048A">
        <w:rPr>
          <w:rFonts w:ascii="Times New Roman" w:hAnsi="Times New Roman" w:cs="Times New Roman"/>
          <w:b/>
          <w:bCs/>
          <w:sz w:val="21"/>
          <w:szCs w:val="21"/>
        </w:rPr>
        <w:t xml:space="preserve"> (travel cost)</w:t>
      </w:r>
    </w:p>
    <w:p w14:paraId="69921DC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How to estimate: - </w:t>
      </w:r>
      <w:r w:rsidRPr="009D048A">
        <w:rPr>
          <w:rFonts w:ascii="Times New Roman" w:hAnsi="Times New Roman" w:cs="Times New Roman"/>
          <w:b/>
          <w:bCs/>
          <w:sz w:val="21"/>
          <w:szCs w:val="21"/>
        </w:rPr>
        <w:t>Catchment analysis</w:t>
      </w:r>
      <w:r w:rsidRPr="009D048A">
        <w:rPr>
          <w:rFonts w:ascii="Times New Roman" w:hAnsi="Times New Roman" w:cs="Times New Roman"/>
          <w:sz w:val="21"/>
          <w:szCs w:val="21"/>
        </w:rPr>
        <w:t xml:space="preserve">: Define the probable catchment area for Lamoka Lake. Based on the site’s scale and the regional settlement pattern, a radius of approximately 75 km (150 km diameter) is reasonable. The average band would travel roughly 40-75 km to reach the site. - </w:t>
      </w:r>
      <w:r w:rsidRPr="009D048A">
        <w:rPr>
          <w:rFonts w:ascii="Times New Roman" w:hAnsi="Times New Roman" w:cs="Times New Roman"/>
          <w:b/>
          <w:bCs/>
          <w:sz w:val="21"/>
          <w:szCs w:val="21"/>
        </w:rPr>
        <w:t>Travel cost per km</w:t>
      </w:r>
      <w:r w:rsidRPr="009D048A">
        <w:rPr>
          <w:rFonts w:ascii="Times New Roman" w:hAnsi="Times New Roman" w:cs="Times New Roman"/>
          <w:sz w:val="21"/>
          <w:szCs w:val="21"/>
        </w:rPr>
        <w:t xml:space="preserve">: Ethnographic and experimental data suggest that travel through temperate forest costs approximately 0.1-0.2% of annual caloric budget per km of one-way travel (accounting for travel time, portage, and foregone foraging en route). Kelly (2013:Table 4.1) compiles travel distances and mobility costs for foraging societies across diverse environments; Binford (2001:Table 5.01) provides residential move distances for temperate woodland foragers averaging 40-80 km, consistent with the Finger Lakes catchment estimate. - </w:t>
      </w:r>
      <w:r w:rsidRPr="009D048A">
        <w:rPr>
          <w:rFonts w:ascii="Times New Roman" w:hAnsi="Times New Roman" w:cs="Times New Roman"/>
          <w:b/>
          <w:bCs/>
          <w:sz w:val="21"/>
          <w:szCs w:val="21"/>
        </w:rPr>
        <w:t>Calculation</w:t>
      </w:r>
      <w:r w:rsidRPr="009D048A">
        <w:rPr>
          <w:rFonts w:ascii="Times New Roman" w:hAnsi="Times New Roman" w:cs="Times New Roman"/>
          <w:sz w:val="21"/>
          <w:szCs w:val="21"/>
        </w:rPr>
        <w:t xml:space="preserve">: At 60 km average one-way distance and 0.13% per km,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r>
          <m:rPr>
            <m:sty m:val="p"/>
          </m:rPr>
          <w:rPr>
            <w:rFonts w:ascii="Cambria Math" w:hAnsi="Cambria Math" w:cs="Times New Roman"/>
            <w:sz w:val="21"/>
            <w:szCs w:val="21"/>
          </w:rPr>
          <m:t>≈</m:t>
        </m:r>
        <m:r>
          <w:rPr>
            <w:rFonts w:ascii="Cambria Math" w:hAnsi="Cambria Math" w:cs="Times New Roman"/>
            <w:sz w:val="21"/>
            <w:szCs w:val="21"/>
          </w:rPr>
          <m:t>0.08</m:t>
        </m:r>
      </m:oMath>
      <w:r w:rsidRPr="009D048A">
        <w:rPr>
          <w:rFonts w:ascii="Times New Roman" w:hAnsi="Times New Roman" w:cs="Times New Roman"/>
          <w:sz w:val="21"/>
          <w:szCs w:val="21"/>
        </w:rPr>
        <w:t>.</w:t>
      </w:r>
    </w:p>
    <w:p w14:paraId="258C861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Why Lamoka Lake’s travel cost is low: The Finger Lakes catchment (~150 km) is much smaller than Poverty Point’s (~500 km), so bands travel shorter distances. Travel follows lake valleys and stream corridors, which </w:t>
      </w:r>
      <w:r w:rsidRPr="009D048A">
        <w:rPr>
          <w:rFonts w:ascii="Times New Roman" w:hAnsi="Times New Roman" w:cs="Times New Roman"/>
          <w:sz w:val="21"/>
          <w:szCs w:val="21"/>
        </w:rPr>
        <w:lastRenderedPageBreak/>
        <w:t>are relatively easy terrain. Fall timing means bands are traveling when they would otherwise be transitioning to winter ranges anyway.</w:t>
      </w:r>
    </w:p>
    <w:p w14:paraId="1B015922" w14:textId="77777777" w:rsidR="00506C35" w:rsidRPr="009D048A" w:rsidRDefault="00000000">
      <w:pPr>
        <w:pStyle w:val="BodyText"/>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r>
          <m:rPr>
            <m:sty m:val="p"/>
          </m:rPr>
          <w:rPr>
            <w:rFonts w:ascii="Cambria Math" w:hAnsi="Cambria Math" w:cs="Times New Roman"/>
            <w:sz w:val="21"/>
            <w:szCs w:val="21"/>
          </w:rPr>
          <m:t>=</m:t>
        </m:r>
        <m:r>
          <w:rPr>
            <w:rFonts w:ascii="Cambria Math" w:hAnsi="Cambria Math" w:cs="Times New Roman"/>
            <w:sz w:val="21"/>
            <w:szCs w:val="21"/>
          </w:rPr>
          <m:t>0.12</m:t>
        </m:r>
      </m:oMath>
      <w:r w:rsidRPr="009D048A">
        <w:rPr>
          <w:rFonts w:ascii="Times New Roman" w:hAnsi="Times New Roman" w:cs="Times New Roman"/>
          <w:b/>
          <w:bCs/>
          <w:sz w:val="21"/>
          <w:szCs w:val="21"/>
        </w:rPr>
        <w:t xml:space="preserve"> (infrastructure cost)</w:t>
      </w:r>
    </w:p>
    <w:p w14:paraId="1DC51DF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How to estimate: - </w:t>
      </w:r>
      <w:r w:rsidRPr="009D048A">
        <w:rPr>
          <w:rFonts w:ascii="Times New Roman" w:hAnsi="Times New Roman" w:cs="Times New Roman"/>
          <w:b/>
          <w:bCs/>
          <w:sz w:val="21"/>
          <w:szCs w:val="21"/>
        </w:rPr>
        <w:t>Pit construction labor</w:t>
      </w:r>
      <w:r w:rsidRPr="009D048A">
        <w:rPr>
          <w:rFonts w:ascii="Times New Roman" w:hAnsi="Times New Roman" w:cs="Times New Roman"/>
          <w:sz w:val="21"/>
          <w:szCs w:val="21"/>
        </w:rPr>
        <w:t xml:space="preserve">: A typical storage pit (60 cm diameter, 60 cm deep) requires approximately 2-4 person-hours to excavate, line, and prepare. Experimental archaeology on prehistoric pit construction in comparable soils (DeBoer 1988; Wandsnider 1997) yields estimates of 1-3 person-hours for excavation alone, with additional time for lining and preparation. With 380 pits over 60 core years, that is roughly 6-7 pits per year, representing approximately 15-25 person-hours of digging labor per year. - </w:t>
      </w:r>
      <w:r w:rsidRPr="009D048A">
        <w:rPr>
          <w:rFonts w:ascii="Times New Roman" w:hAnsi="Times New Roman" w:cs="Times New Roman"/>
          <w:b/>
          <w:bCs/>
          <w:sz w:val="21"/>
          <w:szCs w:val="21"/>
        </w:rPr>
        <w:t>Fish weir maintenance</w:t>
      </w:r>
      <w:r w:rsidRPr="009D048A">
        <w:rPr>
          <w:rFonts w:ascii="Times New Roman" w:hAnsi="Times New Roman" w:cs="Times New Roman"/>
          <w:sz w:val="21"/>
          <w:szCs w:val="21"/>
        </w:rPr>
        <w:t xml:space="preserve">: Wooden stake weirs require annual repair. Estimated 50-100 person-hours per season. - </w:t>
      </w:r>
      <w:r w:rsidRPr="009D048A">
        <w:rPr>
          <w:rFonts w:ascii="Times New Roman" w:hAnsi="Times New Roman" w:cs="Times New Roman"/>
          <w:b/>
          <w:bCs/>
          <w:sz w:val="21"/>
          <w:szCs w:val="21"/>
        </w:rPr>
        <w:t>Smoking platform operation</w:t>
      </w:r>
      <w:r w:rsidRPr="009D048A">
        <w:rPr>
          <w:rFonts w:ascii="Times New Roman" w:hAnsi="Times New Roman" w:cs="Times New Roman"/>
          <w:sz w:val="21"/>
          <w:szCs w:val="21"/>
        </w:rPr>
        <w:t xml:space="preserve">: Construction and fuel gathering, estimated 30-60 person-hours per season. - </w:t>
      </w:r>
      <w:r w:rsidRPr="009D048A">
        <w:rPr>
          <w:rFonts w:ascii="Times New Roman" w:hAnsi="Times New Roman" w:cs="Times New Roman"/>
          <w:b/>
          <w:bCs/>
          <w:sz w:val="21"/>
          <w:szCs w:val="21"/>
        </w:rPr>
        <w:t>Total labor</w:t>
      </w:r>
      <w:r w:rsidRPr="009D048A">
        <w:rPr>
          <w:rFonts w:ascii="Times New Roman" w:hAnsi="Times New Roman" w:cs="Times New Roman"/>
          <w:sz w:val="21"/>
          <w:szCs w:val="21"/>
        </w:rPr>
        <w:t>: Approximately 100-200 person-hours per season, divided among 200-300 aggregating individuals. As a fraction of total annual productive time (~2,000 hours per person), this is roughly 0.10-0.15.</w:t>
      </w:r>
    </w:p>
    <w:p w14:paraId="2E1BFB9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Why this cost is moderate: Unlike Poverty Point, where monumental mound construction (238,000 cubic meters for Mound A alone) represented enormous labor investment with no direct caloric return, Lamoka Lake’s infrastructure is utilitarian. Storage pits store food. Fish weirs catch fish. The infrastructure generates direct returns, partially offsetting its labor cost. The </w:t>
      </w:r>
      <w:r w:rsidRPr="009D048A">
        <w:rPr>
          <w:rFonts w:ascii="Times New Roman" w:hAnsi="Times New Roman" w:cs="Times New Roman"/>
          <w:i/>
          <w:iCs/>
          <w:sz w:val="21"/>
          <w:szCs w:val="21"/>
        </w:rPr>
        <w:t>net</w:t>
      </w:r>
      <w:r w:rsidRPr="009D048A">
        <w:rPr>
          <w:rFonts w:ascii="Times New Roman" w:hAnsi="Times New Roman" w:cs="Times New Roman"/>
          <w:sz w:val="21"/>
          <w:szCs w:val="21"/>
        </w:rPr>
        <w:t xml:space="preserve"> cost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r>
          <m:rPr>
            <m:sty m:val="p"/>
          </m:rPr>
          <w:rPr>
            <w:rFonts w:ascii="Cambria Math" w:hAnsi="Cambria Math" w:cs="Times New Roman"/>
            <w:sz w:val="21"/>
            <w:szCs w:val="21"/>
          </w:rPr>
          <m:t>=</m:t>
        </m:r>
        <m:r>
          <w:rPr>
            <w:rFonts w:ascii="Cambria Math" w:hAnsi="Cambria Math" w:cs="Times New Roman"/>
            <w:sz w:val="21"/>
            <w:szCs w:val="21"/>
          </w:rPr>
          <m:t>0.12</m:t>
        </m:r>
      </m:oMath>
      <w:r w:rsidRPr="009D048A">
        <w:rPr>
          <w:rFonts w:ascii="Times New Roman" w:hAnsi="Times New Roman" w:cs="Times New Roman"/>
          <w:sz w:val="21"/>
          <w:szCs w:val="21"/>
        </w:rPr>
        <w:t>) already accounts for some of this offset.</w:t>
      </w:r>
    </w:p>
    <w:p w14:paraId="02901F7C" w14:textId="77777777" w:rsidR="00506C35" w:rsidRPr="009D048A" w:rsidRDefault="00000000">
      <w:pPr>
        <w:pStyle w:val="BodyText"/>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opportunity</m:t>
            </m:r>
          </m:sub>
        </m:sSub>
        <m:r>
          <m:rPr>
            <m:sty m:val="p"/>
          </m:rPr>
          <w:rPr>
            <w:rFonts w:ascii="Cambria Math" w:hAnsi="Cambria Math" w:cs="Times New Roman"/>
            <w:sz w:val="21"/>
            <w:szCs w:val="21"/>
          </w:rPr>
          <m:t>=</m:t>
        </m:r>
        <m:r>
          <w:rPr>
            <w:rFonts w:ascii="Cambria Math" w:hAnsi="Cambria Math" w:cs="Times New Roman"/>
            <w:sz w:val="21"/>
            <w:szCs w:val="21"/>
          </w:rPr>
          <m:t>0.10</m:t>
        </m:r>
      </m:oMath>
      <w:r w:rsidRPr="009D048A">
        <w:rPr>
          <w:rFonts w:ascii="Times New Roman" w:hAnsi="Times New Roman" w:cs="Times New Roman"/>
          <w:b/>
          <w:bCs/>
          <w:sz w:val="21"/>
          <w:szCs w:val="21"/>
        </w:rPr>
        <w:t xml:space="preserve"> (opportunity cost)</w:t>
      </w:r>
    </w:p>
    <w:p w14:paraId="6E14980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How to estimate: - </w:t>
      </w:r>
      <w:r w:rsidRPr="009D048A">
        <w:rPr>
          <w:rFonts w:ascii="Times New Roman" w:hAnsi="Times New Roman" w:cs="Times New Roman"/>
          <w:b/>
          <w:bCs/>
          <w:sz w:val="21"/>
          <w:szCs w:val="21"/>
        </w:rPr>
        <w:t>Seasonal timing</w:t>
      </w:r>
      <w:r w:rsidRPr="009D048A">
        <w:rPr>
          <w:rFonts w:ascii="Times New Roman" w:hAnsi="Times New Roman" w:cs="Times New Roman"/>
          <w:sz w:val="21"/>
          <w:szCs w:val="21"/>
        </w:rPr>
        <w:t xml:space="preserve">: Fall aggregation coincides with the peak availability of the resources being processed (mast, fish, deer). This means bands are not missing prime foraging in their home ranges; they are foraging at the aggregation site instead. The opportunity cost is the </w:t>
      </w:r>
      <w:r w:rsidRPr="009D048A">
        <w:rPr>
          <w:rFonts w:ascii="Times New Roman" w:hAnsi="Times New Roman" w:cs="Times New Roman"/>
          <w:i/>
          <w:iCs/>
          <w:sz w:val="21"/>
          <w:szCs w:val="21"/>
        </w:rPr>
        <w:t>difference</w:t>
      </w:r>
      <w:r w:rsidRPr="009D048A">
        <w:rPr>
          <w:rFonts w:ascii="Times New Roman" w:hAnsi="Times New Roman" w:cs="Times New Roman"/>
          <w:sz w:val="21"/>
          <w:szCs w:val="21"/>
        </w:rPr>
        <w:t xml:space="preserve"> between what they would have harvested at home versus what they harvest at the aggregation site (before accounting for communal processing benefits). - </w:t>
      </w:r>
      <w:r w:rsidRPr="009D048A">
        <w:rPr>
          <w:rFonts w:ascii="Times New Roman" w:hAnsi="Times New Roman" w:cs="Times New Roman"/>
          <w:b/>
          <w:bCs/>
          <w:sz w:val="21"/>
          <w:szCs w:val="21"/>
        </w:rPr>
        <w:t>Duration</w:t>
      </w:r>
      <w:r w:rsidRPr="009D048A">
        <w:rPr>
          <w:rFonts w:ascii="Times New Roman" w:hAnsi="Times New Roman" w:cs="Times New Roman"/>
          <w:sz w:val="21"/>
          <w:szCs w:val="21"/>
        </w:rPr>
        <w:t>: If aggregation lasts 4-6 weeks out of a 26-week productive season (April-October), bands spend roughly 15-23% of their productive season at the site. But because they are actively foraging and processing during aggregation, the true opportunity cost is only the marginal difference.</w:t>
      </w:r>
    </w:p>
    <w:p w14:paraId="27196FC2" w14:textId="77777777" w:rsidR="00506C35" w:rsidRPr="009D048A" w:rsidRDefault="00000000">
      <w:pPr>
        <w:pStyle w:val="Heading3"/>
        <w:rPr>
          <w:rFonts w:ascii="Times New Roman" w:hAnsi="Times New Roman" w:cs="Times New Roman"/>
          <w:sz w:val="22"/>
          <w:szCs w:val="22"/>
        </w:rPr>
      </w:pPr>
      <w:bookmarkStart w:id="35" w:name="the-independent-advantage-r_textind"/>
      <w:bookmarkEnd w:id="34"/>
      <w:r w:rsidRPr="009D048A">
        <w:rPr>
          <w:rFonts w:ascii="Times New Roman" w:hAnsi="Times New Roman" w:cs="Times New Roman"/>
          <w:sz w:val="22"/>
          <w:szCs w:val="22"/>
        </w:rPr>
        <w:t>6.4 The Independent Advantage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Times New Roman" w:hAnsi="Times New Roman" w:cs="Times New Roman"/>
                <w:sz w:val="22"/>
                <w:szCs w:val="22"/>
              </w:rPr>
              <m:t>ind</m:t>
            </m:r>
          </m:sub>
        </m:sSub>
      </m:oMath>
      <w:r w:rsidRPr="009D048A">
        <w:rPr>
          <w:rFonts w:ascii="Times New Roman" w:hAnsi="Times New Roman" w:cs="Times New Roman"/>
          <w:sz w:val="22"/>
          <w:szCs w:val="22"/>
        </w:rPr>
        <w:t>)</w:t>
      </w:r>
    </w:p>
    <w:p w14:paraId="15E131D5" w14:textId="77777777" w:rsidR="00506C35" w:rsidRPr="009D048A" w:rsidRDefault="00000000">
      <w:pPr>
        <w:pStyle w:val="FirstParagraph"/>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1.08</m:t>
        </m:r>
      </m:oMath>
      <w:r w:rsidRPr="009D048A">
        <w:rPr>
          <w:rFonts w:ascii="Times New Roman" w:hAnsi="Times New Roman" w:cs="Times New Roman"/>
          <w:sz w:val="21"/>
          <w:szCs w:val="21"/>
        </w:rPr>
        <w:t xml:space="preserve"> for Lamoka Lake. This means that in a perfectly stable environment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independents would have an 8% fitness advantage over aggregators. This advantage comes from:</w:t>
      </w:r>
    </w:p>
    <w:p w14:paraId="7B416F5F" w14:textId="77777777" w:rsidR="00506C35" w:rsidRPr="009D048A" w:rsidRDefault="00000000">
      <w:pPr>
        <w:pStyle w:val="Compact"/>
        <w:numPr>
          <w:ilvl w:val="0"/>
          <w:numId w:val="15"/>
        </w:numPr>
        <w:rPr>
          <w:rFonts w:ascii="Times New Roman" w:hAnsi="Times New Roman" w:cs="Times New Roman"/>
          <w:sz w:val="21"/>
          <w:szCs w:val="21"/>
        </w:rPr>
      </w:pPr>
      <w:r w:rsidRPr="009D048A">
        <w:rPr>
          <w:rFonts w:ascii="Times New Roman" w:hAnsi="Times New Roman" w:cs="Times New Roman"/>
          <w:sz w:val="21"/>
          <w:szCs w:val="21"/>
        </w:rPr>
        <w:t>No travel costs (save time and energy)</w:t>
      </w:r>
    </w:p>
    <w:p w14:paraId="185A9C28" w14:textId="77777777" w:rsidR="00506C35" w:rsidRPr="009D048A" w:rsidRDefault="00000000">
      <w:pPr>
        <w:pStyle w:val="Compact"/>
        <w:numPr>
          <w:ilvl w:val="0"/>
          <w:numId w:val="15"/>
        </w:numPr>
        <w:rPr>
          <w:rFonts w:ascii="Times New Roman" w:hAnsi="Times New Roman" w:cs="Times New Roman"/>
          <w:sz w:val="21"/>
          <w:szCs w:val="21"/>
        </w:rPr>
      </w:pPr>
      <w:r w:rsidRPr="009D048A">
        <w:rPr>
          <w:rFonts w:ascii="Times New Roman" w:hAnsi="Times New Roman" w:cs="Times New Roman"/>
          <w:sz w:val="21"/>
          <w:szCs w:val="21"/>
        </w:rPr>
        <w:t>No infrastructure investment (devote all labor to direct foraging)</w:t>
      </w:r>
    </w:p>
    <w:p w14:paraId="67255BC2" w14:textId="77777777" w:rsidR="00506C35" w:rsidRPr="009D048A" w:rsidRDefault="00000000">
      <w:pPr>
        <w:pStyle w:val="Compact"/>
        <w:numPr>
          <w:ilvl w:val="0"/>
          <w:numId w:val="15"/>
        </w:numPr>
        <w:rPr>
          <w:rFonts w:ascii="Times New Roman" w:hAnsi="Times New Roman" w:cs="Times New Roman"/>
          <w:sz w:val="21"/>
          <w:szCs w:val="21"/>
        </w:rPr>
      </w:pPr>
      <w:r w:rsidRPr="009D048A">
        <w:rPr>
          <w:rFonts w:ascii="Times New Roman" w:hAnsi="Times New Roman" w:cs="Times New Roman"/>
          <w:sz w:val="21"/>
          <w:szCs w:val="21"/>
        </w:rPr>
        <w:t>Full flexibility in foraging decisions (no obligation to be at a specific place at a specific time)</w:t>
      </w:r>
    </w:p>
    <w:p w14:paraId="1F3E084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An important subtlety: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w:r w:rsidRPr="009D048A">
        <w:rPr>
          <w:rFonts w:ascii="Times New Roman" w:hAnsi="Times New Roman" w:cs="Times New Roman"/>
          <w:sz w:val="21"/>
          <w:szCs w:val="21"/>
        </w:rPr>
        <w:t xml:space="preserve"> captures the advantage of independence </w:t>
      </w:r>
      <w:r w:rsidRPr="009D048A">
        <w:rPr>
          <w:rFonts w:ascii="Times New Roman" w:hAnsi="Times New Roman" w:cs="Times New Roman"/>
          <w:i/>
          <w:iCs/>
          <w:sz w:val="21"/>
          <w:szCs w:val="21"/>
        </w:rPr>
        <w:t>only in a hypothetical world with zero environmental variability</w:t>
      </w:r>
      <w:r w:rsidRPr="009D048A">
        <w:rPr>
          <w:rFonts w:ascii="Times New Roman" w:hAnsi="Times New Roman" w:cs="Times New Roman"/>
          <w:sz w:val="21"/>
          <w:szCs w:val="21"/>
        </w:rPr>
        <w:t xml:space="preserve">. It does not include winter hardship or resource shortfalls, those effects are captured separately by </w:t>
      </w:r>
      <m:oMath>
        <m:r>
          <w:rPr>
            <w:rFonts w:ascii="Cambria Math" w:hAnsi="Cambria Math" w:cs="Times New Roman"/>
            <w:sz w:val="21"/>
            <w:szCs w:val="21"/>
          </w:rPr>
          <m:t>β</m:t>
        </m:r>
      </m:oMath>
      <w:r w:rsidRPr="009D048A">
        <w:rPr>
          <w:rFonts w:ascii="Times New Roman" w:hAnsi="Times New Roman" w:cs="Times New Roman"/>
          <w:sz w:val="21"/>
          <w:szCs w:val="21"/>
        </w:rPr>
        <w:t xml:space="preserve"> and </w:t>
      </w:r>
      <m:oMath>
        <m:r>
          <w:rPr>
            <w:rFonts w:ascii="Cambria Math" w:hAnsi="Cambria Math" w:cs="Times New Roman"/>
            <w:sz w:val="21"/>
            <w:szCs w:val="21"/>
          </w:rPr>
          <m:t>σ</m:t>
        </m:r>
      </m:oMath>
      <w:r w:rsidRPr="009D048A">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w:r w:rsidRPr="009D048A">
        <w:rPr>
          <w:rFonts w:ascii="Times New Roman" w:hAnsi="Times New Roman" w:cs="Times New Roman"/>
          <w:sz w:val="21"/>
          <w:szCs w:val="21"/>
        </w:rPr>
        <w:t xml:space="preserve"> purely reflects the structural efficiency of not paying cooperation costs.</w:t>
      </w:r>
    </w:p>
    <w:p w14:paraId="29D06DB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Why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1.08</m:t>
        </m:r>
      </m:oMath>
      <w:r w:rsidRPr="009D048A">
        <w:rPr>
          <w:rFonts w:ascii="Times New Roman" w:hAnsi="Times New Roman" w:cs="Times New Roman"/>
          <w:sz w:val="21"/>
          <w:szCs w:val="21"/>
        </w:rPr>
        <w:t xml:space="preserve"> and not higher? The Finger Lakes region has relatively short growing seasons and cold winters that limit the total annual caloric budget available to any band, whether cooperating or not. In this context, the 30% cooperation cost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w:r w:rsidRPr="009D048A">
        <w:rPr>
          <w:rFonts w:ascii="Times New Roman" w:hAnsi="Times New Roman" w:cs="Times New Roman"/>
          <w:sz w:val="21"/>
          <w:szCs w:val="21"/>
        </w:rPr>
        <w:t xml:space="preserve">) represents a substantial fraction of the annual budget, but the </w:t>
      </w:r>
      <w:r w:rsidRPr="009D048A">
        <w:rPr>
          <w:rFonts w:ascii="Times New Roman" w:hAnsi="Times New Roman" w:cs="Times New Roman"/>
          <w:i/>
          <w:iCs/>
          <w:sz w:val="21"/>
          <w:szCs w:val="21"/>
        </w:rPr>
        <w:t>marginal</w:t>
      </w:r>
      <w:r w:rsidRPr="009D048A">
        <w:rPr>
          <w:rFonts w:ascii="Times New Roman" w:hAnsi="Times New Roman" w:cs="Times New Roman"/>
          <w:sz w:val="21"/>
          <w:szCs w:val="21"/>
        </w:rPr>
        <w:t xml:space="preserve"> advantage of avoiding that cost is limited because even independent bands must invest heavily in winter preparation (building shelters, caching food individually). The 8% advantage reflects the fact that independent bands save on cooperation costs but must substitute their own individual preparation efforts. Compare to Poverty Point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1.10</m:t>
        </m:r>
      </m:oMath>
      <w:r w:rsidRPr="009D048A">
        <w:rPr>
          <w:rFonts w:ascii="Times New Roman" w:hAnsi="Times New Roman" w:cs="Times New Roman"/>
          <w:sz w:val="21"/>
          <w:szCs w:val="21"/>
        </w:rPr>
        <w:t>), where the longer growing season and milder winters in the Lower Mississippi Valley provide independents with a slightly larger margin of advantage from avoiding cooperation costs (Kelly 2013).</w:t>
      </w:r>
    </w:p>
    <w:p w14:paraId="3C0E3B8F" w14:textId="77777777" w:rsidR="00506C35" w:rsidRPr="009D048A" w:rsidRDefault="00000000">
      <w:pPr>
        <w:pStyle w:val="Heading3"/>
        <w:rPr>
          <w:rFonts w:ascii="Times New Roman" w:hAnsi="Times New Roman" w:cs="Times New Roman"/>
          <w:sz w:val="22"/>
          <w:szCs w:val="22"/>
        </w:rPr>
      </w:pPr>
      <w:bookmarkStart w:id="36" w:name="summary-lamoka-lake-costs"/>
      <w:bookmarkEnd w:id="35"/>
      <w:r w:rsidRPr="009D048A">
        <w:rPr>
          <w:rFonts w:ascii="Times New Roman" w:hAnsi="Times New Roman" w:cs="Times New Roman"/>
          <w:sz w:val="22"/>
          <w:szCs w:val="22"/>
        </w:rPr>
        <w:lastRenderedPageBreak/>
        <w:t>6.5 Summary: Lamoka Lake Costs</w:t>
      </w:r>
    </w:p>
    <w:p w14:paraId="090F9F4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6.1. Cost decomposition across four case studies.</w:t>
      </w:r>
    </w:p>
    <w:tbl>
      <w:tblPr>
        <w:tblStyle w:val="Table"/>
        <w:tblW w:w="5000" w:type="pct"/>
        <w:tblLayout w:type="fixed"/>
        <w:tblLook w:val="0020" w:firstRow="1" w:lastRow="0" w:firstColumn="0" w:lastColumn="0" w:noHBand="0" w:noVBand="0"/>
      </w:tblPr>
      <w:tblGrid>
        <w:gridCol w:w="1572"/>
        <w:gridCol w:w="1430"/>
        <w:gridCol w:w="2000"/>
        <w:gridCol w:w="2144"/>
        <w:gridCol w:w="2430"/>
      </w:tblGrid>
      <w:tr w:rsidR="00506C35" w:rsidRPr="009D048A" w14:paraId="4A5E5179"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300" w:type="dxa"/>
          </w:tcPr>
          <w:p w14:paraId="375D9DA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Component</w:t>
            </w:r>
          </w:p>
        </w:tc>
        <w:tc>
          <w:tcPr>
            <w:tcW w:w="1182" w:type="dxa"/>
          </w:tcPr>
          <w:p w14:paraId="1D7651C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Rapa Nui</w:t>
            </w:r>
          </w:p>
        </w:tc>
        <w:tc>
          <w:tcPr>
            <w:tcW w:w="1654" w:type="dxa"/>
          </w:tcPr>
          <w:p w14:paraId="5F2D3DE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Chaco Canyon</w:t>
            </w:r>
          </w:p>
        </w:tc>
        <w:tc>
          <w:tcPr>
            <w:tcW w:w="1773" w:type="dxa"/>
          </w:tcPr>
          <w:p w14:paraId="65ABA5B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Poverty Point</w:t>
            </w:r>
          </w:p>
        </w:tc>
        <w:tc>
          <w:tcPr>
            <w:tcW w:w="2009" w:type="dxa"/>
          </w:tcPr>
          <w:p w14:paraId="0502756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Lamoka Lake</w:t>
            </w:r>
          </w:p>
        </w:tc>
      </w:tr>
      <w:tr w:rsidR="00506C35" w:rsidRPr="009D048A" w14:paraId="190A6FB5" w14:textId="77777777">
        <w:tc>
          <w:tcPr>
            <w:tcW w:w="1300" w:type="dxa"/>
          </w:tcPr>
          <w:p w14:paraId="1F686820"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oMath>
            </m:oMathPara>
          </w:p>
        </w:tc>
        <w:tc>
          <w:tcPr>
            <w:tcW w:w="1182" w:type="dxa"/>
          </w:tcPr>
          <w:p w14:paraId="036F4CF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w:t>
            </w:r>
          </w:p>
        </w:tc>
        <w:tc>
          <w:tcPr>
            <w:tcW w:w="1654" w:type="dxa"/>
          </w:tcPr>
          <w:p w14:paraId="5FE7B80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w:t>
            </w:r>
          </w:p>
        </w:tc>
        <w:tc>
          <w:tcPr>
            <w:tcW w:w="1773" w:type="dxa"/>
          </w:tcPr>
          <w:p w14:paraId="578BD5C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0.12</w:t>
            </w:r>
          </w:p>
        </w:tc>
        <w:tc>
          <w:tcPr>
            <w:tcW w:w="2009" w:type="dxa"/>
          </w:tcPr>
          <w:p w14:paraId="2A945EE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0.08</w:t>
            </w:r>
          </w:p>
        </w:tc>
      </w:tr>
      <w:tr w:rsidR="00506C35" w:rsidRPr="009D048A" w14:paraId="24DA40FB" w14:textId="77777777">
        <w:tc>
          <w:tcPr>
            <w:tcW w:w="1300" w:type="dxa"/>
          </w:tcPr>
          <w:p w14:paraId="406C42C7"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signal</m:t>
                    </m:r>
                  </m:sub>
                </m:sSub>
              </m:oMath>
            </m:oMathPara>
          </w:p>
        </w:tc>
        <w:tc>
          <w:tcPr>
            <w:tcW w:w="1182" w:type="dxa"/>
          </w:tcPr>
          <w:p w14:paraId="144AA5D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w:t>
            </w:r>
          </w:p>
        </w:tc>
        <w:tc>
          <w:tcPr>
            <w:tcW w:w="1654" w:type="dxa"/>
          </w:tcPr>
          <w:p w14:paraId="0EC8B88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w:t>
            </w:r>
          </w:p>
        </w:tc>
        <w:tc>
          <w:tcPr>
            <w:tcW w:w="1773" w:type="dxa"/>
          </w:tcPr>
          <w:p w14:paraId="455C700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0.18</w:t>
            </w:r>
          </w:p>
        </w:tc>
        <w:tc>
          <w:tcPr>
            <w:tcW w:w="2009" w:type="dxa"/>
          </w:tcPr>
          <w:p w14:paraId="0641C97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r>
      <w:tr w:rsidR="00506C35" w:rsidRPr="009D048A" w14:paraId="605650C1" w14:textId="77777777">
        <w:tc>
          <w:tcPr>
            <w:tcW w:w="1300" w:type="dxa"/>
          </w:tcPr>
          <w:p w14:paraId="63FBAEDB"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oMath>
            </m:oMathPara>
          </w:p>
        </w:tc>
        <w:tc>
          <w:tcPr>
            <w:tcW w:w="1182" w:type="dxa"/>
          </w:tcPr>
          <w:p w14:paraId="496FE0F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c>
          <w:tcPr>
            <w:tcW w:w="1654" w:type="dxa"/>
          </w:tcPr>
          <w:p w14:paraId="6415988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c>
          <w:tcPr>
            <w:tcW w:w="1773" w:type="dxa"/>
          </w:tcPr>
          <w:p w14:paraId="2B88589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c>
          <w:tcPr>
            <w:tcW w:w="2009" w:type="dxa"/>
          </w:tcPr>
          <w:p w14:paraId="28BC716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0.12</w:t>
            </w:r>
          </w:p>
        </w:tc>
      </w:tr>
      <w:tr w:rsidR="00506C35" w:rsidRPr="009D048A" w14:paraId="01D679A4" w14:textId="77777777">
        <w:tc>
          <w:tcPr>
            <w:tcW w:w="1300" w:type="dxa"/>
          </w:tcPr>
          <w:p w14:paraId="6A64F6FE"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opportunity</m:t>
                    </m:r>
                  </m:sub>
                </m:sSub>
              </m:oMath>
            </m:oMathPara>
          </w:p>
        </w:tc>
        <w:tc>
          <w:tcPr>
            <w:tcW w:w="1182" w:type="dxa"/>
          </w:tcPr>
          <w:p w14:paraId="3E646A4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w:t>
            </w:r>
          </w:p>
        </w:tc>
        <w:tc>
          <w:tcPr>
            <w:tcW w:w="1654" w:type="dxa"/>
          </w:tcPr>
          <w:p w14:paraId="2D4E173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c>
          <w:tcPr>
            <w:tcW w:w="1773" w:type="dxa"/>
          </w:tcPr>
          <w:p w14:paraId="27DE32C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0.12</w:t>
            </w:r>
          </w:p>
        </w:tc>
        <w:tc>
          <w:tcPr>
            <w:tcW w:w="2009" w:type="dxa"/>
          </w:tcPr>
          <w:p w14:paraId="124F28A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0.10</w:t>
            </w:r>
          </w:p>
        </w:tc>
      </w:tr>
      <w:tr w:rsidR="00506C35" w:rsidRPr="009D048A" w14:paraId="786B1EC7" w14:textId="77777777">
        <w:tc>
          <w:tcPr>
            <w:tcW w:w="1300" w:type="dxa"/>
          </w:tcPr>
          <w:p w14:paraId="1C053131"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m:oMathPara>
          </w:p>
        </w:tc>
        <w:tc>
          <w:tcPr>
            <w:tcW w:w="1182" w:type="dxa"/>
          </w:tcPr>
          <w:p w14:paraId="0E3CE98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0.35</w:t>
            </w:r>
          </w:p>
        </w:tc>
        <w:tc>
          <w:tcPr>
            <w:tcW w:w="1654" w:type="dxa"/>
          </w:tcPr>
          <w:p w14:paraId="51D726B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0.45</w:t>
            </w:r>
          </w:p>
        </w:tc>
        <w:tc>
          <w:tcPr>
            <w:tcW w:w="1773" w:type="dxa"/>
          </w:tcPr>
          <w:p w14:paraId="45F562C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0.42</w:t>
            </w:r>
          </w:p>
        </w:tc>
        <w:tc>
          <w:tcPr>
            <w:tcW w:w="2009" w:type="dxa"/>
          </w:tcPr>
          <w:p w14:paraId="71DAF80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0.30</w:t>
            </w:r>
          </w:p>
        </w:tc>
      </w:tr>
      <w:tr w:rsidR="00506C35" w:rsidRPr="009D048A" w14:paraId="5F6469B0" w14:textId="77777777">
        <w:tc>
          <w:tcPr>
            <w:tcW w:w="1300" w:type="dxa"/>
          </w:tcPr>
          <w:p w14:paraId="4088B580"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m:oMathPara>
          </w:p>
        </w:tc>
        <w:tc>
          <w:tcPr>
            <w:tcW w:w="1182" w:type="dxa"/>
          </w:tcPr>
          <w:p w14:paraId="57A7B70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1.00</w:t>
            </w:r>
          </w:p>
        </w:tc>
        <w:tc>
          <w:tcPr>
            <w:tcW w:w="1654" w:type="dxa"/>
          </w:tcPr>
          <w:p w14:paraId="58267FD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1.10</w:t>
            </w:r>
          </w:p>
        </w:tc>
        <w:tc>
          <w:tcPr>
            <w:tcW w:w="1773" w:type="dxa"/>
          </w:tcPr>
          <w:p w14:paraId="5802EFD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1.10</w:t>
            </w:r>
          </w:p>
        </w:tc>
        <w:tc>
          <w:tcPr>
            <w:tcW w:w="2009" w:type="dxa"/>
          </w:tcPr>
          <w:p w14:paraId="03B8B0D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1.08</w:t>
            </w:r>
          </w:p>
        </w:tc>
      </w:tr>
    </w:tbl>
    <w:p w14:paraId="2A37796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Note the key distinction: at Lamoka Lake, there is no signal cost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signal</m:t>
            </m:r>
          </m:sub>
        </m:sSub>
      </m:oMath>
      <w:r w:rsidRPr="009D048A">
        <w:rPr>
          <w:rFonts w:ascii="Times New Roman" w:hAnsi="Times New Roman" w:cs="Times New Roman"/>
          <w:sz w:val="21"/>
          <w:szCs w:val="21"/>
        </w:rPr>
        <w:t>) because the infrastructure is utilitarian. It is replaced by the lower infrastructure cost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r>
          <m:rPr>
            <m:sty m:val="p"/>
          </m:rPr>
          <w:rPr>
            <w:rFonts w:ascii="Cambria Math" w:hAnsi="Cambria Math" w:cs="Times New Roman"/>
            <w:sz w:val="21"/>
            <w:szCs w:val="21"/>
          </w:rPr>
          <m:t>=</m:t>
        </m:r>
        <m:r>
          <w:rPr>
            <w:rFonts w:ascii="Cambria Math" w:hAnsi="Cambria Math" w:cs="Times New Roman"/>
            <w:sz w:val="21"/>
            <w:szCs w:val="21"/>
          </w:rPr>
          <m:t>0.12</m:t>
        </m:r>
      </m:oMath>
      <w:r w:rsidRPr="009D048A">
        <w:rPr>
          <w:rFonts w:ascii="Times New Roman" w:hAnsi="Times New Roman" w:cs="Times New Roman"/>
          <w:sz w:val="21"/>
          <w:szCs w:val="21"/>
        </w:rPr>
        <w:t>). This makes Lamoka Lake’s total cost (0.30) the lowest of all four case studies, which is one reason its threshold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is also the lowest.</w:t>
      </w:r>
    </w:p>
    <w:p w14:paraId="2D383C0E"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11E62DC3">
          <v:rect id="_x0000_i1042" alt="" style="width:468pt;height:.05pt;mso-width-percent:0;mso-height-percent:0;mso-width-percent:0;mso-height-percent:0" o:hralign="center" o:hrstd="t" o:hr="t"/>
        </w:pict>
      </w:r>
    </w:p>
    <w:p w14:paraId="6164B94E" w14:textId="77777777" w:rsidR="00506C35" w:rsidRPr="009D048A" w:rsidRDefault="00000000">
      <w:pPr>
        <w:pStyle w:val="Heading2"/>
        <w:rPr>
          <w:rFonts w:ascii="Times New Roman" w:hAnsi="Times New Roman" w:cs="Times New Roman"/>
          <w:sz w:val="24"/>
          <w:szCs w:val="24"/>
        </w:rPr>
      </w:pPr>
      <w:bookmarkStart w:id="37" w:name="the-tipping-point-deriving-sigma"/>
      <w:bookmarkEnd w:id="31"/>
      <w:bookmarkEnd w:id="36"/>
      <w:r w:rsidRPr="009D048A">
        <w:rPr>
          <w:rFonts w:ascii="Times New Roman" w:hAnsi="Times New Roman" w:cs="Times New Roman"/>
          <w:sz w:val="24"/>
          <w:szCs w:val="24"/>
        </w:rPr>
        <w:t xml:space="preserve">7. The Tipping Point: Deriving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m:t>
            </m:r>
          </m:sup>
        </m:sSup>
      </m:oMath>
    </w:p>
    <w:p w14:paraId="7025C577" w14:textId="77777777" w:rsidR="00506C35" w:rsidRPr="009D048A" w:rsidRDefault="00000000">
      <w:pPr>
        <w:pStyle w:val="Heading3"/>
        <w:rPr>
          <w:rFonts w:ascii="Times New Roman" w:hAnsi="Times New Roman" w:cs="Times New Roman"/>
          <w:sz w:val="22"/>
          <w:szCs w:val="22"/>
        </w:rPr>
      </w:pPr>
      <w:bookmarkStart w:id="38" w:name="what-we-are-adding-and-why-3"/>
      <w:r w:rsidRPr="009D048A">
        <w:rPr>
          <w:rFonts w:ascii="Times New Roman" w:hAnsi="Times New Roman" w:cs="Times New Roman"/>
          <w:sz w:val="22"/>
          <w:szCs w:val="22"/>
        </w:rPr>
        <w:t>7.1 What We Are Adding and Why</w:t>
      </w:r>
    </w:p>
    <w:p w14:paraId="7415682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We now have all the pieces needed to calculate the tipping point. We have:</w:t>
      </w:r>
    </w:p>
    <w:p w14:paraId="74499F05" w14:textId="77777777" w:rsidR="00506C35" w:rsidRPr="009D048A" w:rsidRDefault="00000000">
      <w:pPr>
        <w:pStyle w:val="Compact"/>
        <w:numPr>
          <w:ilvl w:val="0"/>
          <w:numId w:val="16"/>
        </w:numPr>
        <w:rPr>
          <w:rFonts w:ascii="Times New Roman" w:hAnsi="Times New Roman" w:cs="Times New Roman"/>
          <w:sz w:val="21"/>
          <w:szCs w:val="21"/>
        </w:rPr>
      </w:pPr>
      <w:r w:rsidRPr="009D048A">
        <w:rPr>
          <w:rFonts w:ascii="Times New Roman" w:hAnsi="Times New Roman" w:cs="Times New Roman"/>
          <w:sz w:val="21"/>
          <w:szCs w:val="21"/>
        </w:rPr>
        <w:t>Aggregator fitness that depends on costs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w:r w:rsidRPr="009D048A">
        <w:rPr>
          <w:rFonts w:ascii="Times New Roman" w:hAnsi="Times New Roman" w:cs="Times New Roman"/>
          <w:sz w:val="21"/>
          <w:szCs w:val="21"/>
        </w:rPr>
        <w:t>) and vulnerability (</w:t>
      </w:r>
      <m:oMath>
        <m:r>
          <w:rPr>
            <w:rFonts w:ascii="Cambria Math" w:hAnsi="Cambria Math" w:cs="Times New Roman"/>
            <w:sz w:val="21"/>
            <w:szCs w:val="21"/>
          </w:rPr>
          <m:t>α</m:t>
        </m:r>
      </m:oMath>
      <w:r w:rsidRPr="009D048A">
        <w:rPr>
          <w:rFonts w:ascii="Times New Roman" w:hAnsi="Times New Roman" w:cs="Times New Roman"/>
          <w:sz w:val="21"/>
          <w:szCs w:val="21"/>
        </w:rPr>
        <w:t>)</w:t>
      </w:r>
    </w:p>
    <w:p w14:paraId="47667096" w14:textId="77777777" w:rsidR="00506C35" w:rsidRPr="009D048A" w:rsidRDefault="00000000">
      <w:pPr>
        <w:pStyle w:val="Compact"/>
        <w:numPr>
          <w:ilvl w:val="0"/>
          <w:numId w:val="16"/>
        </w:numPr>
        <w:rPr>
          <w:rFonts w:ascii="Times New Roman" w:hAnsi="Times New Roman" w:cs="Times New Roman"/>
          <w:sz w:val="21"/>
          <w:szCs w:val="21"/>
        </w:rPr>
      </w:pPr>
      <w:r w:rsidRPr="009D048A">
        <w:rPr>
          <w:rFonts w:ascii="Times New Roman" w:hAnsi="Times New Roman" w:cs="Times New Roman"/>
          <w:sz w:val="21"/>
          <w:szCs w:val="21"/>
        </w:rPr>
        <w:t>Independent fitness that depends on reproductive advantage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w:r w:rsidRPr="009D048A">
        <w:rPr>
          <w:rFonts w:ascii="Times New Roman" w:hAnsi="Times New Roman" w:cs="Times New Roman"/>
          <w:sz w:val="21"/>
          <w:szCs w:val="21"/>
        </w:rPr>
        <w:t>) and vulnerability (</w:t>
      </w:r>
      <m:oMath>
        <m:r>
          <w:rPr>
            <w:rFonts w:ascii="Cambria Math" w:hAnsi="Cambria Math" w:cs="Times New Roman"/>
            <w:sz w:val="21"/>
            <w:szCs w:val="21"/>
          </w:rPr>
          <m:t>β</m:t>
        </m:r>
      </m:oMath>
      <w:r w:rsidRPr="009D048A">
        <w:rPr>
          <w:rFonts w:ascii="Times New Roman" w:hAnsi="Times New Roman" w:cs="Times New Roman"/>
          <w:sz w:val="21"/>
          <w:szCs w:val="21"/>
        </w:rPr>
        <w:t>)</w:t>
      </w:r>
    </w:p>
    <w:p w14:paraId="3FFA0861" w14:textId="77777777" w:rsidR="00506C35" w:rsidRPr="009D048A" w:rsidRDefault="00000000">
      <w:pPr>
        <w:pStyle w:val="Compact"/>
        <w:numPr>
          <w:ilvl w:val="0"/>
          <w:numId w:val="16"/>
        </w:numPr>
        <w:rPr>
          <w:rFonts w:ascii="Times New Roman" w:hAnsi="Times New Roman" w:cs="Times New Roman"/>
          <w:sz w:val="21"/>
          <w:szCs w:val="21"/>
        </w:rPr>
      </w:pPr>
      <w:r w:rsidRPr="009D048A">
        <w:rPr>
          <w:rFonts w:ascii="Times New Roman" w:hAnsi="Times New Roman" w:cs="Times New Roman"/>
          <w:sz w:val="21"/>
          <w:szCs w:val="21"/>
        </w:rPr>
        <w:t>Both fitness functions depending on environmental uncertainty (</w:t>
      </w:r>
      <m:oMath>
        <m:r>
          <w:rPr>
            <w:rFonts w:ascii="Cambria Math" w:hAnsi="Cambria Math" w:cs="Times New Roman"/>
            <w:sz w:val="21"/>
            <w:szCs w:val="21"/>
          </w:rPr>
          <m:t>σ</m:t>
        </m:r>
      </m:oMath>
      <w:r w:rsidRPr="009D048A">
        <w:rPr>
          <w:rFonts w:ascii="Times New Roman" w:hAnsi="Times New Roman" w:cs="Times New Roman"/>
          <w:sz w:val="21"/>
          <w:szCs w:val="21"/>
        </w:rPr>
        <w:t>)</w:t>
      </w:r>
    </w:p>
    <w:p w14:paraId="76203B9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tipping point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is the value of </w:t>
      </w:r>
      <m:oMath>
        <m:r>
          <w:rPr>
            <w:rFonts w:ascii="Cambria Math" w:hAnsi="Cambria Math" w:cs="Times New Roman"/>
            <w:sz w:val="21"/>
            <w:szCs w:val="21"/>
          </w:rPr>
          <m:t>σ</m:t>
        </m:r>
      </m:oMath>
      <w:r w:rsidRPr="009D048A">
        <w:rPr>
          <w:rFonts w:ascii="Times New Roman" w:hAnsi="Times New Roman" w:cs="Times New Roman"/>
          <w:sz w:val="21"/>
          <w:szCs w:val="21"/>
        </w:rPr>
        <w:t xml:space="preserve"> where both strategies yield exactly equal fitness. Below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independents do better. Above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aggregators do better.</w:t>
      </w:r>
    </w:p>
    <w:p w14:paraId="4D9A0AB5" w14:textId="77777777" w:rsidR="00506C35" w:rsidRPr="009D048A" w:rsidRDefault="00000000">
      <w:pPr>
        <w:pStyle w:val="Heading3"/>
        <w:rPr>
          <w:rFonts w:ascii="Times New Roman" w:hAnsi="Times New Roman" w:cs="Times New Roman"/>
          <w:sz w:val="22"/>
          <w:szCs w:val="22"/>
        </w:rPr>
      </w:pPr>
      <w:bookmarkStart w:id="39" w:name="the-algebra-step-by-step"/>
      <w:bookmarkEnd w:id="38"/>
      <w:r w:rsidRPr="009D048A">
        <w:rPr>
          <w:rFonts w:ascii="Times New Roman" w:hAnsi="Times New Roman" w:cs="Times New Roman"/>
          <w:sz w:val="22"/>
          <w:szCs w:val="22"/>
        </w:rPr>
        <w:t>7.2 The Algebra, Step by Step</w:t>
      </w:r>
    </w:p>
    <w:p w14:paraId="2999A44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We will work through this slowly. Each step does one thing.</w:t>
      </w:r>
    </w:p>
    <w:p w14:paraId="064058E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Step 1: Write the two fitness functions.</w:t>
      </w:r>
    </w:p>
    <w:p w14:paraId="6D9EEA8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For now, we use the simplified versions (without ecotone advantage, cooperation returns, or reciprocal benefits, which we will add in Sections 8-10). The core fitness functions are:</w:t>
      </w:r>
    </w:p>
    <w:p w14:paraId="04985D18"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64381498" w14:textId="77777777" w:rsidR="00506C35" w:rsidRPr="009D048A" w:rsidRDefault="00000000">
      <w:pPr>
        <w:pStyle w:val="FirstParagraph"/>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567AF1DF" w14:textId="77777777" w:rsidR="00506C35" w:rsidRPr="009D048A" w:rsidRDefault="00000000">
      <w:pPr>
        <w:pStyle w:val="FirstParagraph"/>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oMath>
      <w:r w:rsidRPr="009D048A">
        <w:rPr>
          <w:rFonts w:ascii="Times New Roman" w:hAnsi="Times New Roman" w:cs="Times New Roman"/>
          <w:sz w:val="21"/>
          <w:szCs w:val="21"/>
        </w:rPr>
        <w:t xml:space="preserve"> says: aggregator fitness equals baseline productivity after paying costs, times the probability of surviving environmental stress.</w:t>
      </w:r>
    </w:p>
    <w:p w14:paraId="459DCC02" w14:textId="77777777" w:rsidR="00506C35" w:rsidRPr="009D048A" w:rsidRDefault="00000000">
      <w:pPr>
        <w:pStyle w:val="BodyText"/>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oMath>
      <w:r w:rsidRPr="009D048A">
        <w:rPr>
          <w:rFonts w:ascii="Times New Roman" w:hAnsi="Times New Roman" w:cs="Times New Roman"/>
          <w:sz w:val="21"/>
          <w:szCs w:val="21"/>
        </w:rPr>
        <w:t xml:space="preserve"> says: independent fitness equals the reproductive advantage of independence, times the probability of surviving environmental stress (at higher vulnerability).</w:t>
      </w:r>
    </w:p>
    <w:p w14:paraId="51A833F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Step 2: Set them equal at the tipping point.</w:t>
      </w:r>
    </w:p>
    <w:p w14:paraId="3CDDFF9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At </w:t>
      </w:r>
      <m:oMath>
        <m:r>
          <w:rPr>
            <w:rFonts w:ascii="Cambria Math" w:hAnsi="Cambria Math" w:cs="Times New Roman"/>
            <w:sz w:val="21"/>
            <w:szCs w:val="21"/>
          </w:rPr>
          <m:t>σ</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both strategies yield the same fitness:</w:t>
      </w:r>
    </w:p>
    <w:p w14:paraId="2BA2350B"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oMath>
      </m:oMathPara>
    </w:p>
    <w:p w14:paraId="08D9B8E5" w14:textId="77777777" w:rsidR="00506C35" w:rsidRPr="009D048A" w:rsidRDefault="00000000">
      <w:pPr>
        <w:pStyle w:val="FirstParagraph"/>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oMath>
      </m:oMathPara>
    </w:p>
    <w:p w14:paraId="2396F12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Step 3: Expand both sides.</w:t>
      </w:r>
    </w:p>
    <w:p w14:paraId="70AD1A7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Multiply out the left side:</w:t>
      </w:r>
    </w:p>
    <w:p w14:paraId="3BDDFA4A" w14:textId="77777777" w:rsidR="00506C35" w:rsidRPr="009D048A" w:rsidRDefault="00000000">
      <w:pPr>
        <w:pStyle w:val="BodyText"/>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4DD7AA4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Multiply out the right side:</w:t>
      </w:r>
    </w:p>
    <w:p w14:paraId="65ACEF0A"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365B2CC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So:</w:t>
      </w:r>
    </w:p>
    <w:p w14:paraId="62D16F1C" w14:textId="77777777" w:rsidR="00506C35" w:rsidRPr="009D048A" w:rsidRDefault="00000000">
      <w:pPr>
        <w:pStyle w:val="BodyText"/>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w:rPr>
              <w:rFonts w:ascii="Cambria Math" w:hAnsi="Cambria Math" w:cs="Times New Roman"/>
              <w:sz w:val="21"/>
              <w:szCs w:val="21"/>
            </w:rPr>
            <m:t>β</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17A0747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 xml:space="preserve">Step 4: Collect all terms with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 xml:space="preserve"> on one side.</w:t>
      </w:r>
    </w:p>
    <w:p w14:paraId="019FE2C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Move all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terms to the left and all constants to the right:</w:t>
      </w:r>
    </w:p>
    <w:p w14:paraId="6DCBA9F5"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w:rPr>
              <w:rFonts w:ascii="Cambria Math" w:hAnsi="Cambria Math" w:cs="Times New Roman"/>
              <w:sz w:val="21"/>
              <w:szCs w:val="21"/>
            </w:rPr>
            <m:t>β</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m:oMathPara>
    </w:p>
    <w:p w14:paraId="394408A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 xml:space="preserve">Step 5: Factor out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w:t>
      </w:r>
    </w:p>
    <w:p w14:paraId="020CBC39" w14:textId="77777777" w:rsidR="00506C35" w:rsidRPr="009D048A" w:rsidRDefault="00000000">
      <w:pPr>
        <w:pStyle w:val="BodyText"/>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m:oMathPara>
    </w:p>
    <w:p w14:paraId="3D9D8A1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 xml:space="preserve">Step 6: Divide both sides to isolate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w:t>
      </w:r>
    </w:p>
    <w:p w14:paraId="5FC81EE0" w14:textId="77777777" w:rsidR="00506C35" w:rsidRPr="009D048A" w:rsidRDefault="00000000">
      <w:pPr>
        <w:pStyle w:val="BodyText"/>
        <w:rPr>
          <w:rFonts w:ascii="Times New Roman" w:hAnsi="Times New Roman" w:cs="Times New Roman"/>
          <w:sz w:val="21"/>
          <w:szCs w:val="21"/>
        </w:rPr>
      </w:pPr>
      <m:oMathPara>
        <m:oMathParaPr>
          <m:jc m:val="center"/>
        </m:oMathParaPr>
        <m:oMath>
          <m:borderBox>
            <m:borderBoxPr>
              <m:ctrlPr>
                <w:rPr>
                  <w:rFonts w:ascii="Cambria Math" w:hAnsi="Cambria Math" w:cs="Times New Roman"/>
                  <w:sz w:val="21"/>
                  <w:szCs w:val="21"/>
                </w:rPr>
              </m:ctrlPr>
            </m:borderBoxPr>
            <m:e>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num>
                <m:den>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den>
              </m:f>
            </m:e>
          </m:borderBox>
        </m:oMath>
      </m:oMathPara>
    </w:p>
    <w:p w14:paraId="1B556BE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That is the critical threshold equation. Every quantity in it has a concrete interpretation:</w:t>
      </w:r>
    </w:p>
    <w:p w14:paraId="3718CE9D" w14:textId="77777777" w:rsidR="00506C35" w:rsidRPr="009D048A" w:rsidRDefault="00000000">
      <w:pPr>
        <w:pStyle w:val="Compact"/>
        <w:numPr>
          <w:ilvl w:val="0"/>
          <w:numId w:val="17"/>
        </w:numPr>
        <w:rPr>
          <w:rFonts w:ascii="Times New Roman" w:hAnsi="Times New Roman" w:cs="Times New Roman"/>
          <w:sz w:val="21"/>
          <w:szCs w:val="21"/>
        </w:rPr>
      </w:pPr>
      <w:r w:rsidRPr="009D048A">
        <w:rPr>
          <w:rFonts w:ascii="Times New Roman" w:hAnsi="Times New Roman" w:cs="Times New Roman"/>
          <w:b/>
          <w:bCs/>
          <w:sz w:val="21"/>
          <w:szCs w:val="21"/>
        </w:rPr>
        <w:t>Numerator</w:t>
      </w:r>
      <w:r w:rsidRPr="009D048A">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the fitness gap between strategies in a perfectly stable environment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xml:space="preserve">). Since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&gt;(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when cooperation is costly, the numerator is positive. This is the “handicap” that aggregation starts with.</w:t>
      </w:r>
    </w:p>
    <w:p w14:paraId="4DBB2D22" w14:textId="77777777" w:rsidR="00506C35" w:rsidRPr="009D048A" w:rsidRDefault="00000000">
      <w:pPr>
        <w:pStyle w:val="Compact"/>
        <w:numPr>
          <w:ilvl w:val="0"/>
          <w:numId w:val="17"/>
        </w:numPr>
        <w:rPr>
          <w:rFonts w:ascii="Times New Roman" w:hAnsi="Times New Roman" w:cs="Times New Roman"/>
          <w:sz w:val="21"/>
          <w:szCs w:val="21"/>
        </w:rPr>
      </w:pPr>
      <w:r w:rsidRPr="009D048A">
        <w:rPr>
          <w:rFonts w:ascii="Times New Roman" w:hAnsi="Times New Roman" w:cs="Times New Roman"/>
          <w:b/>
          <w:bCs/>
          <w:sz w:val="21"/>
          <w:szCs w:val="21"/>
        </w:rPr>
        <w:t>Denominator</w:t>
      </w:r>
      <w:r w:rsidRPr="009D048A">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α</m:t>
        </m:r>
      </m:oMath>
      <w:r w:rsidRPr="009D048A">
        <w:rPr>
          <w:rFonts w:ascii="Times New Roman" w:hAnsi="Times New Roman" w:cs="Times New Roman"/>
          <w:sz w:val="21"/>
          <w:szCs w:val="21"/>
        </w:rPr>
        <w:t xml:space="preserve">: the rate at which increasing uncertainty closes the gap. Since </w:t>
      </w:r>
      <m:oMath>
        <m:r>
          <w:rPr>
            <w:rFonts w:ascii="Cambria Math" w:hAnsi="Cambria Math" w:cs="Times New Roman"/>
            <w:sz w:val="21"/>
            <w:szCs w:val="21"/>
          </w:rPr>
          <m:t>β</m:t>
        </m:r>
        <m:r>
          <m:rPr>
            <m:sty m:val="p"/>
          </m:rPr>
          <w:rPr>
            <w:rFonts w:ascii="Cambria Math" w:hAnsi="Cambria Math" w:cs="Times New Roman"/>
            <w:sz w:val="21"/>
            <w:szCs w:val="21"/>
          </w:rPr>
          <m:t>&gt;</m:t>
        </m:r>
        <m:r>
          <w:rPr>
            <w:rFonts w:ascii="Cambria Math" w:hAnsi="Cambria Math" w:cs="Times New Roman"/>
            <w:sz w:val="21"/>
            <w:szCs w:val="21"/>
          </w:rPr>
          <m:t>α</m:t>
        </m:r>
      </m:oMath>
      <w:r w:rsidRPr="009D048A">
        <w:rPr>
          <w:rFonts w:ascii="Times New Roman" w:hAnsi="Times New Roman" w:cs="Times New Roman"/>
          <w:sz w:val="21"/>
          <w:szCs w:val="21"/>
        </w:rPr>
        <w:t xml:space="preserve">, the independent strategy loses fitness </w:t>
      </w:r>
      <w:r w:rsidRPr="009D048A">
        <w:rPr>
          <w:rFonts w:ascii="Times New Roman" w:hAnsi="Times New Roman" w:cs="Times New Roman"/>
          <w:i/>
          <w:iCs/>
          <w:sz w:val="21"/>
          <w:szCs w:val="21"/>
        </w:rPr>
        <w:t>faster</w:t>
      </w:r>
      <w:r w:rsidRPr="009D048A">
        <w:rPr>
          <w:rFonts w:ascii="Times New Roman" w:hAnsi="Times New Roman" w:cs="Times New Roman"/>
          <w:sz w:val="21"/>
          <w:szCs w:val="21"/>
        </w:rPr>
        <w:t xml:space="preserve"> as uncertainty increases. The denominator is how quickly that faster loss catches up.</w:t>
      </w:r>
    </w:p>
    <w:p w14:paraId="20BF51D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In words: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is the ratio of “how much worse aggregation starts out” to “how much faster independence declines with increasing uncertainty.”</w:t>
      </w:r>
    </w:p>
    <w:p w14:paraId="66B43CF6" w14:textId="77777777" w:rsidR="00506C35" w:rsidRPr="009D048A" w:rsidRDefault="00000000">
      <w:pPr>
        <w:pStyle w:val="Heading3"/>
        <w:rPr>
          <w:rFonts w:ascii="Times New Roman" w:hAnsi="Times New Roman" w:cs="Times New Roman"/>
          <w:sz w:val="22"/>
          <w:szCs w:val="22"/>
        </w:rPr>
      </w:pPr>
      <w:bookmarkStart w:id="40" w:name="Xb77bec5678115ec7cf67e780fe4ef924cfa5d71"/>
      <w:bookmarkEnd w:id="39"/>
      <w:r w:rsidRPr="009D048A">
        <w:rPr>
          <w:rFonts w:ascii="Times New Roman" w:hAnsi="Times New Roman" w:cs="Times New Roman"/>
          <w:sz w:val="22"/>
          <w:szCs w:val="22"/>
        </w:rPr>
        <w:t>7.3 Plugging in Lamoka Lake Numbers (Simplified)</w:t>
      </w:r>
    </w:p>
    <w:p w14:paraId="2B93939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Using just the basic parameters (before adding ecotone, cooperation returns, etc.):</w:t>
      </w:r>
    </w:p>
    <w:p w14:paraId="5792DD9A" w14:textId="77777777" w:rsidR="00506C35" w:rsidRPr="009D048A" w:rsidRDefault="00000000">
      <w:pPr>
        <w:pStyle w:val="Compact"/>
        <w:numPr>
          <w:ilvl w:val="0"/>
          <w:numId w:val="18"/>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xml:space="preserve">, so </w:t>
      </w: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0.70</m:t>
        </m:r>
      </m:oMath>
    </w:p>
    <w:p w14:paraId="384C488B" w14:textId="77777777" w:rsidR="00506C35" w:rsidRPr="009D048A" w:rsidRDefault="00000000">
      <w:pPr>
        <w:pStyle w:val="Compact"/>
        <w:numPr>
          <w:ilvl w:val="0"/>
          <w:numId w:val="18"/>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1.08</m:t>
        </m:r>
      </m:oMath>
    </w:p>
    <w:p w14:paraId="6187D00A" w14:textId="77777777" w:rsidR="00506C35" w:rsidRPr="009D048A" w:rsidRDefault="00000000">
      <w:pPr>
        <w:pStyle w:val="Compact"/>
        <w:numPr>
          <w:ilvl w:val="0"/>
          <w:numId w:val="18"/>
        </w:numPr>
        <w:rPr>
          <w:rFonts w:ascii="Times New Roman" w:hAnsi="Times New Roman" w:cs="Times New Roman"/>
          <w:sz w:val="21"/>
          <w:szCs w:val="21"/>
        </w:rPr>
      </w:pP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0.35</m:t>
        </m:r>
      </m:oMath>
    </w:p>
    <w:p w14:paraId="3244FDC7" w14:textId="77777777" w:rsidR="00506C35" w:rsidRPr="009D048A" w:rsidRDefault="00000000">
      <w:pPr>
        <w:pStyle w:val="Compact"/>
        <w:numPr>
          <w:ilvl w:val="0"/>
          <w:numId w:val="18"/>
        </w:numPr>
        <w:rPr>
          <w:rFonts w:ascii="Times New Roman" w:hAnsi="Times New Roman" w:cs="Times New Roman"/>
          <w:sz w:val="21"/>
          <w:szCs w:val="21"/>
        </w:rPr>
      </w:pP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0.70</m:t>
        </m:r>
      </m:oMath>
    </w:p>
    <w:p w14:paraId="1BC89596" w14:textId="77777777" w:rsidR="00506C35" w:rsidRPr="009D048A" w:rsidRDefault="00000000">
      <w:pPr>
        <w:pStyle w:val="FirstParagraph"/>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num>
            <m:den>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0.35</m:t>
              </m:r>
            </m:den>
          </m:f>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0.38</m:t>
              </m:r>
            </m:num>
            <m:den>
              <m:r>
                <w:rPr>
                  <w:rFonts w:ascii="Cambria Math" w:hAnsi="Cambria Math" w:cs="Times New Roman"/>
                  <w:sz w:val="21"/>
                  <w:szCs w:val="21"/>
                </w:rPr>
                <m:t>0.756</m:t>
              </m:r>
              <m:r>
                <m:rPr>
                  <m:sty m:val="p"/>
                </m:rPr>
                <w:rPr>
                  <w:rFonts w:ascii="Cambria Math" w:hAnsi="Cambria Math" w:cs="Times New Roman"/>
                  <w:sz w:val="21"/>
                  <w:szCs w:val="21"/>
                </w:rPr>
                <m:t>-</m:t>
              </m:r>
              <m:r>
                <w:rPr>
                  <w:rFonts w:ascii="Cambria Math" w:hAnsi="Cambria Math" w:cs="Times New Roman"/>
                  <w:sz w:val="21"/>
                  <w:szCs w:val="21"/>
                </w:rPr>
                <m:t>0.245</m:t>
              </m:r>
            </m:den>
          </m:f>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0.38</m:t>
              </m:r>
            </m:num>
            <m:den>
              <m:r>
                <w:rPr>
                  <w:rFonts w:ascii="Cambria Math" w:hAnsi="Cambria Math" w:cs="Times New Roman"/>
                  <w:sz w:val="21"/>
                  <w:szCs w:val="21"/>
                </w:rPr>
                <m:t>0.511</m:t>
              </m:r>
            </m:den>
          </m:f>
          <m:r>
            <m:rPr>
              <m:sty m:val="p"/>
            </m:rPr>
            <w:rPr>
              <w:rFonts w:ascii="Cambria Math" w:hAnsi="Cambria Math" w:cs="Times New Roman"/>
              <w:sz w:val="21"/>
              <w:szCs w:val="21"/>
            </w:rPr>
            <m:t>≈</m:t>
          </m:r>
          <m:r>
            <w:rPr>
              <w:rFonts w:ascii="Cambria Math" w:hAnsi="Cambria Math" w:cs="Times New Roman"/>
              <w:sz w:val="21"/>
              <w:szCs w:val="21"/>
            </w:rPr>
            <m:t>0.744</m:t>
          </m:r>
        </m:oMath>
      </m:oMathPara>
    </w:p>
    <w:p w14:paraId="791F4A3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lastRenderedPageBreak/>
        <w:t xml:space="preserve">This simplified threshold is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0.74</m:t>
        </m:r>
      </m:oMath>
      <w:r w:rsidRPr="009D048A">
        <w:rPr>
          <w:rFonts w:ascii="Times New Roman" w:hAnsi="Times New Roman" w:cs="Times New Roman"/>
          <w:sz w:val="21"/>
          <w:szCs w:val="21"/>
        </w:rPr>
        <w:t xml:space="preserve">, which is unrealistically high. At this threshold, aggregation would almost never be observed because the required environmental variability approaches the upper limit of what humans can tolerate. This tells us something important: </w:t>
      </w:r>
      <w:r w:rsidRPr="009D048A">
        <w:rPr>
          <w:rFonts w:ascii="Times New Roman" w:hAnsi="Times New Roman" w:cs="Times New Roman"/>
          <w:i/>
          <w:iCs/>
          <w:sz w:val="21"/>
          <w:szCs w:val="21"/>
        </w:rPr>
        <w:t>the basic model is not enough for aggregation systems</w:t>
      </w:r>
      <w:r w:rsidRPr="009D048A">
        <w:rPr>
          <w:rFonts w:ascii="Times New Roman" w:hAnsi="Times New Roman" w:cs="Times New Roman"/>
          <w:sz w:val="21"/>
          <w:szCs w:val="21"/>
        </w:rPr>
        <w:t>. We need the ecotone advantage, cooperation returns, and reciprocal benefits (Sections 8-10) to bring the threshold down to the observed range.</w:t>
      </w:r>
    </w:p>
    <w:p w14:paraId="407039EA" w14:textId="77777777" w:rsidR="00506C35" w:rsidRPr="009D048A" w:rsidRDefault="00000000">
      <w:pPr>
        <w:pStyle w:val="Heading3"/>
        <w:rPr>
          <w:rFonts w:ascii="Times New Roman" w:hAnsi="Times New Roman" w:cs="Times New Roman"/>
          <w:sz w:val="22"/>
          <w:szCs w:val="22"/>
        </w:rPr>
      </w:pPr>
      <w:bookmarkStart w:id="41" w:name="what-this-means-and-how-sensitive-it-is"/>
      <w:bookmarkEnd w:id="40"/>
      <w:r w:rsidRPr="009D048A">
        <w:rPr>
          <w:rFonts w:ascii="Times New Roman" w:hAnsi="Times New Roman" w:cs="Times New Roman"/>
          <w:sz w:val="22"/>
          <w:szCs w:val="22"/>
        </w:rPr>
        <w:t>7.4 What This Means and How Sensitive It Is</w:t>
      </w:r>
    </w:p>
    <w:p w14:paraId="2C6A968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threshold equation tells us how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responds to changes in each parameter:</w:t>
      </w:r>
    </w:p>
    <w:tbl>
      <w:tblPr>
        <w:tblStyle w:val="Table"/>
        <w:tblW w:w="5000" w:type="pct"/>
        <w:tblLayout w:type="fixed"/>
        <w:tblLook w:val="0020" w:firstRow="1" w:lastRow="0" w:firstColumn="0" w:lastColumn="0" w:noHBand="0" w:noVBand="0"/>
      </w:tblPr>
      <w:tblGrid>
        <w:gridCol w:w="3724"/>
        <w:gridCol w:w="3724"/>
        <w:gridCol w:w="2128"/>
      </w:tblGrid>
      <w:tr w:rsidR="00506C35" w:rsidRPr="009D048A" w14:paraId="5368CC1A"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3080" w:type="dxa"/>
          </w:tcPr>
          <w:p w14:paraId="101EA98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If this increases…</w:t>
            </w:r>
          </w:p>
        </w:tc>
        <w:tc>
          <w:tcPr>
            <w:tcW w:w="3080" w:type="dxa"/>
          </w:tcPr>
          <w:p w14:paraId="035AF8D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Then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w:t>
            </w:r>
          </w:p>
        </w:tc>
        <w:tc>
          <w:tcPr>
            <w:tcW w:w="1760" w:type="dxa"/>
          </w:tcPr>
          <w:p w14:paraId="540809B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Because…</w:t>
            </w:r>
          </w:p>
        </w:tc>
      </w:tr>
      <w:tr w:rsidR="00506C35" w:rsidRPr="009D048A" w14:paraId="606CF4E9" w14:textId="77777777">
        <w:tc>
          <w:tcPr>
            <w:tcW w:w="3080" w:type="dxa"/>
          </w:tcPr>
          <w:p w14:paraId="766AE47F" w14:textId="77777777" w:rsidR="00506C35" w:rsidRPr="009D048A" w:rsidRDefault="00000000">
            <w:pPr>
              <w:pStyle w:val="Compact"/>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w:r w:rsidRPr="009D048A">
              <w:rPr>
                <w:rFonts w:ascii="Times New Roman" w:hAnsi="Times New Roman" w:cs="Times New Roman"/>
                <w:sz w:val="21"/>
                <w:szCs w:val="21"/>
              </w:rPr>
              <w:t xml:space="preserve"> (cost)</w:t>
            </w:r>
          </w:p>
        </w:tc>
        <w:tc>
          <w:tcPr>
            <w:tcW w:w="3080" w:type="dxa"/>
          </w:tcPr>
          <w:p w14:paraId="7DCCE14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Goes </w:t>
            </w:r>
            <w:r w:rsidRPr="009D048A">
              <w:rPr>
                <w:rFonts w:ascii="Times New Roman" w:hAnsi="Times New Roman" w:cs="Times New Roman"/>
                <w:b/>
                <w:bCs/>
                <w:sz w:val="21"/>
                <w:szCs w:val="21"/>
              </w:rPr>
              <w:t>up</w:t>
            </w:r>
          </w:p>
        </w:tc>
        <w:tc>
          <w:tcPr>
            <w:tcW w:w="1760" w:type="dxa"/>
          </w:tcPr>
          <w:p w14:paraId="37EB7ED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Costlier cooperation needs more uncertainty to justify it</w:t>
            </w:r>
          </w:p>
        </w:tc>
      </w:tr>
      <w:tr w:rsidR="00506C35" w:rsidRPr="009D048A" w14:paraId="3F6EE136" w14:textId="77777777">
        <w:tc>
          <w:tcPr>
            <w:tcW w:w="3080" w:type="dxa"/>
          </w:tcPr>
          <w:p w14:paraId="4EFC7871" w14:textId="77777777" w:rsidR="00506C35" w:rsidRPr="009D048A" w:rsidRDefault="00000000">
            <w:pPr>
              <w:pStyle w:val="Compact"/>
              <w:rPr>
                <w:rFonts w:ascii="Times New Roman" w:hAnsi="Times New Roman" w:cs="Times New Roman"/>
                <w:sz w:val="21"/>
                <w:szCs w:val="21"/>
              </w:rPr>
            </w:pPr>
            <m:oMath>
              <m:r>
                <w:rPr>
                  <w:rFonts w:ascii="Cambria Math" w:hAnsi="Cambria Math" w:cs="Times New Roman"/>
                  <w:sz w:val="21"/>
                  <w:szCs w:val="21"/>
                </w:rPr>
                <m:t>β</m:t>
              </m:r>
            </m:oMath>
            <w:r w:rsidRPr="009D048A">
              <w:rPr>
                <w:rFonts w:ascii="Times New Roman" w:hAnsi="Times New Roman" w:cs="Times New Roman"/>
                <w:sz w:val="21"/>
                <w:szCs w:val="21"/>
              </w:rPr>
              <w:t xml:space="preserve"> (independent vulnerability)</w:t>
            </w:r>
          </w:p>
        </w:tc>
        <w:tc>
          <w:tcPr>
            <w:tcW w:w="3080" w:type="dxa"/>
          </w:tcPr>
          <w:p w14:paraId="46A5732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Goes </w:t>
            </w:r>
            <w:r w:rsidRPr="009D048A">
              <w:rPr>
                <w:rFonts w:ascii="Times New Roman" w:hAnsi="Times New Roman" w:cs="Times New Roman"/>
                <w:b/>
                <w:bCs/>
                <w:sz w:val="21"/>
                <w:szCs w:val="21"/>
              </w:rPr>
              <w:t>down</w:t>
            </w:r>
          </w:p>
        </w:tc>
        <w:tc>
          <w:tcPr>
            <w:tcW w:w="1760" w:type="dxa"/>
          </w:tcPr>
          <w:p w14:paraId="54403CF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More vulnerable independents make cooperation relatively better</w:t>
            </w:r>
          </w:p>
        </w:tc>
      </w:tr>
      <w:tr w:rsidR="00506C35" w:rsidRPr="009D048A" w14:paraId="46EDE433" w14:textId="77777777">
        <w:tc>
          <w:tcPr>
            <w:tcW w:w="3080" w:type="dxa"/>
          </w:tcPr>
          <w:p w14:paraId="1BC2B188" w14:textId="77777777" w:rsidR="00506C35" w:rsidRPr="009D048A" w:rsidRDefault="00000000">
            <w:pPr>
              <w:pStyle w:val="Compact"/>
              <w:rPr>
                <w:rFonts w:ascii="Times New Roman" w:hAnsi="Times New Roman" w:cs="Times New Roman"/>
                <w:sz w:val="21"/>
                <w:szCs w:val="21"/>
              </w:rPr>
            </w:pPr>
            <m:oMath>
              <m:r>
                <w:rPr>
                  <w:rFonts w:ascii="Cambria Math" w:hAnsi="Cambria Math" w:cs="Times New Roman"/>
                  <w:sz w:val="21"/>
                  <w:szCs w:val="21"/>
                </w:rPr>
                <m:t>α</m:t>
              </m:r>
            </m:oMath>
            <w:r w:rsidRPr="009D048A">
              <w:rPr>
                <w:rFonts w:ascii="Times New Roman" w:hAnsi="Times New Roman" w:cs="Times New Roman"/>
                <w:sz w:val="21"/>
                <w:szCs w:val="21"/>
              </w:rPr>
              <w:t xml:space="preserve"> (aggregator vulnerability)</w:t>
            </w:r>
          </w:p>
        </w:tc>
        <w:tc>
          <w:tcPr>
            <w:tcW w:w="3080" w:type="dxa"/>
          </w:tcPr>
          <w:p w14:paraId="17216AE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Goes </w:t>
            </w:r>
            <w:r w:rsidRPr="009D048A">
              <w:rPr>
                <w:rFonts w:ascii="Times New Roman" w:hAnsi="Times New Roman" w:cs="Times New Roman"/>
                <w:b/>
                <w:bCs/>
                <w:sz w:val="21"/>
                <w:szCs w:val="21"/>
              </w:rPr>
              <w:t>up</w:t>
            </w:r>
          </w:p>
        </w:tc>
        <w:tc>
          <w:tcPr>
            <w:tcW w:w="1760" w:type="dxa"/>
          </w:tcPr>
          <w:p w14:paraId="780DDD4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Less effective cooperation needs more uncertainty to justify it</w:t>
            </w:r>
          </w:p>
        </w:tc>
      </w:tr>
      <w:tr w:rsidR="00506C35" w:rsidRPr="009D048A" w14:paraId="350D9A0E" w14:textId="77777777">
        <w:tc>
          <w:tcPr>
            <w:tcW w:w="3080" w:type="dxa"/>
          </w:tcPr>
          <w:p w14:paraId="2F584D6C" w14:textId="77777777" w:rsidR="00506C35" w:rsidRPr="009D048A" w:rsidRDefault="00000000">
            <w:pPr>
              <w:pStyle w:val="Compact"/>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w:r w:rsidRPr="009D048A">
              <w:rPr>
                <w:rFonts w:ascii="Times New Roman" w:hAnsi="Times New Roman" w:cs="Times New Roman"/>
                <w:sz w:val="21"/>
                <w:szCs w:val="21"/>
              </w:rPr>
              <w:t xml:space="preserve"> (independent advantage)</w:t>
            </w:r>
          </w:p>
        </w:tc>
        <w:tc>
          <w:tcPr>
            <w:tcW w:w="3080" w:type="dxa"/>
          </w:tcPr>
          <w:p w14:paraId="699EFA5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Goes </w:t>
            </w:r>
            <w:r w:rsidRPr="009D048A">
              <w:rPr>
                <w:rFonts w:ascii="Times New Roman" w:hAnsi="Times New Roman" w:cs="Times New Roman"/>
                <w:b/>
                <w:bCs/>
                <w:sz w:val="21"/>
                <w:szCs w:val="21"/>
              </w:rPr>
              <w:t>up</w:t>
            </w:r>
          </w:p>
        </w:tc>
        <w:tc>
          <w:tcPr>
            <w:tcW w:w="1760" w:type="dxa"/>
          </w:tcPr>
          <w:p w14:paraId="12F751E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Stronger baseline advantage of going solo raises the bar</w:t>
            </w:r>
          </w:p>
        </w:tc>
      </w:tr>
    </w:tbl>
    <w:p w14:paraId="65DBD91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most influential parameters are </w:t>
      </w:r>
      <m:oMath>
        <m:r>
          <w:rPr>
            <w:rFonts w:ascii="Cambria Math" w:hAnsi="Cambria Math" w:cs="Times New Roman"/>
            <w:sz w:val="21"/>
            <w:szCs w:val="21"/>
          </w:rPr>
          <m:t>β</m:t>
        </m:r>
      </m:oMath>
      <w:r w:rsidRPr="009D048A">
        <w:rPr>
          <w:rFonts w:ascii="Times New Roman" w:hAnsi="Times New Roman" w:cs="Times New Roman"/>
          <w:sz w:val="21"/>
          <w:szCs w:val="21"/>
        </w:rPr>
        <w:t xml:space="preserve"> (elasticity -1.86) and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w:r w:rsidRPr="009D048A">
        <w:rPr>
          <w:rFonts w:ascii="Times New Roman" w:hAnsi="Times New Roman" w:cs="Times New Roman"/>
          <w:sz w:val="21"/>
          <w:szCs w:val="21"/>
        </w:rPr>
        <w:t xml:space="preserve"> (elasticity +1.52). This means: if you are testing the model and can only measure a few things well, prioritize getting good estimates of independent vulnerability and cooperation costs.</w:t>
      </w:r>
    </w:p>
    <w:p w14:paraId="3E23FE34"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lastRenderedPageBreak/>
        <w:drawing>
          <wp:inline distT="0" distB="0" distL="0" distR="0" wp14:anchorId="65878B4D" wp14:editId="1BF8080E">
            <wp:extent cx="5334000" cy="3312931"/>
            <wp:effectExtent l="0" t="0" r="0" b="0"/>
            <wp:docPr id="58" name="Picture" descr="Figure 8. Sensitivity analysis: what matters most. Tornado diagram showing how sigma* changes when each parameter is varied plus or minus 20% from baseline. Green bars indicate changes that lower the threshold (helping aggregation); red bars indicate changes that raise it. Independent vulnerability (beta) and total cost are the most influential parameters."/>
            <wp:cNvGraphicFramePr/>
            <a:graphic xmlns:a="http://schemas.openxmlformats.org/drawingml/2006/main">
              <a:graphicData uri="http://schemas.openxmlformats.org/drawingml/2006/picture">
                <pic:pic xmlns:pic="http://schemas.openxmlformats.org/drawingml/2006/picture">
                  <pic:nvPicPr>
                    <pic:cNvPr id="59" name="Picture" descr="figures/fig_08_sensitivity_tornado.png"/>
                    <pic:cNvPicPr>
                      <a:picLocks noChangeAspect="1" noChangeArrowheads="1"/>
                    </pic:cNvPicPr>
                  </pic:nvPicPr>
                  <pic:blipFill>
                    <a:blip r:embed="rId8"/>
                    <a:stretch>
                      <a:fillRect/>
                    </a:stretch>
                  </pic:blipFill>
                  <pic:spPr bwMode="auto">
                    <a:xfrm>
                      <a:off x="0" y="0"/>
                      <a:ext cx="5334000" cy="3312931"/>
                    </a:xfrm>
                    <a:prstGeom prst="rect">
                      <a:avLst/>
                    </a:prstGeom>
                    <a:noFill/>
                    <a:ln w="9525">
                      <a:noFill/>
                      <a:headEnd/>
                      <a:tailEnd/>
                    </a:ln>
                  </pic:spPr>
                </pic:pic>
              </a:graphicData>
            </a:graphic>
          </wp:inline>
        </w:drawing>
      </w:r>
    </w:p>
    <w:p w14:paraId="05DBE93C"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8. Sensitivity analysis: what matters most. Tornado diagram showing how sigma* changes when each parameter is varied plus or minus 20% from baseline. Green bars indicate changes that lower the threshold (helping aggregation); red bars indicate changes that raise it. Independent vulnerability (beta) and total cost are the most influential parameters.</w:t>
      </w:r>
    </w:p>
    <w:p w14:paraId="608F5C31"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drawing>
          <wp:inline distT="0" distB="0" distL="0" distR="0" wp14:anchorId="1559B6F6" wp14:editId="2DCCC5D9">
            <wp:extent cx="5334000" cy="3312078"/>
            <wp:effectExtent l="0" t="0" r="0" b="0"/>
            <wp:docPr id="61" name="Picture" descr="Figure 4. The fitness crossover: the core prediction. Aggregator fitness (blue) and independent fitness (red) as functions of environmental uncertainty. The crossover at sigma* = 0.306 is the critical threshold. The yellow band marks the estimated Finger Lakes sigma range (0.35-0.45), which falls in the aggregation zone."/>
            <wp:cNvGraphicFramePr/>
            <a:graphic xmlns:a="http://schemas.openxmlformats.org/drawingml/2006/main">
              <a:graphicData uri="http://schemas.openxmlformats.org/drawingml/2006/picture">
                <pic:pic xmlns:pic="http://schemas.openxmlformats.org/drawingml/2006/picture">
                  <pic:nvPicPr>
                    <pic:cNvPr id="62" name="Picture" descr="figures/fig_04_fitness_crossover.png"/>
                    <pic:cNvPicPr>
                      <a:picLocks noChangeAspect="1" noChangeArrowheads="1"/>
                    </pic:cNvPicPr>
                  </pic:nvPicPr>
                  <pic:blipFill>
                    <a:blip r:embed="rId9"/>
                    <a:stretch>
                      <a:fillRect/>
                    </a:stretch>
                  </pic:blipFill>
                  <pic:spPr bwMode="auto">
                    <a:xfrm>
                      <a:off x="0" y="0"/>
                      <a:ext cx="5334000" cy="3312078"/>
                    </a:xfrm>
                    <a:prstGeom prst="rect">
                      <a:avLst/>
                    </a:prstGeom>
                    <a:noFill/>
                    <a:ln w="9525">
                      <a:noFill/>
                      <a:headEnd/>
                      <a:tailEnd/>
                    </a:ln>
                  </pic:spPr>
                </pic:pic>
              </a:graphicData>
            </a:graphic>
          </wp:inline>
        </w:drawing>
      </w:r>
    </w:p>
    <w:p w14:paraId="76D0A2E2"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4. The fitness crossover: the core prediction. Aggregator fitness (blue) and independent fitness (red) as functions of environmental uncertainty. The crossover at sigma* = 0.306 is the critical threshold. The yellow band marks the estimated Finger Lakes sigma range (0.35-0.45), which falls in the aggregation zone.</w:t>
      </w:r>
    </w:p>
    <w:p w14:paraId="3D05A53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lastRenderedPageBreak/>
        <w:t>Summary: What to take away from this section.</w:t>
      </w:r>
      <w:r w:rsidRPr="009D048A">
        <w:rPr>
          <w:rFonts w:ascii="Times New Roman" w:hAnsi="Times New Roman" w:cs="Times New Roman"/>
          <w:sz w:val="21"/>
          <w:szCs w:val="21"/>
        </w:rPr>
        <w:t xml:space="preserve"> If the algebra felt dense, here is the bottom line. The threshold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is the ratio of two quantities: (1) how much better independents do in a stable world (the numerator), divided by (2) how much faster independents lose ground as the world becomes more variable (the denominator). Everything that makes cooperation cheaper, better buffered, or more productive shrinks the numerator and grows the denominator, making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smaller and aggregation easier to sustain. The simplified model gives an unrealistically high threshold (0.74), which tells us that the additional mechanisms we introduce in Sections 8-10 are not optional extras; they are essential for explaining why aggregation is observed.</w:t>
      </w:r>
    </w:p>
    <w:p w14:paraId="1C9F5AFD"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3D43C0F">
          <v:rect id="_x0000_i1041" alt="" style="width:468pt;height:.05pt;mso-width-percent:0;mso-height-percent:0;mso-width-percent:0;mso-height-percent:0" o:hralign="center" o:hrstd="t" o:hr="t"/>
        </w:pict>
      </w:r>
    </w:p>
    <w:p w14:paraId="28725E00" w14:textId="77777777" w:rsidR="00506C35" w:rsidRPr="009D048A" w:rsidRDefault="00000000">
      <w:pPr>
        <w:pStyle w:val="Heading2"/>
        <w:rPr>
          <w:rFonts w:ascii="Times New Roman" w:hAnsi="Times New Roman" w:cs="Times New Roman"/>
          <w:sz w:val="24"/>
          <w:szCs w:val="24"/>
        </w:rPr>
      </w:pPr>
      <w:bookmarkStart w:id="42" w:name="X56358f6af31fc11b8f6cde6bbb52b72294b7e75"/>
      <w:bookmarkEnd w:id="37"/>
      <w:bookmarkEnd w:id="41"/>
      <w:r w:rsidRPr="009D048A">
        <w:rPr>
          <w:rFonts w:ascii="Times New Roman" w:hAnsi="Times New Roman" w:cs="Times New Roman"/>
          <w:sz w:val="24"/>
          <w:szCs w:val="24"/>
        </w:rPr>
        <w:t>8. The Ecotone Advantage (</w:t>
      </w:r>
      <m:oMath>
        <m:r>
          <w:rPr>
            <w:rFonts w:ascii="Cambria Math" w:hAnsi="Cambria Math" w:cs="Times New Roman"/>
            <w:sz w:val="24"/>
            <w:szCs w:val="24"/>
          </w:rPr>
          <m:t>ε</m:t>
        </m:r>
      </m:oMath>
      <w:r w:rsidRPr="009D048A">
        <w:rPr>
          <w:rFonts w:ascii="Times New Roman" w:hAnsi="Times New Roman" w:cs="Times New Roman"/>
          <w:sz w:val="24"/>
          <w:szCs w:val="24"/>
        </w:rPr>
        <w:t>): Portfolio Theory</w:t>
      </w:r>
    </w:p>
    <w:p w14:paraId="468CE16B" w14:textId="77777777" w:rsidR="00506C35" w:rsidRPr="009D048A" w:rsidRDefault="00000000">
      <w:pPr>
        <w:pStyle w:val="Heading3"/>
        <w:rPr>
          <w:rFonts w:ascii="Times New Roman" w:hAnsi="Times New Roman" w:cs="Times New Roman"/>
          <w:sz w:val="22"/>
          <w:szCs w:val="22"/>
        </w:rPr>
      </w:pPr>
      <w:bookmarkStart w:id="43" w:name="what-we-are-adding-and-why-4"/>
      <w:r w:rsidRPr="009D048A">
        <w:rPr>
          <w:rFonts w:ascii="Times New Roman" w:hAnsi="Times New Roman" w:cs="Times New Roman"/>
          <w:sz w:val="22"/>
          <w:szCs w:val="22"/>
        </w:rPr>
        <w:t>8.1 What We Are Adding and Why</w:t>
      </w:r>
    </w:p>
    <w:p w14:paraId="25B0A14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Section 7 showed that the basic model predicts an unrealistically high threshold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0.74</m:t>
        </m:r>
      </m:oMath>
      <w:r w:rsidRPr="009D048A">
        <w:rPr>
          <w:rFonts w:ascii="Times New Roman" w:hAnsi="Times New Roman" w:cs="Times New Roman"/>
          <w:sz w:val="21"/>
          <w:szCs w:val="21"/>
        </w:rPr>
        <w:t xml:space="preserve">) for Lamoka Lake. The first mechanism that brings this down is the </w:t>
      </w:r>
      <w:r w:rsidRPr="009D048A">
        <w:rPr>
          <w:rFonts w:ascii="Times New Roman" w:hAnsi="Times New Roman" w:cs="Times New Roman"/>
          <w:b/>
          <w:bCs/>
          <w:sz w:val="21"/>
          <w:szCs w:val="21"/>
        </w:rPr>
        <w:t>ecotone advantage</w:t>
      </w:r>
      <w:r w:rsidRPr="009D048A">
        <w:rPr>
          <w:rFonts w:ascii="Times New Roman" w:hAnsi="Times New Roman" w:cs="Times New Roman"/>
          <w:sz w:val="21"/>
          <w:szCs w:val="21"/>
        </w:rPr>
        <w:t>: the fact that the aggregation site sits at the intersection of multiple ecological zones whose productivities do not all move in lockstep.</w:t>
      </w:r>
    </w:p>
    <w:p w14:paraId="0428381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This is directly analogous to portfolio diversification in finance. A financial advisor tells you: do not put all your money in one stock. Spread it across different sectors (technology, healthcare, energy) whose returns are not perfectly correlated. If technology crashes, maybe healthcare holds steady. The diversified portfolio has the same average return but lower variance, lower risk.</w:t>
      </w:r>
    </w:p>
    <w:p w14:paraId="15FC007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For hunter-gatherers, the “stocks” are ecological zones. The “portfolio” is the set of zones accessible from the aggregation site. And the “diversification benefit” is the reduction in effective environmental uncertainty that comes from accessing multiple zones with imperfectly correlated (and ideally negatively correlated) productivities.</w:t>
      </w:r>
    </w:p>
    <w:p w14:paraId="7FAB1E69" w14:textId="77777777" w:rsidR="00506C35" w:rsidRPr="009D048A" w:rsidRDefault="00000000">
      <w:pPr>
        <w:pStyle w:val="Heading3"/>
        <w:rPr>
          <w:rFonts w:ascii="Times New Roman" w:hAnsi="Times New Roman" w:cs="Times New Roman"/>
          <w:sz w:val="22"/>
          <w:szCs w:val="22"/>
        </w:rPr>
      </w:pPr>
      <w:bookmarkStart w:id="44" w:name="the-math-3"/>
      <w:bookmarkEnd w:id="43"/>
      <w:r w:rsidRPr="009D048A">
        <w:rPr>
          <w:rFonts w:ascii="Times New Roman" w:hAnsi="Times New Roman" w:cs="Times New Roman"/>
          <w:sz w:val="22"/>
          <w:szCs w:val="22"/>
        </w:rPr>
        <w:t>8.2 The Math</w:t>
      </w:r>
    </w:p>
    <w:p w14:paraId="62BA970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Consider an aggregation site with access to </w:t>
      </w:r>
      <m:oMath>
        <m:r>
          <w:rPr>
            <w:rFonts w:ascii="Cambria Math" w:hAnsi="Cambria Math" w:cs="Times New Roman"/>
            <w:sz w:val="21"/>
            <w:szCs w:val="21"/>
          </w:rPr>
          <m:t>K</m:t>
        </m:r>
      </m:oMath>
      <w:r w:rsidRPr="009D048A">
        <w:rPr>
          <w:rFonts w:ascii="Times New Roman" w:hAnsi="Times New Roman" w:cs="Times New Roman"/>
          <w:sz w:val="21"/>
          <w:szCs w:val="21"/>
        </w:rPr>
        <w:t xml:space="preserve"> ecological zones. Each zone </w:t>
      </w:r>
      <m:oMath>
        <m:r>
          <w:rPr>
            <w:rFonts w:ascii="Cambria Math" w:hAnsi="Cambria Math" w:cs="Times New Roman"/>
            <w:sz w:val="21"/>
            <w:szCs w:val="21"/>
          </w:rPr>
          <m:t>k</m:t>
        </m:r>
      </m:oMath>
      <w:r w:rsidRPr="009D048A">
        <w:rPr>
          <w:rFonts w:ascii="Times New Roman" w:hAnsi="Times New Roman" w:cs="Times New Roman"/>
          <w:sz w:val="21"/>
          <w:szCs w:val="21"/>
        </w:rPr>
        <w:t xml:space="preserve"> has annual productivity </w:t>
      </w:r>
      <m:oMath>
        <m:sSub>
          <m:sSubPr>
            <m:ctrlPr>
              <w:rPr>
                <w:rFonts w:ascii="Cambria Math" w:hAnsi="Cambria Math" w:cs="Times New Roman"/>
                <w:sz w:val="21"/>
                <w:szCs w:val="21"/>
              </w:rPr>
            </m:ctrlPr>
          </m:sSubPr>
          <m:e>
            <m:r>
              <w:rPr>
                <w:rFonts w:ascii="Cambria Math" w:hAnsi="Cambria Math" w:cs="Times New Roman"/>
                <w:sz w:val="21"/>
                <w:szCs w:val="21"/>
              </w:rPr>
              <m:t>X</m:t>
            </m:r>
          </m:e>
          <m:sub>
            <m:r>
              <w:rPr>
                <w:rFonts w:ascii="Cambria Math" w:hAnsi="Cambria Math" w:cs="Times New Roman"/>
                <w:sz w:val="21"/>
                <w:szCs w:val="21"/>
              </w:rPr>
              <m:t>k</m:t>
            </m:r>
          </m:sub>
        </m:sSub>
      </m:oMath>
      <w:r w:rsidRPr="009D048A">
        <w:rPr>
          <w:rFonts w:ascii="Times New Roman" w:hAnsi="Times New Roman" w:cs="Times New Roman"/>
          <w:sz w:val="21"/>
          <w:szCs w:val="21"/>
        </w:rPr>
        <w:t xml:space="preserve"> with variance </w:t>
      </w:r>
      <m:oMath>
        <m:sSubSup>
          <m:sSubSupPr>
            <m:ctrlPr>
              <w:rPr>
                <w:rFonts w:ascii="Cambria Math" w:hAnsi="Cambria Math" w:cs="Times New Roman"/>
                <w:sz w:val="21"/>
                <w:szCs w:val="21"/>
              </w:rPr>
            </m:ctrlPr>
          </m:sSubSupPr>
          <m:e>
            <m:r>
              <w:rPr>
                <w:rFonts w:ascii="Cambria Math" w:hAnsi="Cambria Math" w:cs="Times New Roman"/>
                <w:sz w:val="21"/>
                <w:szCs w:val="21"/>
              </w:rPr>
              <m:t>σ</m:t>
            </m:r>
          </m:e>
          <m:sub>
            <m:r>
              <w:rPr>
                <w:rFonts w:ascii="Cambria Math" w:hAnsi="Cambria Math" w:cs="Times New Roman"/>
                <w:sz w:val="21"/>
                <w:szCs w:val="21"/>
              </w:rPr>
              <m:t>k</m:t>
            </m:r>
          </m:sub>
          <m:sup>
            <m:r>
              <w:rPr>
                <w:rFonts w:ascii="Cambria Math" w:hAnsi="Cambria Math" w:cs="Times New Roman"/>
                <w:sz w:val="21"/>
                <w:szCs w:val="21"/>
              </w:rPr>
              <m:t>2</m:t>
            </m:r>
          </m:sup>
        </m:sSubSup>
      </m:oMath>
      <w:r w:rsidRPr="009D048A">
        <w:rPr>
          <w:rFonts w:ascii="Times New Roman" w:hAnsi="Times New Roman" w:cs="Times New Roman"/>
          <w:sz w:val="21"/>
          <w:szCs w:val="21"/>
        </w:rPr>
        <w:t xml:space="preserve">. The zones have pairwise correlations </w:t>
      </w:r>
      <m:oMath>
        <m:sSub>
          <m:sSubPr>
            <m:ctrlPr>
              <w:rPr>
                <w:rFonts w:ascii="Cambria Math" w:hAnsi="Cambria Math" w:cs="Times New Roman"/>
                <w:sz w:val="21"/>
                <w:szCs w:val="21"/>
              </w:rPr>
            </m:ctrlPr>
          </m:sSubPr>
          <m:e>
            <m:r>
              <w:rPr>
                <w:rFonts w:ascii="Cambria Math" w:hAnsi="Cambria Math" w:cs="Times New Roman"/>
                <w:sz w:val="21"/>
                <w:szCs w:val="21"/>
              </w:rPr>
              <m:t>ρ</m:t>
            </m:r>
          </m:e>
          <m:sub>
            <m:r>
              <w:rPr>
                <w:rFonts w:ascii="Cambria Math" w:hAnsi="Cambria Math" w:cs="Times New Roman"/>
                <w:sz w:val="21"/>
                <w:szCs w:val="21"/>
              </w:rPr>
              <m:t>jk</m:t>
            </m:r>
          </m:sub>
        </m:sSub>
      </m:oMath>
      <w:r w:rsidRPr="009D048A">
        <w:rPr>
          <w:rFonts w:ascii="Times New Roman" w:hAnsi="Times New Roman" w:cs="Times New Roman"/>
          <w:sz w:val="21"/>
          <w:szCs w:val="21"/>
        </w:rPr>
        <w:t>.</w:t>
      </w:r>
    </w:p>
    <w:p w14:paraId="2B40F58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If a population divides its foraging effort equally across zones (weight </w:t>
      </w:r>
      <m:oMath>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K</m:t>
        </m:r>
      </m:oMath>
      <w:r w:rsidRPr="009D048A">
        <w:rPr>
          <w:rFonts w:ascii="Times New Roman" w:hAnsi="Times New Roman" w:cs="Times New Roman"/>
          <w:sz w:val="21"/>
          <w:szCs w:val="21"/>
        </w:rPr>
        <w:t xml:space="preserve"> per zone), and all zones have similar variance (</w:t>
      </w:r>
      <m:oMath>
        <m:sSub>
          <m:sSubPr>
            <m:ctrlPr>
              <w:rPr>
                <w:rFonts w:ascii="Cambria Math" w:hAnsi="Cambria Math" w:cs="Times New Roman"/>
                <w:sz w:val="21"/>
                <w:szCs w:val="21"/>
              </w:rPr>
            </m:ctrlPr>
          </m:sSubPr>
          <m:e>
            <m:r>
              <w:rPr>
                <w:rFonts w:ascii="Cambria Math" w:hAnsi="Cambria Math" w:cs="Times New Roman"/>
                <w:sz w:val="21"/>
                <w:szCs w:val="21"/>
              </w:rPr>
              <m:t>σ</m:t>
            </m:r>
          </m:e>
          <m:sub>
            <m:r>
              <w:rPr>
                <w:rFonts w:ascii="Cambria Math" w:hAnsi="Cambria Math" w:cs="Times New Roman"/>
                <w:sz w:val="21"/>
                <w:szCs w:val="21"/>
              </w:rPr>
              <m:t>k</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σ</m:t>
            </m:r>
          </m:e>
          <m:sub>
            <m:r>
              <w:rPr>
                <w:rFonts w:ascii="Cambria Math" w:hAnsi="Cambria Math" w:cs="Times New Roman"/>
                <w:sz w:val="21"/>
                <w:szCs w:val="21"/>
              </w:rPr>
              <m:t>0</m:t>
            </m:r>
          </m:sub>
        </m:sSub>
      </m:oMath>
      <w:r w:rsidRPr="009D048A">
        <w:rPr>
          <w:rFonts w:ascii="Times New Roman" w:hAnsi="Times New Roman" w:cs="Times New Roman"/>
          <w:sz w:val="21"/>
          <w:szCs w:val="21"/>
        </w:rPr>
        <w:t>), the variance of the “portfolio” is:</w:t>
      </w:r>
    </w:p>
    <w:p w14:paraId="76184442" w14:textId="77777777" w:rsidR="00506C35" w:rsidRPr="009D048A" w:rsidRDefault="00000000">
      <w:pPr>
        <w:pStyle w:val="BodyTex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Var</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X</m:t>
              </m:r>
            </m:e>
            <m:sub>
              <m:r>
                <m:rPr>
                  <m:nor/>
                </m:rPr>
                <w:rPr>
                  <w:rFonts w:ascii="Times New Roman" w:hAnsi="Times New Roman" w:cs="Times New Roman"/>
                  <w:sz w:val="21"/>
                  <w:szCs w:val="21"/>
                </w:rPr>
                <m:t>portfolio</m:t>
              </m:r>
            </m:sub>
          </m:sSub>
          <m:r>
            <m:rPr>
              <m:sty m:val="p"/>
            </m:rPr>
            <w:rPr>
              <w:rFonts w:ascii="Cambria Math" w:hAnsi="Cambria Math" w:cs="Times New Roman"/>
              <w:sz w:val="21"/>
              <w:szCs w:val="21"/>
            </w:rPr>
            <m:t>)=</m:t>
          </m:r>
          <m:sSubSup>
            <m:sSubSupPr>
              <m:ctrlPr>
                <w:rPr>
                  <w:rFonts w:ascii="Cambria Math" w:hAnsi="Cambria Math" w:cs="Times New Roman"/>
                  <w:sz w:val="21"/>
                  <w:szCs w:val="21"/>
                </w:rPr>
              </m:ctrlPr>
            </m:sSubSupPr>
            <m:e>
              <m:r>
                <w:rPr>
                  <w:rFonts w:ascii="Cambria Math" w:hAnsi="Cambria Math" w:cs="Times New Roman"/>
                  <w:sz w:val="21"/>
                  <w:szCs w:val="21"/>
                </w:rPr>
                <m:t>σ</m:t>
              </m:r>
            </m:e>
            <m:sub>
              <m:r>
                <w:rPr>
                  <w:rFonts w:ascii="Cambria Math" w:hAnsi="Cambria Math" w:cs="Times New Roman"/>
                  <w:sz w:val="21"/>
                  <w:szCs w:val="21"/>
                </w:rPr>
                <m:t>0</m:t>
              </m:r>
            </m:sub>
            <m:sup>
              <m:r>
                <w:rPr>
                  <w:rFonts w:ascii="Cambria Math" w:hAnsi="Cambria Math" w:cs="Times New Roman"/>
                  <w:sz w:val="21"/>
                  <w:szCs w:val="21"/>
                </w:rPr>
                <m:t>2</m:t>
              </m:r>
            </m:sup>
          </m:sSubSup>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acc>
                <m:accPr>
                  <m:chr m:val="‾"/>
                  <m:ctrlPr>
                    <w:rPr>
                      <w:rFonts w:ascii="Cambria Math" w:hAnsi="Cambria Math" w:cs="Times New Roman"/>
                      <w:sz w:val="21"/>
                      <w:szCs w:val="21"/>
                    </w:rPr>
                  </m:ctrlPr>
                </m:accPr>
                <m:e>
                  <m:r>
                    <w:rPr>
                      <w:rFonts w:ascii="Cambria Math" w:hAnsi="Cambria Math" w:cs="Times New Roman"/>
                      <w:sz w:val="21"/>
                      <w:szCs w:val="21"/>
                    </w:rPr>
                    <m:t>ρ</m:t>
                  </m:r>
                </m:e>
              </m:acc>
            </m:num>
            <m:den>
              <m:r>
                <w:rPr>
                  <w:rFonts w:ascii="Cambria Math" w:hAnsi="Cambria Math" w:cs="Times New Roman"/>
                  <w:sz w:val="21"/>
                  <w:szCs w:val="21"/>
                </w:rPr>
                <m:t>K</m:t>
              </m:r>
            </m:den>
          </m:f>
        </m:oMath>
      </m:oMathPara>
    </w:p>
    <w:p w14:paraId="1BFFA0B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where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oMath>
      <w:r w:rsidRPr="009D048A">
        <w:rPr>
          <w:rFonts w:ascii="Times New Roman" w:hAnsi="Times New Roman" w:cs="Times New Roman"/>
          <w:sz w:val="21"/>
          <w:szCs w:val="21"/>
        </w:rPr>
        <w:t xml:space="preserve"> is the mean pairwise correlation across all zone pairs.</w:t>
      </w:r>
    </w:p>
    <w:p w14:paraId="38C59FB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The ecotone advantage is the proportional reduction in effective uncertainty:</w:t>
      </w:r>
    </w:p>
    <w:p w14:paraId="108D0667"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ad>
            <m:radPr>
              <m:degHide m:val="1"/>
              <m:ctrlPr>
                <w:rPr>
                  <w:rFonts w:ascii="Cambria Math" w:hAnsi="Cambria Math" w:cs="Times New Roman"/>
                  <w:sz w:val="21"/>
                  <w:szCs w:val="21"/>
                </w:rPr>
              </m:ctrlPr>
            </m:radPr>
            <m:deg/>
            <m:e>
              <m:f>
                <m:fPr>
                  <m:ctrlPr>
                    <w:rPr>
                      <w:rFonts w:ascii="Cambria Math" w:hAnsi="Cambria Math" w:cs="Times New Roman"/>
                      <w:sz w:val="21"/>
                      <w:szCs w:val="21"/>
                    </w:rPr>
                  </m:ctrlPr>
                </m:fPr>
                <m:num>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acc>
                    <m:accPr>
                      <m:chr m:val="‾"/>
                      <m:ctrlPr>
                        <w:rPr>
                          <w:rFonts w:ascii="Cambria Math" w:hAnsi="Cambria Math" w:cs="Times New Roman"/>
                          <w:sz w:val="21"/>
                          <w:szCs w:val="21"/>
                        </w:rPr>
                      </m:ctrlPr>
                    </m:accPr>
                    <m:e>
                      <m:r>
                        <w:rPr>
                          <w:rFonts w:ascii="Cambria Math" w:hAnsi="Cambria Math" w:cs="Times New Roman"/>
                          <w:sz w:val="21"/>
                          <w:szCs w:val="21"/>
                        </w:rPr>
                        <m:t>ρ</m:t>
                      </m:r>
                    </m:e>
                  </m:acc>
                </m:num>
                <m:den>
                  <m:r>
                    <w:rPr>
                      <w:rFonts w:ascii="Cambria Math" w:hAnsi="Cambria Math" w:cs="Times New Roman"/>
                      <w:sz w:val="21"/>
                      <w:szCs w:val="21"/>
                    </w:rPr>
                    <m:t>K</m:t>
                  </m:r>
                </m:den>
              </m:f>
            </m:e>
          </m:rad>
        </m:oMath>
      </m:oMathPara>
    </w:p>
    <w:p w14:paraId="0D3B458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Let us unpack each piece:</w:t>
      </w:r>
    </w:p>
    <w:p w14:paraId="35E64686" w14:textId="77777777" w:rsidR="00506C35" w:rsidRPr="009D048A" w:rsidRDefault="00000000">
      <w:pPr>
        <w:pStyle w:val="Compact"/>
        <w:numPr>
          <w:ilvl w:val="0"/>
          <w:numId w:val="19"/>
        </w:numPr>
        <w:rPr>
          <w:rFonts w:ascii="Times New Roman" w:hAnsi="Times New Roman" w:cs="Times New Roman"/>
          <w:sz w:val="21"/>
          <w:szCs w:val="21"/>
        </w:rPr>
      </w:pPr>
      <m:oMath>
        <m:r>
          <w:rPr>
            <w:rFonts w:ascii="Cambria Math" w:hAnsi="Cambria Math" w:cs="Times New Roman"/>
            <w:sz w:val="21"/>
            <w:szCs w:val="21"/>
          </w:rPr>
          <m:t>K</m:t>
        </m:r>
      </m:oMath>
      <w:r w:rsidRPr="009D048A">
        <w:rPr>
          <w:rFonts w:ascii="Times New Roman" w:hAnsi="Times New Roman" w:cs="Times New Roman"/>
          <w:sz w:val="21"/>
          <w:szCs w:val="21"/>
        </w:rPr>
        <w:t xml:space="preserve">: the number of ecological zones. More zones = more diversification potential. Lamoka Lake has </w:t>
      </w:r>
      <m:oMath>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5</m:t>
        </m:r>
      </m:oMath>
      <w:r w:rsidRPr="009D048A">
        <w:rPr>
          <w:rFonts w:ascii="Times New Roman" w:hAnsi="Times New Roman" w:cs="Times New Roman"/>
          <w:sz w:val="21"/>
          <w:szCs w:val="21"/>
        </w:rPr>
        <w:t>.</w:t>
      </w:r>
    </w:p>
    <w:p w14:paraId="5E2C424B" w14:textId="77777777" w:rsidR="00506C35" w:rsidRPr="009D048A" w:rsidRDefault="00000000">
      <w:pPr>
        <w:pStyle w:val="Compact"/>
        <w:numPr>
          <w:ilvl w:val="0"/>
          <w:numId w:val="19"/>
        </w:numPr>
        <w:rPr>
          <w:rFonts w:ascii="Times New Roman" w:hAnsi="Times New Roman" w:cs="Times New Roman"/>
          <w:sz w:val="21"/>
          <w:szCs w:val="21"/>
        </w:rPr>
      </w:pPr>
      <m:oMath>
        <m:acc>
          <m:accPr>
            <m:chr m:val="‾"/>
            <m:ctrlPr>
              <w:rPr>
                <w:rFonts w:ascii="Cambria Math" w:hAnsi="Cambria Math" w:cs="Times New Roman"/>
                <w:sz w:val="21"/>
                <w:szCs w:val="21"/>
              </w:rPr>
            </m:ctrlPr>
          </m:accPr>
          <m:e>
            <m:r>
              <w:rPr>
                <w:rFonts w:ascii="Cambria Math" w:hAnsi="Cambria Math" w:cs="Times New Roman"/>
                <w:sz w:val="21"/>
                <w:szCs w:val="21"/>
              </w:rPr>
              <m:t>ρ</m:t>
            </m:r>
          </m:e>
        </m:acc>
      </m:oMath>
      <w:r w:rsidRPr="009D048A">
        <w:rPr>
          <w:rFonts w:ascii="Times New Roman" w:hAnsi="Times New Roman" w:cs="Times New Roman"/>
          <w:sz w:val="21"/>
          <w:szCs w:val="21"/>
        </w:rPr>
        <w:t xml:space="preserve">: the average correlation between zone productivities. Negative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oMath>
      <w:r w:rsidRPr="009D048A">
        <w:rPr>
          <w:rFonts w:ascii="Times New Roman" w:hAnsi="Times New Roman" w:cs="Times New Roman"/>
          <w:sz w:val="21"/>
          <w:szCs w:val="21"/>
        </w:rPr>
        <w:t xml:space="preserve"> means zones tend to compensate each other (good for buffering). Positive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oMath>
      <w:r w:rsidRPr="009D048A">
        <w:rPr>
          <w:rFonts w:ascii="Times New Roman" w:hAnsi="Times New Roman" w:cs="Times New Roman"/>
          <w:sz w:val="21"/>
          <w:szCs w:val="21"/>
        </w:rPr>
        <w:t xml:space="preserve"> means zones tend to fail together (bad for buffering).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xml:space="preserve"> means zones are independent.</w:t>
      </w:r>
    </w:p>
    <w:p w14:paraId="62F8194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lastRenderedPageBreak/>
        <w:t>Key insight: why negative correlations matter.</w:t>
      </w:r>
      <w:r w:rsidRPr="009D048A">
        <w:rPr>
          <w:rFonts w:ascii="Times New Roman" w:hAnsi="Times New Roman" w:cs="Times New Roman"/>
          <w:sz w:val="21"/>
          <w:szCs w:val="21"/>
        </w:rPr>
        <w:t xml:space="preserve"> When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r>
          <m:rPr>
            <m:sty m:val="p"/>
          </m:rPr>
          <w:rPr>
            <w:rFonts w:ascii="Cambria Math" w:hAnsi="Cambria Math" w:cs="Times New Roman"/>
            <w:sz w:val="21"/>
            <w:szCs w:val="21"/>
          </w:rPr>
          <m:t>&lt;</m:t>
        </m:r>
        <m:r>
          <w:rPr>
            <w:rFonts w:ascii="Cambria Math" w:hAnsi="Cambria Math" w:cs="Times New Roman"/>
            <w:sz w:val="21"/>
            <w:szCs w:val="21"/>
          </w:rPr>
          <m:t>0</m:t>
        </m:r>
      </m:oMath>
      <w:r w:rsidRPr="009D048A">
        <w:rPr>
          <w:rFonts w:ascii="Times New Roman" w:hAnsi="Times New Roman" w:cs="Times New Roman"/>
          <w:sz w:val="21"/>
          <w:szCs w:val="21"/>
        </w:rPr>
        <w:t xml:space="preserve">, the expression under the square root shrinks, and </w:t>
      </w:r>
      <m:oMath>
        <m:r>
          <w:rPr>
            <w:rFonts w:ascii="Cambria Math" w:hAnsi="Cambria Math" w:cs="Times New Roman"/>
            <w:sz w:val="21"/>
            <w:szCs w:val="21"/>
          </w:rPr>
          <m:t>ε</m:t>
        </m:r>
      </m:oMath>
      <w:r w:rsidRPr="009D048A">
        <w:rPr>
          <w:rFonts w:ascii="Times New Roman" w:hAnsi="Times New Roman" w:cs="Times New Roman"/>
          <w:sz w:val="21"/>
          <w:szCs w:val="21"/>
        </w:rPr>
        <w:t xml:space="preserve"> gets larger. In ecological terms, negative correlations arise when zones respond differently to the same environmental driver. For example:</w:t>
      </w:r>
    </w:p>
    <w:p w14:paraId="62ED9C91" w14:textId="77777777" w:rsidR="00506C35" w:rsidRPr="009D048A" w:rsidRDefault="00000000">
      <w:pPr>
        <w:pStyle w:val="Compact"/>
        <w:numPr>
          <w:ilvl w:val="0"/>
          <w:numId w:val="20"/>
        </w:numPr>
        <w:rPr>
          <w:rFonts w:ascii="Times New Roman" w:hAnsi="Times New Roman" w:cs="Times New Roman"/>
          <w:sz w:val="21"/>
          <w:szCs w:val="21"/>
        </w:rPr>
      </w:pPr>
      <w:r w:rsidRPr="009D048A">
        <w:rPr>
          <w:rFonts w:ascii="Times New Roman" w:hAnsi="Times New Roman" w:cs="Times New Roman"/>
          <w:b/>
          <w:bCs/>
          <w:sz w:val="21"/>
          <w:szCs w:val="21"/>
        </w:rPr>
        <w:t>Wet years</w:t>
      </w:r>
      <w:r w:rsidRPr="009D048A">
        <w:rPr>
          <w:rFonts w:ascii="Times New Roman" w:hAnsi="Times New Roman" w:cs="Times New Roman"/>
          <w:sz w:val="21"/>
          <w:szCs w:val="21"/>
        </w:rPr>
        <w:t xml:space="preserve"> favor aquatic resources (fish, waterfowl) but may flood terrestrial hunting grounds and reduce nut production (late spring frosts associated with wet patterns).</w:t>
      </w:r>
    </w:p>
    <w:p w14:paraId="509C4B3B" w14:textId="77777777" w:rsidR="00506C35" w:rsidRPr="009D048A" w:rsidRDefault="00000000">
      <w:pPr>
        <w:pStyle w:val="Compact"/>
        <w:numPr>
          <w:ilvl w:val="0"/>
          <w:numId w:val="20"/>
        </w:numPr>
        <w:rPr>
          <w:rFonts w:ascii="Times New Roman" w:hAnsi="Times New Roman" w:cs="Times New Roman"/>
          <w:sz w:val="21"/>
          <w:szCs w:val="21"/>
        </w:rPr>
      </w:pPr>
      <w:r w:rsidRPr="009D048A">
        <w:rPr>
          <w:rFonts w:ascii="Times New Roman" w:hAnsi="Times New Roman" w:cs="Times New Roman"/>
          <w:b/>
          <w:bCs/>
          <w:sz w:val="21"/>
          <w:szCs w:val="21"/>
        </w:rPr>
        <w:t>Dry years</w:t>
      </w:r>
      <w:r w:rsidRPr="009D048A">
        <w:rPr>
          <w:rFonts w:ascii="Times New Roman" w:hAnsi="Times New Roman" w:cs="Times New Roman"/>
          <w:sz w:val="21"/>
          <w:szCs w:val="21"/>
        </w:rPr>
        <w:t xml:space="preserve"> favor upland game (concentrated at fewer water sources) but reduce fish populations.</w:t>
      </w:r>
    </w:p>
    <w:p w14:paraId="16FEE72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complementary response creates natural buffering: when one zone fails, another tends to succeed.</w:t>
      </w:r>
    </w:p>
    <w:p w14:paraId="4BF5CEE1" w14:textId="77777777" w:rsidR="00506C35" w:rsidRPr="009D048A" w:rsidRDefault="00000000">
      <w:pPr>
        <w:pStyle w:val="Heading3"/>
        <w:rPr>
          <w:rFonts w:ascii="Times New Roman" w:hAnsi="Times New Roman" w:cs="Times New Roman"/>
          <w:sz w:val="22"/>
          <w:szCs w:val="22"/>
        </w:rPr>
      </w:pPr>
      <w:bookmarkStart w:id="45" w:name="how-it-modifies-the-fitness-function"/>
      <w:bookmarkEnd w:id="44"/>
      <w:r w:rsidRPr="009D048A">
        <w:rPr>
          <w:rFonts w:ascii="Times New Roman" w:hAnsi="Times New Roman" w:cs="Times New Roman"/>
          <w:sz w:val="22"/>
          <w:szCs w:val="22"/>
        </w:rPr>
        <w:t>8.3 How It Modifies the Fitness Function</w:t>
      </w:r>
    </w:p>
    <w:p w14:paraId="300E6B2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ecotone advantage reduces the effective uncertainty experienced by aggregators:</w:t>
      </w:r>
    </w:p>
    <w:p w14:paraId="3432643B"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σ</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oMath>
      </m:oMathPara>
    </w:p>
    <w:p w14:paraId="0C3BFED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aggregator fitness function becomes:</w:t>
      </w:r>
    </w:p>
    <w:p w14:paraId="74ABEB38"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oMath>
      </m:oMathPara>
    </w:p>
    <w:p w14:paraId="026BCC3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Crucially, independents do not get this benefit. They forage in single zones and experience the full regional uncertainty </w:t>
      </w:r>
      <m:oMath>
        <m:r>
          <w:rPr>
            <w:rFonts w:ascii="Cambria Math" w:hAnsi="Cambria Math" w:cs="Times New Roman"/>
            <w:sz w:val="21"/>
            <w:szCs w:val="21"/>
          </w:rPr>
          <m:t>σ</m:t>
        </m:r>
      </m:oMath>
      <w:r w:rsidRPr="009D048A">
        <w:rPr>
          <w:rFonts w:ascii="Times New Roman" w:hAnsi="Times New Roman" w:cs="Times New Roman"/>
          <w:sz w:val="21"/>
          <w:szCs w:val="21"/>
        </w:rPr>
        <w:t>:</w:t>
      </w:r>
    </w:p>
    <w:p w14:paraId="7C87149A"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652E4CF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asymmetry, aggregators get ecotone buffering, independents do not, is what makes the ecotone advantage powerful. It widens the fitness gap between strategies under high uncertainty.</w:t>
      </w:r>
    </w:p>
    <w:p w14:paraId="3C4C45AD" w14:textId="77777777" w:rsidR="00506C35" w:rsidRPr="009D048A" w:rsidRDefault="00000000">
      <w:pPr>
        <w:pStyle w:val="Heading3"/>
        <w:rPr>
          <w:rFonts w:ascii="Times New Roman" w:hAnsi="Times New Roman" w:cs="Times New Roman"/>
          <w:sz w:val="22"/>
          <w:szCs w:val="22"/>
        </w:rPr>
      </w:pPr>
      <w:bookmarkStart w:id="46" w:name="how-to-estimate-varepsilon"/>
      <w:bookmarkEnd w:id="45"/>
      <w:r w:rsidRPr="009D048A">
        <w:rPr>
          <w:rFonts w:ascii="Times New Roman" w:hAnsi="Times New Roman" w:cs="Times New Roman"/>
          <w:sz w:val="22"/>
          <w:szCs w:val="22"/>
        </w:rPr>
        <w:t xml:space="preserve">8.4 How to Estimate </w:t>
      </w:r>
      <m:oMath>
        <m:r>
          <w:rPr>
            <w:rFonts w:ascii="Cambria Math" w:hAnsi="Cambria Math" w:cs="Times New Roman"/>
            <w:sz w:val="22"/>
            <w:szCs w:val="22"/>
          </w:rPr>
          <m:t>ε</m:t>
        </m:r>
      </m:oMath>
    </w:p>
    <w:p w14:paraId="5519C76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To estimate </w:t>
      </w:r>
      <m:oMath>
        <m:r>
          <w:rPr>
            <w:rFonts w:ascii="Cambria Math" w:hAnsi="Cambria Math" w:cs="Times New Roman"/>
            <w:sz w:val="21"/>
            <w:szCs w:val="21"/>
          </w:rPr>
          <m:t>ε</m:t>
        </m:r>
      </m:oMath>
      <w:r w:rsidRPr="009D048A">
        <w:rPr>
          <w:rFonts w:ascii="Times New Roman" w:hAnsi="Times New Roman" w:cs="Times New Roman"/>
          <w:sz w:val="21"/>
          <w:szCs w:val="21"/>
        </w:rPr>
        <w:t>, you need to know (1) how many zones are accessible from the site, and (2) how their productivities covary.</w:t>
      </w:r>
    </w:p>
    <w:p w14:paraId="590488A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Zone identification.</w:t>
      </w:r>
      <w:r w:rsidRPr="009D048A">
        <w:rPr>
          <w:rFonts w:ascii="Times New Roman" w:hAnsi="Times New Roman" w:cs="Times New Roman"/>
          <w:sz w:val="21"/>
          <w:szCs w:val="21"/>
        </w:rPr>
        <w:t xml:space="preserve"> Use GIS analysis to map ecological zones within the foraging radius (~25 km) of Lamoka Lake. The five zones identified in the JAS manuscript are:</w:t>
      </w:r>
    </w:p>
    <w:tbl>
      <w:tblPr>
        <w:tblStyle w:val="Table"/>
        <w:tblW w:w="0" w:type="auto"/>
        <w:tblLook w:val="0020" w:firstRow="1" w:lastRow="0" w:firstColumn="0" w:lastColumn="0" w:noHBand="0" w:noVBand="0"/>
      </w:tblPr>
      <w:tblGrid>
        <w:gridCol w:w="1365"/>
        <w:gridCol w:w="2695"/>
        <w:gridCol w:w="1704"/>
        <w:gridCol w:w="2158"/>
      </w:tblGrid>
      <w:tr w:rsidR="00506C35" w:rsidRPr="009D048A" w14:paraId="747136EA"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0" w:type="auto"/>
          </w:tcPr>
          <w:p w14:paraId="1DFC13C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Zone</w:t>
            </w:r>
          </w:p>
        </w:tc>
        <w:tc>
          <w:tcPr>
            <w:tcW w:w="0" w:type="auto"/>
          </w:tcPr>
          <w:p w14:paraId="6A8FF60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Key resources</w:t>
            </w:r>
          </w:p>
        </w:tc>
        <w:tc>
          <w:tcPr>
            <w:tcW w:w="0" w:type="auto"/>
          </w:tcPr>
          <w:p w14:paraId="2FDEA65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Base productivity</w:t>
            </w:r>
          </w:p>
        </w:tc>
        <w:tc>
          <w:tcPr>
            <w:tcW w:w="0" w:type="auto"/>
          </w:tcPr>
          <w:p w14:paraId="0B9F2C3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Inter-annual variability</w:t>
            </w:r>
          </w:p>
        </w:tc>
      </w:tr>
      <w:tr w:rsidR="00506C35" w:rsidRPr="009D048A" w14:paraId="7D9A3224" w14:textId="77777777">
        <w:tc>
          <w:tcPr>
            <w:tcW w:w="0" w:type="auto"/>
          </w:tcPr>
          <w:p w14:paraId="36549A8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Lacustrine</w:t>
            </w:r>
          </w:p>
        </w:tc>
        <w:tc>
          <w:tcPr>
            <w:tcW w:w="0" w:type="auto"/>
          </w:tcPr>
          <w:p w14:paraId="66B9200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Fish, waterfowl, mussels</w:t>
            </w:r>
          </w:p>
        </w:tc>
        <w:tc>
          <w:tcPr>
            <w:tcW w:w="0" w:type="auto"/>
          </w:tcPr>
          <w:p w14:paraId="670FB25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0.65</w:t>
            </w:r>
          </w:p>
        </w:tc>
        <w:tc>
          <w:tcPr>
            <w:tcW w:w="0" w:type="auto"/>
          </w:tcPr>
          <w:p w14:paraId="6038C99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0.12</w:t>
            </w:r>
          </w:p>
        </w:tc>
      </w:tr>
      <w:tr w:rsidR="00506C35" w:rsidRPr="009D048A" w14:paraId="6602B4D4" w14:textId="77777777">
        <w:tc>
          <w:tcPr>
            <w:tcW w:w="0" w:type="auto"/>
          </w:tcPr>
          <w:p w14:paraId="1F82873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Upland forest</w:t>
            </w:r>
          </w:p>
        </w:tc>
        <w:tc>
          <w:tcPr>
            <w:tcW w:w="0" w:type="auto"/>
          </w:tcPr>
          <w:p w14:paraId="6D891CD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Deer, turkey, small mammals</w:t>
            </w:r>
          </w:p>
        </w:tc>
        <w:tc>
          <w:tcPr>
            <w:tcW w:w="0" w:type="auto"/>
          </w:tcPr>
          <w:p w14:paraId="4025681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0.60</w:t>
            </w:r>
          </w:p>
        </w:tc>
        <w:tc>
          <w:tcPr>
            <w:tcW w:w="0" w:type="auto"/>
          </w:tcPr>
          <w:p w14:paraId="7616DBF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r>
      <w:tr w:rsidR="00506C35" w:rsidRPr="009D048A" w14:paraId="33ABBAEC" w14:textId="77777777">
        <w:tc>
          <w:tcPr>
            <w:tcW w:w="0" w:type="auto"/>
          </w:tcPr>
          <w:p w14:paraId="10E0182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Mast</w:t>
            </w:r>
          </w:p>
        </w:tc>
        <w:tc>
          <w:tcPr>
            <w:tcW w:w="0" w:type="auto"/>
          </w:tcPr>
          <w:p w14:paraId="000AB88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Hickory, walnut, acorn</w:t>
            </w:r>
          </w:p>
        </w:tc>
        <w:tc>
          <w:tcPr>
            <w:tcW w:w="0" w:type="auto"/>
          </w:tcPr>
          <w:p w14:paraId="3654F2C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0.55</w:t>
            </w:r>
          </w:p>
        </w:tc>
        <w:tc>
          <w:tcPr>
            <w:tcW w:w="0" w:type="auto"/>
          </w:tcPr>
          <w:p w14:paraId="73F25B7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w:t>
            </w:r>
          </w:p>
        </w:tc>
      </w:tr>
      <w:tr w:rsidR="00506C35" w:rsidRPr="009D048A" w14:paraId="3B0600F8" w14:textId="77777777">
        <w:tc>
          <w:tcPr>
            <w:tcW w:w="0" w:type="auto"/>
          </w:tcPr>
          <w:p w14:paraId="5E2ECFB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Wetland</w:t>
            </w:r>
          </w:p>
        </w:tc>
        <w:tc>
          <w:tcPr>
            <w:tcW w:w="0" w:type="auto"/>
          </w:tcPr>
          <w:p w14:paraId="44E3937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Fish, turtles, aquatic plants</w:t>
            </w:r>
          </w:p>
        </w:tc>
        <w:tc>
          <w:tcPr>
            <w:tcW w:w="0" w:type="auto"/>
          </w:tcPr>
          <w:p w14:paraId="699D435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0.60</w:t>
            </w:r>
          </w:p>
        </w:tc>
        <w:tc>
          <w:tcPr>
            <w:tcW w:w="0" w:type="auto"/>
          </w:tcPr>
          <w:p w14:paraId="512CB41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0.15</w:t>
            </w:r>
          </w:p>
        </w:tc>
      </w:tr>
      <w:tr w:rsidR="00506C35" w:rsidRPr="009D048A" w14:paraId="6FE4F253" w14:textId="77777777">
        <w:tc>
          <w:tcPr>
            <w:tcW w:w="0" w:type="auto"/>
          </w:tcPr>
          <w:p w14:paraId="705FF46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Montane</w:t>
            </w:r>
          </w:p>
        </w:tc>
        <w:tc>
          <w:tcPr>
            <w:tcW w:w="0" w:type="auto"/>
          </w:tcPr>
          <w:p w14:paraId="2C30B44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Patchy, variable</w:t>
            </w:r>
          </w:p>
        </w:tc>
        <w:tc>
          <w:tcPr>
            <w:tcW w:w="0" w:type="auto"/>
          </w:tcPr>
          <w:p w14:paraId="6380773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0.40</w:t>
            </w:r>
          </w:p>
        </w:tc>
        <w:tc>
          <w:tcPr>
            <w:tcW w:w="0" w:type="auto"/>
          </w:tcPr>
          <w:p w14:paraId="526B0D2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0.18</w:t>
            </w:r>
          </w:p>
        </w:tc>
      </w:tr>
    </w:tbl>
    <w:p w14:paraId="3D3153D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Covariance estimation.</w:t>
      </w:r>
      <w:r w:rsidRPr="009D048A">
        <w:rPr>
          <w:rFonts w:ascii="Times New Roman" w:hAnsi="Times New Roman" w:cs="Times New Roman"/>
          <w:sz w:val="21"/>
          <w:szCs w:val="21"/>
        </w:rPr>
        <w:t xml:space="preserve"> The zone covariances used in the model are </w:t>
      </w:r>
      <w:r w:rsidRPr="009D048A">
        <w:rPr>
          <w:rFonts w:ascii="Times New Roman" w:hAnsi="Times New Roman" w:cs="Times New Roman"/>
          <w:i/>
          <w:iCs/>
          <w:sz w:val="21"/>
          <w:szCs w:val="21"/>
        </w:rPr>
        <w:t>educated estimates based on ecological reasoning</w:t>
      </w:r>
      <w:r w:rsidRPr="009D048A">
        <w:rPr>
          <w:rFonts w:ascii="Times New Roman" w:hAnsi="Times New Roman" w:cs="Times New Roman"/>
          <w:sz w:val="21"/>
          <w:szCs w:val="21"/>
        </w:rPr>
        <w:t>, not measured values. These are among the parameters most in need of empirical refinement, and generating better estimates from modern monitoring data would be a significant dissertation contribution. The estimated covariances are:</w:t>
      </w:r>
    </w:p>
    <w:tbl>
      <w:tblPr>
        <w:tblStyle w:val="Table"/>
        <w:tblW w:w="5000" w:type="pct"/>
        <w:tblLayout w:type="fixed"/>
        <w:tblLook w:val="0020" w:firstRow="1" w:lastRow="0" w:firstColumn="0" w:lastColumn="0" w:noHBand="0" w:noVBand="0"/>
      </w:tblPr>
      <w:tblGrid>
        <w:gridCol w:w="2394"/>
        <w:gridCol w:w="4570"/>
        <w:gridCol w:w="2612"/>
      </w:tblGrid>
      <w:tr w:rsidR="00506C35" w:rsidRPr="009D048A" w14:paraId="31307EE4"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980" w:type="dxa"/>
          </w:tcPr>
          <w:p w14:paraId="286A11F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Zone pair</w:t>
            </w:r>
          </w:p>
        </w:tc>
        <w:tc>
          <w:tcPr>
            <w:tcW w:w="3780" w:type="dxa"/>
          </w:tcPr>
          <w:p w14:paraId="0840B0D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Correlation (</w:t>
            </w:r>
            <m:oMath>
              <m:r>
                <w:rPr>
                  <w:rFonts w:ascii="Cambria Math" w:hAnsi="Cambria Math" w:cs="Times New Roman"/>
                  <w:sz w:val="21"/>
                  <w:szCs w:val="21"/>
                </w:rPr>
                <m:t>ρ</m:t>
              </m:r>
            </m:oMath>
            <w:r w:rsidRPr="009D048A">
              <w:rPr>
                <w:rFonts w:ascii="Times New Roman" w:hAnsi="Times New Roman" w:cs="Times New Roman"/>
                <w:sz w:val="21"/>
                <w:szCs w:val="21"/>
              </w:rPr>
              <w:t>)</w:t>
            </w:r>
          </w:p>
        </w:tc>
        <w:tc>
          <w:tcPr>
            <w:tcW w:w="2160" w:type="dxa"/>
          </w:tcPr>
          <w:p w14:paraId="34CCD5B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Buffering?</w:t>
            </w:r>
          </w:p>
        </w:tc>
      </w:tr>
      <w:tr w:rsidR="00506C35" w:rsidRPr="009D048A" w14:paraId="3562473F" w14:textId="77777777">
        <w:tc>
          <w:tcPr>
            <w:tcW w:w="1980" w:type="dxa"/>
          </w:tcPr>
          <w:p w14:paraId="2C80B26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Lacustrine - Upland forest</w:t>
            </w:r>
          </w:p>
        </w:tc>
        <w:tc>
          <w:tcPr>
            <w:tcW w:w="3780" w:type="dxa"/>
          </w:tcPr>
          <w:p w14:paraId="60487DB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-0.25</w:t>
            </w:r>
          </w:p>
        </w:tc>
        <w:tc>
          <w:tcPr>
            <w:tcW w:w="2160" w:type="dxa"/>
          </w:tcPr>
          <w:p w14:paraId="580AE78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Good: wet favors fish, dry favors game</w:t>
            </w:r>
          </w:p>
        </w:tc>
      </w:tr>
      <w:tr w:rsidR="00506C35" w:rsidRPr="009D048A" w14:paraId="77B4B758" w14:textId="77777777">
        <w:tc>
          <w:tcPr>
            <w:tcW w:w="1980" w:type="dxa"/>
          </w:tcPr>
          <w:p w14:paraId="1653FDC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Lacustrine - Mast</w:t>
            </w:r>
          </w:p>
        </w:tc>
        <w:tc>
          <w:tcPr>
            <w:tcW w:w="3780" w:type="dxa"/>
          </w:tcPr>
          <w:p w14:paraId="2F3A7BA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c>
          <w:tcPr>
            <w:tcW w:w="2160" w:type="dxa"/>
          </w:tcPr>
          <w:p w14:paraId="71A590E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Slight positive: both moisture-dependent</w:t>
            </w:r>
          </w:p>
        </w:tc>
      </w:tr>
      <w:tr w:rsidR="00506C35" w:rsidRPr="009D048A" w14:paraId="633B7E08" w14:textId="77777777">
        <w:tc>
          <w:tcPr>
            <w:tcW w:w="1980" w:type="dxa"/>
          </w:tcPr>
          <w:p w14:paraId="6AEAAB7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Lacustrine - Wetland</w:t>
            </w:r>
          </w:p>
        </w:tc>
        <w:tc>
          <w:tcPr>
            <w:tcW w:w="3780" w:type="dxa"/>
          </w:tcPr>
          <w:p w14:paraId="47C1083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w:t>
            </w:r>
          </w:p>
        </w:tc>
        <w:tc>
          <w:tcPr>
            <w:tcW w:w="2160" w:type="dxa"/>
          </w:tcPr>
          <w:p w14:paraId="5364F5E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Positive: both water-</w:t>
            </w:r>
            <w:r w:rsidRPr="009D048A">
              <w:rPr>
                <w:rFonts w:ascii="Times New Roman" w:hAnsi="Times New Roman" w:cs="Times New Roman"/>
                <w:sz w:val="21"/>
                <w:szCs w:val="21"/>
              </w:rPr>
              <w:lastRenderedPageBreak/>
              <w:t>dependent</w:t>
            </w:r>
          </w:p>
        </w:tc>
      </w:tr>
      <w:tr w:rsidR="00506C35" w:rsidRPr="009D048A" w14:paraId="1BBC82C5" w14:textId="77777777">
        <w:tc>
          <w:tcPr>
            <w:tcW w:w="1980" w:type="dxa"/>
          </w:tcPr>
          <w:p w14:paraId="7C5ED93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lastRenderedPageBreak/>
              <w:t>Lacustrine - Montane</w:t>
            </w:r>
          </w:p>
        </w:tc>
        <w:tc>
          <w:tcPr>
            <w:tcW w:w="3780" w:type="dxa"/>
          </w:tcPr>
          <w:p w14:paraId="5DBEEFE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-0.15</w:t>
            </w:r>
          </w:p>
        </w:tc>
        <w:tc>
          <w:tcPr>
            <w:tcW w:w="2160" w:type="dxa"/>
          </w:tcPr>
          <w:p w14:paraId="01079A7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Some buffering</w:t>
            </w:r>
          </w:p>
        </w:tc>
      </w:tr>
      <w:tr w:rsidR="00506C35" w:rsidRPr="009D048A" w14:paraId="1DBCFDAE" w14:textId="77777777">
        <w:tc>
          <w:tcPr>
            <w:tcW w:w="1980" w:type="dxa"/>
          </w:tcPr>
          <w:p w14:paraId="29F18F5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Upland forest - Mast</w:t>
            </w:r>
          </w:p>
        </w:tc>
        <w:tc>
          <w:tcPr>
            <w:tcW w:w="3780" w:type="dxa"/>
          </w:tcPr>
          <w:p w14:paraId="3315D94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w:t>
            </w:r>
          </w:p>
        </w:tc>
        <w:tc>
          <w:tcPr>
            <w:tcW w:w="2160" w:type="dxa"/>
          </w:tcPr>
          <w:p w14:paraId="683D965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Positive: both forest-dependent</w:t>
            </w:r>
          </w:p>
        </w:tc>
      </w:tr>
      <w:tr w:rsidR="00506C35" w:rsidRPr="009D048A" w14:paraId="797BB70C" w14:textId="77777777">
        <w:tc>
          <w:tcPr>
            <w:tcW w:w="1980" w:type="dxa"/>
          </w:tcPr>
          <w:p w14:paraId="765CC05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Upland forest - Wetland</w:t>
            </w:r>
          </w:p>
        </w:tc>
        <w:tc>
          <w:tcPr>
            <w:tcW w:w="3780" w:type="dxa"/>
          </w:tcPr>
          <w:p w14:paraId="5F4AE7E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-0.20</w:t>
            </w:r>
          </w:p>
        </w:tc>
        <w:tc>
          <w:tcPr>
            <w:tcW w:w="2160" w:type="dxa"/>
          </w:tcPr>
          <w:p w14:paraId="57AF41C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Some buffering</w:t>
            </w:r>
          </w:p>
        </w:tc>
      </w:tr>
      <w:tr w:rsidR="00506C35" w:rsidRPr="009D048A" w14:paraId="37A045AA" w14:textId="77777777">
        <w:tc>
          <w:tcPr>
            <w:tcW w:w="1980" w:type="dxa"/>
          </w:tcPr>
          <w:p w14:paraId="1A2A514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Upland forest - Montane</w:t>
            </w:r>
          </w:p>
        </w:tc>
        <w:tc>
          <w:tcPr>
            <w:tcW w:w="3780" w:type="dxa"/>
          </w:tcPr>
          <w:p w14:paraId="647DE03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+0.25</w:t>
            </w:r>
          </w:p>
        </w:tc>
        <w:tc>
          <w:tcPr>
            <w:tcW w:w="2160" w:type="dxa"/>
          </w:tcPr>
          <w:p w14:paraId="4C10B29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Positive: both terrestrial</w:t>
            </w:r>
          </w:p>
        </w:tc>
      </w:tr>
      <w:tr w:rsidR="00506C35" w:rsidRPr="009D048A" w14:paraId="7C880C5F" w14:textId="77777777">
        <w:tc>
          <w:tcPr>
            <w:tcW w:w="1980" w:type="dxa"/>
          </w:tcPr>
          <w:p w14:paraId="1A9D596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Mast - Wetland</w:t>
            </w:r>
          </w:p>
        </w:tc>
        <w:tc>
          <w:tcPr>
            <w:tcW w:w="3780" w:type="dxa"/>
          </w:tcPr>
          <w:p w14:paraId="217CC68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+0.05</w:t>
            </w:r>
          </w:p>
        </w:tc>
        <w:tc>
          <w:tcPr>
            <w:tcW w:w="2160" w:type="dxa"/>
          </w:tcPr>
          <w:p w14:paraId="4AD8DC4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Nearly independent</w:t>
            </w:r>
          </w:p>
        </w:tc>
      </w:tr>
      <w:tr w:rsidR="00506C35" w:rsidRPr="009D048A" w14:paraId="3844FF6A" w14:textId="77777777">
        <w:tc>
          <w:tcPr>
            <w:tcW w:w="1980" w:type="dxa"/>
          </w:tcPr>
          <w:p w14:paraId="0A4FA4A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Mast - Montane</w:t>
            </w:r>
          </w:p>
        </w:tc>
        <w:tc>
          <w:tcPr>
            <w:tcW w:w="3780" w:type="dxa"/>
          </w:tcPr>
          <w:p w14:paraId="2C6B819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+0.15</w:t>
            </w:r>
          </w:p>
        </w:tc>
        <w:tc>
          <w:tcPr>
            <w:tcW w:w="2160" w:type="dxa"/>
          </w:tcPr>
          <w:p w14:paraId="3357542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Some positive</w:t>
            </w:r>
          </w:p>
        </w:tc>
      </w:tr>
      <w:tr w:rsidR="00506C35" w:rsidRPr="009D048A" w14:paraId="0BD49432" w14:textId="77777777">
        <w:tc>
          <w:tcPr>
            <w:tcW w:w="1980" w:type="dxa"/>
          </w:tcPr>
          <w:p w14:paraId="4A0760C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Wetland - Montane</w:t>
            </w:r>
          </w:p>
        </w:tc>
        <w:tc>
          <w:tcPr>
            <w:tcW w:w="3780" w:type="dxa"/>
          </w:tcPr>
          <w:p w14:paraId="1818488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c>
          <w:tcPr>
            <w:tcW w:w="2160" w:type="dxa"/>
          </w:tcPr>
          <w:p w14:paraId="76A3FAA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Slight buffering</w:t>
            </w:r>
          </w:p>
        </w:tc>
      </w:tr>
    </w:tbl>
    <w:p w14:paraId="7545F17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Mean </w:t>
      </w:r>
      <m:oMath>
        <m:acc>
          <m:accPr>
            <m:chr m:val="‾"/>
            <m:ctrlPr>
              <w:rPr>
                <w:rFonts w:ascii="Cambria Math" w:hAnsi="Cambria Math" w:cs="Times New Roman"/>
                <w:sz w:val="21"/>
                <w:szCs w:val="21"/>
              </w:rPr>
            </m:ctrlPr>
          </m:accPr>
          <m:e>
            <m:r>
              <w:rPr>
                <w:rFonts w:ascii="Cambria Math" w:hAnsi="Cambria Math" w:cs="Times New Roman"/>
                <w:sz w:val="21"/>
                <w:szCs w:val="21"/>
              </w:rPr>
              <m:t>ρ</m:t>
            </m:r>
          </m:e>
        </m:acc>
        <m:r>
          <m:rPr>
            <m:sty m:val="p"/>
          </m:rPr>
          <w:rPr>
            <w:rFonts w:ascii="Cambria Math" w:hAnsi="Cambria Math" w:cs="Times New Roman"/>
            <w:sz w:val="21"/>
            <w:szCs w:val="21"/>
          </w:rPr>
          <m:t>≈+</m:t>
        </m:r>
        <m:r>
          <w:rPr>
            <w:rFonts w:ascii="Cambria Math" w:hAnsi="Cambria Math" w:cs="Times New Roman"/>
            <w:sz w:val="21"/>
            <w:szCs w:val="21"/>
          </w:rPr>
          <m:t>0.05</m:t>
        </m:r>
      </m:oMath>
      <w:r w:rsidRPr="009D048A">
        <w:rPr>
          <w:rFonts w:ascii="Times New Roman" w:hAnsi="Times New Roman" w:cs="Times New Roman"/>
          <w:sz w:val="21"/>
          <w:szCs w:val="21"/>
        </w:rPr>
        <w:t xml:space="preserve">. With </w:t>
      </w:r>
      <m:oMath>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5</m:t>
        </m:r>
      </m:oMath>
      <w:r w:rsidRPr="009D048A">
        <w:rPr>
          <w:rFonts w:ascii="Times New Roman" w:hAnsi="Times New Roman" w:cs="Times New Roman"/>
          <w:sz w:val="21"/>
          <w:szCs w:val="21"/>
        </w:rPr>
        <w:t>:</w:t>
      </w:r>
    </w:p>
    <w:p w14:paraId="174C6D7F"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ad>
            <m:radPr>
              <m:degHide m:val="1"/>
              <m:ctrlPr>
                <w:rPr>
                  <w:rFonts w:ascii="Cambria Math" w:hAnsi="Cambria Math" w:cs="Times New Roman"/>
                  <w:sz w:val="21"/>
                  <w:szCs w:val="21"/>
                </w:rPr>
              </m:ctrlPr>
            </m:radPr>
            <m:deg/>
            <m:e>
              <m:f>
                <m:fPr>
                  <m:ctrlPr>
                    <w:rPr>
                      <w:rFonts w:ascii="Cambria Math" w:hAnsi="Cambria Math" w:cs="Times New Roman"/>
                      <w:sz w:val="21"/>
                      <w:szCs w:val="21"/>
                    </w:rPr>
                  </m:ctrlPr>
                </m:fPr>
                <m:num>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4</m:t>
                  </m:r>
                  <m:r>
                    <m:rPr>
                      <m:sty m:val="p"/>
                    </m:rPr>
                    <w:rPr>
                      <w:rFonts w:ascii="Cambria Math" w:hAnsi="Cambria Math" w:cs="Times New Roman"/>
                      <w:sz w:val="21"/>
                      <w:szCs w:val="21"/>
                    </w:rPr>
                    <m:t>×</m:t>
                  </m:r>
                  <m:r>
                    <w:rPr>
                      <w:rFonts w:ascii="Cambria Math" w:hAnsi="Cambria Math" w:cs="Times New Roman"/>
                      <w:sz w:val="21"/>
                      <w:szCs w:val="21"/>
                    </w:rPr>
                    <m:t>0.05</m:t>
                  </m:r>
                </m:num>
                <m:den>
                  <m:r>
                    <w:rPr>
                      <w:rFonts w:ascii="Cambria Math" w:hAnsi="Cambria Math" w:cs="Times New Roman"/>
                      <w:sz w:val="21"/>
                      <w:szCs w:val="21"/>
                    </w:rPr>
                    <m:t>5</m:t>
                  </m:r>
                </m:den>
              </m:f>
            </m:e>
          </m:ra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ad>
            <m:radPr>
              <m:degHide m:val="1"/>
              <m:ctrlPr>
                <w:rPr>
                  <w:rFonts w:ascii="Cambria Math" w:hAnsi="Cambria Math" w:cs="Times New Roman"/>
                  <w:sz w:val="21"/>
                  <w:szCs w:val="21"/>
                </w:rPr>
              </m:ctrlPr>
            </m:radPr>
            <m:deg/>
            <m:e>
              <m:f>
                <m:fPr>
                  <m:ctrlPr>
                    <w:rPr>
                      <w:rFonts w:ascii="Cambria Math" w:hAnsi="Cambria Math" w:cs="Times New Roman"/>
                      <w:sz w:val="21"/>
                      <w:szCs w:val="21"/>
                    </w:rPr>
                  </m:ctrlPr>
                </m:fPr>
                <m:num>
                  <m:r>
                    <w:rPr>
                      <w:rFonts w:ascii="Cambria Math" w:hAnsi="Cambria Math" w:cs="Times New Roman"/>
                      <w:sz w:val="21"/>
                      <w:szCs w:val="21"/>
                    </w:rPr>
                    <m:t>1.20</m:t>
                  </m:r>
                </m:num>
                <m:den>
                  <m:r>
                    <w:rPr>
                      <w:rFonts w:ascii="Cambria Math" w:hAnsi="Cambria Math" w:cs="Times New Roman"/>
                      <w:sz w:val="21"/>
                      <w:szCs w:val="21"/>
                    </w:rPr>
                    <m:t>5</m:t>
                  </m:r>
                </m:den>
              </m:f>
            </m:e>
          </m:ra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ad>
            <m:radPr>
              <m:degHide m:val="1"/>
              <m:ctrlPr>
                <w:rPr>
                  <w:rFonts w:ascii="Cambria Math" w:hAnsi="Cambria Math" w:cs="Times New Roman"/>
                  <w:sz w:val="21"/>
                  <w:szCs w:val="21"/>
                </w:rPr>
              </m:ctrlPr>
            </m:radPr>
            <m:deg/>
            <m:e>
              <m:r>
                <w:rPr>
                  <w:rFonts w:ascii="Cambria Math" w:hAnsi="Cambria Math" w:cs="Times New Roman"/>
                  <w:sz w:val="21"/>
                  <w:szCs w:val="21"/>
                </w:rPr>
                <m:t>0.24</m:t>
              </m:r>
            </m:e>
          </m:rad>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0.49</m:t>
          </m:r>
          <m:r>
            <m:rPr>
              <m:sty m:val="p"/>
            </m:rPr>
            <w:rPr>
              <w:rFonts w:ascii="Cambria Math" w:hAnsi="Cambria Math" w:cs="Times New Roman"/>
              <w:sz w:val="21"/>
              <w:szCs w:val="21"/>
            </w:rPr>
            <m:t>≈</m:t>
          </m:r>
          <m:r>
            <w:rPr>
              <w:rFonts w:ascii="Cambria Math" w:hAnsi="Cambria Math" w:cs="Times New Roman"/>
              <w:sz w:val="21"/>
              <w:szCs w:val="21"/>
            </w:rPr>
            <m:t>0.51</m:t>
          </m:r>
        </m:oMath>
      </m:oMathPara>
    </w:p>
    <w:p w14:paraId="6A1154C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theoretical maximum is </w:t>
      </w: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0.51</m:t>
        </m:r>
      </m:oMath>
      <w:r w:rsidRPr="009D048A">
        <w:rPr>
          <w:rFonts w:ascii="Times New Roman" w:hAnsi="Times New Roman" w:cs="Times New Roman"/>
          <w:sz w:val="21"/>
          <w:szCs w:val="21"/>
        </w:rPr>
        <w:t xml:space="preserve">, but the model uses a conservative </w:t>
      </w: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xml:space="preserve"> because: - Not all zones are equally accessible - Foraging effort is not perfectly divided across zones - Some zones (montane) contribute less to the diet</w:t>
      </w:r>
    </w:p>
    <w:p w14:paraId="35ED9C73"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drawing>
          <wp:inline distT="0" distB="0" distL="0" distR="0" wp14:anchorId="54519411" wp14:editId="58AA3B52">
            <wp:extent cx="5334000" cy="2272946"/>
            <wp:effectExtent l="0" t="0" r="0" b="0"/>
            <wp:docPr id="69" name="Picture" descr="Figure 5. The ecotone portfolio effect. Panel A shows five hypothetical resource zone time series with negative covariances; the bold black line is the weighted portfolio average, which is much smoother. Panel B shows how increasing ecotone advantage lowers the critical threshold, with Lamoka Lake’s epsilon = 0.30 marked."/>
            <wp:cNvGraphicFramePr/>
            <a:graphic xmlns:a="http://schemas.openxmlformats.org/drawingml/2006/main">
              <a:graphicData uri="http://schemas.openxmlformats.org/drawingml/2006/picture">
                <pic:pic xmlns:pic="http://schemas.openxmlformats.org/drawingml/2006/picture">
                  <pic:nvPicPr>
                    <pic:cNvPr id="70" name="Picture" descr="figures/fig_05_ecotone_portfolio.png"/>
                    <pic:cNvPicPr>
                      <a:picLocks noChangeAspect="1" noChangeArrowheads="1"/>
                    </pic:cNvPicPr>
                  </pic:nvPicPr>
                  <pic:blipFill>
                    <a:blip r:embed="rId10"/>
                    <a:stretch>
                      <a:fillRect/>
                    </a:stretch>
                  </pic:blipFill>
                  <pic:spPr bwMode="auto">
                    <a:xfrm>
                      <a:off x="0" y="0"/>
                      <a:ext cx="5334000" cy="2272946"/>
                    </a:xfrm>
                    <a:prstGeom prst="rect">
                      <a:avLst/>
                    </a:prstGeom>
                    <a:noFill/>
                    <a:ln w="9525">
                      <a:noFill/>
                      <a:headEnd/>
                      <a:tailEnd/>
                    </a:ln>
                  </pic:spPr>
                </pic:pic>
              </a:graphicData>
            </a:graphic>
          </wp:inline>
        </w:drawing>
      </w:r>
    </w:p>
    <w:p w14:paraId="7797B8EC"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5. The ecotone portfolio effect. Panel A shows five hypothetical resource zone time series with negative covariances; the bold black line is the weighted portfolio average, which is much smoother. Panel B shows how increasing ecotone advantage lowers the critical threshold, with Lamoka Lake’s epsilon = 0.30 marked.</w:t>
      </w:r>
    </w:p>
    <w:p w14:paraId="129E2B1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How to generate better estimates for a dissertation:</w:t>
      </w:r>
    </w:p>
    <w:p w14:paraId="58E73C9C" w14:textId="77777777" w:rsidR="00506C35" w:rsidRPr="009D048A" w:rsidRDefault="00000000">
      <w:pPr>
        <w:numPr>
          <w:ilvl w:val="0"/>
          <w:numId w:val="21"/>
        </w:numPr>
        <w:rPr>
          <w:rFonts w:ascii="Times New Roman" w:hAnsi="Times New Roman" w:cs="Times New Roman"/>
          <w:sz w:val="21"/>
          <w:szCs w:val="21"/>
        </w:rPr>
      </w:pPr>
      <w:r w:rsidRPr="009D048A">
        <w:rPr>
          <w:rFonts w:ascii="Times New Roman" w:hAnsi="Times New Roman" w:cs="Times New Roman"/>
          <w:b/>
          <w:bCs/>
          <w:sz w:val="21"/>
          <w:szCs w:val="21"/>
        </w:rPr>
        <w:t>Modern ecological monitoring data</w:t>
      </w:r>
      <w:r w:rsidRPr="009D048A">
        <w:rPr>
          <w:rFonts w:ascii="Times New Roman" w:hAnsi="Times New Roman" w:cs="Times New Roman"/>
          <w:sz w:val="21"/>
          <w:szCs w:val="21"/>
        </w:rPr>
        <w:t>: Contact the USDA Forest Service and NYS DEC for long-term monitoring data on mast production, fish populations, and deer harvest within the Finger Lakes region. Calculate actual covariances from time-series data.</w:t>
      </w:r>
    </w:p>
    <w:p w14:paraId="3A0D1C2A" w14:textId="77777777" w:rsidR="00506C35" w:rsidRPr="009D048A" w:rsidRDefault="00000000">
      <w:pPr>
        <w:numPr>
          <w:ilvl w:val="0"/>
          <w:numId w:val="21"/>
        </w:numPr>
        <w:rPr>
          <w:rFonts w:ascii="Times New Roman" w:hAnsi="Times New Roman" w:cs="Times New Roman"/>
          <w:sz w:val="21"/>
          <w:szCs w:val="21"/>
        </w:rPr>
      </w:pPr>
      <w:r w:rsidRPr="009D048A">
        <w:rPr>
          <w:rFonts w:ascii="Times New Roman" w:hAnsi="Times New Roman" w:cs="Times New Roman"/>
          <w:b/>
          <w:bCs/>
          <w:sz w:val="21"/>
          <w:szCs w:val="21"/>
        </w:rPr>
        <w:t>GIS zone mapping</w:t>
      </w:r>
      <w:r w:rsidRPr="009D048A">
        <w:rPr>
          <w:rFonts w:ascii="Times New Roman" w:hAnsi="Times New Roman" w:cs="Times New Roman"/>
          <w:sz w:val="21"/>
          <w:szCs w:val="21"/>
        </w:rPr>
        <w:t>: Map the five zones within the foraging radius of Lamoka Lake using soils, elevation, and hydrology data. Calculate the proportion of each zone accessible from the site.</w:t>
      </w:r>
    </w:p>
    <w:p w14:paraId="23FE5BE3" w14:textId="77777777" w:rsidR="00506C35" w:rsidRPr="009D048A" w:rsidRDefault="00000000">
      <w:pPr>
        <w:numPr>
          <w:ilvl w:val="0"/>
          <w:numId w:val="21"/>
        </w:numPr>
        <w:rPr>
          <w:rFonts w:ascii="Times New Roman" w:hAnsi="Times New Roman" w:cs="Times New Roman"/>
          <w:sz w:val="21"/>
          <w:szCs w:val="21"/>
        </w:rPr>
      </w:pPr>
      <w:r w:rsidRPr="009D048A">
        <w:rPr>
          <w:rFonts w:ascii="Times New Roman" w:hAnsi="Times New Roman" w:cs="Times New Roman"/>
          <w:b/>
          <w:bCs/>
          <w:sz w:val="21"/>
          <w:szCs w:val="21"/>
        </w:rPr>
        <w:t>Paleoenvironmental reconstruction</w:t>
      </w:r>
      <w:r w:rsidRPr="009D048A">
        <w:rPr>
          <w:rFonts w:ascii="Times New Roman" w:hAnsi="Times New Roman" w:cs="Times New Roman"/>
          <w:sz w:val="21"/>
          <w:szCs w:val="21"/>
        </w:rPr>
        <w:t>: Use pollen cores and sediment records to reconstruct past zone productivity and its variability.</w:t>
      </w:r>
    </w:p>
    <w:p w14:paraId="7017EB21" w14:textId="77777777" w:rsidR="00506C35" w:rsidRPr="009D048A" w:rsidRDefault="00000000">
      <w:pPr>
        <w:pStyle w:val="Heading3"/>
        <w:rPr>
          <w:rFonts w:ascii="Times New Roman" w:hAnsi="Times New Roman" w:cs="Times New Roman"/>
          <w:sz w:val="22"/>
          <w:szCs w:val="22"/>
        </w:rPr>
      </w:pPr>
      <w:bookmarkStart w:id="47" w:name="how-varepsilon-modifies-the-threshold"/>
      <w:bookmarkEnd w:id="46"/>
      <w:r w:rsidRPr="009D048A">
        <w:rPr>
          <w:rFonts w:ascii="Times New Roman" w:hAnsi="Times New Roman" w:cs="Times New Roman"/>
          <w:sz w:val="22"/>
          <w:szCs w:val="22"/>
        </w:rPr>
        <w:lastRenderedPageBreak/>
        <w:t xml:space="preserve">8.5 How </w:t>
      </w:r>
      <m:oMath>
        <m:r>
          <w:rPr>
            <w:rFonts w:ascii="Cambria Math" w:hAnsi="Cambria Math" w:cs="Times New Roman"/>
            <w:sz w:val="22"/>
            <w:szCs w:val="22"/>
          </w:rPr>
          <m:t>ε</m:t>
        </m:r>
      </m:oMath>
      <w:r w:rsidRPr="009D048A">
        <w:rPr>
          <w:rFonts w:ascii="Times New Roman" w:hAnsi="Times New Roman" w:cs="Times New Roman"/>
          <w:sz w:val="22"/>
          <w:szCs w:val="22"/>
        </w:rPr>
        <w:t xml:space="preserve"> Modifies the Threshold</w:t>
      </w:r>
    </w:p>
    <w:p w14:paraId="60A43EC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With the ecotone advantage, the threshold equation becomes:</w:t>
      </w:r>
    </w:p>
    <w:p w14:paraId="1808765D" w14:textId="77777777" w:rsidR="00506C35" w:rsidRPr="009D048A" w:rsidRDefault="00000000">
      <w:pPr>
        <w:pStyle w:val="BodyText"/>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num>
            <m:den>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den>
          </m:f>
        </m:oMath>
      </m:oMathPara>
    </w:p>
    <w:p w14:paraId="17B1981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0.35</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0.245</m:t>
        </m:r>
      </m:oMath>
      <w:r w:rsidRPr="009D048A">
        <w:rPr>
          <w:rFonts w:ascii="Times New Roman" w:hAnsi="Times New Roman" w:cs="Times New Roman"/>
          <w:sz w:val="21"/>
          <w:szCs w:val="21"/>
        </w:rPr>
        <w:t>.</w:t>
      </w:r>
    </w:p>
    <w:p w14:paraId="1325719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Notice that the numerator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has not changed. The ecotone advantage does not affect the fitness gap at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xml:space="preserve"> because when there is no uncertainty, ecotone buffering has nothing to buffer. What changes is the denominator: </w:t>
      </w: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&lt;</m:t>
        </m:r>
        <m:r>
          <w:rPr>
            <w:rFonts w:ascii="Cambria Math" w:hAnsi="Cambria Math" w:cs="Times New Roman"/>
            <w:sz w:val="21"/>
            <w:szCs w:val="21"/>
          </w:rPr>
          <m:t>α</m:t>
        </m:r>
      </m:oMath>
      <w:r w:rsidRPr="009D048A">
        <w:rPr>
          <w:rFonts w:ascii="Times New Roman" w:hAnsi="Times New Roman" w:cs="Times New Roman"/>
          <w:sz w:val="21"/>
          <w:szCs w:val="21"/>
        </w:rPr>
        <w:t xml:space="preserve">, so the denominator is </w:t>
      </w:r>
      <w:r w:rsidRPr="009D048A">
        <w:rPr>
          <w:rFonts w:ascii="Times New Roman" w:hAnsi="Times New Roman" w:cs="Times New Roman"/>
          <w:i/>
          <w:iCs/>
          <w:sz w:val="21"/>
          <w:szCs w:val="21"/>
        </w:rPr>
        <w:t>larger</w:t>
      </w:r>
      <w:r w:rsidRPr="009D048A">
        <w:rPr>
          <w:rFonts w:ascii="Times New Roman" w:hAnsi="Times New Roman" w:cs="Times New Roman"/>
          <w:sz w:val="21"/>
          <w:szCs w:val="21"/>
        </w:rPr>
        <w:t xml:space="preserve">, which makes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w:t>
      </w:r>
      <w:r w:rsidRPr="009D048A">
        <w:rPr>
          <w:rFonts w:ascii="Times New Roman" w:hAnsi="Times New Roman" w:cs="Times New Roman"/>
          <w:i/>
          <w:iCs/>
          <w:sz w:val="21"/>
          <w:szCs w:val="21"/>
        </w:rPr>
        <w:t>smaller</w:t>
      </w:r>
      <w:r w:rsidRPr="009D048A">
        <w:rPr>
          <w:rFonts w:ascii="Times New Roman" w:hAnsi="Times New Roman" w:cs="Times New Roman"/>
          <w:sz w:val="21"/>
          <w:szCs w:val="21"/>
        </w:rPr>
        <w:t xml:space="preserve">. The ecotone advantage lowers the threshold by making cooperators </w:t>
      </w:r>
      <w:r w:rsidRPr="009D048A">
        <w:rPr>
          <w:rFonts w:ascii="Times New Roman" w:hAnsi="Times New Roman" w:cs="Times New Roman"/>
          <w:i/>
          <w:iCs/>
          <w:sz w:val="21"/>
          <w:szCs w:val="21"/>
        </w:rPr>
        <w:t>even more protected</w:t>
      </w:r>
      <w:r w:rsidRPr="009D048A">
        <w:rPr>
          <w:rFonts w:ascii="Times New Roman" w:hAnsi="Times New Roman" w:cs="Times New Roman"/>
          <w:sz w:val="21"/>
          <w:szCs w:val="21"/>
        </w:rPr>
        <w:t xml:space="preserve"> against environmental shocks than the basic model assumed.</w:t>
      </w:r>
    </w:p>
    <w:p w14:paraId="1E82AA2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Plugging in Lamoka Lake values (still without cooperation returns):</w:t>
      </w:r>
    </w:p>
    <w:p w14:paraId="15C5A7C1" w14:textId="77777777" w:rsidR="00506C35" w:rsidRPr="009D048A" w:rsidRDefault="00000000">
      <w:pPr>
        <w:pStyle w:val="BodyText"/>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num>
            <m:den>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0.245</m:t>
              </m:r>
            </m:den>
          </m:f>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0.38</m:t>
              </m:r>
            </m:num>
            <m:den>
              <m:r>
                <w:rPr>
                  <w:rFonts w:ascii="Cambria Math" w:hAnsi="Cambria Math" w:cs="Times New Roman"/>
                  <w:sz w:val="21"/>
                  <w:szCs w:val="21"/>
                </w:rPr>
                <m:t>0.756</m:t>
              </m:r>
              <m:r>
                <m:rPr>
                  <m:sty m:val="p"/>
                </m:rPr>
                <w:rPr>
                  <w:rFonts w:ascii="Cambria Math" w:hAnsi="Cambria Math" w:cs="Times New Roman"/>
                  <w:sz w:val="21"/>
                  <w:szCs w:val="21"/>
                </w:rPr>
                <m:t>-</m:t>
              </m:r>
              <m:r>
                <w:rPr>
                  <w:rFonts w:ascii="Cambria Math" w:hAnsi="Cambria Math" w:cs="Times New Roman"/>
                  <w:sz w:val="21"/>
                  <w:szCs w:val="21"/>
                </w:rPr>
                <m:t>0.172</m:t>
              </m:r>
            </m:den>
          </m:f>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0.38</m:t>
              </m:r>
            </m:num>
            <m:den>
              <m:r>
                <w:rPr>
                  <w:rFonts w:ascii="Cambria Math" w:hAnsi="Cambria Math" w:cs="Times New Roman"/>
                  <w:sz w:val="21"/>
                  <w:szCs w:val="21"/>
                </w:rPr>
                <m:t>0.585</m:t>
              </m:r>
            </m:den>
          </m:f>
          <m:r>
            <m:rPr>
              <m:sty m:val="p"/>
            </m:rPr>
            <w:rPr>
              <w:rFonts w:ascii="Cambria Math" w:hAnsi="Cambria Math" w:cs="Times New Roman"/>
              <w:sz w:val="21"/>
              <w:szCs w:val="21"/>
            </w:rPr>
            <m:t>≈</m:t>
          </m:r>
          <m:r>
            <w:rPr>
              <w:rFonts w:ascii="Cambria Math" w:hAnsi="Cambria Math" w:cs="Times New Roman"/>
              <w:sz w:val="21"/>
              <w:szCs w:val="21"/>
            </w:rPr>
            <m:t>0.650</m:t>
          </m:r>
        </m:oMath>
      </m:oMathPara>
    </w:p>
    <w:p w14:paraId="5AC162F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ecotone advantage has reduced the threshold from 0.744 to 0.650, but it is still too high. We need the remaining mechanisms (Sections 9-10) to bring it the rest of the way down.</w:t>
      </w:r>
    </w:p>
    <w:p w14:paraId="47FD8A7F"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44693DAB">
          <v:rect id="_x0000_i1040" alt="" style="width:468pt;height:.05pt;mso-width-percent:0;mso-height-percent:0;mso-width-percent:0;mso-height-percent:0" o:hralign="center" o:hrstd="t" o:hr="t"/>
        </w:pict>
      </w:r>
    </w:p>
    <w:p w14:paraId="64B706E5" w14:textId="77777777" w:rsidR="00506C35" w:rsidRPr="009D048A" w:rsidRDefault="00000000">
      <w:pPr>
        <w:pStyle w:val="Heading2"/>
        <w:rPr>
          <w:rFonts w:ascii="Times New Roman" w:hAnsi="Times New Roman" w:cs="Times New Roman"/>
          <w:sz w:val="24"/>
          <w:szCs w:val="24"/>
        </w:rPr>
      </w:pPr>
      <w:bookmarkStart w:id="48" w:name="strength-in-numbers-returns-to-scale-fn"/>
      <w:bookmarkEnd w:id="42"/>
      <w:bookmarkEnd w:id="47"/>
      <w:r w:rsidRPr="009D048A">
        <w:rPr>
          <w:rFonts w:ascii="Times New Roman" w:hAnsi="Times New Roman" w:cs="Times New Roman"/>
          <w:sz w:val="24"/>
          <w:szCs w:val="24"/>
        </w:rPr>
        <w:t>9. Strength in Numbers: Returns to Scale (</w:t>
      </w:r>
      <m:oMath>
        <m:r>
          <w:rPr>
            <w:rFonts w:ascii="Cambria Math" w:hAnsi="Cambria Math" w:cs="Times New Roman"/>
            <w:sz w:val="24"/>
            <w:szCs w:val="24"/>
          </w:rPr>
          <m:t>f</m:t>
        </m:r>
        <m:r>
          <m:rPr>
            <m:sty m:val="p"/>
          </m:rPr>
          <w:rPr>
            <w:rFonts w:ascii="Cambria Math" w:hAnsi="Cambria Math" w:cs="Times New Roman"/>
            <w:sz w:val="24"/>
            <w:szCs w:val="24"/>
          </w:rPr>
          <m:t>(</m:t>
        </m:r>
        <m:r>
          <w:rPr>
            <w:rFonts w:ascii="Cambria Math" w:hAnsi="Cambria Math" w:cs="Times New Roman"/>
            <w:sz w:val="24"/>
            <w:szCs w:val="24"/>
          </w:rPr>
          <m:t>n</m:t>
        </m:r>
        <m:r>
          <m:rPr>
            <m:sty m:val="p"/>
          </m:rPr>
          <w:rPr>
            <w:rFonts w:ascii="Cambria Math" w:hAnsi="Cambria Math" w:cs="Times New Roman"/>
            <w:sz w:val="24"/>
            <w:szCs w:val="24"/>
          </w:rPr>
          <m:t>)</m:t>
        </m:r>
      </m:oMath>
      <w:r w:rsidRPr="009D048A">
        <w:rPr>
          <w:rFonts w:ascii="Times New Roman" w:hAnsi="Times New Roman" w:cs="Times New Roman"/>
          <w:sz w:val="24"/>
          <w:szCs w:val="24"/>
        </w:rPr>
        <w:t>)</w:t>
      </w:r>
    </w:p>
    <w:p w14:paraId="5C907A72" w14:textId="77777777" w:rsidR="00506C35" w:rsidRPr="009D048A" w:rsidRDefault="00000000">
      <w:pPr>
        <w:pStyle w:val="Heading3"/>
        <w:rPr>
          <w:rFonts w:ascii="Times New Roman" w:hAnsi="Times New Roman" w:cs="Times New Roman"/>
          <w:sz w:val="22"/>
          <w:szCs w:val="22"/>
        </w:rPr>
      </w:pPr>
      <w:bookmarkStart w:id="49" w:name="what-we-are-adding-and-why-5"/>
      <w:r w:rsidRPr="009D048A">
        <w:rPr>
          <w:rFonts w:ascii="Times New Roman" w:hAnsi="Times New Roman" w:cs="Times New Roman"/>
          <w:sz w:val="22"/>
          <w:szCs w:val="22"/>
        </w:rPr>
        <w:t>9.1 What We Are Adding and Why</w:t>
      </w:r>
    </w:p>
    <w:p w14:paraId="2DB65FE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In aggregation systems like Lamoka Lake, cooperation is not merely about risk pooling; it generates positive returns to group size. More people at the site means:</w:t>
      </w:r>
    </w:p>
    <w:p w14:paraId="4889D764" w14:textId="77777777" w:rsidR="00506C35" w:rsidRPr="009D048A" w:rsidRDefault="00000000">
      <w:pPr>
        <w:pStyle w:val="Compact"/>
        <w:numPr>
          <w:ilvl w:val="0"/>
          <w:numId w:val="22"/>
        </w:numPr>
        <w:rPr>
          <w:rFonts w:ascii="Times New Roman" w:hAnsi="Times New Roman" w:cs="Times New Roman"/>
          <w:sz w:val="21"/>
          <w:szCs w:val="21"/>
        </w:rPr>
      </w:pPr>
      <w:r w:rsidRPr="009D048A">
        <w:rPr>
          <w:rFonts w:ascii="Times New Roman" w:hAnsi="Times New Roman" w:cs="Times New Roman"/>
          <w:b/>
          <w:bCs/>
          <w:sz w:val="21"/>
          <w:szCs w:val="21"/>
        </w:rPr>
        <w:t>More productive fish weirs</w:t>
      </w:r>
      <w:r w:rsidRPr="009D048A">
        <w:rPr>
          <w:rFonts w:ascii="Times New Roman" w:hAnsi="Times New Roman" w:cs="Times New Roman"/>
          <w:sz w:val="21"/>
          <w:szCs w:val="21"/>
        </w:rPr>
        <w:t>: A weir operated by 10 people catches more fish per person than one operated by 3.</w:t>
      </w:r>
    </w:p>
    <w:p w14:paraId="6B18F330" w14:textId="77777777" w:rsidR="00506C35" w:rsidRPr="009D048A" w:rsidRDefault="00000000">
      <w:pPr>
        <w:pStyle w:val="Compact"/>
        <w:numPr>
          <w:ilvl w:val="0"/>
          <w:numId w:val="22"/>
        </w:numPr>
        <w:rPr>
          <w:rFonts w:ascii="Times New Roman" w:hAnsi="Times New Roman" w:cs="Times New Roman"/>
          <w:sz w:val="21"/>
          <w:szCs w:val="21"/>
        </w:rPr>
      </w:pPr>
      <w:r w:rsidRPr="009D048A">
        <w:rPr>
          <w:rFonts w:ascii="Times New Roman" w:hAnsi="Times New Roman" w:cs="Times New Roman"/>
          <w:b/>
          <w:bCs/>
          <w:sz w:val="21"/>
          <w:szCs w:val="21"/>
        </w:rPr>
        <w:t>More efficient nut processing</w:t>
      </w:r>
      <w:r w:rsidRPr="009D048A">
        <w:rPr>
          <w:rFonts w:ascii="Times New Roman" w:hAnsi="Times New Roman" w:cs="Times New Roman"/>
          <w:sz w:val="21"/>
          <w:szCs w:val="21"/>
        </w:rPr>
        <w:t>: Division of labor, harvesting, cracking, leaching, drying, increases throughput.</w:t>
      </w:r>
    </w:p>
    <w:p w14:paraId="37366CCD" w14:textId="77777777" w:rsidR="00506C35" w:rsidRPr="009D048A" w:rsidRDefault="00000000">
      <w:pPr>
        <w:pStyle w:val="Compact"/>
        <w:numPr>
          <w:ilvl w:val="0"/>
          <w:numId w:val="22"/>
        </w:numPr>
        <w:rPr>
          <w:rFonts w:ascii="Times New Roman" w:hAnsi="Times New Roman" w:cs="Times New Roman"/>
          <w:sz w:val="21"/>
          <w:szCs w:val="21"/>
        </w:rPr>
      </w:pPr>
      <w:r w:rsidRPr="009D048A">
        <w:rPr>
          <w:rFonts w:ascii="Times New Roman" w:hAnsi="Times New Roman" w:cs="Times New Roman"/>
          <w:b/>
          <w:bCs/>
          <w:sz w:val="21"/>
          <w:szCs w:val="21"/>
        </w:rPr>
        <w:t>Better game smoking</w:t>
      </w:r>
      <w:r w:rsidRPr="009D048A">
        <w:rPr>
          <w:rFonts w:ascii="Times New Roman" w:hAnsi="Times New Roman" w:cs="Times New Roman"/>
          <w:sz w:val="21"/>
          <w:szCs w:val="21"/>
        </w:rPr>
        <w:t>: More smoking platforms operated simultaneously means less spoilage.</w:t>
      </w:r>
    </w:p>
    <w:p w14:paraId="3DF8D1C2" w14:textId="77777777" w:rsidR="00506C35" w:rsidRPr="009D048A" w:rsidRDefault="00000000">
      <w:pPr>
        <w:pStyle w:val="Compact"/>
        <w:numPr>
          <w:ilvl w:val="0"/>
          <w:numId w:val="22"/>
        </w:numPr>
        <w:rPr>
          <w:rFonts w:ascii="Times New Roman" w:hAnsi="Times New Roman" w:cs="Times New Roman"/>
          <w:sz w:val="21"/>
          <w:szCs w:val="21"/>
        </w:rPr>
      </w:pPr>
      <w:r w:rsidRPr="009D048A">
        <w:rPr>
          <w:rFonts w:ascii="Times New Roman" w:hAnsi="Times New Roman" w:cs="Times New Roman"/>
          <w:b/>
          <w:bCs/>
          <w:sz w:val="21"/>
          <w:szCs w:val="21"/>
        </w:rPr>
        <w:t>Faster pit construction</w:t>
      </w:r>
      <w:r w:rsidRPr="009D048A">
        <w:rPr>
          <w:rFonts w:ascii="Times New Roman" w:hAnsi="Times New Roman" w:cs="Times New Roman"/>
          <w:sz w:val="21"/>
          <w:szCs w:val="21"/>
        </w:rPr>
        <w:t>: Digging goes faster with more hands.</w:t>
      </w:r>
    </w:p>
    <w:p w14:paraId="0D93DEC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These are </w:t>
      </w:r>
      <w:r w:rsidRPr="009D048A">
        <w:rPr>
          <w:rFonts w:ascii="Times New Roman" w:hAnsi="Times New Roman" w:cs="Times New Roman"/>
          <w:i/>
          <w:iCs/>
          <w:sz w:val="21"/>
          <w:szCs w:val="21"/>
        </w:rPr>
        <w:t>increasing returns to scale</w:t>
      </w:r>
      <w:r w:rsidRPr="009D048A">
        <w:rPr>
          <w:rFonts w:ascii="Times New Roman" w:hAnsi="Times New Roman" w:cs="Times New Roman"/>
          <w:sz w:val="21"/>
          <w:szCs w:val="21"/>
        </w:rPr>
        <w:t>, at least up to a point. Eventually, too many people deplete local resources, create sanitation problems, and generate social friction. The returns follow a hump-shaped curve: rising with group size initially, then declining after the site reaches capacity.</w:t>
      </w:r>
    </w:p>
    <w:p w14:paraId="7CD6A0A7" w14:textId="77777777" w:rsidR="00506C35" w:rsidRPr="009D048A" w:rsidRDefault="00000000">
      <w:pPr>
        <w:pStyle w:val="Heading3"/>
        <w:rPr>
          <w:rFonts w:ascii="Times New Roman" w:hAnsi="Times New Roman" w:cs="Times New Roman"/>
          <w:sz w:val="22"/>
          <w:szCs w:val="22"/>
        </w:rPr>
      </w:pPr>
      <w:bookmarkStart w:id="50" w:name="the-math-4"/>
      <w:bookmarkEnd w:id="49"/>
      <w:r w:rsidRPr="009D048A">
        <w:rPr>
          <w:rFonts w:ascii="Times New Roman" w:hAnsi="Times New Roman" w:cs="Times New Roman"/>
          <w:sz w:val="22"/>
          <w:szCs w:val="22"/>
        </w:rPr>
        <w:t>9.2 The Math</w:t>
      </w:r>
    </w:p>
    <w:p w14:paraId="50DE2C7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cooperation benefit function is:</w:t>
      </w:r>
    </w:p>
    <w:p w14:paraId="765DA0FB"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b</m:t>
          </m:r>
          <m:r>
            <m:rPr>
              <m:sty m:val="p"/>
            </m:rPr>
            <w:rPr>
              <w:rFonts w:ascii="Cambria Math" w:hAnsi="Cambria Math" w:cs="Times New Roman"/>
              <w:sz w:val="21"/>
              <w:szCs w:val="21"/>
            </w:rPr>
            <m:t>⋅ln(</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c</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sSup>
            <m:sSupPr>
              <m:ctrlPr>
                <w:rPr>
                  <w:rFonts w:ascii="Cambria Math" w:hAnsi="Cambria Math" w:cs="Times New Roman"/>
                  <w:sz w:val="21"/>
                  <w:szCs w:val="21"/>
                </w:rPr>
              </m:ctrlPr>
            </m:sSupPr>
            <m:e>
              <m:r>
                <m:rPr>
                  <m:sty m:val="p"/>
                </m:rPr>
                <w:rPr>
                  <w:rFonts w:ascii="Cambria Math" w:hAnsi="Cambria Math" w:cs="Times New Roman"/>
                  <w:sz w:val="21"/>
                  <w:szCs w:val="21"/>
                </w:rPr>
                <m:t>)</m:t>
              </m:r>
            </m:e>
            <m:sup>
              <m:r>
                <w:rPr>
                  <w:rFonts w:ascii="Cambria Math" w:hAnsi="Cambria Math" w:cs="Times New Roman"/>
                  <w:sz w:val="21"/>
                  <w:szCs w:val="21"/>
                </w:rPr>
                <m:t>2</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m:rPr>
                  <m:scr m:val="double-struck"/>
                  <m:sty m:val="p"/>
                </m:rPr>
                <w:rPr>
                  <w:rFonts w:ascii="Cambria Math" w:hAnsi="Cambria Math" w:cs="Times New Roman"/>
                  <w:sz w:val="21"/>
                  <w:szCs w:val="21"/>
                </w:rPr>
                <m:t>1</m:t>
              </m:r>
            </m:e>
            <m:sub>
              <m:r>
                <w:rPr>
                  <w:rFonts w:ascii="Cambria Math" w:hAnsi="Cambria Math" w:cs="Times New Roman"/>
                  <w:sz w:val="21"/>
                  <w:szCs w:val="21"/>
                </w:rPr>
                <m:t>n</m:t>
              </m:r>
              <m:r>
                <m:rPr>
                  <m:sty m:val="p"/>
                </m:rPr>
                <w:rPr>
                  <w:rFonts w:ascii="Cambria Math" w:hAnsi="Cambria Math" w:cs="Times New Roman"/>
                  <w:sz w:val="21"/>
                  <w:szCs w:val="21"/>
                </w:rPr>
                <m:t>&gt;</m:t>
              </m:r>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sub>
          </m:sSub>
        </m:oMath>
      </m:oMathPara>
    </w:p>
    <w:p w14:paraId="00F5BAC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Let us unpack each piece:</w:t>
      </w:r>
    </w:p>
    <w:p w14:paraId="6E0AB529" w14:textId="77777777" w:rsidR="00506C35" w:rsidRPr="009D048A" w:rsidRDefault="00000000">
      <w:pPr>
        <w:pStyle w:val="Compact"/>
        <w:numPr>
          <w:ilvl w:val="0"/>
          <w:numId w:val="23"/>
        </w:numPr>
        <w:rPr>
          <w:rFonts w:ascii="Times New Roman" w:hAnsi="Times New Roman" w:cs="Times New Roman"/>
          <w:sz w:val="21"/>
          <w:szCs w:val="21"/>
        </w:rPr>
      </w:pP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The cooperation benefit multiplier. At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m:t>
        </m:r>
      </m:oMath>
      <w:r w:rsidRPr="009D048A">
        <w:rPr>
          <w:rFonts w:ascii="Times New Roman" w:hAnsi="Times New Roman" w:cs="Times New Roman"/>
          <w:sz w:val="21"/>
          <w:szCs w:val="21"/>
        </w:rPr>
        <w:t xml:space="preserve">, there is no cooperation benefit (a single band). At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1.25</m:t>
        </m:r>
      </m:oMath>
      <w:r w:rsidRPr="009D048A">
        <w:rPr>
          <w:rFonts w:ascii="Times New Roman" w:hAnsi="Times New Roman" w:cs="Times New Roman"/>
          <w:sz w:val="21"/>
          <w:szCs w:val="21"/>
        </w:rPr>
        <w:t>, cooperation boosts productivity by 25%.</w:t>
      </w:r>
    </w:p>
    <w:p w14:paraId="2BD4DC6F" w14:textId="77777777" w:rsidR="00506C35" w:rsidRPr="009D048A" w:rsidRDefault="00000000">
      <w:pPr>
        <w:pStyle w:val="Compact"/>
        <w:numPr>
          <w:ilvl w:val="0"/>
          <w:numId w:val="23"/>
        </w:numPr>
        <w:rPr>
          <w:rFonts w:ascii="Times New Roman" w:hAnsi="Times New Roman" w:cs="Times New Roman"/>
          <w:sz w:val="21"/>
          <w:szCs w:val="21"/>
        </w:rPr>
      </w:pPr>
      <m:oMath>
        <m:r>
          <w:rPr>
            <w:rFonts w:ascii="Cambria Math" w:hAnsi="Cambria Math" w:cs="Times New Roman"/>
            <w:sz w:val="21"/>
            <w:szCs w:val="21"/>
          </w:rPr>
          <m:t>n</m:t>
        </m:r>
      </m:oMath>
      <w:r w:rsidRPr="009D048A">
        <w:rPr>
          <w:rFonts w:ascii="Times New Roman" w:hAnsi="Times New Roman" w:cs="Times New Roman"/>
          <w:sz w:val="21"/>
          <w:szCs w:val="21"/>
        </w:rPr>
        <w:t>: The number of bands at the aggregation site. More bands = more cooperation potential.</w:t>
      </w:r>
    </w:p>
    <w:p w14:paraId="20195AFA" w14:textId="77777777" w:rsidR="00506C35" w:rsidRPr="009D048A" w:rsidRDefault="00000000">
      <w:pPr>
        <w:pStyle w:val="Compact"/>
        <w:numPr>
          <w:ilvl w:val="0"/>
          <w:numId w:val="23"/>
        </w:numPr>
        <w:rPr>
          <w:rFonts w:ascii="Times New Roman" w:hAnsi="Times New Roman" w:cs="Times New Roman"/>
          <w:sz w:val="21"/>
          <w:szCs w:val="21"/>
        </w:rPr>
      </w:pPr>
      <m:oMath>
        <m:r>
          <w:rPr>
            <w:rFonts w:ascii="Cambria Math" w:hAnsi="Cambria Math" w:cs="Times New Roman"/>
            <w:sz w:val="21"/>
            <w:szCs w:val="21"/>
          </w:rPr>
          <m:t>b</m:t>
        </m:r>
      </m:oMath>
      <w:r w:rsidRPr="009D048A">
        <w:rPr>
          <w:rFonts w:ascii="Times New Roman" w:hAnsi="Times New Roman" w:cs="Times New Roman"/>
          <w:sz w:val="21"/>
          <w:szCs w:val="21"/>
        </w:rPr>
        <w:t>: The benefit coefficient. How much does each additional band contribute? Range: 0.02-0.15.</w:t>
      </w:r>
    </w:p>
    <w:p w14:paraId="07C3FBB2" w14:textId="77777777" w:rsidR="00506C35" w:rsidRPr="009D048A" w:rsidRDefault="00000000">
      <w:pPr>
        <w:pStyle w:val="Compact"/>
        <w:numPr>
          <w:ilvl w:val="0"/>
          <w:numId w:val="23"/>
        </w:numPr>
        <w:rPr>
          <w:rFonts w:ascii="Times New Roman" w:hAnsi="Times New Roman" w:cs="Times New Roman"/>
          <w:sz w:val="21"/>
          <w:szCs w:val="21"/>
        </w:rPr>
      </w:pPr>
      <m:oMath>
        <m:r>
          <m:rPr>
            <m:sty m:val="p"/>
          </m:rPr>
          <w:rPr>
            <w:rFonts w:ascii="Cambria Math" w:hAnsi="Cambria Math" w:cs="Times New Roman"/>
            <w:sz w:val="21"/>
            <w:szCs w:val="21"/>
          </w:rPr>
          <w:lastRenderedPageBreak/>
          <m:t>ln(</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The natural logarithm of </w:t>
      </w:r>
      <m:oMath>
        <m:r>
          <w:rPr>
            <w:rFonts w:ascii="Cambria Math" w:hAnsi="Cambria Math" w:cs="Times New Roman"/>
            <w:sz w:val="21"/>
            <w:szCs w:val="21"/>
          </w:rPr>
          <m:t>n</m:t>
        </m:r>
      </m:oMath>
      <w:r w:rsidRPr="009D048A">
        <w:rPr>
          <w:rFonts w:ascii="Times New Roman" w:hAnsi="Times New Roman" w:cs="Times New Roman"/>
          <w:sz w:val="21"/>
          <w:szCs w:val="21"/>
        </w:rPr>
        <w:t xml:space="preserve">. This captures </w:t>
      </w:r>
      <w:r w:rsidRPr="009D048A">
        <w:rPr>
          <w:rFonts w:ascii="Times New Roman" w:hAnsi="Times New Roman" w:cs="Times New Roman"/>
          <w:b/>
          <w:bCs/>
          <w:sz w:val="21"/>
          <w:szCs w:val="21"/>
        </w:rPr>
        <w:t>diminishing marginal returns</w:t>
      </w:r>
      <w:r w:rsidRPr="009D048A">
        <w:rPr>
          <w:rFonts w:ascii="Times New Roman" w:hAnsi="Times New Roman" w:cs="Times New Roman"/>
          <w:sz w:val="21"/>
          <w:szCs w:val="21"/>
        </w:rPr>
        <w:t>: the second band adds a lot (doubling labor force), but the twelfth band adds only a little. The logarithm is the mathematically natural way to express this.</w:t>
      </w:r>
    </w:p>
    <w:p w14:paraId="049B8B19" w14:textId="77777777" w:rsidR="00506C35" w:rsidRPr="009D048A" w:rsidRDefault="00000000">
      <w:pPr>
        <w:pStyle w:val="Compact"/>
        <w:numPr>
          <w:ilvl w:val="0"/>
          <w:numId w:val="23"/>
        </w:numPr>
        <w:rPr>
          <w:rFonts w:ascii="Times New Roman" w:hAnsi="Times New Roman" w:cs="Times New Roman"/>
          <w:sz w:val="21"/>
          <w:szCs w:val="21"/>
        </w:rPr>
      </w:pPr>
      <m:oMath>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The optimal group size. Below this, more bands always helps. Above this, crowding costs kick in.</w:t>
      </w:r>
    </w:p>
    <w:p w14:paraId="5E33F0BB" w14:textId="77777777" w:rsidR="00506C35" w:rsidRPr="009D048A" w:rsidRDefault="00000000">
      <w:pPr>
        <w:pStyle w:val="Compact"/>
        <w:numPr>
          <w:ilvl w:val="0"/>
          <w:numId w:val="23"/>
        </w:numPr>
        <w:rPr>
          <w:rFonts w:ascii="Times New Roman" w:hAnsi="Times New Roman" w:cs="Times New Roman"/>
          <w:sz w:val="21"/>
          <w:szCs w:val="21"/>
        </w:rPr>
      </w:pPr>
      <m:oMath>
        <m:r>
          <w:rPr>
            <w:rFonts w:ascii="Cambria Math" w:hAnsi="Cambria Math" w:cs="Times New Roman"/>
            <w:sz w:val="21"/>
            <w:szCs w:val="21"/>
          </w:rPr>
          <m:t>c</m:t>
        </m:r>
      </m:oMath>
      <w:r w:rsidRPr="009D048A">
        <w:rPr>
          <w:rFonts w:ascii="Times New Roman" w:hAnsi="Times New Roman" w:cs="Times New Roman"/>
          <w:sz w:val="21"/>
          <w:szCs w:val="21"/>
        </w:rPr>
        <w:t>: The crowding coefficient. How quickly do costs mount when the site is overcrowded?</w:t>
      </w:r>
    </w:p>
    <w:p w14:paraId="09A72E0C" w14:textId="77777777" w:rsidR="00506C35" w:rsidRPr="009D048A" w:rsidRDefault="00000000">
      <w:pPr>
        <w:pStyle w:val="Compact"/>
        <w:numPr>
          <w:ilvl w:val="0"/>
          <w:numId w:val="23"/>
        </w:numPr>
        <w:rPr>
          <w:rFonts w:ascii="Times New Roman" w:hAnsi="Times New Roman" w:cs="Times New Roman"/>
          <w:sz w:val="21"/>
          <w:szCs w:val="21"/>
        </w:rPr>
      </w:pPr>
      <m:oMath>
        <m:sSub>
          <m:sSubPr>
            <m:ctrlPr>
              <w:rPr>
                <w:rFonts w:ascii="Cambria Math" w:hAnsi="Cambria Math" w:cs="Times New Roman"/>
                <w:sz w:val="21"/>
                <w:szCs w:val="21"/>
              </w:rPr>
            </m:ctrlPr>
          </m:sSubPr>
          <m:e>
            <m:r>
              <m:rPr>
                <m:scr m:val="double-struck"/>
                <m:sty m:val="p"/>
              </m:rPr>
              <w:rPr>
                <w:rFonts w:ascii="Cambria Math" w:hAnsi="Cambria Math" w:cs="Times New Roman"/>
                <w:sz w:val="21"/>
                <w:szCs w:val="21"/>
              </w:rPr>
              <m:t>1</m:t>
            </m:r>
          </m:e>
          <m:sub>
            <m:r>
              <w:rPr>
                <w:rFonts w:ascii="Cambria Math" w:hAnsi="Cambria Math" w:cs="Times New Roman"/>
                <w:sz w:val="21"/>
                <w:szCs w:val="21"/>
              </w:rPr>
              <m:t>n</m:t>
            </m:r>
            <m:r>
              <m:rPr>
                <m:sty m:val="p"/>
              </m:rPr>
              <w:rPr>
                <w:rFonts w:ascii="Cambria Math" w:hAnsi="Cambria Math" w:cs="Times New Roman"/>
                <w:sz w:val="21"/>
                <w:szCs w:val="21"/>
              </w:rPr>
              <m:t>&gt;</m:t>
            </m:r>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sub>
        </m:sSub>
      </m:oMath>
      <w:r w:rsidRPr="009D048A">
        <w:rPr>
          <w:rFonts w:ascii="Times New Roman" w:hAnsi="Times New Roman" w:cs="Times New Roman"/>
          <w:sz w:val="21"/>
          <w:szCs w:val="21"/>
        </w:rPr>
        <w:t xml:space="preserve">: An indicator function that equals 1 when </w:t>
      </w:r>
      <m:oMath>
        <m:r>
          <w:rPr>
            <w:rFonts w:ascii="Cambria Math" w:hAnsi="Cambria Math" w:cs="Times New Roman"/>
            <w:sz w:val="21"/>
            <w:szCs w:val="21"/>
          </w:rPr>
          <m:t>n</m:t>
        </m:r>
        <m:r>
          <m:rPr>
            <m:sty m:val="p"/>
          </m:rPr>
          <w:rPr>
            <w:rFonts w:ascii="Cambria Math" w:hAnsi="Cambria Math" w:cs="Times New Roman"/>
            <w:sz w:val="21"/>
            <w:szCs w:val="21"/>
          </w:rPr>
          <m:t>&gt;</m:t>
        </m:r>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and 0 otherwise. Crowding costs only apply above the optimal size.</w:t>
      </w:r>
    </w:p>
    <w:p w14:paraId="6D9E3C5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Why logarithmic?</w:t>
      </w:r>
      <w:r w:rsidRPr="009D048A">
        <w:rPr>
          <w:rFonts w:ascii="Times New Roman" w:hAnsi="Times New Roman" w:cs="Times New Roman"/>
          <w:sz w:val="21"/>
          <w:szCs w:val="21"/>
        </w:rPr>
        <w:t xml:space="preserve"> Imagine the fish weir. With 1 band (20 people), you can build a small weir. With 2 bands (40 people), you can build a weir twice as wide and operate it in shifts, more than doubling your catch per person. With 4 bands, you have enough people for a large weir plus processing stations. But with 12 bands, the weir is already operating at capacity; the additional labor goes into diminishing-return activities. The logarithm captures this decreasing marginal benefit naturally.</w:t>
      </w:r>
    </w:p>
    <w:p w14:paraId="6A7E3929" w14:textId="77777777" w:rsidR="00506C35" w:rsidRPr="009D048A" w:rsidRDefault="00000000">
      <w:pPr>
        <w:pStyle w:val="Heading3"/>
        <w:rPr>
          <w:rFonts w:ascii="Times New Roman" w:hAnsi="Times New Roman" w:cs="Times New Roman"/>
          <w:sz w:val="22"/>
          <w:szCs w:val="22"/>
        </w:rPr>
      </w:pPr>
      <w:bookmarkStart w:id="51" w:name="lamoka-lake-values-1"/>
      <w:bookmarkEnd w:id="50"/>
      <w:r w:rsidRPr="009D048A">
        <w:rPr>
          <w:rFonts w:ascii="Times New Roman" w:hAnsi="Times New Roman" w:cs="Times New Roman"/>
          <w:sz w:val="22"/>
          <w:szCs w:val="22"/>
        </w:rPr>
        <w:t>9.3 Lamoka Lake Values</w:t>
      </w:r>
    </w:p>
    <w:p w14:paraId="0763CC77" w14:textId="77777777" w:rsidR="00506C35" w:rsidRPr="009D048A" w:rsidRDefault="00000000">
      <w:pPr>
        <w:pStyle w:val="Compact"/>
        <w:numPr>
          <w:ilvl w:val="0"/>
          <w:numId w:val="24"/>
        </w:numPr>
        <w:rPr>
          <w:rFonts w:ascii="Times New Roman" w:hAnsi="Times New Roman" w:cs="Times New Roman"/>
          <w:sz w:val="21"/>
          <w:szCs w:val="21"/>
        </w:rPr>
      </w:pPr>
      <m:oMath>
        <m:r>
          <w:rPr>
            <w:rFonts w:ascii="Cambria Math" w:hAnsi="Cambria Math" w:cs="Times New Roman"/>
            <w:sz w:val="21"/>
            <w:szCs w:val="21"/>
          </w:rPr>
          <m:t>b</m:t>
        </m:r>
        <m:r>
          <m:rPr>
            <m:sty m:val="p"/>
          </m:rPr>
          <w:rPr>
            <w:rFonts w:ascii="Cambria Math" w:hAnsi="Cambria Math" w:cs="Times New Roman"/>
            <w:sz w:val="21"/>
            <w:szCs w:val="21"/>
          </w:rPr>
          <m:t>=</m:t>
        </m:r>
        <m:r>
          <w:rPr>
            <w:rFonts w:ascii="Cambria Math" w:hAnsi="Cambria Math" w:cs="Times New Roman"/>
            <w:sz w:val="21"/>
            <w:szCs w:val="21"/>
          </w:rPr>
          <m:t>0.10</m:t>
        </m:r>
      </m:oMath>
      <w:r w:rsidRPr="009D048A">
        <w:rPr>
          <w:rFonts w:ascii="Times New Roman" w:hAnsi="Times New Roman" w:cs="Times New Roman"/>
          <w:sz w:val="21"/>
          <w:szCs w:val="21"/>
        </w:rPr>
        <w:t>: Strong per-capita returns from communal processing</w:t>
      </w:r>
    </w:p>
    <w:p w14:paraId="1AA79A4B" w14:textId="77777777" w:rsidR="00506C35" w:rsidRPr="009D048A" w:rsidRDefault="00000000">
      <w:pPr>
        <w:pStyle w:val="Compact"/>
        <w:numPr>
          <w:ilvl w:val="0"/>
          <w:numId w:val="24"/>
        </w:numPr>
        <w:rPr>
          <w:rFonts w:ascii="Times New Roman" w:hAnsi="Times New Roman" w:cs="Times New Roman"/>
          <w:sz w:val="21"/>
          <w:szCs w:val="21"/>
        </w:rPr>
      </w:pPr>
      <m:oMath>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12</m:t>
        </m:r>
      </m:oMath>
      <w:r w:rsidRPr="009D048A">
        <w:rPr>
          <w:rFonts w:ascii="Times New Roman" w:hAnsi="Times New Roman" w:cs="Times New Roman"/>
          <w:sz w:val="21"/>
          <w:szCs w:val="21"/>
        </w:rPr>
        <w:t xml:space="preserve"> bands: Site capacity of ~1.2 hectares limits optimal aggregation</w:t>
      </w:r>
    </w:p>
    <w:p w14:paraId="2AD6F767" w14:textId="77777777" w:rsidR="00506C35" w:rsidRPr="009D048A" w:rsidRDefault="00000000">
      <w:pPr>
        <w:pStyle w:val="Compact"/>
        <w:numPr>
          <w:ilvl w:val="0"/>
          <w:numId w:val="24"/>
        </w:numPr>
        <w:rPr>
          <w:rFonts w:ascii="Times New Roman" w:hAnsi="Times New Roman" w:cs="Times New Roman"/>
          <w:sz w:val="21"/>
          <w:szCs w:val="21"/>
        </w:rPr>
      </w:pPr>
      <m:oMath>
        <m:r>
          <w:rPr>
            <w:rFonts w:ascii="Cambria Math" w:hAnsi="Cambria Math" w:cs="Times New Roman"/>
            <w:sz w:val="21"/>
            <w:szCs w:val="21"/>
          </w:rPr>
          <m:t>c</m:t>
        </m:r>
        <m:r>
          <m:rPr>
            <m:sty m:val="p"/>
          </m:rPr>
          <w:rPr>
            <w:rFonts w:ascii="Cambria Math" w:hAnsi="Cambria Math" w:cs="Times New Roman"/>
            <w:sz w:val="21"/>
            <w:szCs w:val="21"/>
          </w:rPr>
          <m:t>=</m:t>
        </m:r>
        <m:r>
          <w:rPr>
            <w:rFonts w:ascii="Cambria Math" w:hAnsi="Cambria Math" w:cs="Times New Roman"/>
            <w:sz w:val="21"/>
            <w:szCs w:val="21"/>
          </w:rPr>
          <m:t>0.025</m:t>
        </m:r>
      </m:oMath>
      <w:r w:rsidRPr="009D048A">
        <w:rPr>
          <w:rFonts w:ascii="Times New Roman" w:hAnsi="Times New Roman" w:cs="Times New Roman"/>
          <w:sz w:val="21"/>
          <w:szCs w:val="21"/>
        </w:rPr>
        <w:t>: Higher crowding coefficient than Poverty Point because the site is small</w:t>
      </w:r>
    </w:p>
    <w:p w14:paraId="13DE013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At the optimal aggregation size (</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12</m:t>
        </m:r>
      </m:oMath>
      <w:r w:rsidRPr="009D048A">
        <w:rPr>
          <w:rFonts w:ascii="Times New Roman" w:hAnsi="Times New Roman" w:cs="Times New Roman"/>
          <w:sz w:val="21"/>
          <w:szCs w:val="21"/>
        </w:rPr>
        <w:t>):</w:t>
      </w:r>
    </w:p>
    <w:p w14:paraId="46E04EF3"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0.10</m:t>
          </m:r>
          <m:r>
            <m:rPr>
              <m:sty m:val="p"/>
            </m:rPr>
            <w:rPr>
              <w:rFonts w:ascii="Cambria Math" w:hAnsi="Cambria Math" w:cs="Times New Roman"/>
              <w:sz w:val="21"/>
              <w:szCs w:val="21"/>
            </w:rPr>
            <m:t>×ln(</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0.10</m:t>
          </m:r>
          <m:r>
            <m:rPr>
              <m:sty m:val="p"/>
            </m:rPr>
            <w:rPr>
              <w:rFonts w:ascii="Cambria Math" w:hAnsi="Cambria Math" w:cs="Times New Roman"/>
              <w:sz w:val="21"/>
              <w:szCs w:val="21"/>
            </w:rPr>
            <m:t>×</m:t>
          </m:r>
          <m:r>
            <w:rPr>
              <w:rFonts w:ascii="Cambria Math" w:hAnsi="Cambria Math" w:cs="Times New Roman"/>
              <w:sz w:val="21"/>
              <w:szCs w:val="21"/>
            </w:rPr>
            <m:t>2.485</m:t>
          </m:r>
          <m:r>
            <m:rPr>
              <m:sty m:val="p"/>
            </m:rPr>
            <w:rPr>
              <w:rFonts w:ascii="Cambria Math" w:hAnsi="Cambria Math" w:cs="Times New Roman"/>
              <w:sz w:val="21"/>
              <w:szCs w:val="21"/>
            </w:rPr>
            <m:t>=</m:t>
          </m:r>
          <m:r>
            <w:rPr>
              <w:rFonts w:ascii="Cambria Math" w:hAnsi="Cambria Math" w:cs="Times New Roman"/>
              <w:sz w:val="21"/>
              <w:szCs w:val="21"/>
            </w:rPr>
            <m:t>1.249</m:t>
          </m:r>
        </m:oMath>
      </m:oMathPara>
    </w:p>
    <w:p w14:paraId="2641A92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means a 24.9% productivity boost from cooperation, roughly matching Poverty Point’s 25.7% at its optimal size of 25 bands.</w:t>
      </w:r>
    </w:p>
    <w:p w14:paraId="40040893" w14:textId="77777777" w:rsidR="00506C35" w:rsidRPr="009D048A" w:rsidRDefault="00000000">
      <w:pPr>
        <w:pStyle w:val="Heading3"/>
        <w:rPr>
          <w:rFonts w:ascii="Times New Roman" w:hAnsi="Times New Roman" w:cs="Times New Roman"/>
          <w:sz w:val="22"/>
          <w:szCs w:val="22"/>
        </w:rPr>
      </w:pPr>
      <w:bookmarkStart w:id="52" w:name="how-to-estimate-b-and-n"/>
      <w:bookmarkEnd w:id="51"/>
      <w:r w:rsidRPr="009D048A">
        <w:rPr>
          <w:rFonts w:ascii="Times New Roman" w:hAnsi="Times New Roman" w:cs="Times New Roman"/>
          <w:sz w:val="22"/>
          <w:szCs w:val="22"/>
        </w:rPr>
        <w:t xml:space="preserve">9.4 How to Estimate </w:t>
      </w:r>
      <m:oMath>
        <m:r>
          <w:rPr>
            <w:rFonts w:ascii="Cambria Math" w:hAnsi="Cambria Math" w:cs="Times New Roman"/>
            <w:sz w:val="22"/>
            <w:szCs w:val="22"/>
          </w:rPr>
          <m:t>b</m:t>
        </m:r>
      </m:oMath>
      <w:r w:rsidRPr="009D048A">
        <w:rPr>
          <w:rFonts w:ascii="Times New Roman" w:hAnsi="Times New Roman" w:cs="Times New Roman"/>
          <w:sz w:val="22"/>
          <w:szCs w:val="22"/>
        </w:rPr>
        <w:t xml:space="preserve"> and </w:t>
      </w:r>
      <m:oMath>
        <m:sSup>
          <m:sSupPr>
            <m:ctrlPr>
              <w:rPr>
                <w:rFonts w:ascii="Cambria Math" w:hAnsi="Cambria Math" w:cs="Times New Roman"/>
                <w:sz w:val="22"/>
                <w:szCs w:val="22"/>
              </w:rPr>
            </m:ctrlPr>
          </m:sSupPr>
          <m:e>
            <m:r>
              <w:rPr>
                <w:rFonts w:ascii="Cambria Math" w:hAnsi="Cambria Math" w:cs="Times New Roman"/>
                <w:sz w:val="22"/>
                <w:szCs w:val="22"/>
              </w:rPr>
              <m:t>n</m:t>
            </m:r>
          </m:e>
          <m:sup>
            <m:r>
              <m:rPr>
                <m:sty m:val="p"/>
              </m:rPr>
              <w:rPr>
                <w:rFonts w:ascii="Cambria Math" w:hAnsi="Cambria Math" w:cs="Times New Roman"/>
                <w:sz w:val="22"/>
                <w:szCs w:val="22"/>
              </w:rPr>
              <m:t>*</m:t>
            </m:r>
          </m:sup>
        </m:sSup>
      </m:oMath>
    </w:p>
    <w:p w14:paraId="75C9D87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Ethnographic data on communal processing returns.</w:t>
      </w:r>
      <w:r w:rsidRPr="009D048A">
        <w:rPr>
          <w:rFonts w:ascii="Times New Roman" w:hAnsi="Times New Roman" w:cs="Times New Roman"/>
          <w:sz w:val="21"/>
          <w:szCs w:val="21"/>
        </w:rPr>
        <w:t xml:space="preserve"> Documented cases of communal fishing show returns per person increasing substantially with group size. Suttles (1968) documented communal reef-net fishing among Straits Salish groups where cooperative crews of 6-15 achieved 2-3 times the per-capita catch of individual fishers. Cleland (1982) described communal fish weir operations in the Great Lakes region where cooperative labor forces of 20-50 people produced returns 50-200% above individual effort. Winterhalder (1986) modeled these returns to scale effects and showed they follow a diminishing-returns pattern consistent with logarithmic benefits. This supports </w:t>
      </w:r>
      <m:oMath>
        <m:r>
          <w:rPr>
            <w:rFonts w:ascii="Cambria Math" w:hAnsi="Cambria Math" w:cs="Times New Roman"/>
            <w:sz w:val="21"/>
            <w:szCs w:val="21"/>
          </w:rPr>
          <m:t>b</m:t>
        </m:r>
      </m:oMath>
      <w:r w:rsidRPr="009D048A">
        <w:rPr>
          <w:rFonts w:ascii="Times New Roman" w:hAnsi="Times New Roman" w:cs="Times New Roman"/>
          <w:sz w:val="21"/>
          <w:szCs w:val="21"/>
        </w:rPr>
        <w:t xml:space="preserve"> in the range 0.05-0.15.</w:t>
      </w:r>
    </w:p>
    <w:p w14:paraId="5B81A6F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Site area as constraint on </w:t>
      </w:r>
      <m:oMath>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At 1.2 hectares, Lamoka Lake can physically accommodate approximately 200-300 people during a seasonal gathering. Whitelaw (1991) compiled ethnographic data on camp floor area requirements, finding that short-duration aggregation camps require approximately 40-60 m</w:t>
      </w:r>
      <m:oMath>
        <m:sSup>
          <m:sSupPr>
            <m:ctrlPr>
              <w:rPr>
                <w:rFonts w:ascii="Cambria Math" w:hAnsi="Cambria Math" w:cs="Times New Roman"/>
                <w:sz w:val="21"/>
                <w:szCs w:val="21"/>
              </w:rPr>
            </m:ctrlPr>
          </m:sSupPr>
          <m:e>
            <m:r>
              <w:rPr>
                <w:rFonts w:ascii="Cambria Math" w:hAnsi="Cambria Math" w:cs="Times New Roman"/>
                <w:sz w:val="21"/>
                <w:szCs w:val="21"/>
              </w:rPr>
              <m:t>​</m:t>
            </m:r>
          </m:e>
          <m:sup>
            <m:r>
              <w:rPr>
                <w:rFonts w:ascii="Cambria Math" w:hAnsi="Cambria Math" w:cs="Times New Roman"/>
                <w:sz w:val="21"/>
                <w:szCs w:val="21"/>
              </w:rPr>
              <m:t>2</m:t>
            </m:r>
          </m:sup>
        </m:sSup>
      </m:oMath>
      <w:r w:rsidRPr="009D048A">
        <w:rPr>
          <w:rFonts w:ascii="Times New Roman" w:hAnsi="Times New Roman" w:cs="Times New Roman"/>
          <w:sz w:val="21"/>
          <w:szCs w:val="21"/>
        </w:rPr>
        <w:t xml:space="preserve"> per person (compared to 100+ m</w:t>
      </w:r>
      <m:oMath>
        <m:sSup>
          <m:sSupPr>
            <m:ctrlPr>
              <w:rPr>
                <w:rFonts w:ascii="Cambria Math" w:hAnsi="Cambria Math" w:cs="Times New Roman"/>
                <w:sz w:val="21"/>
                <w:szCs w:val="21"/>
              </w:rPr>
            </m:ctrlPr>
          </m:sSupPr>
          <m:e>
            <m:r>
              <w:rPr>
                <w:rFonts w:ascii="Cambria Math" w:hAnsi="Cambria Math" w:cs="Times New Roman"/>
                <w:sz w:val="21"/>
                <w:szCs w:val="21"/>
              </w:rPr>
              <m:t>​</m:t>
            </m:r>
          </m:e>
          <m:sup>
            <m:r>
              <w:rPr>
                <w:rFonts w:ascii="Cambria Math" w:hAnsi="Cambria Math" w:cs="Times New Roman"/>
                <w:sz w:val="21"/>
                <w:szCs w:val="21"/>
              </w:rPr>
              <m:t>2</m:t>
            </m:r>
          </m:sup>
        </m:sSup>
      </m:oMath>
      <w:r w:rsidRPr="009D048A">
        <w:rPr>
          <w:rFonts w:ascii="Times New Roman" w:hAnsi="Times New Roman" w:cs="Times New Roman"/>
          <w:sz w:val="21"/>
          <w:szCs w:val="21"/>
        </w:rPr>
        <w:t xml:space="preserve"> for long-term residential camps). At 1.2 hectares (12,000 m</w:t>
      </w:r>
      <m:oMath>
        <m:sSup>
          <m:sSupPr>
            <m:ctrlPr>
              <w:rPr>
                <w:rFonts w:ascii="Cambria Math" w:hAnsi="Cambria Math" w:cs="Times New Roman"/>
                <w:sz w:val="21"/>
                <w:szCs w:val="21"/>
              </w:rPr>
            </m:ctrlPr>
          </m:sSupPr>
          <m:e>
            <m:r>
              <w:rPr>
                <w:rFonts w:ascii="Cambria Math" w:hAnsi="Cambria Math" w:cs="Times New Roman"/>
                <w:sz w:val="21"/>
                <w:szCs w:val="21"/>
              </w:rPr>
              <m:t>​</m:t>
            </m:r>
          </m:e>
          <m:sup>
            <m:r>
              <w:rPr>
                <w:rFonts w:ascii="Cambria Math" w:hAnsi="Cambria Math" w:cs="Times New Roman"/>
                <w:sz w:val="21"/>
                <w:szCs w:val="21"/>
              </w:rPr>
              <m:t>2</m:t>
            </m:r>
          </m:sup>
        </m:sSup>
      </m:oMath>
      <w:r w:rsidRPr="009D048A">
        <w:rPr>
          <w:rFonts w:ascii="Times New Roman" w:hAnsi="Times New Roman" w:cs="Times New Roman"/>
          <w:sz w:val="21"/>
          <w:szCs w:val="21"/>
        </w:rPr>
        <w:t>) and 40-60 m</w:t>
      </w:r>
      <m:oMath>
        <m:sSup>
          <m:sSupPr>
            <m:ctrlPr>
              <w:rPr>
                <w:rFonts w:ascii="Cambria Math" w:hAnsi="Cambria Math" w:cs="Times New Roman"/>
                <w:sz w:val="21"/>
                <w:szCs w:val="21"/>
              </w:rPr>
            </m:ctrlPr>
          </m:sSupPr>
          <m:e>
            <m:r>
              <w:rPr>
                <w:rFonts w:ascii="Cambria Math" w:hAnsi="Cambria Math" w:cs="Times New Roman"/>
                <w:sz w:val="21"/>
                <w:szCs w:val="21"/>
              </w:rPr>
              <m:t>​</m:t>
            </m:r>
          </m:e>
          <m:sup>
            <m:r>
              <w:rPr>
                <w:rFonts w:ascii="Cambria Math" w:hAnsi="Cambria Math" w:cs="Times New Roman"/>
                <w:sz w:val="21"/>
                <w:szCs w:val="21"/>
              </w:rPr>
              <m:t>2</m:t>
            </m:r>
          </m:sup>
        </m:sSup>
      </m:oMath>
      <w:r w:rsidRPr="009D048A">
        <w:rPr>
          <w:rFonts w:ascii="Times New Roman" w:hAnsi="Times New Roman" w:cs="Times New Roman"/>
          <w:sz w:val="21"/>
          <w:szCs w:val="21"/>
        </w:rPr>
        <w:t xml:space="preserve"> per person, the site accommodates 200-300 people. At 20 people per band, this is 10-15 bands, centered on 12.</w:t>
      </w:r>
    </w:p>
    <w:p w14:paraId="17EE4C7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Faunal and botanical evidence for scale of processing.</w:t>
      </w:r>
      <w:r w:rsidRPr="009D048A">
        <w:rPr>
          <w:rFonts w:ascii="Times New Roman" w:hAnsi="Times New Roman" w:cs="Times New Roman"/>
          <w:sz w:val="21"/>
          <w:szCs w:val="21"/>
        </w:rPr>
        <w:t xml:space="preserve"> The number and size of smoking platforms, fish weir extent, and storage pit volume provide evidence for the scale of communal activities. If the fish weir in the outlet channel required 8+ bands to operate effectively (based on similar ethnographic weir operations), this constrains the minimum aggregation size for full communal processing.</w:t>
      </w:r>
    </w:p>
    <w:p w14:paraId="2BF712D8"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lastRenderedPageBreak/>
        <w:drawing>
          <wp:inline distT="0" distB="0" distL="0" distR="0" wp14:anchorId="4D7B8C84" wp14:editId="17CA8E35">
            <wp:extent cx="5334000" cy="3404900"/>
            <wp:effectExtent l="0" t="0" r="0" b="0"/>
            <wp:docPr id="78" name="Picture" descr="Figure 6. Returns to scale: the cooperation benefit f(n). The logarithmic benefit curve shows increasing returns up to n* = 12 bands, then crowding costs. Green dots mark minimum worker thresholds for communal activities. At n = 12, f(n) = 1.249, a 24.9% productivity boost."/>
            <wp:cNvGraphicFramePr/>
            <a:graphic xmlns:a="http://schemas.openxmlformats.org/drawingml/2006/main">
              <a:graphicData uri="http://schemas.openxmlformats.org/drawingml/2006/picture">
                <pic:pic xmlns:pic="http://schemas.openxmlformats.org/drawingml/2006/picture">
                  <pic:nvPicPr>
                    <pic:cNvPr id="79" name="Picture" descr="figures/fig_06_returns_to_scale.png"/>
                    <pic:cNvPicPr>
                      <a:picLocks noChangeAspect="1" noChangeArrowheads="1"/>
                    </pic:cNvPicPr>
                  </pic:nvPicPr>
                  <pic:blipFill>
                    <a:blip r:embed="rId11"/>
                    <a:stretch>
                      <a:fillRect/>
                    </a:stretch>
                  </pic:blipFill>
                  <pic:spPr bwMode="auto">
                    <a:xfrm>
                      <a:off x="0" y="0"/>
                      <a:ext cx="5334000" cy="3404900"/>
                    </a:xfrm>
                    <a:prstGeom prst="rect">
                      <a:avLst/>
                    </a:prstGeom>
                    <a:noFill/>
                    <a:ln w="9525">
                      <a:noFill/>
                      <a:headEnd/>
                      <a:tailEnd/>
                    </a:ln>
                  </pic:spPr>
                </pic:pic>
              </a:graphicData>
            </a:graphic>
          </wp:inline>
        </w:drawing>
      </w:r>
    </w:p>
    <w:p w14:paraId="409ABE1D"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6. Returns to scale: the cooperation benefit f(n). The logarithmic benefit curve shows increasing returns up to n* = 12 bands, then crowding costs. Green dots mark minimum worker thresholds for communal activities. At n = 12, f(n) = 1.249, a 24.9% productivity boost.</w:t>
      </w:r>
    </w:p>
    <w:p w14:paraId="0B7C299E" w14:textId="77777777" w:rsidR="00506C35" w:rsidRPr="009D048A" w:rsidRDefault="00000000">
      <w:pPr>
        <w:pStyle w:val="Heading3"/>
        <w:rPr>
          <w:rFonts w:ascii="Times New Roman" w:hAnsi="Times New Roman" w:cs="Times New Roman"/>
          <w:sz w:val="22"/>
          <w:szCs w:val="22"/>
        </w:rPr>
      </w:pPr>
      <w:bookmarkStart w:id="53" w:name="how-fn-modifies-the-threshold"/>
      <w:bookmarkEnd w:id="52"/>
      <w:r w:rsidRPr="009D048A">
        <w:rPr>
          <w:rFonts w:ascii="Times New Roman" w:hAnsi="Times New Roman" w:cs="Times New Roman"/>
          <w:sz w:val="22"/>
          <w:szCs w:val="22"/>
        </w:rPr>
        <w:t xml:space="preserve">9.5 How </w:t>
      </w:r>
      <m:oMath>
        <m:r>
          <w:rPr>
            <w:rFonts w:ascii="Cambria Math" w:hAnsi="Cambria Math" w:cs="Times New Roman"/>
            <w:sz w:val="22"/>
            <w:szCs w:val="22"/>
          </w:rPr>
          <m:t>f</m:t>
        </m:r>
        <m:r>
          <m:rPr>
            <m:sty m:val="p"/>
          </m:rPr>
          <w:rPr>
            <w:rFonts w:ascii="Cambria Math" w:hAnsi="Cambria Math" w:cs="Times New Roman"/>
            <w:sz w:val="22"/>
            <w:szCs w:val="22"/>
          </w:rPr>
          <m:t>(</m:t>
        </m:r>
        <m:r>
          <w:rPr>
            <w:rFonts w:ascii="Cambria Math" w:hAnsi="Cambria Math" w:cs="Times New Roman"/>
            <w:sz w:val="22"/>
            <w:szCs w:val="22"/>
          </w:rPr>
          <m:t>n</m:t>
        </m:r>
        <m:r>
          <m:rPr>
            <m:sty m:val="p"/>
          </m:rPr>
          <w:rPr>
            <w:rFonts w:ascii="Cambria Math" w:hAnsi="Cambria Math" w:cs="Times New Roman"/>
            <w:sz w:val="22"/>
            <w:szCs w:val="22"/>
          </w:rPr>
          <m:t>)</m:t>
        </m:r>
      </m:oMath>
      <w:r w:rsidRPr="009D048A">
        <w:rPr>
          <w:rFonts w:ascii="Times New Roman" w:hAnsi="Times New Roman" w:cs="Times New Roman"/>
          <w:sz w:val="22"/>
          <w:szCs w:val="22"/>
        </w:rPr>
        <w:t xml:space="preserve"> Modifies the Threshold</w:t>
      </w:r>
    </w:p>
    <w:p w14:paraId="3555460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With cooperation benefits included, the aggregator fitness becomes:</w:t>
      </w:r>
    </w:p>
    <w:p w14:paraId="236C33CA"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m:oMathPara>
    </w:p>
    <w:p w14:paraId="090B9D8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threshold equation uses a composite term </w:t>
      </w:r>
      <m:oMath>
        <m:r>
          <w:rPr>
            <w:rFonts w:ascii="Cambria Math" w:hAnsi="Cambria Math" w:cs="Times New Roman"/>
            <w:sz w:val="21"/>
            <w:szCs w:val="21"/>
          </w:rPr>
          <m:t>A</m:t>
        </m:r>
      </m:oMath>
      <w:r w:rsidRPr="009D048A">
        <w:rPr>
          <w:rFonts w:ascii="Times New Roman" w:hAnsi="Times New Roman" w:cs="Times New Roman"/>
          <w:sz w:val="21"/>
          <w:szCs w:val="21"/>
        </w:rPr>
        <w:t>:</w:t>
      </w:r>
    </w:p>
    <w:p w14:paraId="1DA73962"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m:oMathPara>
    </w:p>
    <w:p w14:paraId="3351295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Since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)&gt;</m:t>
        </m:r>
        <m:r>
          <w:rPr>
            <w:rFonts w:ascii="Cambria Math" w:hAnsi="Cambria Math" w:cs="Times New Roman"/>
            <w:sz w:val="21"/>
            <w:szCs w:val="21"/>
          </w:rPr>
          <m:t>1</m:t>
        </m:r>
      </m:oMath>
      <w:r w:rsidRPr="009D048A">
        <w:rPr>
          <w:rFonts w:ascii="Times New Roman" w:hAnsi="Times New Roman" w:cs="Times New Roman"/>
          <w:sz w:val="21"/>
          <w:szCs w:val="21"/>
        </w:rPr>
        <w:t xml:space="preserve"> (when there are cooperation benefits), </w:t>
      </w:r>
      <m:oMath>
        <m:r>
          <w:rPr>
            <w:rFonts w:ascii="Cambria Math" w:hAnsi="Cambria Math" w:cs="Times New Roman"/>
            <w:sz w:val="21"/>
            <w:szCs w:val="21"/>
          </w:rPr>
          <m:t>A</m:t>
        </m:r>
        <m:r>
          <m:rPr>
            <m:sty m:val="p"/>
          </m:rPr>
          <w:rPr>
            <w:rFonts w:ascii="Cambria Math" w:hAnsi="Cambria Math" w:cs="Times New Roman"/>
            <w:sz w:val="21"/>
            <w:szCs w:val="21"/>
          </w:rPr>
          <m:t>&gt;(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which means the numerator of the threshold equation decreases and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drops. Returns to scale lower the threshold, making aggregation viable in less variable environments.</w:t>
      </w:r>
    </w:p>
    <w:p w14:paraId="4BAAAB31"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2AC8F680">
          <v:rect id="_x0000_i1039" alt="" style="width:468pt;height:.05pt;mso-width-percent:0;mso-height-percent:0;mso-width-percent:0;mso-height-percent:0" o:hralign="center" o:hrstd="t" o:hr="t"/>
        </w:pict>
      </w:r>
    </w:p>
    <w:p w14:paraId="6D765B6D" w14:textId="77777777" w:rsidR="00506C35" w:rsidRPr="009D048A" w:rsidRDefault="00000000">
      <w:pPr>
        <w:pStyle w:val="Heading2"/>
        <w:rPr>
          <w:rFonts w:ascii="Times New Roman" w:hAnsi="Times New Roman" w:cs="Times New Roman"/>
          <w:sz w:val="24"/>
          <w:szCs w:val="24"/>
        </w:rPr>
      </w:pPr>
      <w:bookmarkStart w:id="54" w:name="X2e6fa5b11a36224150d92ca56140c1d6ace91c4"/>
      <w:bookmarkEnd w:id="48"/>
      <w:bookmarkEnd w:id="53"/>
      <w:r w:rsidRPr="009D048A">
        <w:rPr>
          <w:rFonts w:ascii="Times New Roman" w:hAnsi="Times New Roman" w:cs="Times New Roman"/>
          <w:sz w:val="24"/>
          <w:szCs w:val="24"/>
        </w:rPr>
        <w:t>10. Social Insurance: Reciprocal Obligations (</w:t>
      </w:r>
      <m:oMath>
        <m:sSub>
          <m:sSubPr>
            <m:ctrlPr>
              <w:rPr>
                <w:rFonts w:ascii="Cambria Math" w:hAnsi="Cambria Math" w:cs="Times New Roman"/>
                <w:sz w:val="24"/>
                <w:szCs w:val="24"/>
              </w:rPr>
            </m:ctrlPr>
          </m:sSubPr>
          <m:e>
            <m:r>
              <w:rPr>
                <w:rFonts w:ascii="Cambria Math" w:hAnsi="Cambria Math" w:cs="Times New Roman"/>
                <w:sz w:val="24"/>
                <w:szCs w:val="24"/>
              </w:rPr>
              <m:t>B</m:t>
            </m:r>
          </m:e>
          <m:sub>
            <m:r>
              <m:rPr>
                <m:nor/>
              </m:rPr>
              <w:rPr>
                <w:rFonts w:ascii="Times New Roman" w:hAnsi="Times New Roman" w:cs="Times New Roman"/>
                <w:sz w:val="24"/>
                <w:szCs w:val="24"/>
              </w:rPr>
              <m:t>recip</m:t>
            </m:r>
          </m:sub>
        </m:sSub>
      </m:oMath>
      <w:r w:rsidRPr="009D048A">
        <w:rPr>
          <w:rFonts w:ascii="Times New Roman" w:hAnsi="Times New Roman" w:cs="Times New Roman"/>
          <w:sz w:val="24"/>
          <w:szCs w:val="24"/>
        </w:rPr>
        <w:t>)</w:t>
      </w:r>
    </w:p>
    <w:p w14:paraId="709E62A0" w14:textId="77777777" w:rsidR="00506C35" w:rsidRPr="009D048A" w:rsidRDefault="00000000">
      <w:pPr>
        <w:pStyle w:val="Heading3"/>
        <w:rPr>
          <w:rFonts w:ascii="Times New Roman" w:hAnsi="Times New Roman" w:cs="Times New Roman"/>
          <w:sz w:val="22"/>
          <w:szCs w:val="22"/>
        </w:rPr>
      </w:pPr>
      <w:bookmarkStart w:id="55" w:name="what-we-are-adding-and-why-6"/>
      <w:r w:rsidRPr="009D048A">
        <w:rPr>
          <w:rFonts w:ascii="Times New Roman" w:hAnsi="Times New Roman" w:cs="Times New Roman"/>
          <w:sz w:val="22"/>
          <w:szCs w:val="22"/>
        </w:rPr>
        <w:t>10.1 What We Are Adding and Why</w:t>
      </w:r>
    </w:p>
    <w:p w14:paraId="073A81E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Aggregation is not a one-shot interaction. Bands that repeatedly co-aggregate form social bonds, debts of mutual aid that can be called upon in future shortfalls. If your band had a bad winter, you can call on bands you helped process fish last fall. These reciprocal obligations provide insurance value beyond the immediate returns of communal processing.</w:t>
      </w:r>
    </w:p>
    <w:p w14:paraId="6A960C13" w14:textId="77777777" w:rsidR="00506C35" w:rsidRPr="009D048A" w:rsidRDefault="00000000">
      <w:pPr>
        <w:pStyle w:val="Heading3"/>
        <w:rPr>
          <w:rFonts w:ascii="Times New Roman" w:hAnsi="Times New Roman" w:cs="Times New Roman"/>
          <w:sz w:val="22"/>
          <w:szCs w:val="22"/>
        </w:rPr>
      </w:pPr>
      <w:bookmarkStart w:id="56" w:name="the-math-5"/>
      <w:bookmarkEnd w:id="55"/>
      <w:r w:rsidRPr="009D048A">
        <w:rPr>
          <w:rFonts w:ascii="Times New Roman" w:hAnsi="Times New Roman" w:cs="Times New Roman"/>
          <w:sz w:val="22"/>
          <w:szCs w:val="22"/>
        </w:rPr>
        <w:t>10.2 The Math</w:t>
      </w:r>
    </w:p>
    <w:p w14:paraId="195A259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Reciprocal obligations enter the fitness function as a multiplier:</w:t>
      </w:r>
    </w:p>
    <w:p w14:paraId="32611941"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p w14:paraId="52128EB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where </w:t>
      </w:r>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oMath>
      <w:r w:rsidRPr="009D048A">
        <w:rPr>
          <w:rFonts w:ascii="Times New Roman" w:hAnsi="Times New Roman" w:cs="Times New Roman"/>
          <w:sz w:val="21"/>
          <w:szCs w:val="21"/>
        </w:rPr>
        <w:t xml:space="preserve"> represents the proportional fitness boost from having a network of reciprocal obligations:</w:t>
      </w:r>
    </w:p>
    <w:p w14:paraId="2CF98328"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nary>
            <m:naryPr>
              <m:chr m:val="∑"/>
              <m:limLoc m:val="undOvr"/>
              <m:supHide m:val="1"/>
              <m:ctrlPr>
                <w:rPr>
                  <w:rFonts w:ascii="Cambria Math" w:hAnsi="Cambria Math" w:cs="Times New Roman"/>
                  <w:sz w:val="21"/>
                  <w:szCs w:val="21"/>
                </w:rPr>
              </m:ctrlPr>
            </m:naryPr>
            <m:sub>
              <m:r>
                <w:rPr>
                  <w:rFonts w:ascii="Cambria Math" w:hAnsi="Cambria Math" w:cs="Times New Roman"/>
                  <w:sz w:val="21"/>
                  <w:szCs w:val="21"/>
                </w:rPr>
                <m:t>j</m:t>
              </m:r>
            </m:sub>
            <m:sup>
              <m:r>
                <w:rPr>
                  <w:rFonts w:ascii="Cambria Math" w:hAnsi="Cambria Math" w:cs="Times New Roman"/>
                  <w:sz w:val="21"/>
                  <w:szCs w:val="21"/>
                </w:rPr>
                <m:t>​</m:t>
              </m:r>
            </m:sup>
            <m:e>
              <m:sSub>
                <m:sSubPr>
                  <m:ctrlPr>
                    <w:rPr>
                      <w:rFonts w:ascii="Cambria Math" w:hAnsi="Cambria Math" w:cs="Times New Roman"/>
                      <w:sz w:val="21"/>
                      <w:szCs w:val="21"/>
                    </w:rPr>
                  </m:ctrlPr>
                </m:sSubPr>
                <m:e>
                  <m:r>
                    <w:rPr>
                      <w:rFonts w:ascii="Cambria Math" w:hAnsi="Cambria Math" w:cs="Times New Roman"/>
                      <w:sz w:val="21"/>
                      <w:szCs w:val="21"/>
                    </w:rPr>
                    <m:t>p</m:t>
                  </m:r>
                </m:e>
                <m:sub>
                  <m:r>
                    <m:rPr>
                      <m:nor/>
                    </m:rPr>
                    <w:rPr>
                      <w:rFonts w:ascii="Times New Roman" w:hAnsi="Times New Roman" w:cs="Times New Roman"/>
                      <w:sz w:val="21"/>
                      <w:szCs w:val="21"/>
                    </w:rPr>
                    <m:t>call</m:t>
                  </m:r>
                </m:sub>
              </m:sSub>
            </m:e>
          </m:nary>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V</m:t>
              </m:r>
            </m:e>
            <m:sub>
              <m:r>
                <m:rPr>
                  <m:nor/>
                </m:rPr>
                <w:rPr>
                  <w:rFonts w:ascii="Times New Roman" w:hAnsi="Times New Roman" w:cs="Times New Roman"/>
                  <w:sz w:val="21"/>
                  <w:szCs w:val="21"/>
                </w:rPr>
                <m:t>help</m:t>
              </m:r>
            </m:sub>
          </m:sSub>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d</m:t>
              </m:r>
            </m:e>
            <m:sub>
              <m:r>
                <m:rPr>
                  <m:nor/>
                </m:rPr>
                <w:rPr>
                  <w:rFonts w:ascii="Times New Roman" w:hAnsi="Times New Roman" w:cs="Times New Roman"/>
                  <w:sz w:val="21"/>
                  <w:szCs w:val="21"/>
                </w:rPr>
                <m:t>trust</m:t>
              </m:r>
            </m:sub>
          </m:sSub>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oMath>
      </m:oMathPara>
    </w:p>
    <w:p w14:paraId="7B29615B" w14:textId="77777777" w:rsidR="00506C35" w:rsidRPr="009D048A" w:rsidRDefault="00000000">
      <w:pPr>
        <w:pStyle w:val="Compact"/>
        <w:numPr>
          <w:ilvl w:val="0"/>
          <w:numId w:val="25"/>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p</m:t>
            </m:r>
          </m:e>
          <m:sub>
            <m:r>
              <m:rPr>
                <m:nor/>
              </m:rPr>
              <w:rPr>
                <w:rFonts w:ascii="Times New Roman" w:hAnsi="Times New Roman" w:cs="Times New Roman"/>
                <w:sz w:val="21"/>
                <w:szCs w:val="21"/>
              </w:rPr>
              <m:t>call</m:t>
            </m:r>
          </m:sub>
        </m:sSub>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Probability of needing to invoke obligation </w:t>
      </w:r>
      <m:oMath>
        <m:r>
          <w:rPr>
            <w:rFonts w:ascii="Cambria Math" w:hAnsi="Cambria Math" w:cs="Times New Roman"/>
            <w:sz w:val="21"/>
            <w:szCs w:val="21"/>
          </w:rPr>
          <m:t>j</m:t>
        </m:r>
      </m:oMath>
      <w:r w:rsidRPr="009D048A">
        <w:rPr>
          <w:rFonts w:ascii="Times New Roman" w:hAnsi="Times New Roman" w:cs="Times New Roman"/>
          <w:sz w:val="21"/>
          <w:szCs w:val="21"/>
        </w:rPr>
        <w:t xml:space="preserve"> in a given year (proportional to </w:t>
      </w:r>
      <m:oMath>
        <m:r>
          <w:rPr>
            <w:rFonts w:ascii="Cambria Math" w:hAnsi="Cambria Math" w:cs="Times New Roman"/>
            <w:sz w:val="21"/>
            <w:szCs w:val="21"/>
          </w:rPr>
          <m:t>σ</m:t>
        </m:r>
      </m:oMath>
      <w:r w:rsidRPr="009D048A">
        <w:rPr>
          <w:rFonts w:ascii="Times New Roman" w:hAnsi="Times New Roman" w:cs="Times New Roman"/>
          <w:sz w:val="21"/>
          <w:szCs w:val="21"/>
        </w:rPr>
        <w:t>; more variable environments mean more frequent calls for help)</w:t>
      </w:r>
    </w:p>
    <w:p w14:paraId="7D88D95D" w14:textId="77777777" w:rsidR="00506C35" w:rsidRPr="009D048A" w:rsidRDefault="00000000">
      <w:pPr>
        <w:pStyle w:val="Compact"/>
        <w:numPr>
          <w:ilvl w:val="0"/>
          <w:numId w:val="25"/>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V</m:t>
            </m:r>
          </m:e>
          <m:sub>
            <m:r>
              <m:rPr>
                <m:nor/>
              </m:rPr>
              <w:rPr>
                <w:rFonts w:ascii="Times New Roman" w:hAnsi="Times New Roman" w:cs="Times New Roman"/>
                <w:sz w:val="21"/>
                <w:szCs w:val="21"/>
              </w:rPr>
              <m:t>help</m:t>
            </m:r>
          </m:sub>
        </m:sSub>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oMath>
      <w:r w:rsidRPr="009D048A">
        <w:rPr>
          <w:rFonts w:ascii="Times New Roman" w:hAnsi="Times New Roman" w:cs="Times New Roman"/>
          <w:sz w:val="21"/>
          <w:szCs w:val="21"/>
        </w:rPr>
        <w:t>: Value of received help relative to baseline fitness (food sharing, labor assistance, information)</w:t>
      </w:r>
    </w:p>
    <w:p w14:paraId="0607C7FD" w14:textId="77777777" w:rsidR="00506C35" w:rsidRPr="009D048A" w:rsidRDefault="00000000">
      <w:pPr>
        <w:pStyle w:val="Compact"/>
        <w:numPr>
          <w:ilvl w:val="0"/>
          <w:numId w:val="25"/>
        </w:numPr>
        <w:rPr>
          <w:rFonts w:ascii="Times New Roman" w:hAnsi="Times New Roman" w:cs="Times New Roman"/>
          <w:sz w:val="21"/>
          <w:szCs w:val="21"/>
        </w:rPr>
      </w:pPr>
      <m:oMath>
        <m:sSub>
          <m:sSubPr>
            <m:ctrlPr>
              <w:rPr>
                <w:rFonts w:ascii="Cambria Math" w:hAnsi="Cambria Math" w:cs="Times New Roman"/>
                <w:sz w:val="21"/>
                <w:szCs w:val="21"/>
              </w:rPr>
            </m:ctrlPr>
          </m:sSubPr>
          <m:e>
            <m:r>
              <w:rPr>
                <w:rFonts w:ascii="Cambria Math" w:hAnsi="Cambria Math" w:cs="Times New Roman"/>
                <w:sz w:val="21"/>
                <w:szCs w:val="21"/>
              </w:rPr>
              <m:t>d</m:t>
            </m:r>
          </m:e>
          <m:sub>
            <m:r>
              <m:rPr>
                <m:nor/>
              </m:rPr>
              <w:rPr>
                <w:rFonts w:ascii="Times New Roman" w:hAnsi="Times New Roman" w:cs="Times New Roman"/>
                <w:sz w:val="21"/>
                <w:szCs w:val="21"/>
              </w:rPr>
              <m:t>trust</m:t>
            </m:r>
          </m:sub>
        </m:sSub>
        <m:r>
          <m:rPr>
            <m:sty m:val="p"/>
          </m:rPr>
          <w:rPr>
            <w:rFonts w:ascii="Cambria Math" w:hAnsi="Cambria Math" w:cs="Times New Roman"/>
            <w:sz w:val="21"/>
            <w:szCs w:val="21"/>
          </w:rPr>
          <m:t>(</m:t>
        </m:r>
        <m:r>
          <w:rPr>
            <w:rFonts w:ascii="Cambria Math" w:hAnsi="Cambria Math" w:cs="Times New Roman"/>
            <w:sz w:val="21"/>
            <w:szCs w:val="21"/>
          </w:rPr>
          <m:t>j</m:t>
        </m:r>
        <m:r>
          <m:rPr>
            <m:sty m:val="p"/>
          </m:rPr>
          <w:rPr>
            <w:rFonts w:ascii="Cambria Math" w:hAnsi="Cambria Math" w:cs="Times New Roman"/>
            <w:sz w:val="21"/>
            <w:szCs w:val="21"/>
          </w:rPr>
          <m:t>)</m:t>
        </m:r>
      </m:oMath>
      <w:r w:rsidRPr="009D048A">
        <w:rPr>
          <w:rFonts w:ascii="Times New Roman" w:hAnsi="Times New Roman" w:cs="Times New Roman"/>
          <w:sz w:val="21"/>
          <w:szCs w:val="21"/>
        </w:rPr>
        <w:t>: Reliability discount, the probability that the obligated partner will actually honor the commitment</w:t>
      </w:r>
    </w:p>
    <w:p w14:paraId="738FEA7B" w14:textId="77777777" w:rsidR="00506C35" w:rsidRPr="009D048A" w:rsidRDefault="00000000">
      <w:pPr>
        <w:pStyle w:val="Heading3"/>
        <w:rPr>
          <w:rFonts w:ascii="Times New Roman" w:hAnsi="Times New Roman" w:cs="Times New Roman"/>
          <w:sz w:val="22"/>
          <w:szCs w:val="22"/>
        </w:rPr>
      </w:pPr>
      <w:bookmarkStart w:id="57" w:name="why-the-upper-bound-is-low"/>
      <w:bookmarkEnd w:id="56"/>
      <w:r w:rsidRPr="009D048A">
        <w:rPr>
          <w:rFonts w:ascii="Times New Roman" w:hAnsi="Times New Roman" w:cs="Times New Roman"/>
          <w:sz w:val="22"/>
          <w:szCs w:val="22"/>
        </w:rPr>
        <w:t>10.3 Why the Upper Bound Is Low</w:t>
      </w:r>
    </w:p>
    <w:p w14:paraId="73236C0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For Lamoka Lake, </w:t>
      </w:r>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r>
          <w:rPr>
            <w:rFonts w:ascii="Cambria Math" w:hAnsi="Cambria Math" w:cs="Times New Roman"/>
            <w:sz w:val="21"/>
            <w:szCs w:val="21"/>
          </w:rPr>
          <m:t>0.05</m:t>
        </m:r>
      </m:oMath>
      <w:r w:rsidRPr="009D048A">
        <w:rPr>
          <w:rFonts w:ascii="Times New Roman" w:hAnsi="Times New Roman" w:cs="Times New Roman"/>
          <w:sz w:val="21"/>
          <w:szCs w:val="21"/>
        </w:rPr>
        <w:t>, meaning reciprocal obligations provide a 5% fitness boost. This is deliberately conservative. If reciprocal obligations provided very large benefits (say, 20% or more), a “fake cooperator” strategy, attending aggregation just long enough to establish obligations, then defecting, would become viable. The honesty of the reciprocal system requires that obligations build gradually through repeated interaction and that the benefits, while real, are modest enough not to invite exploitation.</w:t>
      </w:r>
    </w:p>
    <w:p w14:paraId="30F3AE8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Ethnographic data from !Kung </w:t>
      </w:r>
      <m:oMath>
        <m:r>
          <w:rPr>
            <w:rFonts w:ascii="Cambria Math" w:hAnsi="Cambria Math" w:cs="Times New Roman"/>
            <w:sz w:val="21"/>
            <w:szCs w:val="21"/>
          </w:rPr>
          <m:t>hxaro</m:t>
        </m:r>
      </m:oMath>
      <w:r w:rsidRPr="009D048A">
        <w:rPr>
          <w:rFonts w:ascii="Times New Roman" w:hAnsi="Times New Roman" w:cs="Times New Roman"/>
          <w:sz w:val="21"/>
          <w:szCs w:val="21"/>
        </w:rPr>
        <w:t xml:space="preserve"> exchange networks suggest that social network insurance typically provides a 5-10% buffer against individual shortfalls (Wiessner 2002).</w:t>
      </w:r>
    </w:p>
    <w:p w14:paraId="0F7BE34A" w14:textId="77777777" w:rsidR="00506C35" w:rsidRPr="009D048A" w:rsidRDefault="00000000">
      <w:pPr>
        <w:pStyle w:val="Heading3"/>
        <w:rPr>
          <w:rFonts w:ascii="Times New Roman" w:hAnsi="Times New Roman" w:cs="Times New Roman"/>
          <w:sz w:val="22"/>
          <w:szCs w:val="22"/>
        </w:rPr>
      </w:pPr>
      <w:bookmarkStart w:id="58" w:name="how-to-estimate-b_textrecip"/>
      <w:bookmarkEnd w:id="57"/>
      <w:r w:rsidRPr="009D048A">
        <w:rPr>
          <w:rFonts w:ascii="Times New Roman" w:hAnsi="Times New Roman" w:cs="Times New Roman"/>
          <w:sz w:val="22"/>
          <w:szCs w:val="22"/>
        </w:rPr>
        <w:t xml:space="preserve">10.4 How to Estimate </w:t>
      </w:r>
      <m:oMath>
        <m:sSub>
          <m:sSubPr>
            <m:ctrlPr>
              <w:rPr>
                <w:rFonts w:ascii="Cambria Math" w:hAnsi="Cambria Math" w:cs="Times New Roman"/>
                <w:sz w:val="22"/>
                <w:szCs w:val="22"/>
              </w:rPr>
            </m:ctrlPr>
          </m:sSubPr>
          <m:e>
            <m:r>
              <w:rPr>
                <w:rFonts w:ascii="Cambria Math" w:hAnsi="Cambria Math" w:cs="Times New Roman"/>
                <w:sz w:val="22"/>
                <w:szCs w:val="22"/>
              </w:rPr>
              <m:t>B</m:t>
            </m:r>
          </m:e>
          <m:sub>
            <m:r>
              <m:rPr>
                <m:nor/>
              </m:rPr>
              <w:rPr>
                <w:rFonts w:ascii="Times New Roman" w:hAnsi="Times New Roman" w:cs="Times New Roman"/>
                <w:sz w:val="22"/>
                <w:szCs w:val="22"/>
              </w:rPr>
              <m:t>recip</m:t>
            </m:r>
          </m:sub>
        </m:sSub>
      </m:oMath>
    </w:p>
    <w:p w14:paraId="1ECB4AB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Exchange goods as proxy.</w:t>
      </w:r>
      <w:r w:rsidRPr="009D048A">
        <w:rPr>
          <w:rFonts w:ascii="Times New Roman" w:hAnsi="Times New Roman" w:cs="Times New Roman"/>
          <w:sz w:val="21"/>
          <w:szCs w:val="21"/>
        </w:rPr>
        <w:t xml:space="preserve"> The presence and frequency of non-local materials (beveled adzes, Genesee Valley cherts) at Lamoka Lake indicate exchange relationships between bands. Higher frequencies of exchange goods suggest stronger reciprocal networks.</w:t>
      </w:r>
    </w:p>
    <w:p w14:paraId="77FE87E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Burial patterns.</w:t>
      </w:r>
      <w:r w:rsidRPr="009D048A">
        <w:rPr>
          <w:rFonts w:ascii="Times New Roman" w:hAnsi="Times New Roman" w:cs="Times New Roman"/>
          <w:sz w:val="21"/>
          <w:szCs w:val="21"/>
        </w:rPr>
        <w:t xml:space="preserve"> If individuals from different bands are buried at the aggregation site, this indicates enduring social connections across band boundaries, consistent with strong reciprocal obligation networks.</w:t>
      </w:r>
    </w:p>
    <w:p w14:paraId="7AB17E7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Ethnographic analogs.</w:t>
      </w:r>
      <w:r w:rsidRPr="009D048A">
        <w:rPr>
          <w:rFonts w:ascii="Times New Roman" w:hAnsi="Times New Roman" w:cs="Times New Roman"/>
          <w:sz w:val="21"/>
          <w:szCs w:val="21"/>
        </w:rPr>
        <w:t xml:space="preserve"> Data from documented foraging societies with seasonal aggregation patterns (California acorn harvest gatherings, Australian corroboree systems) provide calibration for the magnitude of reciprocal benefits.</w:t>
      </w:r>
    </w:p>
    <w:p w14:paraId="064C8BB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Tracking the threshold: how each mechanism brought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 xml:space="preserve"> down.</w:t>
      </w:r>
    </w:p>
    <w:p w14:paraId="4199D80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Before we assemble the complete model, it is worth seeing how each extension contributed. Starting from the basic cost-vulnerability framework and adding one mechanism at a time:</w:t>
      </w:r>
    </w:p>
    <w:tbl>
      <w:tblPr>
        <w:tblStyle w:val="Table"/>
        <w:tblW w:w="5000" w:type="pct"/>
        <w:tblLayout w:type="fixed"/>
        <w:tblLook w:val="0020" w:firstRow="1" w:lastRow="0" w:firstColumn="0" w:lastColumn="0" w:noHBand="0" w:noVBand="0"/>
      </w:tblPr>
      <w:tblGrid>
        <w:gridCol w:w="3191"/>
        <w:gridCol w:w="2195"/>
        <w:gridCol w:w="1596"/>
        <w:gridCol w:w="2594"/>
      </w:tblGrid>
      <w:tr w:rsidR="00506C35" w:rsidRPr="009D048A" w14:paraId="00D8F8EF"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2640" w:type="dxa"/>
          </w:tcPr>
          <w:p w14:paraId="4600925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After adding…</w:t>
            </w:r>
          </w:p>
        </w:tc>
        <w:tc>
          <w:tcPr>
            <w:tcW w:w="1815" w:type="dxa"/>
          </w:tcPr>
          <w:p w14:paraId="1EFB676E" w14:textId="77777777" w:rsidR="00506C35" w:rsidRPr="009D048A" w:rsidRDefault="00000000">
            <w:pPr>
              <w:pStyle w:val="Compact"/>
              <w:rPr>
                <w:rFonts w:ascii="Times New Roman" w:hAnsi="Times New Roman" w:cs="Times New Roman"/>
                <w:sz w:val="21"/>
                <w:szCs w:val="21"/>
              </w:rPr>
            </w:pPr>
            <m:oMathPara>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tc>
        <w:tc>
          <w:tcPr>
            <w:tcW w:w="1320" w:type="dxa"/>
          </w:tcPr>
          <w:p w14:paraId="2DBBAD8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Change</w:t>
            </w:r>
          </w:p>
        </w:tc>
        <w:tc>
          <w:tcPr>
            <w:tcW w:w="2145" w:type="dxa"/>
          </w:tcPr>
          <w:p w14:paraId="13FD8B6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Why it helps</w:t>
            </w:r>
          </w:p>
        </w:tc>
      </w:tr>
      <w:tr w:rsidR="00506C35" w:rsidRPr="009D048A" w14:paraId="0AD2263E" w14:textId="77777777">
        <w:tc>
          <w:tcPr>
            <w:tcW w:w="2640" w:type="dxa"/>
          </w:tcPr>
          <w:p w14:paraId="1ED2A37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Basic model (Sections 4-7)</w:t>
            </w:r>
          </w:p>
        </w:tc>
        <w:tc>
          <w:tcPr>
            <w:tcW w:w="1815" w:type="dxa"/>
          </w:tcPr>
          <w:p w14:paraId="11D6FB3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0.744</w:t>
            </w:r>
          </w:p>
        </w:tc>
        <w:tc>
          <w:tcPr>
            <w:tcW w:w="1320" w:type="dxa"/>
          </w:tcPr>
          <w:p w14:paraId="7F70DF5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c>
          <w:tcPr>
            <w:tcW w:w="2145" w:type="dxa"/>
          </w:tcPr>
          <w:p w14:paraId="2834C0B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Costs vs. vulnerability alone</w:t>
            </w:r>
          </w:p>
        </w:tc>
      </w:tr>
      <w:tr w:rsidR="00506C35" w:rsidRPr="009D048A" w14:paraId="36575D10" w14:textId="77777777">
        <w:tc>
          <w:tcPr>
            <w:tcW w:w="2640" w:type="dxa"/>
          </w:tcPr>
          <w:p w14:paraId="3B11D25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 Ecotone advantage </w:t>
            </w: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xml:space="preserve"> (Section 8)</w:t>
            </w:r>
          </w:p>
        </w:tc>
        <w:tc>
          <w:tcPr>
            <w:tcW w:w="1815" w:type="dxa"/>
          </w:tcPr>
          <w:p w14:paraId="35C042A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0.650</w:t>
            </w:r>
          </w:p>
        </w:tc>
        <w:tc>
          <w:tcPr>
            <w:tcW w:w="1320" w:type="dxa"/>
          </w:tcPr>
          <w:p w14:paraId="2BCAE19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-0.094</w:t>
            </w:r>
          </w:p>
        </w:tc>
        <w:tc>
          <w:tcPr>
            <w:tcW w:w="2145" w:type="dxa"/>
          </w:tcPr>
          <w:p w14:paraId="213CD8D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Reduces effective </w:t>
            </w:r>
            <m:oMath>
              <m:r>
                <w:rPr>
                  <w:rFonts w:ascii="Cambria Math" w:hAnsi="Cambria Math" w:cs="Times New Roman"/>
                  <w:sz w:val="21"/>
                  <w:szCs w:val="21"/>
                </w:rPr>
                <m:t>α</m:t>
              </m:r>
            </m:oMath>
            <w:r w:rsidRPr="009D048A">
              <w:rPr>
                <w:rFonts w:ascii="Times New Roman" w:hAnsi="Times New Roman" w:cs="Times New Roman"/>
                <w:sz w:val="21"/>
                <w:szCs w:val="21"/>
              </w:rPr>
              <w:t xml:space="preserve"> by 30%</w:t>
            </w:r>
          </w:p>
        </w:tc>
      </w:tr>
      <w:tr w:rsidR="00506C35" w:rsidRPr="009D048A" w14:paraId="42E9D516" w14:textId="77777777">
        <w:tc>
          <w:tcPr>
            <w:tcW w:w="2640" w:type="dxa"/>
          </w:tcPr>
          <w:p w14:paraId="509A080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 Cooperation returns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1.249</m:t>
              </m:r>
            </m:oMath>
            <w:r w:rsidRPr="009D048A">
              <w:rPr>
                <w:rFonts w:ascii="Times New Roman" w:hAnsi="Times New Roman" w:cs="Times New Roman"/>
                <w:sz w:val="21"/>
                <w:szCs w:val="21"/>
              </w:rPr>
              <w:t xml:space="preserve"> (Section 9)</w:t>
            </w:r>
          </w:p>
        </w:tc>
        <w:tc>
          <w:tcPr>
            <w:tcW w:w="1815" w:type="dxa"/>
          </w:tcPr>
          <w:p w14:paraId="4033C16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0.380</w:t>
            </w:r>
          </w:p>
        </w:tc>
        <w:tc>
          <w:tcPr>
            <w:tcW w:w="1320" w:type="dxa"/>
          </w:tcPr>
          <w:p w14:paraId="1C8E53D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-0.270</w:t>
            </w:r>
          </w:p>
        </w:tc>
        <w:tc>
          <w:tcPr>
            <w:tcW w:w="2145" w:type="dxa"/>
          </w:tcPr>
          <w:p w14:paraId="1B345D3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Boosts aggregator productivity 25%</w:t>
            </w:r>
          </w:p>
        </w:tc>
      </w:tr>
      <w:tr w:rsidR="00506C35" w:rsidRPr="009D048A" w14:paraId="6B06526A" w14:textId="77777777">
        <w:tc>
          <w:tcPr>
            <w:tcW w:w="2640" w:type="dxa"/>
          </w:tcPr>
          <w:p w14:paraId="1FA0845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 Reciprocal benefits </w:t>
            </w:r>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r>
                <w:rPr>
                  <w:rFonts w:ascii="Cambria Math" w:hAnsi="Cambria Math" w:cs="Times New Roman"/>
                  <w:sz w:val="21"/>
                  <w:szCs w:val="21"/>
                </w:rPr>
                <m:t>0.05</m:t>
              </m:r>
            </m:oMath>
            <w:r w:rsidRPr="009D048A">
              <w:rPr>
                <w:rFonts w:ascii="Times New Roman" w:hAnsi="Times New Roman" w:cs="Times New Roman"/>
                <w:sz w:val="21"/>
                <w:szCs w:val="21"/>
              </w:rPr>
              <w:t xml:space="preserve"> (Section 10)</w:t>
            </w:r>
          </w:p>
        </w:tc>
        <w:tc>
          <w:tcPr>
            <w:tcW w:w="1815" w:type="dxa"/>
          </w:tcPr>
          <w:p w14:paraId="6C028F5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0.306</w:t>
            </w:r>
          </w:p>
        </w:tc>
        <w:tc>
          <w:tcPr>
            <w:tcW w:w="1320" w:type="dxa"/>
          </w:tcPr>
          <w:p w14:paraId="394104B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-0.075</w:t>
            </w:r>
          </w:p>
        </w:tc>
        <w:tc>
          <w:tcPr>
            <w:tcW w:w="2145" w:type="dxa"/>
          </w:tcPr>
          <w:p w14:paraId="0E5EEF1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Adds 5% insurance value</w:t>
            </w:r>
          </w:p>
        </w:tc>
      </w:tr>
    </w:tbl>
    <w:p w14:paraId="6C949448"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lastRenderedPageBreak/>
        <w:drawing>
          <wp:inline distT="0" distB="0" distL="0" distR="0" wp14:anchorId="4272E168" wp14:editId="4C3E1A7D">
            <wp:extent cx="5334000" cy="3314330"/>
            <wp:effectExtent l="0" t="0" r="0" b="0"/>
            <wp:docPr id="87" name="Picture" descr="Figure 7. Building the threshold: how each mechanism lowers sigma*. The waterfall chart shows how the threshold drops from 0.744 (basic model) to 0.306 (full model) as each mechanism is added. Cooperation returns contribute the largest single reduction. The yellow band shows the Finger Lakes sigma range."/>
            <wp:cNvGraphicFramePr/>
            <a:graphic xmlns:a="http://schemas.openxmlformats.org/drawingml/2006/main">
              <a:graphicData uri="http://schemas.openxmlformats.org/drawingml/2006/picture">
                <pic:pic xmlns:pic="http://schemas.openxmlformats.org/drawingml/2006/picture">
                  <pic:nvPicPr>
                    <pic:cNvPr id="88" name="Picture" descr="figures/fig_07_waterfall_threshold.png"/>
                    <pic:cNvPicPr>
                      <a:picLocks noChangeAspect="1" noChangeArrowheads="1"/>
                    </pic:cNvPicPr>
                  </pic:nvPicPr>
                  <pic:blipFill>
                    <a:blip r:embed="rId12"/>
                    <a:stretch>
                      <a:fillRect/>
                    </a:stretch>
                  </pic:blipFill>
                  <pic:spPr bwMode="auto">
                    <a:xfrm>
                      <a:off x="0" y="0"/>
                      <a:ext cx="5334000" cy="3314330"/>
                    </a:xfrm>
                    <a:prstGeom prst="rect">
                      <a:avLst/>
                    </a:prstGeom>
                    <a:noFill/>
                    <a:ln w="9525">
                      <a:noFill/>
                      <a:headEnd/>
                      <a:tailEnd/>
                    </a:ln>
                  </pic:spPr>
                </pic:pic>
              </a:graphicData>
            </a:graphic>
          </wp:inline>
        </w:drawing>
      </w:r>
    </w:p>
    <w:p w14:paraId="1B097E07"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7. Building the threshold: how each mechanism lowers sigma*. The waterfall chart shows how the threshold drops from 0.744 (basic model) to 0.306 (full model) as each mechanism is added. Cooperation returns contribute the largest single reduction. The yellow band shows the Finger Lakes sigma range.</w:t>
      </w:r>
    </w:p>
    <w:p w14:paraId="56348D5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The biggest single contribution comes from cooperation returns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which reflects the direct caloric benefit of communal processing. The ecotone advantage provides substantial additional reduction. Reciprocal benefits contribute modestly. Together, these three mechanisms cut the threshold from an impractical 0.74 to an empirically relevant 0.31.</w:t>
      </w:r>
    </w:p>
    <w:p w14:paraId="391FF2D1"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14794E89">
          <v:rect id="_x0000_i1038" alt="" style="width:468pt;height:.05pt;mso-width-percent:0;mso-height-percent:0;mso-width-percent:0;mso-height-percent:0" o:hralign="center" o:hrstd="t" o:hr="t"/>
        </w:pict>
      </w:r>
    </w:p>
    <w:p w14:paraId="19B30116" w14:textId="77777777" w:rsidR="00506C35" w:rsidRPr="009D048A" w:rsidRDefault="00000000">
      <w:pPr>
        <w:pStyle w:val="Heading1"/>
        <w:rPr>
          <w:rFonts w:ascii="Times New Roman" w:hAnsi="Times New Roman" w:cs="Times New Roman"/>
          <w:sz w:val="32"/>
          <w:szCs w:val="32"/>
        </w:rPr>
      </w:pPr>
      <w:bookmarkStart w:id="59" w:name="part-iii-putting-it-all-together"/>
      <w:bookmarkEnd w:id="19"/>
      <w:bookmarkEnd w:id="54"/>
      <w:bookmarkEnd w:id="58"/>
      <w:r w:rsidRPr="009D048A">
        <w:rPr>
          <w:rFonts w:ascii="Times New Roman" w:hAnsi="Times New Roman" w:cs="Times New Roman"/>
          <w:sz w:val="32"/>
          <w:szCs w:val="32"/>
        </w:rPr>
        <w:t>PART III: PUTTING IT ALL TOGETHER</w:t>
      </w:r>
    </w:p>
    <w:p w14:paraId="033D7593"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63009A60">
          <v:rect id="_x0000_i1037" alt="" style="width:468pt;height:.05pt;mso-width-percent:0;mso-height-percent:0;mso-width-percent:0;mso-height-percent:0" o:hralign="center" o:hrstd="t" o:hr="t"/>
        </w:pict>
      </w:r>
    </w:p>
    <w:p w14:paraId="67D42DF0" w14:textId="77777777" w:rsidR="00506C35" w:rsidRPr="009D048A" w:rsidRDefault="00000000">
      <w:pPr>
        <w:pStyle w:val="Heading2"/>
        <w:rPr>
          <w:rFonts w:ascii="Times New Roman" w:hAnsi="Times New Roman" w:cs="Times New Roman"/>
          <w:sz w:val="24"/>
          <w:szCs w:val="24"/>
        </w:rPr>
      </w:pPr>
      <w:bookmarkStart w:id="60" w:name="the-complete-model-for-lamoka-lake"/>
      <w:r w:rsidRPr="009D048A">
        <w:rPr>
          <w:rFonts w:ascii="Times New Roman" w:hAnsi="Times New Roman" w:cs="Times New Roman"/>
          <w:sz w:val="24"/>
          <w:szCs w:val="24"/>
        </w:rPr>
        <w:t>11. The Complete Model for Lamoka Lake</w:t>
      </w:r>
    </w:p>
    <w:p w14:paraId="51F35077" w14:textId="77777777" w:rsidR="00506C35" w:rsidRPr="009D048A" w:rsidRDefault="00000000">
      <w:pPr>
        <w:pStyle w:val="Heading3"/>
        <w:rPr>
          <w:rFonts w:ascii="Times New Roman" w:hAnsi="Times New Roman" w:cs="Times New Roman"/>
          <w:sz w:val="22"/>
          <w:szCs w:val="22"/>
        </w:rPr>
      </w:pPr>
      <w:bookmarkStart w:id="61" w:name="full-fitness-equations"/>
      <w:r w:rsidRPr="009D048A">
        <w:rPr>
          <w:rFonts w:ascii="Times New Roman" w:hAnsi="Times New Roman" w:cs="Times New Roman"/>
          <w:sz w:val="22"/>
          <w:szCs w:val="22"/>
        </w:rPr>
        <w:t>11.1 Full Fitness Equations</w:t>
      </w:r>
    </w:p>
    <w:p w14:paraId="7E62D4D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Combining all the mechanisms from Sections 4-10, the complete fitness equations are:</w:t>
      </w:r>
    </w:p>
    <w:p w14:paraId="308D619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Aggregator fitness:</w:t>
      </w:r>
    </w:p>
    <w:p w14:paraId="3AE53A44"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p w14:paraId="06F911D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has four multiplicative components:</w:t>
      </w:r>
    </w:p>
    <w:tbl>
      <w:tblPr>
        <w:tblStyle w:val="Table"/>
        <w:tblW w:w="5000" w:type="pct"/>
        <w:tblLayout w:type="fixed"/>
        <w:tblLook w:val="0020" w:firstRow="1" w:lastRow="0" w:firstColumn="0" w:lastColumn="0" w:noHBand="0" w:noVBand="0"/>
      </w:tblPr>
      <w:tblGrid>
        <w:gridCol w:w="1987"/>
        <w:gridCol w:w="1987"/>
        <w:gridCol w:w="2530"/>
        <w:gridCol w:w="3072"/>
      </w:tblGrid>
      <w:tr w:rsidR="00506C35" w:rsidRPr="009D048A" w14:paraId="034C1612"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643" w:type="dxa"/>
          </w:tcPr>
          <w:p w14:paraId="1C2DC4A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Component</w:t>
            </w:r>
          </w:p>
        </w:tc>
        <w:tc>
          <w:tcPr>
            <w:tcW w:w="1643" w:type="dxa"/>
          </w:tcPr>
          <w:p w14:paraId="22DE6EA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Expression</w:t>
            </w:r>
          </w:p>
        </w:tc>
        <w:tc>
          <w:tcPr>
            <w:tcW w:w="2092" w:type="dxa"/>
          </w:tcPr>
          <w:p w14:paraId="4A47955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Lamoka value</w:t>
            </w:r>
          </w:p>
        </w:tc>
        <w:tc>
          <w:tcPr>
            <w:tcW w:w="2540" w:type="dxa"/>
          </w:tcPr>
          <w:p w14:paraId="37383B6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What it captures</w:t>
            </w:r>
          </w:p>
        </w:tc>
      </w:tr>
      <w:tr w:rsidR="00506C35" w:rsidRPr="009D048A" w14:paraId="57323567" w14:textId="77777777">
        <w:tc>
          <w:tcPr>
            <w:tcW w:w="1643" w:type="dxa"/>
          </w:tcPr>
          <w:p w14:paraId="18F76BB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Cost penalty</w:t>
            </w:r>
          </w:p>
        </w:tc>
        <w:tc>
          <w:tcPr>
            <w:tcW w:w="1643" w:type="dxa"/>
          </w:tcPr>
          <w:p w14:paraId="66ECD1CE" w14:textId="77777777" w:rsidR="00506C35" w:rsidRPr="009D048A" w:rsidRDefault="00000000">
            <w:pPr>
              <w:pStyle w:val="Compact"/>
              <w:rPr>
                <w:rFonts w:ascii="Times New Roman" w:hAnsi="Times New Roman" w:cs="Times New Roman"/>
                <w:sz w:val="21"/>
                <w:szCs w:val="21"/>
              </w:rPr>
            </w:pPr>
            <m:oMathPara>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m:oMathPara>
          </w:p>
        </w:tc>
        <w:tc>
          <w:tcPr>
            <w:tcW w:w="2092" w:type="dxa"/>
          </w:tcPr>
          <w:p w14:paraId="2639B9C2"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0.30</m:t>
                </m:r>
                <m:r>
                  <m:rPr>
                    <m:sty m:val="p"/>
                  </m:rPr>
                  <w:rPr>
                    <w:rFonts w:ascii="Cambria Math" w:hAnsi="Cambria Math" w:cs="Times New Roman"/>
                    <w:sz w:val="21"/>
                    <w:szCs w:val="21"/>
                  </w:rPr>
                  <m:t>=</m:t>
                </m:r>
                <m:r>
                  <w:rPr>
                    <w:rFonts w:ascii="Cambria Math" w:hAnsi="Cambria Math" w:cs="Times New Roman"/>
                    <w:sz w:val="21"/>
                    <w:szCs w:val="21"/>
                  </w:rPr>
                  <m:t>0.70</m:t>
                </m:r>
              </m:oMath>
            </m:oMathPara>
          </w:p>
        </w:tc>
        <w:tc>
          <w:tcPr>
            <w:tcW w:w="2540" w:type="dxa"/>
          </w:tcPr>
          <w:p w14:paraId="0F980CD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Costs of travel, infrastructure, opportunity</w:t>
            </w:r>
          </w:p>
        </w:tc>
      </w:tr>
      <w:tr w:rsidR="00506C35" w:rsidRPr="009D048A" w14:paraId="66B42EFD" w14:textId="77777777">
        <w:tc>
          <w:tcPr>
            <w:tcW w:w="1643" w:type="dxa"/>
          </w:tcPr>
          <w:p w14:paraId="3C37965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Environmental </w:t>
            </w:r>
            <w:r w:rsidRPr="009D048A">
              <w:rPr>
                <w:rFonts w:ascii="Times New Roman" w:hAnsi="Times New Roman" w:cs="Times New Roman"/>
                <w:sz w:val="21"/>
                <w:szCs w:val="21"/>
              </w:rPr>
              <w:lastRenderedPageBreak/>
              <w:t>survival</w:t>
            </w:r>
          </w:p>
        </w:tc>
        <w:tc>
          <w:tcPr>
            <w:tcW w:w="1643" w:type="dxa"/>
          </w:tcPr>
          <w:p w14:paraId="3B8EA2D4" w14:textId="77777777" w:rsidR="00506C35" w:rsidRPr="009D048A" w:rsidRDefault="00000000">
            <w:pPr>
              <w:pStyle w:val="Compact"/>
              <w:rPr>
                <w:rFonts w:ascii="Times New Roman" w:hAnsi="Times New Roman" w:cs="Times New Roman"/>
                <w:sz w:val="21"/>
                <w:szCs w:val="21"/>
              </w:rPr>
            </w:pPr>
            <m:oMathPara>
              <m:oMath>
                <m:r>
                  <m:rPr>
                    <m:sty m:val="p"/>
                  </m:rPr>
                  <w:rPr>
                    <w:rFonts w:ascii="Cambria Math" w:hAnsi="Cambria Math" w:cs="Times New Roman"/>
                    <w:sz w:val="21"/>
                    <w:szCs w:val="21"/>
                  </w:rPr>
                  <w:lastRenderedPageBreak/>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σ</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oMath>
            </m:oMathPara>
          </w:p>
        </w:tc>
        <w:tc>
          <w:tcPr>
            <w:tcW w:w="2092" w:type="dxa"/>
          </w:tcPr>
          <w:p w14:paraId="6A096D1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Depends on </w:t>
            </w:r>
            <m:oMath>
              <m:r>
                <w:rPr>
                  <w:rFonts w:ascii="Cambria Math" w:hAnsi="Cambria Math" w:cs="Times New Roman"/>
                  <w:sz w:val="21"/>
                  <w:szCs w:val="21"/>
                </w:rPr>
                <m:t>σ</m:t>
              </m:r>
            </m:oMath>
          </w:p>
        </w:tc>
        <w:tc>
          <w:tcPr>
            <w:tcW w:w="2540" w:type="dxa"/>
          </w:tcPr>
          <w:p w14:paraId="06AAEF8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Survival under environmental </w:t>
            </w:r>
            <w:r w:rsidRPr="009D048A">
              <w:rPr>
                <w:rFonts w:ascii="Times New Roman" w:hAnsi="Times New Roman" w:cs="Times New Roman"/>
                <w:sz w:val="21"/>
                <w:szCs w:val="21"/>
              </w:rPr>
              <w:lastRenderedPageBreak/>
              <w:t>stress, buffered by ecotone</w:t>
            </w:r>
          </w:p>
        </w:tc>
      </w:tr>
      <w:tr w:rsidR="00506C35" w:rsidRPr="009D048A" w14:paraId="70E5B672" w14:textId="77777777">
        <w:tc>
          <w:tcPr>
            <w:tcW w:w="1643" w:type="dxa"/>
          </w:tcPr>
          <w:p w14:paraId="297B800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lastRenderedPageBreak/>
              <w:t>Cooperation returns</w:t>
            </w:r>
          </w:p>
        </w:tc>
        <w:tc>
          <w:tcPr>
            <w:tcW w:w="1643" w:type="dxa"/>
          </w:tcPr>
          <w:p w14:paraId="01EC0190"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m:oMathPara>
          </w:p>
        </w:tc>
        <w:tc>
          <w:tcPr>
            <w:tcW w:w="2092" w:type="dxa"/>
          </w:tcPr>
          <w:p w14:paraId="5604A370"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1.249</m:t>
                </m:r>
              </m:oMath>
            </m:oMathPara>
          </w:p>
        </w:tc>
        <w:tc>
          <w:tcPr>
            <w:tcW w:w="2540" w:type="dxa"/>
          </w:tcPr>
          <w:p w14:paraId="0AFEED6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Returns to scale from communal processing</w:t>
            </w:r>
          </w:p>
        </w:tc>
      </w:tr>
      <w:tr w:rsidR="00506C35" w:rsidRPr="009D048A" w14:paraId="25006BD8" w14:textId="77777777">
        <w:tc>
          <w:tcPr>
            <w:tcW w:w="1643" w:type="dxa"/>
          </w:tcPr>
          <w:p w14:paraId="3795183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Reciprocal insurance</w:t>
            </w:r>
          </w:p>
        </w:tc>
        <w:tc>
          <w:tcPr>
            <w:tcW w:w="1643" w:type="dxa"/>
          </w:tcPr>
          <w:p w14:paraId="6DCDF57A" w14:textId="77777777" w:rsidR="00506C35" w:rsidRPr="009D048A" w:rsidRDefault="00000000">
            <w:pPr>
              <w:pStyle w:val="Compact"/>
              <w:rPr>
                <w:rFonts w:ascii="Times New Roman" w:hAnsi="Times New Roman" w:cs="Times New Roman"/>
                <w:sz w:val="21"/>
                <w:szCs w:val="21"/>
              </w:rPr>
            </w:pPr>
            <m:oMathPara>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tc>
        <w:tc>
          <w:tcPr>
            <w:tcW w:w="2092" w:type="dxa"/>
          </w:tcPr>
          <w:p w14:paraId="114F35D2"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1.05</m:t>
                </m:r>
              </m:oMath>
            </m:oMathPara>
          </w:p>
        </w:tc>
        <w:tc>
          <w:tcPr>
            <w:tcW w:w="2540" w:type="dxa"/>
          </w:tcPr>
          <w:p w14:paraId="26D06D5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Insurance value of social network</w:t>
            </w:r>
          </w:p>
        </w:tc>
      </w:tr>
    </w:tbl>
    <w:p w14:paraId="1C35F5E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Independent fitness:</w:t>
      </w:r>
    </w:p>
    <w:p w14:paraId="5D26FD0D"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3BC6B1A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has two components:</w:t>
      </w:r>
    </w:p>
    <w:tbl>
      <w:tblPr>
        <w:tblStyle w:val="Table"/>
        <w:tblW w:w="5000" w:type="pct"/>
        <w:tblLayout w:type="fixed"/>
        <w:tblLook w:val="0020" w:firstRow="1" w:lastRow="0" w:firstColumn="0" w:lastColumn="0" w:noHBand="0" w:noVBand="0"/>
      </w:tblPr>
      <w:tblGrid>
        <w:gridCol w:w="1987"/>
        <w:gridCol w:w="1987"/>
        <w:gridCol w:w="2530"/>
        <w:gridCol w:w="3072"/>
      </w:tblGrid>
      <w:tr w:rsidR="00506C35" w:rsidRPr="009D048A" w14:paraId="64C23441"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643" w:type="dxa"/>
          </w:tcPr>
          <w:p w14:paraId="509AADB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Component</w:t>
            </w:r>
          </w:p>
        </w:tc>
        <w:tc>
          <w:tcPr>
            <w:tcW w:w="1643" w:type="dxa"/>
          </w:tcPr>
          <w:p w14:paraId="5906E89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Expression</w:t>
            </w:r>
          </w:p>
        </w:tc>
        <w:tc>
          <w:tcPr>
            <w:tcW w:w="2092" w:type="dxa"/>
          </w:tcPr>
          <w:p w14:paraId="7916FCD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Lamoka value</w:t>
            </w:r>
          </w:p>
        </w:tc>
        <w:tc>
          <w:tcPr>
            <w:tcW w:w="2540" w:type="dxa"/>
          </w:tcPr>
          <w:p w14:paraId="01EFBA1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What it captures</w:t>
            </w:r>
          </w:p>
        </w:tc>
      </w:tr>
      <w:tr w:rsidR="00506C35" w:rsidRPr="009D048A" w14:paraId="0377CFBD" w14:textId="77777777">
        <w:tc>
          <w:tcPr>
            <w:tcW w:w="1643" w:type="dxa"/>
          </w:tcPr>
          <w:p w14:paraId="095B9B2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Reproductive advantage</w:t>
            </w:r>
          </w:p>
        </w:tc>
        <w:tc>
          <w:tcPr>
            <w:tcW w:w="1643" w:type="dxa"/>
          </w:tcPr>
          <w:p w14:paraId="1A5BE31D"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m:oMathPara>
          </w:p>
        </w:tc>
        <w:tc>
          <w:tcPr>
            <w:tcW w:w="2092" w:type="dxa"/>
          </w:tcPr>
          <w:p w14:paraId="52248F00"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1.08</m:t>
                </m:r>
              </m:oMath>
            </m:oMathPara>
          </w:p>
        </w:tc>
        <w:tc>
          <w:tcPr>
            <w:tcW w:w="2540" w:type="dxa"/>
          </w:tcPr>
          <w:p w14:paraId="5F8EC71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Advantage from avoiding cooperation costs</w:t>
            </w:r>
          </w:p>
        </w:tc>
      </w:tr>
      <w:tr w:rsidR="00506C35" w:rsidRPr="009D048A" w14:paraId="41A8ED59" w14:textId="77777777">
        <w:tc>
          <w:tcPr>
            <w:tcW w:w="1643" w:type="dxa"/>
          </w:tcPr>
          <w:p w14:paraId="2669431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Environmental survival</w:t>
            </w:r>
          </w:p>
        </w:tc>
        <w:tc>
          <w:tcPr>
            <w:tcW w:w="1643" w:type="dxa"/>
          </w:tcPr>
          <w:p w14:paraId="2F401430" w14:textId="77777777" w:rsidR="00506C35" w:rsidRPr="009D048A" w:rsidRDefault="00000000">
            <w:pPr>
              <w:pStyle w:val="Compact"/>
              <w:rPr>
                <w:rFonts w:ascii="Times New Roman" w:hAnsi="Times New Roman" w:cs="Times New Roman"/>
                <w:sz w:val="21"/>
                <w:szCs w:val="21"/>
              </w:rPr>
            </w:pPr>
            <m:oMathPara>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tc>
        <w:tc>
          <w:tcPr>
            <w:tcW w:w="2092" w:type="dxa"/>
          </w:tcPr>
          <w:p w14:paraId="485343D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Depends on </w:t>
            </w:r>
            <m:oMath>
              <m:r>
                <w:rPr>
                  <w:rFonts w:ascii="Cambria Math" w:hAnsi="Cambria Math" w:cs="Times New Roman"/>
                  <w:sz w:val="21"/>
                  <w:szCs w:val="21"/>
                </w:rPr>
                <m:t>σ</m:t>
              </m:r>
            </m:oMath>
          </w:p>
        </w:tc>
        <w:tc>
          <w:tcPr>
            <w:tcW w:w="2540" w:type="dxa"/>
          </w:tcPr>
          <w:p w14:paraId="3D5D5C4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Survival under environmental stress, fully exposed</w:t>
            </w:r>
          </w:p>
        </w:tc>
      </w:tr>
    </w:tbl>
    <w:p w14:paraId="08A650F8" w14:textId="77777777" w:rsidR="00506C35" w:rsidRPr="009D048A" w:rsidRDefault="00000000">
      <w:pPr>
        <w:pStyle w:val="Heading3"/>
        <w:rPr>
          <w:rFonts w:ascii="Times New Roman" w:hAnsi="Times New Roman" w:cs="Times New Roman"/>
          <w:sz w:val="22"/>
          <w:szCs w:val="22"/>
        </w:rPr>
      </w:pPr>
      <w:bookmarkStart w:id="62" w:name="X60b8a764a41b49f0a9006026f18a457c9d0df35"/>
      <w:bookmarkEnd w:id="61"/>
      <w:r w:rsidRPr="009D048A">
        <w:rPr>
          <w:rFonts w:ascii="Times New Roman" w:hAnsi="Times New Roman" w:cs="Times New Roman"/>
          <w:sz w:val="22"/>
          <w:szCs w:val="22"/>
        </w:rPr>
        <w:t xml:space="preserve">11.2 Worked Numerical Example: Calculating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m:t>
            </m:r>
          </m:sup>
        </m:sSup>
      </m:oMath>
    </w:p>
    <w:p w14:paraId="6F7CE13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Now we walk through the complete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calculation for Lamoka Lake, step by step, with actual numbers.</w:t>
      </w:r>
    </w:p>
    <w:p w14:paraId="24D8810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Step 1: Calculate the composite cooperation term </w:t>
      </w:r>
      <m:oMath>
        <m:r>
          <w:rPr>
            <w:rFonts w:ascii="Cambria Math" w:hAnsi="Cambria Math" w:cs="Times New Roman"/>
            <w:sz w:val="21"/>
            <w:szCs w:val="21"/>
          </w:rPr>
          <m:t>A</m:t>
        </m:r>
      </m:oMath>
      <w:r w:rsidRPr="009D048A">
        <w:rPr>
          <w:rFonts w:ascii="Times New Roman" w:hAnsi="Times New Roman" w:cs="Times New Roman"/>
          <w:b/>
          <w:bCs/>
          <w:sz w:val="21"/>
          <w:szCs w:val="21"/>
        </w:rPr>
        <w:t>.</w:t>
      </w:r>
    </w:p>
    <w:p w14:paraId="20DB9EA0"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p w14:paraId="24611DDE" w14:textId="77777777" w:rsidR="00506C35" w:rsidRPr="009D048A" w:rsidRDefault="0000000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0.30</m:t>
          </m:r>
          <m:r>
            <m:rPr>
              <m:sty m:val="p"/>
            </m:rPr>
            <w:rPr>
              <w:rFonts w:ascii="Cambria Math" w:hAnsi="Cambria Math" w:cs="Times New Roman"/>
              <w:sz w:val="21"/>
              <w:szCs w:val="21"/>
            </w:rPr>
            <m:t>)×</m:t>
          </m:r>
          <m:r>
            <w:rPr>
              <w:rFonts w:ascii="Cambria Math" w:hAnsi="Cambria Math" w:cs="Times New Roman"/>
              <w:sz w:val="21"/>
              <w:szCs w:val="21"/>
            </w:rPr>
            <m:t>1.249</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0.05</m:t>
          </m:r>
          <m:r>
            <m:rPr>
              <m:sty m:val="p"/>
            </m:rPr>
            <w:rPr>
              <w:rFonts w:ascii="Cambria Math" w:hAnsi="Cambria Math" w:cs="Times New Roman"/>
              <w:sz w:val="21"/>
              <w:szCs w:val="21"/>
            </w:rPr>
            <m:t>)</m:t>
          </m:r>
        </m:oMath>
      </m:oMathPara>
    </w:p>
    <w:p w14:paraId="3CC39AE6" w14:textId="77777777" w:rsidR="00506C35" w:rsidRPr="009D048A" w:rsidRDefault="0000000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1.249</m:t>
          </m:r>
          <m:r>
            <m:rPr>
              <m:sty m:val="p"/>
            </m:rPr>
            <w:rPr>
              <w:rFonts w:ascii="Cambria Math" w:hAnsi="Cambria Math" w:cs="Times New Roman"/>
              <w:sz w:val="21"/>
              <w:szCs w:val="21"/>
            </w:rPr>
            <m:t>×</m:t>
          </m:r>
          <m:r>
            <w:rPr>
              <w:rFonts w:ascii="Cambria Math" w:hAnsi="Cambria Math" w:cs="Times New Roman"/>
              <w:sz w:val="21"/>
              <w:szCs w:val="21"/>
            </w:rPr>
            <m:t>1.05</m:t>
          </m:r>
        </m:oMath>
      </m:oMathPara>
    </w:p>
    <w:p w14:paraId="371A4DCF" w14:textId="77777777" w:rsidR="00506C35" w:rsidRPr="009D048A" w:rsidRDefault="00000000">
      <w:pPr>
        <w:pStyle w:val="FirstParagraph"/>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1.311</m:t>
          </m:r>
          <m:r>
            <m:rPr>
              <m:sty m:val="p"/>
            </m:rPr>
            <w:rPr>
              <w:rFonts w:ascii="Cambria Math" w:hAnsi="Cambria Math" w:cs="Times New Roman"/>
              <w:sz w:val="21"/>
              <w:szCs w:val="21"/>
            </w:rPr>
            <m:t>=</m:t>
          </m:r>
          <m:r>
            <w:rPr>
              <w:rFonts w:ascii="Cambria Math" w:hAnsi="Cambria Math" w:cs="Times New Roman"/>
              <w:sz w:val="21"/>
              <w:szCs w:val="21"/>
            </w:rPr>
            <m:t>0.918</m:t>
          </m:r>
        </m:oMath>
      </m:oMathPara>
    </w:p>
    <w:p w14:paraId="0727D96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 xml:space="preserve">Step 2: Calculate the effective cooperator vulnerability </w:t>
      </w: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oMath>
      <w:r w:rsidRPr="009D048A">
        <w:rPr>
          <w:rFonts w:ascii="Times New Roman" w:hAnsi="Times New Roman" w:cs="Times New Roman"/>
          <w:b/>
          <w:bCs/>
          <w:sz w:val="21"/>
          <w:szCs w:val="21"/>
        </w:rPr>
        <w:t>.</w:t>
      </w:r>
    </w:p>
    <w:p w14:paraId="1ECB86FB"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0.35</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0.30</m:t>
          </m:r>
          <m:r>
            <m:rPr>
              <m:sty m:val="p"/>
            </m:rPr>
            <w:rPr>
              <w:rFonts w:ascii="Cambria Math" w:hAnsi="Cambria Math" w:cs="Times New Roman"/>
              <w:sz w:val="21"/>
              <w:szCs w:val="21"/>
            </w:rPr>
            <m:t>)=</m:t>
          </m:r>
          <m:r>
            <w:rPr>
              <w:rFonts w:ascii="Cambria Math" w:hAnsi="Cambria Math" w:cs="Times New Roman"/>
              <w:sz w:val="21"/>
              <w:szCs w:val="21"/>
            </w:rPr>
            <m:t>0.35</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0.245</m:t>
          </m:r>
        </m:oMath>
      </m:oMathPara>
    </w:p>
    <w:p w14:paraId="010600C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Step 3: Calculate the numerator of the threshold equation.</w:t>
      </w:r>
    </w:p>
    <w:p w14:paraId="5E57E772" w14:textId="77777777" w:rsidR="00506C35" w:rsidRPr="009D048A" w:rsidRDefault="00000000">
      <w:pPr>
        <w:pStyle w:val="BodyTex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Numerator</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0.918</m:t>
          </m:r>
          <m:r>
            <m:rPr>
              <m:sty m:val="p"/>
            </m:rPr>
            <w:rPr>
              <w:rFonts w:ascii="Cambria Math" w:hAnsi="Cambria Math" w:cs="Times New Roman"/>
              <w:sz w:val="21"/>
              <w:szCs w:val="21"/>
            </w:rPr>
            <m:t>=</m:t>
          </m:r>
          <m:r>
            <w:rPr>
              <w:rFonts w:ascii="Cambria Math" w:hAnsi="Cambria Math" w:cs="Times New Roman"/>
              <w:sz w:val="21"/>
              <w:szCs w:val="21"/>
            </w:rPr>
            <m:t>0.162</m:t>
          </m:r>
        </m:oMath>
      </m:oMathPara>
    </w:p>
    <w:p w14:paraId="6D56D98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This is the fitness gap between strategies at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r w:rsidRPr="009D048A">
        <w:rPr>
          <w:rFonts w:ascii="Times New Roman" w:hAnsi="Times New Roman" w:cs="Times New Roman"/>
          <w:sz w:val="21"/>
          <w:szCs w:val="21"/>
        </w:rPr>
        <w:t>: independents start with a 0.162 advantage.</w:t>
      </w:r>
    </w:p>
    <w:p w14:paraId="37E30E0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Step 4: Calculate the denominator.</w:t>
      </w:r>
    </w:p>
    <w:p w14:paraId="1C9E904B" w14:textId="77777777" w:rsidR="00506C35" w:rsidRPr="009D048A" w:rsidRDefault="00000000">
      <w:pPr>
        <w:pStyle w:val="BodyTex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Denominator</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oMath>
      </m:oMathPara>
    </w:p>
    <w:p w14:paraId="0A124DFD" w14:textId="77777777" w:rsidR="00506C35" w:rsidRPr="009D048A" w:rsidRDefault="00000000">
      <w:pPr>
        <w:pStyle w:val="FirstParagraph"/>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m:t>
          </m:r>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0.918</m:t>
          </m:r>
          <m:r>
            <m:rPr>
              <m:sty m:val="p"/>
            </m:rPr>
            <w:rPr>
              <w:rFonts w:ascii="Cambria Math" w:hAnsi="Cambria Math" w:cs="Times New Roman"/>
              <w:sz w:val="21"/>
              <w:szCs w:val="21"/>
            </w:rPr>
            <m:t>×</m:t>
          </m:r>
          <m:r>
            <w:rPr>
              <w:rFonts w:ascii="Cambria Math" w:hAnsi="Cambria Math" w:cs="Times New Roman"/>
              <w:sz w:val="21"/>
              <w:szCs w:val="21"/>
            </w:rPr>
            <m:t>0.245</m:t>
          </m:r>
        </m:oMath>
      </m:oMathPara>
    </w:p>
    <w:p w14:paraId="7B4693FC" w14:textId="77777777" w:rsidR="00506C35" w:rsidRPr="009D048A" w:rsidRDefault="00000000">
      <w:pPr>
        <w:pStyle w:val="FirstParagraph"/>
        <w:rPr>
          <w:rFonts w:ascii="Times New Roman" w:hAnsi="Times New Roman" w:cs="Times New Roman"/>
          <w:sz w:val="21"/>
          <w:szCs w:val="21"/>
        </w:rPr>
      </w:pPr>
      <m:oMathPara>
        <m:oMathParaPr>
          <m:jc m:val="center"/>
        </m:oMathParaPr>
        <m:oMath>
          <m:r>
            <m:rPr>
              <m:sty m:val="p"/>
            </m:rPr>
            <w:rPr>
              <w:rFonts w:ascii="Cambria Math" w:hAnsi="Cambria Math" w:cs="Times New Roman"/>
              <w:sz w:val="21"/>
              <w:szCs w:val="21"/>
            </w:rPr>
            <m:t>=</m:t>
          </m:r>
          <m:r>
            <w:rPr>
              <w:rFonts w:ascii="Cambria Math" w:hAnsi="Cambria Math" w:cs="Times New Roman"/>
              <w:sz w:val="21"/>
              <w:szCs w:val="21"/>
            </w:rPr>
            <m:t>0.756</m:t>
          </m:r>
          <m:r>
            <m:rPr>
              <m:sty m:val="p"/>
            </m:rPr>
            <w:rPr>
              <w:rFonts w:ascii="Cambria Math" w:hAnsi="Cambria Math" w:cs="Times New Roman"/>
              <w:sz w:val="21"/>
              <w:szCs w:val="21"/>
            </w:rPr>
            <m:t>-</m:t>
          </m:r>
          <m:r>
            <w:rPr>
              <w:rFonts w:ascii="Cambria Math" w:hAnsi="Cambria Math" w:cs="Times New Roman"/>
              <w:sz w:val="21"/>
              <w:szCs w:val="21"/>
            </w:rPr>
            <m:t>0.225</m:t>
          </m:r>
          <m:r>
            <m:rPr>
              <m:sty m:val="p"/>
            </m:rPr>
            <w:rPr>
              <w:rFonts w:ascii="Cambria Math" w:hAnsi="Cambria Math" w:cs="Times New Roman"/>
              <w:sz w:val="21"/>
              <w:szCs w:val="21"/>
            </w:rPr>
            <m:t>=</m:t>
          </m:r>
          <m:r>
            <w:rPr>
              <w:rFonts w:ascii="Cambria Math" w:hAnsi="Cambria Math" w:cs="Times New Roman"/>
              <w:sz w:val="21"/>
              <w:szCs w:val="21"/>
            </w:rPr>
            <m:t>0.531</m:t>
          </m:r>
        </m:oMath>
      </m:oMathPara>
    </w:p>
    <w:p w14:paraId="5DA829C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is the rate at which increasing uncertainty closes the gap between strategies.</w:t>
      </w:r>
    </w:p>
    <w:p w14:paraId="17577B1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 xml:space="preserve">Step 5: Divide to get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b/>
          <w:bCs/>
          <w:sz w:val="21"/>
          <w:szCs w:val="21"/>
        </w:rPr>
        <w:t>.</w:t>
      </w:r>
    </w:p>
    <w:p w14:paraId="121A7D0C" w14:textId="77777777" w:rsidR="00506C35" w:rsidRPr="009D048A" w:rsidRDefault="00000000">
      <w:pPr>
        <w:pStyle w:val="BodyText"/>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0.162</m:t>
              </m:r>
            </m:num>
            <m:den>
              <m:r>
                <w:rPr>
                  <w:rFonts w:ascii="Cambria Math" w:hAnsi="Cambria Math" w:cs="Times New Roman"/>
                  <w:sz w:val="21"/>
                  <w:szCs w:val="21"/>
                </w:rPr>
                <m:t>0.531</m:t>
              </m:r>
            </m:den>
          </m:f>
          <m:r>
            <m:rPr>
              <m:sty m:val="p"/>
            </m:rPr>
            <w:rPr>
              <w:rFonts w:ascii="Cambria Math" w:hAnsi="Cambria Math" w:cs="Times New Roman"/>
              <w:sz w:val="21"/>
              <w:szCs w:val="21"/>
            </w:rPr>
            <m:t>=</m:t>
          </m:r>
          <m:r>
            <w:rPr>
              <w:rFonts w:ascii="Cambria Math" w:hAnsi="Cambria Math" w:cs="Times New Roman"/>
              <w:sz w:val="21"/>
              <w:szCs w:val="21"/>
            </w:rPr>
            <m:t>0.305</m:t>
          </m:r>
        </m:oMath>
      </m:oMathPara>
    </w:p>
    <w:p w14:paraId="1D3BFEB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lastRenderedPageBreak/>
        <w:t xml:space="preserve">Result: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b/>
          <w:bCs/>
          <w:sz w:val="21"/>
          <w:szCs w:val="21"/>
        </w:rPr>
        <w:t xml:space="preserve"> for Lamoka Lake.</w:t>
      </w:r>
    </w:p>
    <w:p w14:paraId="21A785A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This means: if the Finger Lakes Late Archaic environment had a coefficient of variation in annual resource returns exceeding approximately 0.31, aggregation at the Lamoka Lake ecotone should have been the dominant strategy. Given the estimated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w:t>
      </w:r>
      <m:oMath>
        <m:r>
          <w:rPr>
            <w:rFonts w:ascii="Cambria Math" w:hAnsi="Cambria Math" w:cs="Times New Roman"/>
            <w:sz w:val="21"/>
            <w:szCs w:val="21"/>
          </w:rPr>
          <m:t>0.45</m:t>
        </m:r>
      </m:oMath>
      <w:r w:rsidRPr="009D048A">
        <w:rPr>
          <w:rFonts w:ascii="Times New Roman" w:hAnsi="Times New Roman" w:cs="Times New Roman"/>
          <w:sz w:val="21"/>
          <w:szCs w:val="21"/>
        </w:rPr>
        <w:t>, the model predicts aggregation, consistent with what we observe.</w:t>
      </w:r>
    </w:p>
    <w:p w14:paraId="32BF22F9" w14:textId="77777777" w:rsidR="00506C35" w:rsidRPr="009D048A" w:rsidRDefault="00000000">
      <w:pPr>
        <w:pStyle w:val="Heading3"/>
        <w:rPr>
          <w:rFonts w:ascii="Times New Roman" w:hAnsi="Times New Roman" w:cs="Times New Roman"/>
          <w:sz w:val="22"/>
          <w:szCs w:val="22"/>
        </w:rPr>
      </w:pPr>
      <w:bookmarkStart w:id="63" w:name="Xe7e537a28978c26b3b38e3ffee99f13faa7a4d5"/>
      <w:bookmarkEnd w:id="62"/>
      <w:r w:rsidRPr="009D048A">
        <w:rPr>
          <w:rFonts w:ascii="Times New Roman" w:hAnsi="Times New Roman" w:cs="Times New Roman"/>
          <w:sz w:val="22"/>
          <w:szCs w:val="22"/>
        </w:rPr>
        <w:t>11.3 Comparing Lamoka Lake to Other Case Studies</w:t>
      </w:r>
    </w:p>
    <w:p w14:paraId="69AD72F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11.1. Threshold comparison across four case studies.</w:t>
      </w:r>
    </w:p>
    <w:tbl>
      <w:tblPr>
        <w:tblStyle w:val="Table"/>
        <w:tblW w:w="5000" w:type="pct"/>
        <w:tblLayout w:type="fixed"/>
        <w:tblLook w:val="0020" w:firstRow="1" w:lastRow="0" w:firstColumn="0" w:lastColumn="0" w:noHBand="0" w:noVBand="0"/>
      </w:tblPr>
      <w:tblGrid>
        <w:gridCol w:w="710"/>
        <w:gridCol w:w="1300"/>
        <w:gridCol w:w="2365"/>
        <w:gridCol w:w="2719"/>
        <w:gridCol w:w="1300"/>
        <w:gridCol w:w="1182"/>
      </w:tblGrid>
      <w:tr w:rsidR="00506C35" w:rsidRPr="009D048A" w14:paraId="27DA7268"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586" w:type="dxa"/>
          </w:tcPr>
          <w:p w14:paraId="3E21272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Case</w:t>
            </w:r>
          </w:p>
        </w:tc>
        <w:tc>
          <w:tcPr>
            <w:tcW w:w="1075" w:type="dxa"/>
          </w:tcPr>
          <w:p w14:paraId="18E7FBCE" w14:textId="77777777" w:rsidR="00506C35" w:rsidRPr="009D048A" w:rsidRDefault="00000000">
            <w:pPr>
              <w:pStyle w:val="Compact"/>
              <w:rPr>
                <w:rFonts w:ascii="Times New Roman" w:hAnsi="Times New Roman" w:cs="Times New Roman"/>
                <w:sz w:val="21"/>
                <w:szCs w:val="21"/>
              </w:rPr>
            </w:pPr>
            <m:oMathPara>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tc>
        <w:tc>
          <w:tcPr>
            <w:tcW w:w="1955" w:type="dxa"/>
          </w:tcPr>
          <w:p w14:paraId="16B3D24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Estimated </w:t>
            </w:r>
            <m:oMath>
              <m:r>
                <w:rPr>
                  <w:rFonts w:ascii="Cambria Math" w:hAnsi="Cambria Math" w:cs="Times New Roman"/>
                  <w:sz w:val="21"/>
                  <w:szCs w:val="21"/>
                </w:rPr>
                <m:t>σ</m:t>
              </m:r>
            </m:oMath>
          </w:p>
        </w:tc>
        <w:tc>
          <w:tcPr>
            <w:tcW w:w="2248" w:type="dxa"/>
          </w:tcPr>
          <w:p w14:paraId="0B958E83" w14:textId="77777777" w:rsidR="00506C35" w:rsidRPr="009D048A" w:rsidRDefault="00000000">
            <w:pPr>
              <w:pStyle w:val="Compact"/>
              <w:rPr>
                <w:rFonts w:ascii="Times New Roman" w:hAnsi="Times New Roman" w:cs="Times New Roman"/>
                <w:sz w:val="21"/>
                <w:szCs w:val="21"/>
              </w:rPr>
            </w:pPr>
            <m:oMath>
              <m:r>
                <w:rPr>
                  <w:rFonts w:ascii="Cambria Math" w:hAnsi="Cambria Math" w:cs="Times New Roman"/>
                  <w:sz w:val="21"/>
                  <w:szCs w:val="21"/>
                </w:rPr>
                <m:t>σ</m:t>
              </m:r>
              <m:r>
                <m:rPr>
                  <m:sty m:val="p"/>
                </m:rPr>
                <w:rPr>
                  <w:rFonts w:ascii="Cambria Math" w:hAnsi="Cambria Math" w:cs="Times New Roman"/>
                  <w:sz w:val="21"/>
                  <w:szCs w:val="21"/>
                </w:rPr>
                <m:t>&gt;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w:t>
            </w:r>
          </w:p>
        </w:tc>
        <w:tc>
          <w:tcPr>
            <w:tcW w:w="1075" w:type="dxa"/>
          </w:tcPr>
          <w:p w14:paraId="0388DFF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Observed?</w:t>
            </w:r>
          </w:p>
        </w:tc>
        <w:tc>
          <w:tcPr>
            <w:tcW w:w="977" w:type="dxa"/>
          </w:tcPr>
          <w:p w14:paraId="35054FF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Duration</w:t>
            </w:r>
          </w:p>
        </w:tc>
      </w:tr>
      <w:tr w:rsidR="00506C35" w:rsidRPr="009D048A" w14:paraId="1C782BDE" w14:textId="77777777">
        <w:tc>
          <w:tcPr>
            <w:tcW w:w="586" w:type="dxa"/>
          </w:tcPr>
          <w:p w14:paraId="0263BCE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Lamoka Lake</w:t>
            </w:r>
          </w:p>
        </w:tc>
        <w:tc>
          <w:tcPr>
            <w:tcW w:w="1075" w:type="dxa"/>
          </w:tcPr>
          <w:p w14:paraId="47538BF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0.305</w:t>
            </w:r>
          </w:p>
        </w:tc>
        <w:tc>
          <w:tcPr>
            <w:tcW w:w="1955" w:type="dxa"/>
          </w:tcPr>
          <w:p w14:paraId="6B2D619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0.35-0.45</w:t>
            </w:r>
          </w:p>
        </w:tc>
        <w:tc>
          <w:tcPr>
            <w:tcW w:w="2248" w:type="dxa"/>
          </w:tcPr>
          <w:p w14:paraId="4705CD0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Yes</w:t>
            </w:r>
          </w:p>
        </w:tc>
        <w:tc>
          <w:tcPr>
            <w:tcW w:w="1075" w:type="dxa"/>
          </w:tcPr>
          <w:p w14:paraId="4498347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Yes</w:t>
            </w:r>
          </w:p>
        </w:tc>
        <w:tc>
          <w:tcPr>
            <w:tcW w:w="977" w:type="dxa"/>
          </w:tcPr>
          <w:p w14:paraId="1E22147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~1,600 years</w:t>
            </w:r>
          </w:p>
        </w:tc>
      </w:tr>
      <w:tr w:rsidR="00506C35" w:rsidRPr="009D048A" w14:paraId="5F33AFAB" w14:textId="77777777">
        <w:tc>
          <w:tcPr>
            <w:tcW w:w="586" w:type="dxa"/>
          </w:tcPr>
          <w:p w14:paraId="4937A9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Rapa Nui</w:t>
            </w:r>
          </w:p>
        </w:tc>
        <w:tc>
          <w:tcPr>
            <w:tcW w:w="1075" w:type="dxa"/>
          </w:tcPr>
          <w:p w14:paraId="7762392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0.389</w:t>
            </w:r>
          </w:p>
        </w:tc>
        <w:tc>
          <w:tcPr>
            <w:tcW w:w="1955" w:type="dxa"/>
          </w:tcPr>
          <w:p w14:paraId="0E3684A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~0.31</w:t>
            </w:r>
          </w:p>
        </w:tc>
        <w:tc>
          <w:tcPr>
            <w:tcW w:w="2248" w:type="dxa"/>
          </w:tcPr>
          <w:p w14:paraId="5C8BB01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Marginal</w:t>
            </w:r>
          </w:p>
        </w:tc>
        <w:tc>
          <w:tcPr>
            <w:tcW w:w="1075" w:type="dxa"/>
          </w:tcPr>
          <w:p w14:paraId="75EF4FB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Conditional</w:t>
            </w:r>
          </w:p>
        </w:tc>
        <w:tc>
          <w:tcPr>
            <w:tcW w:w="977" w:type="dxa"/>
          </w:tcPr>
          <w:p w14:paraId="78D35A1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~400 years</w:t>
            </w:r>
          </w:p>
        </w:tc>
      </w:tr>
      <w:tr w:rsidR="00506C35" w:rsidRPr="009D048A" w14:paraId="028E4E41" w14:textId="77777777">
        <w:tc>
          <w:tcPr>
            <w:tcW w:w="586" w:type="dxa"/>
          </w:tcPr>
          <w:p w14:paraId="5CE71D7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Poverty Point</w:t>
            </w:r>
          </w:p>
        </w:tc>
        <w:tc>
          <w:tcPr>
            <w:tcW w:w="1075" w:type="dxa"/>
          </w:tcPr>
          <w:p w14:paraId="29616E9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0.534</w:t>
            </w:r>
          </w:p>
        </w:tc>
        <w:tc>
          <w:tcPr>
            <w:tcW w:w="1955" w:type="dxa"/>
          </w:tcPr>
          <w:p w14:paraId="19DC57F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0.45-0.55</w:t>
            </w:r>
          </w:p>
        </w:tc>
        <w:tc>
          <w:tcPr>
            <w:tcW w:w="2248" w:type="dxa"/>
          </w:tcPr>
          <w:p w14:paraId="3527990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Marginal</w:t>
            </w:r>
          </w:p>
        </w:tc>
        <w:tc>
          <w:tcPr>
            <w:tcW w:w="1075" w:type="dxa"/>
          </w:tcPr>
          <w:p w14:paraId="4B25F2B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Yes</w:t>
            </w:r>
          </w:p>
        </w:tc>
        <w:tc>
          <w:tcPr>
            <w:tcW w:w="977" w:type="dxa"/>
          </w:tcPr>
          <w:p w14:paraId="09DD1C2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~600 years</w:t>
            </w:r>
          </w:p>
        </w:tc>
      </w:tr>
      <w:tr w:rsidR="00506C35" w:rsidRPr="009D048A" w14:paraId="56B226A9" w14:textId="77777777">
        <w:tc>
          <w:tcPr>
            <w:tcW w:w="586" w:type="dxa"/>
          </w:tcPr>
          <w:p w14:paraId="285CC2A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Chaco Canyon</w:t>
            </w:r>
          </w:p>
        </w:tc>
        <w:tc>
          <w:tcPr>
            <w:tcW w:w="1075" w:type="dxa"/>
          </w:tcPr>
          <w:p w14:paraId="09A4F6A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~0.15</w:t>
            </w:r>
          </w:p>
        </w:tc>
        <w:tc>
          <w:tcPr>
            <w:tcW w:w="1955" w:type="dxa"/>
          </w:tcPr>
          <w:p w14:paraId="1897886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0.17</w:t>
            </w:r>
          </w:p>
        </w:tc>
        <w:tc>
          <w:tcPr>
            <w:tcW w:w="2248" w:type="dxa"/>
          </w:tcPr>
          <w:p w14:paraId="0858136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Yes</w:t>
            </w:r>
          </w:p>
        </w:tc>
        <w:tc>
          <w:tcPr>
            <w:tcW w:w="1075" w:type="dxa"/>
          </w:tcPr>
          <w:p w14:paraId="35EC732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Yes</w:t>
            </w:r>
          </w:p>
        </w:tc>
        <w:tc>
          <w:tcPr>
            <w:tcW w:w="977" w:type="dxa"/>
          </w:tcPr>
          <w:p w14:paraId="4B09EC1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~300 years</w:t>
            </w:r>
          </w:p>
        </w:tc>
      </w:tr>
    </w:tbl>
    <w:p w14:paraId="0B81FD1C"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drawing>
          <wp:inline distT="0" distB="0" distL="0" distR="0" wp14:anchorId="5E16C8D9" wp14:editId="2B240566">
            <wp:extent cx="5334000" cy="2636603"/>
            <wp:effectExtent l="0" t="0" r="0" b="0"/>
            <wp:docPr id="95" name="Picture" descr="Figure 9. Four case studies compared. Each row shows a case study’s critical threshold (diamond) and estimated sigma range (horizontal bar). Green bars indicate cases where sigma clearly exceeds sigma* (aggregation predicted and observed). Yellow bars indicate marginal cases where sigma is near sigma*. Duration of occupation is annotated."/>
            <wp:cNvGraphicFramePr/>
            <a:graphic xmlns:a="http://schemas.openxmlformats.org/drawingml/2006/main">
              <a:graphicData uri="http://schemas.openxmlformats.org/drawingml/2006/picture">
                <pic:pic xmlns:pic="http://schemas.openxmlformats.org/drawingml/2006/picture">
                  <pic:nvPicPr>
                    <pic:cNvPr id="96" name="Picture" descr="figures/fig_09_case_comparison.png"/>
                    <pic:cNvPicPr>
                      <a:picLocks noChangeAspect="1" noChangeArrowheads="1"/>
                    </pic:cNvPicPr>
                  </pic:nvPicPr>
                  <pic:blipFill>
                    <a:blip r:embed="rId13"/>
                    <a:stretch>
                      <a:fillRect/>
                    </a:stretch>
                  </pic:blipFill>
                  <pic:spPr bwMode="auto">
                    <a:xfrm>
                      <a:off x="0" y="0"/>
                      <a:ext cx="5334000" cy="2636603"/>
                    </a:xfrm>
                    <a:prstGeom prst="rect">
                      <a:avLst/>
                    </a:prstGeom>
                    <a:noFill/>
                    <a:ln w="9525">
                      <a:noFill/>
                      <a:headEnd/>
                      <a:tailEnd/>
                    </a:ln>
                  </pic:spPr>
                </pic:pic>
              </a:graphicData>
            </a:graphic>
          </wp:inline>
        </w:drawing>
      </w:r>
    </w:p>
    <w:p w14:paraId="14D7DB3D"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9. Four case studies compared. Each row shows a case study’s critical threshold (diamond) and estimated sigma range (horizontal bar). Green bars indicate cases where sigma clearly exceeds sigma* (aggregation predicted and observed). Yellow bars indicate marginal cases where sigma is near sigma*. Duration of occupation is annotated.</w:t>
      </w:r>
    </w:p>
    <w:p w14:paraId="3802724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Three important patterns emerge:</w:t>
      </w:r>
    </w:p>
    <w:p w14:paraId="50E5D8D7" w14:textId="77777777" w:rsidR="00506C35" w:rsidRPr="009D048A" w:rsidRDefault="00000000">
      <w:pPr>
        <w:numPr>
          <w:ilvl w:val="0"/>
          <w:numId w:val="26"/>
        </w:numPr>
        <w:rPr>
          <w:rFonts w:ascii="Times New Roman" w:hAnsi="Times New Roman" w:cs="Times New Roman"/>
          <w:sz w:val="21"/>
          <w:szCs w:val="21"/>
        </w:rPr>
      </w:pPr>
      <w:r w:rsidRPr="009D048A">
        <w:rPr>
          <w:rFonts w:ascii="Times New Roman" w:hAnsi="Times New Roman" w:cs="Times New Roman"/>
          <w:b/>
          <w:bCs/>
          <w:sz w:val="21"/>
          <w:szCs w:val="21"/>
        </w:rPr>
        <w:t>Lamoka Lake has the lowest threshold.</w:t>
      </w:r>
      <w:r w:rsidRPr="009D048A">
        <w:rPr>
          <w:rFonts w:ascii="Times New Roman" w:hAnsi="Times New Roman" w:cs="Times New Roman"/>
          <w:sz w:val="21"/>
          <w:szCs w:val="21"/>
        </w:rPr>
        <w:t xml:space="preserve"> This is because its costs are lowest (utilitarian infrastructure, small catchment) and its cooperation benefits are strong (communal processing generates direct caloric returns). The lower threshold means aggregation becomes viable under milder environmental conditions.</w:t>
      </w:r>
    </w:p>
    <w:p w14:paraId="1CBC96E9" w14:textId="77777777" w:rsidR="00506C35" w:rsidRPr="009D048A" w:rsidRDefault="00000000">
      <w:pPr>
        <w:numPr>
          <w:ilvl w:val="0"/>
          <w:numId w:val="26"/>
        </w:numPr>
        <w:rPr>
          <w:rFonts w:ascii="Times New Roman" w:hAnsi="Times New Roman" w:cs="Times New Roman"/>
          <w:sz w:val="21"/>
          <w:szCs w:val="21"/>
        </w:rPr>
      </w:pPr>
      <w:r w:rsidRPr="009D048A">
        <w:rPr>
          <w:rFonts w:ascii="Times New Roman" w:hAnsi="Times New Roman" w:cs="Times New Roman"/>
          <w:b/>
          <w:bCs/>
          <w:sz w:val="21"/>
          <w:szCs w:val="21"/>
        </w:rPr>
        <w:lastRenderedPageBreak/>
        <w:t>Lamoka Lake has the longest duration.</w:t>
      </w:r>
      <w:r w:rsidRPr="009D048A">
        <w:rPr>
          <w:rFonts w:ascii="Times New Roman" w:hAnsi="Times New Roman" w:cs="Times New Roman"/>
          <w:sz w:val="21"/>
          <w:szCs w:val="21"/>
        </w:rPr>
        <w:t xml:space="preserve"> The ~1,600-year broad occupation window is the longest of all four cases. This is consistent with the model: a lower threshold means the system is more robust, it takes a larger decrease in environmental variability to push the system below threshold and cause collapse.</w:t>
      </w:r>
    </w:p>
    <w:p w14:paraId="09F62437" w14:textId="77777777" w:rsidR="00506C35" w:rsidRPr="009D048A" w:rsidRDefault="00000000">
      <w:pPr>
        <w:numPr>
          <w:ilvl w:val="0"/>
          <w:numId w:val="26"/>
        </w:numPr>
        <w:rPr>
          <w:rFonts w:ascii="Times New Roman" w:hAnsi="Times New Roman" w:cs="Times New Roman"/>
          <w:sz w:val="21"/>
          <w:szCs w:val="21"/>
        </w:rPr>
      </w:pPr>
      <w:r w:rsidRPr="009D048A">
        <w:rPr>
          <w:rFonts w:ascii="Times New Roman" w:hAnsi="Times New Roman" w:cs="Times New Roman"/>
          <w:b/>
          <w:bCs/>
          <w:sz w:val="21"/>
          <w:szCs w:val="21"/>
        </w:rPr>
        <w:t>Near-threshold systems are unstable.</w:t>
      </w:r>
      <w:r w:rsidRPr="009D048A">
        <w:rPr>
          <w:rFonts w:ascii="Times New Roman" w:hAnsi="Times New Roman" w:cs="Times New Roman"/>
          <w:sz w:val="21"/>
          <w:szCs w:val="21"/>
        </w:rPr>
        <w:t xml:space="preserve"> Rapa Nui and Poverty Point, where estimated </w:t>
      </w:r>
      <m:oMath>
        <m:r>
          <w:rPr>
            <w:rFonts w:ascii="Cambria Math" w:hAnsi="Cambria Math" w:cs="Times New Roman"/>
            <w:sz w:val="21"/>
            <w:szCs w:val="21"/>
          </w:rPr>
          <m:t>σ</m:t>
        </m:r>
      </m:oMath>
      <w:r w:rsidRPr="009D048A">
        <w:rPr>
          <w:rFonts w:ascii="Times New Roman" w:hAnsi="Times New Roman" w:cs="Times New Roman"/>
          <w:sz w:val="21"/>
          <w:szCs w:val="21"/>
        </w:rPr>
        <w:t xml:space="preserve"> is close to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both eventually collapsed. Lamoka Lake and Chaco, where </w:t>
      </w:r>
      <m:oMath>
        <m:r>
          <w:rPr>
            <w:rFonts w:ascii="Cambria Math" w:hAnsi="Cambria Math" w:cs="Times New Roman"/>
            <w:sz w:val="21"/>
            <w:szCs w:val="21"/>
          </w:rPr>
          <m:t>σ</m:t>
        </m:r>
      </m:oMath>
      <w:r w:rsidRPr="009D048A">
        <w:rPr>
          <w:rFonts w:ascii="Times New Roman" w:hAnsi="Times New Roman" w:cs="Times New Roman"/>
          <w:sz w:val="21"/>
          <w:szCs w:val="21"/>
        </w:rPr>
        <w:t xml:space="preserve"> is more comfortably above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operated for longer periods.</w:t>
      </w:r>
    </w:p>
    <w:p w14:paraId="42D814F7" w14:textId="77777777" w:rsidR="00506C35" w:rsidRPr="009D048A" w:rsidRDefault="00000000">
      <w:pPr>
        <w:pStyle w:val="Heading3"/>
        <w:rPr>
          <w:rFonts w:ascii="Times New Roman" w:hAnsi="Times New Roman" w:cs="Times New Roman"/>
          <w:sz w:val="22"/>
          <w:szCs w:val="22"/>
        </w:rPr>
      </w:pPr>
      <w:bookmarkStart w:id="64" w:name="why-lamoka-has-the-lowest-threshold"/>
      <w:bookmarkEnd w:id="63"/>
      <w:r w:rsidRPr="009D048A">
        <w:rPr>
          <w:rFonts w:ascii="Times New Roman" w:hAnsi="Times New Roman" w:cs="Times New Roman"/>
          <w:sz w:val="22"/>
          <w:szCs w:val="22"/>
        </w:rPr>
        <w:t>11.4 Why Lamoka Has the Lowest Threshold</w:t>
      </w:r>
    </w:p>
    <w:p w14:paraId="76A9306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Lamoka Lake model differs from the other three cases in two key ways that drive the low threshold:</w:t>
      </w:r>
    </w:p>
    <w:p w14:paraId="53B2D61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Lower costs.</w:t>
      </w:r>
      <w:r w:rsidRPr="009D048A">
        <w:rPr>
          <w:rFonts w:ascii="Times New Roman" w:hAnsi="Times New Roman" w:cs="Times New Roman"/>
          <w:sz w:val="21"/>
          <w:szCs w:val="21"/>
        </w:rPr>
        <w:t xml:space="preserve">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xml:space="preserve"> versus 0.35-0.45 for the other cases. The main reason: Lamoka Lake’s infrastructure is utilitarian (storage pits, fish weirs) rather than monumental (22-meter mounds at Poverty Point, moai on Rapa Nui). Utilitarian infrastructure partially pays for itself through direct caloric returns, lowering the net cost.</w:t>
      </w:r>
    </w:p>
    <w:p w14:paraId="0ECC98D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Stronger cooperation returns.</w:t>
      </w:r>
      <w:r w:rsidRPr="009D048A">
        <w:rPr>
          <w:rFonts w:ascii="Times New Roman" w:hAnsi="Times New Roman" w:cs="Times New Roman"/>
          <w:sz w:val="21"/>
          <w:szCs w:val="21"/>
        </w:rPr>
        <w:t xml:space="preserve"> </w:t>
      </w:r>
      <m:oMath>
        <m:r>
          <w:rPr>
            <w:rFonts w:ascii="Cambria Math" w:hAnsi="Cambria Math" w:cs="Times New Roman"/>
            <w:sz w:val="21"/>
            <w:szCs w:val="21"/>
          </w:rPr>
          <m:t>b</m:t>
        </m:r>
        <m:r>
          <m:rPr>
            <m:sty m:val="p"/>
          </m:rPr>
          <w:rPr>
            <w:rFonts w:ascii="Cambria Math" w:hAnsi="Cambria Math" w:cs="Times New Roman"/>
            <w:sz w:val="21"/>
            <w:szCs w:val="21"/>
          </w:rPr>
          <m:t>=</m:t>
        </m:r>
        <m:r>
          <w:rPr>
            <w:rFonts w:ascii="Cambria Math" w:hAnsi="Cambria Math" w:cs="Times New Roman"/>
            <w:sz w:val="21"/>
            <w:szCs w:val="21"/>
          </w:rPr>
          <m:t>0.10</m:t>
        </m:r>
      </m:oMath>
      <w:r w:rsidRPr="009D048A">
        <w:rPr>
          <w:rFonts w:ascii="Times New Roman" w:hAnsi="Times New Roman" w:cs="Times New Roman"/>
          <w:sz w:val="21"/>
          <w:szCs w:val="21"/>
        </w:rPr>
        <w:t xml:space="preserve"> versus 0.08 at Poverty Point. Communal processing at Lamoka Lake (fish weirs, nut processing, game smoking) generates direct food returns with clear increasing returns to labor. At Poverty Point, much of the cooperation investment goes into monumental earthworks with no direct caloric return.</w:t>
      </w:r>
    </w:p>
    <w:p w14:paraId="5A10FB9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These two differences, lower costs and stronger direct returns, compound multiplicatively. The result is a system that becomes viable at lower environmental variability and is more robust once established.</w:t>
      </w:r>
    </w:p>
    <w:p w14:paraId="589107F4"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5C269B95">
          <v:rect id="_x0000_i1036" alt="" style="width:468pt;height:.05pt;mso-width-percent:0;mso-height-percent:0;mso-width-percent:0;mso-height-percent:0" o:hralign="center" o:hrstd="t" o:hr="t"/>
        </w:pict>
      </w:r>
    </w:p>
    <w:p w14:paraId="4EEB00A5" w14:textId="77777777" w:rsidR="00506C35" w:rsidRPr="009D048A" w:rsidRDefault="00000000">
      <w:pPr>
        <w:pStyle w:val="Heading2"/>
        <w:rPr>
          <w:rFonts w:ascii="Times New Roman" w:hAnsi="Times New Roman" w:cs="Times New Roman"/>
          <w:sz w:val="24"/>
          <w:szCs w:val="24"/>
        </w:rPr>
      </w:pPr>
      <w:bookmarkStart w:id="65" w:name="Xa9c1b67e13ccf30791d2aa8c0af6a1c07cac3f6"/>
      <w:bookmarkEnd w:id="60"/>
      <w:bookmarkEnd w:id="64"/>
      <w:r w:rsidRPr="009D048A">
        <w:rPr>
          <w:rFonts w:ascii="Times New Roman" w:hAnsi="Times New Roman" w:cs="Times New Roman"/>
          <w:sz w:val="24"/>
          <w:szCs w:val="24"/>
        </w:rPr>
        <w:t>12. What the Simulation Tells Us Beyond the Math</w:t>
      </w:r>
    </w:p>
    <w:p w14:paraId="28848E16" w14:textId="77777777" w:rsidR="00506C35" w:rsidRPr="009D048A" w:rsidRDefault="00000000">
      <w:pPr>
        <w:pStyle w:val="Heading3"/>
        <w:rPr>
          <w:rFonts w:ascii="Times New Roman" w:hAnsi="Times New Roman" w:cs="Times New Roman"/>
          <w:sz w:val="22"/>
          <w:szCs w:val="22"/>
        </w:rPr>
      </w:pPr>
      <w:bookmarkStart w:id="66" w:name="why-we-need-simulation"/>
      <w:r w:rsidRPr="009D048A">
        <w:rPr>
          <w:rFonts w:ascii="Times New Roman" w:hAnsi="Times New Roman" w:cs="Times New Roman"/>
          <w:sz w:val="22"/>
          <w:szCs w:val="22"/>
        </w:rPr>
        <w:t>12.1 Why We Need Simulation</w:t>
      </w:r>
    </w:p>
    <w:p w14:paraId="004BBB29"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analytical model (Sections 4-11) makes several simplifying assumptions:</w:t>
      </w:r>
    </w:p>
    <w:p w14:paraId="7457CD36" w14:textId="77777777" w:rsidR="00506C35" w:rsidRPr="009D048A" w:rsidRDefault="00000000">
      <w:pPr>
        <w:pStyle w:val="Compact"/>
        <w:numPr>
          <w:ilvl w:val="0"/>
          <w:numId w:val="27"/>
        </w:numPr>
        <w:rPr>
          <w:rFonts w:ascii="Times New Roman" w:hAnsi="Times New Roman" w:cs="Times New Roman"/>
          <w:sz w:val="21"/>
          <w:szCs w:val="21"/>
        </w:rPr>
      </w:pPr>
      <w:r w:rsidRPr="009D048A">
        <w:rPr>
          <w:rFonts w:ascii="Times New Roman" w:hAnsi="Times New Roman" w:cs="Times New Roman"/>
          <w:sz w:val="21"/>
          <w:szCs w:val="21"/>
        </w:rPr>
        <w:t xml:space="preserve">Fitness depends linearly on </w:t>
      </w:r>
      <m:oMath>
        <m:r>
          <w:rPr>
            <w:rFonts w:ascii="Cambria Math" w:hAnsi="Cambria Math" w:cs="Times New Roman"/>
            <w:sz w:val="21"/>
            <w:szCs w:val="21"/>
          </w:rPr>
          <m:t>σ</m:t>
        </m:r>
      </m:oMath>
      <w:r w:rsidRPr="009D048A">
        <w:rPr>
          <w:rFonts w:ascii="Times New Roman" w:hAnsi="Times New Roman" w:cs="Times New Roman"/>
          <w:sz w:val="21"/>
          <w:szCs w:val="21"/>
        </w:rPr>
        <w:t xml:space="preserve"> (in reality, the relationship may be nonlinear)</w:t>
      </w:r>
    </w:p>
    <w:p w14:paraId="67688F18" w14:textId="77777777" w:rsidR="00506C35" w:rsidRPr="009D048A" w:rsidRDefault="00000000">
      <w:pPr>
        <w:pStyle w:val="Compact"/>
        <w:numPr>
          <w:ilvl w:val="0"/>
          <w:numId w:val="27"/>
        </w:numPr>
        <w:rPr>
          <w:rFonts w:ascii="Times New Roman" w:hAnsi="Times New Roman" w:cs="Times New Roman"/>
          <w:sz w:val="21"/>
          <w:szCs w:val="21"/>
        </w:rPr>
      </w:pPr>
      <w:r w:rsidRPr="009D048A">
        <w:rPr>
          <w:rFonts w:ascii="Times New Roman" w:hAnsi="Times New Roman" w:cs="Times New Roman"/>
          <w:sz w:val="21"/>
          <w:szCs w:val="21"/>
        </w:rPr>
        <w:t xml:space="preserve">Group size </w:t>
      </w:r>
      <m:oMath>
        <m:r>
          <w:rPr>
            <w:rFonts w:ascii="Cambria Math" w:hAnsi="Cambria Math" w:cs="Times New Roman"/>
            <w:sz w:val="21"/>
            <w:szCs w:val="21"/>
          </w:rPr>
          <m:t>n</m:t>
        </m:r>
      </m:oMath>
      <w:r w:rsidRPr="009D048A">
        <w:rPr>
          <w:rFonts w:ascii="Times New Roman" w:hAnsi="Times New Roman" w:cs="Times New Roman"/>
          <w:sz w:val="21"/>
          <w:szCs w:val="21"/>
        </w:rPr>
        <w:t xml:space="preserve"> is fixed (in reality, it fluctuates year to year)</w:t>
      </w:r>
    </w:p>
    <w:p w14:paraId="31468B53" w14:textId="77777777" w:rsidR="00506C35" w:rsidRPr="009D048A" w:rsidRDefault="00000000">
      <w:pPr>
        <w:pStyle w:val="Compact"/>
        <w:numPr>
          <w:ilvl w:val="0"/>
          <w:numId w:val="27"/>
        </w:numPr>
        <w:rPr>
          <w:rFonts w:ascii="Times New Roman" w:hAnsi="Times New Roman" w:cs="Times New Roman"/>
          <w:sz w:val="21"/>
          <w:szCs w:val="21"/>
        </w:rPr>
      </w:pPr>
      <w:r w:rsidRPr="009D048A">
        <w:rPr>
          <w:rFonts w:ascii="Times New Roman" w:hAnsi="Times New Roman" w:cs="Times New Roman"/>
          <w:sz w:val="21"/>
          <w:szCs w:val="21"/>
        </w:rPr>
        <w:t>Strategy decisions are deterministic (in reality, they are probabilistic)</w:t>
      </w:r>
    </w:p>
    <w:p w14:paraId="7A5BAF70" w14:textId="77777777" w:rsidR="00506C35" w:rsidRPr="009D048A" w:rsidRDefault="00000000">
      <w:pPr>
        <w:pStyle w:val="Compact"/>
        <w:numPr>
          <w:ilvl w:val="0"/>
          <w:numId w:val="27"/>
        </w:numPr>
        <w:rPr>
          <w:rFonts w:ascii="Times New Roman" w:hAnsi="Times New Roman" w:cs="Times New Roman"/>
          <w:sz w:val="21"/>
          <w:szCs w:val="21"/>
        </w:rPr>
      </w:pPr>
      <w:r w:rsidRPr="009D048A">
        <w:rPr>
          <w:rFonts w:ascii="Times New Roman" w:hAnsi="Times New Roman" w:cs="Times New Roman"/>
          <w:sz w:val="21"/>
          <w:szCs w:val="21"/>
        </w:rPr>
        <w:t>The population is well-mixed (in reality, bands are distributed across space)</w:t>
      </w:r>
    </w:p>
    <w:p w14:paraId="2A66560C" w14:textId="77777777" w:rsidR="00506C35" w:rsidRPr="009D048A" w:rsidRDefault="00000000">
      <w:pPr>
        <w:pStyle w:val="Compact"/>
        <w:numPr>
          <w:ilvl w:val="0"/>
          <w:numId w:val="27"/>
        </w:numPr>
        <w:rPr>
          <w:rFonts w:ascii="Times New Roman" w:hAnsi="Times New Roman" w:cs="Times New Roman"/>
          <w:sz w:val="21"/>
          <w:szCs w:val="21"/>
        </w:rPr>
      </w:pPr>
      <w:r w:rsidRPr="009D048A">
        <w:rPr>
          <w:rFonts w:ascii="Times New Roman" w:hAnsi="Times New Roman" w:cs="Times New Roman"/>
          <w:sz w:val="21"/>
          <w:szCs w:val="21"/>
        </w:rPr>
        <w:t>There is no memory or path dependence (in reality, past experience influences decisions)</w:t>
      </w:r>
    </w:p>
    <w:p w14:paraId="32FFD5A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agent-based model (ABM) relaxes all of these assumptions. It simulates 25 bands over 1,600 years with stochastic resource returns, spatial structure, probabilistic decision-making, memory effects, and dynamic demographics.</w:t>
      </w:r>
    </w:p>
    <w:p w14:paraId="1BB4A34A" w14:textId="77777777" w:rsidR="00506C35" w:rsidRPr="009D048A" w:rsidRDefault="00000000">
      <w:pPr>
        <w:pStyle w:val="Heading3"/>
        <w:rPr>
          <w:rFonts w:ascii="Times New Roman" w:hAnsi="Times New Roman" w:cs="Times New Roman"/>
          <w:sz w:val="22"/>
          <w:szCs w:val="22"/>
        </w:rPr>
      </w:pPr>
      <w:bookmarkStart w:id="67" w:name="key-simulation-results"/>
      <w:bookmarkEnd w:id="66"/>
      <w:r w:rsidRPr="009D048A">
        <w:rPr>
          <w:rFonts w:ascii="Times New Roman" w:hAnsi="Times New Roman" w:cs="Times New Roman"/>
          <w:sz w:val="22"/>
          <w:szCs w:val="22"/>
        </w:rPr>
        <w:t>12.2 Key Simulation Results</w:t>
      </w:r>
    </w:p>
    <w:p w14:paraId="7BE9212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Phase transition confirmed.</w:t>
      </w:r>
      <w:r w:rsidRPr="009D048A">
        <w:rPr>
          <w:rFonts w:ascii="Times New Roman" w:hAnsi="Times New Roman" w:cs="Times New Roman"/>
          <w:sz w:val="21"/>
          <w:szCs w:val="21"/>
        </w:rPr>
        <w:t xml:space="preserve"> The ABM reproduces the phase transition predicted by the analytical model. At low </w:t>
      </w:r>
      <m:oMath>
        <m:r>
          <w:rPr>
            <w:rFonts w:ascii="Cambria Math" w:hAnsi="Cambria Math" w:cs="Times New Roman"/>
            <w:sz w:val="21"/>
            <w:szCs w:val="21"/>
          </w:rPr>
          <m:t>σ</m:t>
        </m:r>
      </m:oMath>
      <w:r w:rsidRPr="009D048A">
        <w:rPr>
          <w:rFonts w:ascii="Times New Roman" w:hAnsi="Times New Roman" w:cs="Times New Roman"/>
          <w:sz w:val="21"/>
          <w:szCs w:val="21"/>
        </w:rPr>
        <w:t xml:space="preserve"> (0.05-0.28), most bands forage independently. As </w:t>
      </w:r>
      <m:oMath>
        <m:r>
          <w:rPr>
            <w:rFonts w:ascii="Cambria Math" w:hAnsi="Cambria Math" w:cs="Times New Roman"/>
            <w:sz w:val="21"/>
            <w:szCs w:val="21"/>
          </w:rPr>
          <m:t>σ</m:t>
        </m:r>
      </m:oMath>
      <w:r w:rsidRPr="009D048A">
        <w:rPr>
          <w:rFonts w:ascii="Times New Roman" w:hAnsi="Times New Roman" w:cs="Times New Roman"/>
          <w:sz w:val="21"/>
          <w:szCs w:val="21"/>
        </w:rPr>
        <w:t xml:space="preserve"> approaches and exceeds the threshold, bands increasingly aggregate. The simulated transition zone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0.40</m:t>
        </m:r>
      </m:oMath>
      <w:r w:rsidRPr="009D048A">
        <w:rPr>
          <w:rFonts w:ascii="Times New Roman" w:hAnsi="Times New Roman" w:cs="Times New Roman"/>
          <w:sz w:val="21"/>
          <w:szCs w:val="21"/>
        </w:rPr>
        <w:t>-</w:t>
      </w:r>
      <m:oMath>
        <m:r>
          <w:rPr>
            <w:rFonts w:ascii="Cambria Math" w:hAnsi="Cambria Math" w:cs="Times New Roman"/>
            <w:sz w:val="21"/>
            <w:szCs w:val="21"/>
          </w:rPr>
          <m:t>0.45</m:t>
        </m:r>
      </m:oMath>
      <w:r w:rsidRPr="009D048A">
        <w:rPr>
          <w:rFonts w:ascii="Times New Roman" w:hAnsi="Times New Roman" w:cs="Times New Roman"/>
          <w:sz w:val="21"/>
          <w:szCs w:val="21"/>
        </w:rPr>
        <w:t>) is somewhat above the analytical prediction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sz w:val="21"/>
          <w:szCs w:val="21"/>
        </w:rPr>
        <w:t>).</w:t>
      </w:r>
    </w:p>
    <w:p w14:paraId="39A8C14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Why the gap? The analytical model assumes optimal, instantaneous decision-making: bands immediately choose whichever strategy has higher fitness. The ABM is more realistic. Bands learn from experience, take time to switch strategies, make occasional mistakes, and face stochastic resource draws that add noise to the signal. Just as a real insurance market does not snap into equilibrium the instant risk crosses a threshold, the </w:t>
      </w:r>
      <w:r w:rsidRPr="009D048A">
        <w:rPr>
          <w:rFonts w:ascii="Times New Roman" w:hAnsi="Times New Roman" w:cs="Times New Roman"/>
          <w:sz w:val="21"/>
          <w:szCs w:val="21"/>
        </w:rPr>
        <w:lastRenderedPageBreak/>
        <w:t xml:space="preserve">simulated population needs </w:t>
      </w:r>
      <m:oMath>
        <m:r>
          <w:rPr>
            <w:rFonts w:ascii="Cambria Math" w:hAnsi="Cambria Math" w:cs="Times New Roman"/>
            <w:sz w:val="21"/>
            <w:szCs w:val="21"/>
          </w:rPr>
          <m:t>σ</m:t>
        </m:r>
      </m:oMath>
      <w:r w:rsidRPr="009D048A">
        <w:rPr>
          <w:rFonts w:ascii="Times New Roman" w:hAnsi="Times New Roman" w:cs="Times New Roman"/>
          <w:sz w:val="21"/>
          <w:szCs w:val="21"/>
        </w:rPr>
        <w:t xml:space="preserve"> somewhat above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before the aggregation advantage is strong enough to emerge reliably through the noise. The analytical threshold is the </w:t>
      </w:r>
      <w:r w:rsidRPr="009D048A">
        <w:rPr>
          <w:rFonts w:ascii="Times New Roman" w:hAnsi="Times New Roman" w:cs="Times New Roman"/>
          <w:i/>
          <w:iCs/>
          <w:sz w:val="21"/>
          <w:szCs w:val="21"/>
        </w:rPr>
        <w:t>minimum</w:t>
      </w:r>
      <w:r w:rsidRPr="009D048A">
        <w:rPr>
          <w:rFonts w:ascii="Times New Roman" w:hAnsi="Times New Roman" w:cs="Times New Roman"/>
          <w:sz w:val="21"/>
          <w:szCs w:val="21"/>
        </w:rPr>
        <w:t xml:space="preserve"> level of uncertainty at which aggregation can theoretically pay off; the simulated threshold is the </w:t>
      </w:r>
      <w:r w:rsidRPr="009D048A">
        <w:rPr>
          <w:rFonts w:ascii="Times New Roman" w:hAnsi="Times New Roman" w:cs="Times New Roman"/>
          <w:i/>
          <w:iCs/>
          <w:sz w:val="21"/>
          <w:szCs w:val="21"/>
        </w:rPr>
        <w:t>practical</w:t>
      </w:r>
      <w:r w:rsidRPr="009D048A">
        <w:rPr>
          <w:rFonts w:ascii="Times New Roman" w:hAnsi="Times New Roman" w:cs="Times New Roman"/>
          <w:sz w:val="21"/>
          <w:szCs w:val="21"/>
        </w:rPr>
        <w:t xml:space="preserve"> level at which it actually takes hold. Both are useful: the analytical value tells us where the fundamental tipping point is, and the simulated value tells us what we should expect in a messy, realistic world.</w:t>
      </w:r>
    </w:p>
    <w:p w14:paraId="1A0AEBC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Null models confirm mechanism.</w:t>
      </w:r>
      <w:r w:rsidRPr="009D048A">
        <w:rPr>
          <w:rFonts w:ascii="Times New Roman" w:hAnsi="Times New Roman" w:cs="Times New Roman"/>
          <w:sz w:val="21"/>
          <w:szCs w:val="21"/>
        </w:rPr>
        <w:t xml:space="preserve"> Six null models each remove one component of the model. None produces aggregation, confirming that the full mechanism (uncertainty + ecotone + vulnerability differential + cooperation returns + processing) is required. No single mechanism is sufficient.</w:t>
      </w:r>
    </w:p>
    <w:p w14:paraId="3002F85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Robustness test.</w:t>
      </w:r>
      <w:r w:rsidRPr="009D048A">
        <w:rPr>
          <w:rFonts w:ascii="Times New Roman" w:hAnsi="Times New Roman" w:cs="Times New Roman"/>
          <w:sz w:val="21"/>
          <w:szCs w:val="21"/>
        </w:rPr>
        <w:t xml:space="preserve"> Even with extreme processing returns (fish weir returns doubled, nut storage fraction increased to 95%), the sigma barrier cannot be overcome. If environmental variability is too low (</w:t>
      </w:r>
      <m:oMath>
        <m:r>
          <w:rPr>
            <w:rFonts w:ascii="Cambria Math" w:hAnsi="Cambria Math" w:cs="Times New Roman"/>
            <w:sz w:val="21"/>
            <w:szCs w:val="21"/>
          </w:rPr>
          <m:t>σ</m:t>
        </m:r>
        <m:r>
          <m:rPr>
            <m:sty m:val="p"/>
          </m:rPr>
          <w:rPr>
            <w:rFonts w:ascii="Cambria Math" w:hAnsi="Cambria Math" w:cs="Times New Roman"/>
            <w:sz w:val="21"/>
            <w:szCs w:val="21"/>
          </w:rPr>
          <m:t>&lt;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no amount of processing productivity makes aggregation adaptive. The barrier is structural, not quantitative.</w:t>
      </w:r>
    </w:p>
    <w:p w14:paraId="7CFF2342" w14:textId="77777777" w:rsidR="00506C35" w:rsidRPr="009D048A" w:rsidRDefault="00000000">
      <w:pPr>
        <w:pStyle w:val="CaptionedFigure"/>
        <w:rPr>
          <w:rFonts w:ascii="Times New Roman" w:hAnsi="Times New Roman" w:cs="Times New Roman"/>
          <w:sz w:val="21"/>
          <w:szCs w:val="21"/>
        </w:rPr>
      </w:pPr>
      <w:r w:rsidRPr="009D048A">
        <w:rPr>
          <w:rFonts w:ascii="Times New Roman" w:hAnsi="Times New Roman" w:cs="Times New Roman"/>
          <w:noProof/>
          <w:sz w:val="21"/>
          <w:szCs w:val="21"/>
        </w:rPr>
        <w:drawing>
          <wp:inline distT="0" distB="0" distL="0" distR="0" wp14:anchorId="2ACA6984" wp14:editId="323EA7D9">
            <wp:extent cx="5334000" cy="4310276"/>
            <wp:effectExtent l="0" t="0" r="0" b="0"/>
            <wp:docPr id="102" name="Picture" descr="Figure 10. Phase space: where aggregation emerges. The two-dimensional parameter space of environmental uncertainty (sigma) and ecotone advantage (epsilon). Blue regions indicate where aggregation dominates; red regions where independence dominates. The black contour is the phase boundary. All four case studies are marked, showing their positions relative to the boundary."/>
            <wp:cNvGraphicFramePr/>
            <a:graphic xmlns:a="http://schemas.openxmlformats.org/drawingml/2006/main">
              <a:graphicData uri="http://schemas.openxmlformats.org/drawingml/2006/picture">
                <pic:pic xmlns:pic="http://schemas.openxmlformats.org/drawingml/2006/picture">
                  <pic:nvPicPr>
                    <pic:cNvPr id="103" name="Picture" descr="figures/fig_10_phase_space.png"/>
                    <pic:cNvPicPr>
                      <a:picLocks noChangeAspect="1" noChangeArrowheads="1"/>
                    </pic:cNvPicPr>
                  </pic:nvPicPr>
                  <pic:blipFill>
                    <a:blip r:embed="rId14"/>
                    <a:stretch>
                      <a:fillRect/>
                    </a:stretch>
                  </pic:blipFill>
                  <pic:spPr bwMode="auto">
                    <a:xfrm>
                      <a:off x="0" y="0"/>
                      <a:ext cx="5334000" cy="4310276"/>
                    </a:xfrm>
                    <a:prstGeom prst="rect">
                      <a:avLst/>
                    </a:prstGeom>
                    <a:noFill/>
                    <a:ln w="9525">
                      <a:noFill/>
                      <a:headEnd/>
                      <a:tailEnd/>
                    </a:ln>
                  </pic:spPr>
                </pic:pic>
              </a:graphicData>
            </a:graphic>
          </wp:inline>
        </w:drawing>
      </w:r>
    </w:p>
    <w:p w14:paraId="62F89781" w14:textId="77777777" w:rsidR="00506C35" w:rsidRPr="009D048A" w:rsidRDefault="00000000">
      <w:pPr>
        <w:pStyle w:val="ImageCaption"/>
        <w:rPr>
          <w:rFonts w:ascii="Times New Roman" w:hAnsi="Times New Roman" w:cs="Times New Roman"/>
          <w:sz w:val="21"/>
          <w:szCs w:val="21"/>
        </w:rPr>
      </w:pPr>
      <w:r w:rsidRPr="009D048A">
        <w:rPr>
          <w:rFonts w:ascii="Times New Roman" w:hAnsi="Times New Roman" w:cs="Times New Roman"/>
          <w:sz w:val="21"/>
          <w:szCs w:val="21"/>
        </w:rPr>
        <w:t>Figure 10. Phase space: where aggregation emerges. The two-dimensional parameter space of environmental uncertainty (sigma) and ecotone advantage (epsilon). Blue regions indicate where aggregation dominates; red regions where independence dominates. The black contour is the phase boundary. All four case studies are marked, showing their positions relative to the boundary.</w:t>
      </w:r>
    </w:p>
    <w:p w14:paraId="75D92BB7" w14:textId="77777777" w:rsidR="00506C35" w:rsidRPr="009D048A" w:rsidRDefault="00000000">
      <w:pPr>
        <w:pStyle w:val="Heading3"/>
        <w:rPr>
          <w:rFonts w:ascii="Times New Roman" w:hAnsi="Times New Roman" w:cs="Times New Roman"/>
          <w:sz w:val="22"/>
          <w:szCs w:val="22"/>
        </w:rPr>
      </w:pPr>
      <w:bookmarkStart w:id="68" w:name="X79f8db7740d8f1c5037cc24de81454d3f5c962a"/>
      <w:bookmarkEnd w:id="67"/>
      <w:r w:rsidRPr="009D048A">
        <w:rPr>
          <w:rFonts w:ascii="Times New Roman" w:hAnsi="Times New Roman" w:cs="Times New Roman"/>
          <w:sz w:val="22"/>
          <w:szCs w:val="22"/>
        </w:rPr>
        <w:t>12.3 Where Analytical Approximations Break Down</w:t>
      </w:r>
    </w:p>
    <w:p w14:paraId="276F155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ABM reveals several dynamics that the analytical model misses:</w:t>
      </w:r>
    </w:p>
    <w:p w14:paraId="6B92D990" w14:textId="77777777" w:rsidR="00506C35" w:rsidRPr="009D048A" w:rsidRDefault="00000000">
      <w:pPr>
        <w:numPr>
          <w:ilvl w:val="0"/>
          <w:numId w:val="28"/>
        </w:numPr>
        <w:rPr>
          <w:rFonts w:ascii="Times New Roman" w:hAnsi="Times New Roman" w:cs="Times New Roman"/>
          <w:sz w:val="21"/>
          <w:szCs w:val="21"/>
        </w:rPr>
      </w:pPr>
      <w:r w:rsidRPr="009D048A">
        <w:rPr>
          <w:rFonts w:ascii="Times New Roman" w:hAnsi="Times New Roman" w:cs="Times New Roman"/>
          <w:b/>
          <w:bCs/>
          <w:sz w:val="21"/>
          <w:szCs w:val="21"/>
        </w:rPr>
        <w:t>Gradual transition.</w:t>
      </w:r>
      <w:r w:rsidRPr="009D048A">
        <w:rPr>
          <w:rFonts w:ascii="Times New Roman" w:hAnsi="Times New Roman" w:cs="Times New Roman"/>
          <w:sz w:val="21"/>
          <w:szCs w:val="21"/>
        </w:rPr>
        <w:t xml:space="preserve"> The analytical model predicts a sharp phase transition at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The ABM shows a gradual transition over a range of </w:t>
      </w:r>
      <m:oMath>
        <m:r>
          <w:rPr>
            <w:rFonts w:ascii="Cambria Math" w:hAnsi="Cambria Math" w:cs="Times New Roman"/>
            <w:sz w:val="21"/>
            <w:szCs w:val="21"/>
          </w:rPr>
          <m:t>σ</m:t>
        </m:r>
      </m:oMath>
      <w:r w:rsidRPr="009D048A">
        <w:rPr>
          <w:rFonts w:ascii="Times New Roman" w:hAnsi="Times New Roman" w:cs="Times New Roman"/>
          <w:sz w:val="21"/>
          <w:szCs w:val="21"/>
        </w:rPr>
        <w:t xml:space="preserve"> values (</w:t>
      </w:r>
      <m:oMath>
        <m:r>
          <m:rPr>
            <m:sty m:val="p"/>
          </m:rPr>
          <w:rPr>
            <w:rFonts w:ascii="Cambria Math" w:hAnsi="Cambria Math" w:cs="Times New Roman"/>
            <w:sz w:val="21"/>
            <w:szCs w:val="21"/>
          </w:rPr>
          <m:t>±</m:t>
        </m:r>
        <m:r>
          <w:rPr>
            <w:rFonts w:ascii="Cambria Math" w:hAnsi="Cambria Math" w:cs="Times New Roman"/>
            <w:sz w:val="21"/>
            <w:szCs w:val="21"/>
          </w:rPr>
          <m:t>0.03</m:t>
        </m:r>
      </m:oMath>
      <w:r w:rsidRPr="009D048A">
        <w:rPr>
          <w:rFonts w:ascii="Times New Roman" w:hAnsi="Times New Roman" w:cs="Times New Roman"/>
          <w:sz w:val="21"/>
          <w:szCs w:val="21"/>
        </w:rPr>
        <w:t>-</w:t>
      </w:r>
      <m:oMath>
        <m:r>
          <w:rPr>
            <w:rFonts w:ascii="Cambria Math" w:hAnsi="Cambria Math" w:cs="Times New Roman"/>
            <w:sz w:val="21"/>
            <w:szCs w:val="21"/>
          </w:rPr>
          <m:t>0.05</m:t>
        </m:r>
      </m:oMath>
      <w:r w:rsidRPr="009D048A">
        <w:rPr>
          <w:rFonts w:ascii="Times New Roman" w:hAnsi="Times New Roman" w:cs="Times New Roman"/>
          <w:sz w:val="21"/>
          <w:szCs w:val="21"/>
        </w:rPr>
        <w:t xml:space="preserve"> around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reflecting the time needed for strategy frequencies to equilibrate.</w:t>
      </w:r>
    </w:p>
    <w:p w14:paraId="7BB1482B" w14:textId="77777777" w:rsidR="00506C35" w:rsidRPr="009D048A" w:rsidRDefault="00000000">
      <w:pPr>
        <w:numPr>
          <w:ilvl w:val="0"/>
          <w:numId w:val="28"/>
        </w:numPr>
        <w:rPr>
          <w:rFonts w:ascii="Times New Roman" w:hAnsi="Times New Roman" w:cs="Times New Roman"/>
          <w:sz w:val="21"/>
          <w:szCs w:val="21"/>
        </w:rPr>
      </w:pPr>
      <w:r w:rsidRPr="009D048A">
        <w:rPr>
          <w:rFonts w:ascii="Times New Roman" w:hAnsi="Times New Roman" w:cs="Times New Roman"/>
          <w:b/>
          <w:bCs/>
          <w:sz w:val="21"/>
          <w:szCs w:val="21"/>
        </w:rPr>
        <w:lastRenderedPageBreak/>
        <w:t>Hysteresis.</w:t>
      </w:r>
      <w:r w:rsidRPr="009D048A">
        <w:rPr>
          <w:rFonts w:ascii="Times New Roman" w:hAnsi="Times New Roman" w:cs="Times New Roman"/>
          <w:sz w:val="21"/>
          <w:szCs w:val="21"/>
        </w:rPr>
        <w:t xml:space="preserve"> Once cooperation is established, it persists slightly below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due to cultural inertia (memory effects, established reciprocal networks). Once lost, it requires </w:t>
      </w:r>
      <m:oMath>
        <m:r>
          <w:rPr>
            <w:rFonts w:ascii="Cambria Math" w:hAnsi="Cambria Math" w:cs="Times New Roman"/>
            <w:sz w:val="21"/>
            <w:szCs w:val="21"/>
          </w:rPr>
          <m:t>σ</m:t>
        </m:r>
      </m:oMath>
      <w:r w:rsidRPr="009D048A">
        <w:rPr>
          <w:rFonts w:ascii="Times New Roman" w:hAnsi="Times New Roman" w:cs="Times New Roman"/>
          <w:sz w:val="21"/>
          <w:szCs w:val="21"/>
        </w:rPr>
        <w:t xml:space="preserve"> slightly above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to re-emerge. This hysteresis is important for interpreting the archaeological record: the system may show “stickiness” near the threshold.</w:t>
      </w:r>
    </w:p>
    <w:p w14:paraId="5B2A982C" w14:textId="77777777" w:rsidR="00506C35" w:rsidRPr="009D048A" w:rsidRDefault="00000000">
      <w:pPr>
        <w:numPr>
          <w:ilvl w:val="0"/>
          <w:numId w:val="28"/>
        </w:numPr>
        <w:rPr>
          <w:rFonts w:ascii="Times New Roman" w:hAnsi="Times New Roman" w:cs="Times New Roman"/>
          <w:sz w:val="21"/>
          <w:szCs w:val="21"/>
        </w:rPr>
      </w:pPr>
      <w:r w:rsidRPr="009D048A">
        <w:rPr>
          <w:rFonts w:ascii="Times New Roman" w:hAnsi="Times New Roman" w:cs="Times New Roman"/>
          <w:b/>
          <w:bCs/>
          <w:sz w:val="21"/>
          <w:szCs w:val="21"/>
        </w:rPr>
        <w:t>Stochastic clustering.</w:t>
      </w:r>
      <w:r w:rsidRPr="009D048A">
        <w:rPr>
          <w:rFonts w:ascii="Times New Roman" w:hAnsi="Times New Roman" w:cs="Times New Roman"/>
          <w:sz w:val="21"/>
          <w:szCs w:val="21"/>
        </w:rPr>
        <w:t xml:space="preserve"> In some simulation runs, shortfall events cluster randomly, creating periods of intense aggregation followed by periods of reduced activity. This mirrors the kind of punctuated pattern we might expect in the archaeological record: bursts of intensive site use separated by quieter intervals.</w:t>
      </w:r>
    </w:p>
    <w:p w14:paraId="0C1CC83F" w14:textId="77777777" w:rsidR="00506C35" w:rsidRPr="009D048A" w:rsidRDefault="00000000">
      <w:pPr>
        <w:numPr>
          <w:ilvl w:val="0"/>
          <w:numId w:val="28"/>
        </w:numPr>
        <w:rPr>
          <w:rFonts w:ascii="Times New Roman" w:hAnsi="Times New Roman" w:cs="Times New Roman"/>
          <w:sz w:val="21"/>
          <w:szCs w:val="21"/>
        </w:rPr>
      </w:pPr>
      <w:r w:rsidRPr="009D048A">
        <w:rPr>
          <w:rFonts w:ascii="Times New Roman" w:hAnsi="Times New Roman" w:cs="Times New Roman"/>
          <w:b/>
          <w:bCs/>
          <w:sz w:val="21"/>
          <w:szCs w:val="21"/>
        </w:rPr>
        <w:t>Dynamic group size.</w:t>
      </w:r>
      <w:r w:rsidRPr="009D048A">
        <w:rPr>
          <w:rFonts w:ascii="Times New Roman" w:hAnsi="Times New Roman" w:cs="Times New Roman"/>
          <w:sz w:val="21"/>
          <w:szCs w:val="21"/>
        </w:rPr>
        <w:t xml:space="preserve"> The analytical model assumes </w:t>
      </w:r>
      <m:oMath>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12</m:t>
        </m:r>
      </m:oMath>
      <w:r w:rsidRPr="009D048A">
        <w:rPr>
          <w:rFonts w:ascii="Times New Roman" w:hAnsi="Times New Roman" w:cs="Times New Roman"/>
          <w:sz w:val="21"/>
          <w:szCs w:val="21"/>
        </w:rPr>
        <w:t xml:space="preserve"> (the optimal), but in the ABM, aggregation size fluctuates from 2-4 bands (just below threshold) to 13-20 bands (well above). This means the cooperation benefit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varies over time, creating dynamic feedback between group size and threshold.</w:t>
      </w:r>
    </w:p>
    <w:p w14:paraId="473AE0D1"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0045D1F7">
          <v:rect id="_x0000_i1035" alt="" style="width:468pt;height:.05pt;mso-width-percent:0;mso-height-percent:0;mso-width-percent:0;mso-height-percent:0" o:hralign="center" o:hrstd="t" o:hr="t"/>
        </w:pict>
      </w:r>
    </w:p>
    <w:p w14:paraId="38CF9A27" w14:textId="77777777" w:rsidR="00506C35" w:rsidRPr="009D048A" w:rsidRDefault="00000000">
      <w:pPr>
        <w:pStyle w:val="Heading1"/>
        <w:rPr>
          <w:rFonts w:ascii="Times New Roman" w:hAnsi="Times New Roman" w:cs="Times New Roman"/>
          <w:sz w:val="32"/>
          <w:szCs w:val="32"/>
        </w:rPr>
      </w:pPr>
      <w:bookmarkStart w:id="69" w:name="X6315ab73f2806aeabd27c900b0c36e4e58b58ad"/>
      <w:bookmarkEnd w:id="59"/>
      <w:bookmarkEnd w:id="65"/>
      <w:bookmarkEnd w:id="68"/>
      <w:r w:rsidRPr="009D048A">
        <w:rPr>
          <w:rFonts w:ascii="Times New Roman" w:hAnsi="Times New Roman" w:cs="Times New Roman"/>
          <w:sz w:val="32"/>
          <w:szCs w:val="32"/>
        </w:rPr>
        <w:t>PART IV: TESTING THE MODEL — A DISSERTATION RESEARCH DESIGN</w:t>
      </w:r>
    </w:p>
    <w:p w14:paraId="0F59970C"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5790E09E">
          <v:rect id="_x0000_i1034" alt="" style="width:468pt;height:.05pt;mso-width-percent:0;mso-height-percent:0;mso-width-percent:0;mso-height-percent:0" o:hralign="center" o:hrstd="t" o:hr="t"/>
        </w:pict>
      </w:r>
    </w:p>
    <w:p w14:paraId="7B0468C5" w14:textId="77777777" w:rsidR="00506C35" w:rsidRPr="009D048A" w:rsidRDefault="00000000">
      <w:pPr>
        <w:pStyle w:val="Heading2"/>
        <w:rPr>
          <w:rFonts w:ascii="Times New Roman" w:hAnsi="Times New Roman" w:cs="Times New Roman"/>
          <w:sz w:val="24"/>
          <w:szCs w:val="24"/>
        </w:rPr>
      </w:pPr>
      <w:bookmarkStart w:id="70" w:name="seven-testable-predictions"/>
      <w:r w:rsidRPr="009D048A">
        <w:rPr>
          <w:rFonts w:ascii="Times New Roman" w:hAnsi="Times New Roman" w:cs="Times New Roman"/>
          <w:sz w:val="24"/>
          <w:szCs w:val="24"/>
        </w:rPr>
        <w:t>13. Seven Testable Predictions</w:t>
      </w:r>
    </w:p>
    <w:p w14:paraId="73343D5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model generates seven specific predictions, labeled H1 through H7. For each, we describe: (1) what the model predicts and why, (2) what evidence would confirm it, (3) what evidence would falsify it, (4) what data are required, and (5) what methods to use.</w:t>
      </w:r>
    </w:p>
    <w:p w14:paraId="3622CC90" w14:textId="77777777" w:rsidR="00506C35" w:rsidRPr="009D048A" w:rsidRDefault="00000000">
      <w:pPr>
        <w:pStyle w:val="Heading3"/>
        <w:rPr>
          <w:rFonts w:ascii="Times New Roman" w:hAnsi="Times New Roman" w:cs="Times New Roman"/>
          <w:sz w:val="22"/>
          <w:szCs w:val="22"/>
        </w:rPr>
      </w:pPr>
      <w:bookmarkStart w:id="71" w:name="h1-fall-aggregation-seasonality"/>
      <w:r w:rsidRPr="009D048A">
        <w:rPr>
          <w:rFonts w:ascii="Times New Roman" w:hAnsi="Times New Roman" w:cs="Times New Roman"/>
          <w:sz w:val="22"/>
          <w:szCs w:val="22"/>
        </w:rPr>
        <w:t>13.1 H1: Fall Aggregation Seasonality</w:t>
      </w:r>
    </w:p>
    <w:p w14:paraId="700E7791"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Aggregation at Lamoka Lake occurred primarily during fall (September-November), timed to coincide with mast harvest, fall fish runs, and deer during the rut. The model predicts fall timing because the processing module specifies that communal nut processing, fish weir operation, and game smoking all reach peak returns when these resources are maximally available. Additionally, fall-processed food has the highest preservation potential for winter consumption.</w:t>
      </w:r>
    </w:p>
    <w:p w14:paraId="760DEBE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Deer mandibles showing fall-season kill patterns (dental eruption stages, antler growth) - Fish otoliths with growth rings indicating fall capture - High densities of hickory and walnut shell fragments in association with storage features - Migratory waterfowl remains concentrated in fall-indicative contexts - Minimal evidence for warm-season (spring-summer) residential occupation</w:t>
      </w:r>
    </w:p>
    <w:p w14:paraId="0F203B9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Seasonality indicators showing primarily spring or summer occupation - Deer mandibles predominantly from winter or spring kills - Absence of fall-harvest plant remains in storage contexts - Evidence for year-round residential occupation at the same intensity</w:t>
      </w:r>
    </w:p>
    <w:p w14:paraId="629BB42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Faunal seasonality analysis (mandibles, otoliths, antler fragments) - Botanical analysis of storage pit contents - Migratory species occurrence by stratigraphic context</w:t>
      </w:r>
    </w:p>
    <w:p w14:paraId="0A5B05E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Cementum annuli analysis of deer teeth for season-of-death determination - Fish otolith thin-section analysis - Flotation and botanical identification of storage pit fill - Taxonomic identification of avian remains with seasonal availability assessment</w:t>
      </w:r>
    </w:p>
    <w:p w14:paraId="60FE1834" w14:textId="77777777" w:rsidR="00506C35" w:rsidRPr="009D048A" w:rsidRDefault="00000000">
      <w:pPr>
        <w:pStyle w:val="Heading3"/>
        <w:rPr>
          <w:rFonts w:ascii="Times New Roman" w:hAnsi="Times New Roman" w:cs="Times New Roman"/>
          <w:sz w:val="22"/>
          <w:szCs w:val="22"/>
        </w:rPr>
      </w:pPr>
      <w:bookmarkStart w:id="72" w:name="h2-storage-infrastructure-scaling"/>
      <w:bookmarkEnd w:id="71"/>
      <w:r w:rsidRPr="009D048A">
        <w:rPr>
          <w:rFonts w:ascii="Times New Roman" w:hAnsi="Times New Roman" w:cs="Times New Roman"/>
          <w:sz w:val="22"/>
          <w:szCs w:val="22"/>
        </w:rPr>
        <w:lastRenderedPageBreak/>
        <w:t>13.2 H2: Storage Infrastructure Scaling</w:t>
      </w:r>
    </w:p>
    <w:p w14:paraId="0EF35FF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Storage pit accumulation scales with the product of aggregation size, aggregation frequency, and occupation duration. With 12 bands aggregating for approximately 60 core years, the model predicts total storage infrastructure consistent with ~380 pits. Pit construction should be concentrated during the core occupation period (~2962-2902 BCE) with lower rates before and after.</w:t>
      </w:r>
    </w:p>
    <w:p w14:paraId="29B4DE0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Pit construction dates clustering within the core occupation window - Overlapping pits indicating sequential construction episodes - Pit density correlating with indicators of aggregation intensity (faunal density, exotic goods) - Construction rate accelerating during the core period and declining afterward</w:t>
      </w:r>
    </w:p>
    <w:p w14:paraId="1AB7340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Pits constructed uniformly throughout the full occupation span - No temporal clustering of construction - Pit density uncorrelated with aggregation indicators - Pits constructed primarily during periods of low aggregation</w:t>
      </w:r>
    </w:p>
    <w:p w14:paraId="01529BF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AMS dates on short-lived organics from pit fill (charcoal, nutshell, bone) - Stratigraphic analysis of pit-cutting relationships - Pit morphology and size data through the sequence</w:t>
      </w:r>
    </w:p>
    <w:p w14:paraId="59366D3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Targeted AMS dating of 20-30 pits spanning the occupation sequence - Harris matrix construction from pit superposition relationships - Statistical analysis of construction rate over time (kernel density estimation on dates)</w:t>
      </w:r>
    </w:p>
    <w:p w14:paraId="18095F1B" w14:textId="77777777" w:rsidR="00506C35" w:rsidRPr="009D048A" w:rsidRDefault="00000000">
      <w:pPr>
        <w:pStyle w:val="Heading3"/>
        <w:rPr>
          <w:rFonts w:ascii="Times New Roman" w:hAnsi="Times New Roman" w:cs="Times New Roman"/>
          <w:sz w:val="22"/>
          <w:szCs w:val="22"/>
        </w:rPr>
      </w:pPr>
      <w:bookmarkStart w:id="73" w:name="h3-ecotone-driven-site-selection"/>
      <w:bookmarkEnd w:id="72"/>
      <w:r w:rsidRPr="009D048A">
        <w:rPr>
          <w:rFonts w:ascii="Times New Roman" w:hAnsi="Times New Roman" w:cs="Times New Roman"/>
          <w:sz w:val="22"/>
          <w:szCs w:val="22"/>
        </w:rPr>
        <w:t>13.3 H3: Ecotone-Driven Site Selection</w:t>
      </w:r>
    </w:p>
    <w:p w14:paraId="3A92589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Aggregation sites with dense storage infrastructure should cluster at ecotone intersections where multiple ecological zones are accessible within a single foraging radius (</w:t>
      </w:r>
      <m:oMath>
        <m:r>
          <w:rPr>
            <w:rFonts w:ascii="Cambria Math" w:hAnsi="Cambria Math" w:cs="Times New Roman"/>
            <w:sz w:val="21"/>
            <w:szCs w:val="21"/>
          </w:rPr>
          <m:t>ε</m:t>
        </m:r>
        <m:r>
          <m:rPr>
            <m:sty m:val="p"/>
          </m:rPr>
          <w:rPr>
            <w:rFonts w:ascii="Cambria Math" w:hAnsi="Cambria Math" w:cs="Times New Roman"/>
            <w:sz w:val="21"/>
            <w:szCs w:val="21"/>
          </w:rPr>
          <m:t>&gt;</m:t>
        </m:r>
        <m:r>
          <w:rPr>
            <w:rFonts w:ascii="Cambria Math" w:hAnsi="Cambria Math" w:cs="Times New Roman"/>
            <w:sz w:val="21"/>
            <w:szCs w:val="21"/>
          </w:rPr>
          <m:t>0</m:t>
        </m:r>
      </m:oMath>
      <w:r w:rsidRPr="009D048A">
        <w:rPr>
          <w:rFonts w:ascii="Times New Roman" w:hAnsi="Times New Roman" w:cs="Times New Roman"/>
          <w:sz w:val="21"/>
          <w:szCs w:val="21"/>
        </w:rPr>
        <w:t>). Sites in single-zone locations should lack aggregation-scale infrastructure. The model predicts this because ecotone buffering is necessary for the threshold to be low enough for aggregation to emerge.</w:t>
      </w:r>
    </w:p>
    <w:p w14:paraId="1B5E55A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Positive correlation between ecological zone diversity (within foraging radius) and storage infrastructure density across Late Archaic sites in the Finger Lakes - Lamoka Lake having the highest zone diversity score among sites with dense storage features - Sites in single-zone interiors (deep forest, high montane) lacking storage pit concentrations</w:t>
      </w:r>
    </w:p>
    <w:p w14:paraId="0D08C09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Dense storage sites in single-zone locations with low ecotone diversity - No correlation between zone diversity and infrastructure density - Multiple sites with Lamoka-like infrastructure in non-ecotone locations</w:t>
      </w:r>
    </w:p>
    <w:p w14:paraId="23D1EB7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Regional site database with storage feature counts - GIS-based ecological zone mapping for the Finger Lakes region - Zone diversity index calculated for each known site location</w:t>
      </w:r>
    </w:p>
    <w:p w14:paraId="47427F4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GIS analysis mapping five ecological zones within 25 km radius of each Late Archaic site - Calculation of ecotone diversity index (number of zones, area proportions) - Regression analysis: storage density vs. ecotone diversity - This is the cheapest hypothesis to test because it uses existing site data and GIS</w:t>
      </w:r>
    </w:p>
    <w:p w14:paraId="5D18D0B4" w14:textId="77777777" w:rsidR="00506C35" w:rsidRPr="009D048A" w:rsidRDefault="00000000">
      <w:pPr>
        <w:pStyle w:val="Heading3"/>
        <w:rPr>
          <w:rFonts w:ascii="Times New Roman" w:hAnsi="Times New Roman" w:cs="Times New Roman"/>
          <w:sz w:val="22"/>
          <w:szCs w:val="22"/>
        </w:rPr>
      </w:pPr>
      <w:bookmarkStart w:id="74" w:name="h4-environmental-variability-correlation"/>
      <w:bookmarkEnd w:id="73"/>
      <w:r w:rsidRPr="009D048A">
        <w:rPr>
          <w:rFonts w:ascii="Times New Roman" w:hAnsi="Times New Roman" w:cs="Times New Roman"/>
          <w:sz w:val="22"/>
          <w:szCs w:val="22"/>
        </w:rPr>
        <w:t>13.4 H4: Environmental Variability Correlation</w:t>
      </w:r>
    </w:p>
    <w:p w14:paraId="1C0B7F6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Periods of higher environmental variability should correspond to more intensive aggregation, greater storage investment, and larger aggregation sizes. Periods of lower variability should correspond to reduced aggregation. This follows directly from the threshold mechanism: the fitness advantage of aggregation grows with </w:t>
      </w:r>
      <m:oMath>
        <m:r>
          <w:rPr>
            <w:rFonts w:ascii="Cambria Math" w:hAnsi="Cambria Math" w:cs="Times New Roman"/>
            <w:sz w:val="21"/>
            <w:szCs w:val="21"/>
          </w:rPr>
          <m:t>σ</m:t>
        </m:r>
      </m:oMath>
      <w:r w:rsidRPr="009D048A">
        <w:rPr>
          <w:rFonts w:ascii="Times New Roman" w:hAnsi="Times New Roman" w:cs="Times New Roman"/>
          <w:sz w:val="21"/>
          <w:szCs w:val="21"/>
        </w:rPr>
        <w:t>.</w:t>
      </w:r>
    </w:p>
    <w:p w14:paraId="00236F7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Positive correlation between paleoclimate variability proxies and indicators of aggregation intensity at Lamoka Lake - Periods of high climate variability coinciding with peak storage pit construction - Periods of low variability coinciding with reduced site use</w:t>
      </w:r>
    </w:p>
    <w:p w14:paraId="6A788C1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lastRenderedPageBreak/>
        <w:t>Falsifying evidence:</w:t>
      </w:r>
      <w:r w:rsidRPr="009D048A">
        <w:rPr>
          <w:rFonts w:ascii="Times New Roman" w:hAnsi="Times New Roman" w:cs="Times New Roman"/>
          <w:sz w:val="21"/>
          <w:szCs w:val="21"/>
        </w:rPr>
        <w:t xml:space="preserve"> - No correlation between climate variability and aggregation intensity - Aggregation intensifying during stable periods - Aggregation declining during variable periods</w:t>
      </w:r>
    </w:p>
    <w:p w14:paraId="2DA30FF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High-resolution paleoclimate proxy record for the Finger Lakes (3500-1300 BCE) - Archaeological indicators of aggregation intensity through the occupation sequence</w:t>
      </w:r>
    </w:p>
    <w:p w14:paraId="63A96FF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Obtain or generate pollen, varve, or speleothem records covering the occupation period - Calculate rolling variability measures (e.g., 50-year moving window standard deviation) - Correlate with archaeological intensity indicators (AMS date density, pit construction rate, faunal density)</w:t>
      </w:r>
    </w:p>
    <w:p w14:paraId="763A529D" w14:textId="77777777" w:rsidR="00506C35" w:rsidRPr="009D048A" w:rsidRDefault="00000000">
      <w:pPr>
        <w:pStyle w:val="Heading3"/>
        <w:rPr>
          <w:rFonts w:ascii="Times New Roman" w:hAnsi="Times New Roman" w:cs="Times New Roman"/>
          <w:sz w:val="22"/>
          <w:szCs w:val="22"/>
        </w:rPr>
      </w:pPr>
      <w:bookmarkStart w:id="75" w:name="h5-regional-site-hierarchy"/>
      <w:bookmarkEnd w:id="74"/>
      <w:r w:rsidRPr="009D048A">
        <w:rPr>
          <w:rFonts w:ascii="Times New Roman" w:hAnsi="Times New Roman" w:cs="Times New Roman"/>
          <w:sz w:val="22"/>
          <w:szCs w:val="22"/>
        </w:rPr>
        <w:t>13.5 H5: Regional Site Hierarchy</w:t>
      </w:r>
    </w:p>
    <w:p w14:paraId="36804E1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The regional site distribution should be strongly skewed, with one dominant aggregation site (Lamoka Lake) and numerous smaller camps lacking aggregation-scale infrastructure. This derives from the cooperation benefit function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which produces increasing returns: bands benefit from joining the largest aggregation rather than starting a competing one.</w:t>
      </w:r>
    </w:p>
    <w:p w14:paraId="7340A85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Right-skewed distribution of storage pit densities across Finger Lakes Late Archaic sites - Lamoka Lake as an extreme outlier in pit density (317/hectare) - Most other sites showing densities consistent with single-band occupation (&lt;20 pits/hectare) - Possibly 1-2 secondary aggregation sites with intermediate densities</w:t>
      </w:r>
    </w:p>
    <w:p w14:paraId="1286DF3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Multiple sites with Lamoka-like storage densities (suggesting competing aggregation sites) - Uniform distribution of storage infrastructure across the region - No outlier pattern (graduated hierarchy rather than extreme skew)</w:t>
      </w:r>
    </w:p>
    <w:p w14:paraId="5B2EBB2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Systematic inventory of storage features at Late Archaic sites across the Finger Lakes - Site area and feature density calculations</w:t>
      </w:r>
    </w:p>
    <w:p w14:paraId="2ACF273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Database compilation from published excavation reports, site files (NYS OPRHP CRIS database) - Statistical analysis of site-size distribution (Gini coefficient, rank-size analysis) - Comparison to expectations from different settlement models</w:t>
      </w:r>
    </w:p>
    <w:p w14:paraId="681FD3C6" w14:textId="77777777" w:rsidR="00506C35" w:rsidRPr="009D048A" w:rsidRDefault="00000000">
      <w:pPr>
        <w:pStyle w:val="Heading3"/>
        <w:rPr>
          <w:rFonts w:ascii="Times New Roman" w:hAnsi="Times New Roman" w:cs="Times New Roman"/>
          <w:sz w:val="22"/>
          <w:szCs w:val="22"/>
        </w:rPr>
      </w:pPr>
      <w:bookmarkStart w:id="76" w:name="h6-exchange-goods-concentration"/>
      <w:bookmarkEnd w:id="75"/>
      <w:r w:rsidRPr="009D048A">
        <w:rPr>
          <w:rFonts w:ascii="Times New Roman" w:hAnsi="Times New Roman" w:cs="Times New Roman"/>
          <w:sz w:val="22"/>
          <w:szCs w:val="22"/>
        </w:rPr>
        <w:t>13.6 H6: Exchange Goods Concentration</w:t>
      </w:r>
    </w:p>
    <w:p w14:paraId="280C43A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Non-local artifacts, particularly beveled adzes and Genesee Valley cherts (~80 km distant), should be concentrated at the aggregation site relative to smaller camps. Exchange goods are acquired during aggregation events when many bands interact, so they accumulate preferentially at the aggregation site.</w:t>
      </w:r>
    </w:p>
    <w:p w14:paraId="798B0BC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Higher frequencies of non-local materials at Lamoka Lake than at contemporary camps - Non-local materials associated with high-investment features (storage pits, hearths, burials) - Exchange goods increasing during periods of intensive aggregation</w:t>
      </w:r>
    </w:p>
    <w:p w14:paraId="66504D3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Uniform distribution of exchange goods across all site types - Higher concentrations at small camps than at the aggregation site - Exchange goods unrelated to aggregation features</w:t>
      </w:r>
    </w:p>
    <w:p w14:paraId="31AE914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Lithic sourcing data from Lamoka Lake and comparative sites - Artifact provenance by feature context at Lamoka Lake</w:t>
      </w:r>
    </w:p>
    <w:p w14:paraId="1108B61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XRF or other sourcing analysis on beveled adzes and Genesee-type cherts - Comparison of non-local artifact proportions across site types - Spatial analysis of exchange goods within the Lamoka Lake site</w:t>
      </w:r>
    </w:p>
    <w:p w14:paraId="163DC9DA" w14:textId="77777777" w:rsidR="00506C35" w:rsidRPr="009D048A" w:rsidRDefault="00000000">
      <w:pPr>
        <w:pStyle w:val="Heading3"/>
        <w:rPr>
          <w:rFonts w:ascii="Times New Roman" w:hAnsi="Times New Roman" w:cs="Times New Roman"/>
          <w:sz w:val="22"/>
          <w:szCs w:val="22"/>
        </w:rPr>
      </w:pPr>
      <w:bookmarkStart w:id="77" w:name="Xb374ba074164eb9cda25f8d4d01b2a0cd72e356"/>
      <w:bookmarkEnd w:id="76"/>
      <w:r w:rsidRPr="009D048A">
        <w:rPr>
          <w:rFonts w:ascii="Times New Roman" w:hAnsi="Times New Roman" w:cs="Times New Roman"/>
          <w:sz w:val="22"/>
          <w:szCs w:val="22"/>
        </w:rPr>
        <w:t>13.7 H7: Abandonment Under Environmental Stabilization</w:t>
      </w:r>
    </w:p>
    <w:p w14:paraId="5B75669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Prediction.</w:t>
      </w:r>
      <w:r w:rsidRPr="009D048A">
        <w:rPr>
          <w:rFonts w:ascii="Times New Roman" w:hAnsi="Times New Roman" w:cs="Times New Roman"/>
          <w:sz w:val="21"/>
          <w:szCs w:val="21"/>
        </w:rPr>
        <w:t xml:space="preserve"> The Lamoka Lake aggregation system should cease when environmental variability drops below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The model predicts that abandonment correlates with environmental </w:t>
      </w:r>
      <w:r w:rsidRPr="009D048A">
        <w:rPr>
          <w:rFonts w:ascii="Times New Roman" w:hAnsi="Times New Roman" w:cs="Times New Roman"/>
          <w:i/>
          <w:iCs/>
          <w:sz w:val="21"/>
          <w:szCs w:val="21"/>
        </w:rPr>
        <w:t>stabilization</w:t>
      </w:r>
      <w:r w:rsidRPr="009D048A">
        <w:rPr>
          <w:rFonts w:ascii="Times New Roman" w:hAnsi="Times New Roman" w:cs="Times New Roman"/>
          <w:sz w:val="21"/>
          <w:szCs w:val="21"/>
        </w:rPr>
        <w:t xml:space="preserve"> (reduced variability), not </w:t>
      </w:r>
      <w:r w:rsidRPr="009D048A">
        <w:rPr>
          <w:rFonts w:ascii="Times New Roman" w:hAnsi="Times New Roman" w:cs="Times New Roman"/>
          <w:sz w:val="21"/>
          <w:szCs w:val="21"/>
        </w:rPr>
        <w:lastRenderedPageBreak/>
        <w:t>necessarily deterioration (persistent drought or cooling). When variability is too low to generate the survival differential that makes aggregation economically advantageous, bands should revert to independent foraging.</w:t>
      </w:r>
    </w:p>
    <w:p w14:paraId="41EDAA1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This is the most counterintuitive and diagnostic prediction. Most alternative models predict that environmental improvement strengthens existing institutions. The aggregation economics model predicts the opposite: stable good times should cause collapse because the insurance value of aggregation drops below its cost.</w:t>
      </w:r>
    </w:p>
    <w:p w14:paraId="55A3ECA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Confirming evidence:</w:t>
      </w:r>
      <w:r w:rsidRPr="009D048A">
        <w:rPr>
          <w:rFonts w:ascii="Times New Roman" w:hAnsi="Times New Roman" w:cs="Times New Roman"/>
          <w:sz w:val="21"/>
          <w:szCs w:val="21"/>
        </w:rPr>
        <w:t xml:space="preserve"> - Terminal occupation at Lamoka Lake correlating with decreased variability in paleoclimate proxies - Abandonment occurring during a period of environmental stability, not deterioration - Post-abandonment regional settlement showing dispersed pattern without aggregation-scale sites</w:t>
      </w:r>
    </w:p>
    <w:p w14:paraId="0CBAC5D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Falsifying evidence:</w:t>
      </w:r>
      <w:r w:rsidRPr="009D048A">
        <w:rPr>
          <w:rFonts w:ascii="Times New Roman" w:hAnsi="Times New Roman" w:cs="Times New Roman"/>
          <w:sz w:val="21"/>
          <w:szCs w:val="21"/>
        </w:rPr>
        <w:t xml:space="preserve"> - Abandonment during a period of increasing environmental variability - Abandonment caused by environmental deterioration (drought, cooling) - Abandonment during a period of documented social disruption unrelated to climate</w:t>
      </w:r>
    </w:p>
    <w:p w14:paraId="7445B18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Required data:</w:t>
      </w:r>
      <w:r w:rsidRPr="009D048A">
        <w:rPr>
          <w:rFonts w:ascii="Times New Roman" w:hAnsi="Times New Roman" w:cs="Times New Roman"/>
          <w:sz w:val="21"/>
          <w:szCs w:val="21"/>
        </w:rPr>
        <w:t xml:space="preserve"> - High-resolution paleoclimate record spanning the abandonment period - Precise chronology of the terminal occupation</w:t>
      </w:r>
    </w:p>
    <w:p w14:paraId="30B7BC9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Methods:</w:t>
      </w:r>
      <w:r w:rsidRPr="009D048A">
        <w:rPr>
          <w:rFonts w:ascii="Times New Roman" w:hAnsi="Times New Roman" w:cs="Times New Roman"/>
          <w:sz w:val="21"/>
          <w:szCs w:val="21"/>
        </w:rPr>
        <w:t xml:space="preserve"> - AMS dating of terminal occupation features - Paleoclimate variability analysis spanning the abandonment period - Comparison of pre-abandonment and post-abandonment variability levels</w:t>
      </w:r>
    </w:p>
    <w:p w14:paraId="13CACA25"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3FEEF65">
          <v:rect id="_x0000_i1033" alt="" style="width:468pt;height:.05pt;mso-width-percent:0;mso-height-percent:0;mso-width-percent:0;mso-height-percent:0" o:hralign="center" o:hrstd="t" o:hr="t"/>
        </w:pict>
      </w:r>
    </w:p>
    <w:p w14:paraId="65B9A663" w14:textId="77777777" w:rsidR="00506C35" w:rsidRPr="009D048A" w:rsidRDefault="00000000">
      <w:pPr>
        <w:pStyle w:val="Heading2"/>
        <w:rPr>
          <w:rFonts w:ascii="Times New Roman" w:hAnsi="Times New Roman" w:cs="Times New Roman"/>
          <w:sz w:val="24"/>
          <w:szCs w:val="24"/>
        </w:rPr>
      </w:pPr>
      <w:bookmarkStart w:id="78" w:name="required-data-classes"/>
      <w:bookmarkEnd w:id="70"/>
      <w:bookmarkEnd w:id="77"/>
      <w:r w:rsidRPr="009D048A">
        <w:rPr>
          <w:rFonts w:ascii="Times New Roman" w:hAnsi="Times New Roman" w:cs="Times New Roman"/>
          <w:sz w:val="24"/>
          <w:szCs w:val="24"/>
        </w:rPr>
        <w:t>14. Required Data Classes</w:t>
      </w:r>
    </w:p>
    <w:p w14:paraId="1E30FF9B" w14:textId="77777777" w:rsidR="00506C35" w:rsidRPr="009D048A" w:rsidRDefault="00000000">
      <w:pPr>
        <w:pStyle w:val="Heading3"/>
        <w:rPr>
          <w:rFonts w:ascii="Times New Roman" w:hAnsi="Times New Roman" w:cs="Times New Roman"/>
          <w:sz w:val="22"/>
          <w:szCs w:val="22"/>
        </w:rPr>
      </w:pPr>
      <w:bookmarkStart w:id="79" w:name="chronological-data"/>
      <w:r w:rsidRPr="009D048A">
        <w:rPr>
          <w:rFonts w:ascii="Times New Roman" w:hAnsi="Times New Roman" w:cs="Times New Roman"/>
          <w:sz w:val="22"/>
          <w:szCs w:val="22"/>
        </w:rPr>
        <w:t>14.1 Chronological Data</w:t>
      </w:r>
    </w:p>
    <w:p w14:paraId="58CA966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original excavation notes and publications (1932, 1969) - Limited original radiocarbon dates - Recent AMS dates constraining the core occupation (~2962-2902 BCE)</w:t>
      </w:r>
    </w:p>
    <w:p w14:paraId="6EF8D6F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Additional AMS dates (20-30) targeting specific features (storage pits, hearths, burials) to establish construction chronology - Bayesian modeling of the radiocarbon chronology to refine occupation phases</w:t>
      </w:r>
    </w:p>
    <w:p w14:paraId="5B5CA57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Curated collections at the Rochester Museum and Science Center (RMSC) - New York State Museum (NYSM), Albany - AMS laboratory (e.g., UCIAMS, Beta Analytic, or university facility) - Budget: ~$300-500 per date, $6,000-15,000 total</w:t>
      </w:r>
    </w:p>
    <w:p w14:paraId="0C4596BD" w14:textId="77777777" w:rsidR="00506C35" w:rsidRPr="009D048A" w:rsidRDefault="00000000">
      <w:pPr>
        <w:pStyle w:val="Heading3"/>
        <w:rPr>
          <w:rFonts w:ascii="Times New Roman" w:hAnsi="Times New Roman" w:cs="Times New Roman"/>
          <w:sz w:val="22"/>
          <w:szCs w:val="22"/>
        </w:rPr>
      </w:pPr>
      <w:bookmarkStart w:id="80" w:name="seasonality-data"/>
      <w:bookmarkEnd w:id="79"/>
      <w:r w:rsidRPr="009D048A">
        <w:rPr>
          <w:rFonts w:ascii="Times New Roman" w:hAnsi="Times New Roman" w:cs="Times New Roman"/>
          <w:sz w:val="22"/>
          <w:szCs w:val="22"/>
        </w:rPr>
        <w:t>14.2 Seasonality Data</w:t>
      </w:r>
    </w:p>
    <w:p w14:paraId="64B47A7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original faunal identifications (species-level only) - General characterizations of resource availability</w:t>
      </w:r>
    </w:p>
    <w:p w14:paraId="7ACB351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Detailed faunal seasonality analysis (cementum annuli, otolith analysis) - Migratory species occurrence data - Botanical seasonality indicators from storage pit contents</w:t>
      </w:r>
    </w:p>
    <w:p w14:paraId="60BFC77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Curated faunal collections (RMSC, NYSM) - Zooarchaeological specialist for cementum annuli analysis - Paleoethnobotanist for flotation and identification - Budget: ~$5,000-10,000 for specialist analyses</w:t>
      </w:r>
    </w:p>
    <w:p w14:paraId="3853BE21" w14:textId="77777777" w:rsidR="00506C35" w:rsidRPr="009D048A" w:rsidRDefault="00000000">
      <w:pPr>
        <w:pStyle w:val="Heading3"/>
        <w:rPr>
          <w:rFonts w:ascii="Times New Roman" w:hAnsi="Times New Roman" w:cs="Times New Roman"/>
          <w:sz w:val="22"/>
          <w:szCs w:val="22"/>
        </w:rPr>
      </w:pPr>
      <w:bookmarkStart w:id="81" w:name="paleoenvironmental-data"/>
      <w:bookmarkEnd w:id="80"/>
      <w:r w:rsidRPr="009D048A">
        <w:rPr>
          <w:rFonts w:ascii="Times New Roman" w:hAnsi="Times New Roman" w:cs="Times New Roman"/>
          <w:sz w:val="22"/>
          <w:szCs w:val="22"/>
        </w:rPr>
        <w:t>14.3 Paleoenvironmental Data</w:t>
      </w:r>
    </w:p>
    <w:p w14:paraId="7FB1BDA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General Late Holocene climate reconstructions for the Northeast - Some pollen diagrams from Finger Lakes region (published in various journals) - Modern ecological monitoring data from NYS DEC</w:t>
      </w:r>
    </w:p>
    <w:p w14:paraId="60C6467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lastRenderedPageBreak/>
        <w:t>What is needed:</w:t>
      </w:r>
      <w:r w:rsidRPr="009D048A">
        <w:rPr>
          <w:rFonts w:ascii="Times New Roman" w:hAnsi="Times New Roman" w:cs="Times New Roman"/>
          <w:sz w:val="21"/>
          <w:szCs w:val="21"/>
        </w:rPr>
        <w:t xml:space="preserve"> - High-resolution pollen core from Lamoka Lake or adjacent water body - Sediment analysis for hydrological variability proxies - Regional speleothem or other proxy data for the 3500-1300 BCE window - Modern covariance data for the five ecological zones</w:t>
      </w:r>
    </w:p>
    <w:p w14:paraId="318A8BD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Cornell Department of Earth and Atmospheric Sciences (existing cores?) - Lamont-Doherty Earth Observatory (regional paleoclimate expertise) - NYS DEC and USDA Forest Service (modern monitoring data) - Budget: new core extraction and analysis ~$15,000-25,000; compilation of existing data ~$2,000-5,000</w:t>
      </w:r>
    </w:p>
    <w:p w14:paraId="2B228E12" w14:textId="77777777" w:rsidR="00506C35" w:rsidRPr="009D048A" w:rsidRDefault="00000000">
      <w:pPr>
        <w:pStyle w:val="Heading3"/>
        <w:rPr>
          <w:rFonts w:ascii="Times New Roman" w:hAnsi="Times New Roman" w:cs="Times New Roman"/>
          <w:sz w:val="22"/>
          <w:szCs w:val="22"/>
        </w:rPr>
      </w:pPr>
      <w:bookmarkStart w:id="82" w:name="spatial-data"/>
      <w:bookmarkEnd w:id="81"/>
      <w:r w:rsidRPr="009D048A">
        <w:rPr>
          <w:rFonts w:ascii="Times New Roman" w:hAnsi="Times New Roman" w:cs="Times New Roman"/>
          <w:sz w:val="22"/>
          <w:szCs w:val="22"/>
        </w:rPr>
        <w:t>14.4 Spatial Data</w:t>
      </w:r>
    </w:p>
    <w:p w14:paraId="67B1046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site plan (published 1932) - General USGS topographic and hydrological mapping - NYS OPRHP CRIS archaeological site database</w:t>
      </w:r>
    </w:p>
    <w:p w14:paraId="0D02E8A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GIS database of Late Archaic sites in the Finger Lakes region with feature data - Ecological zone mapping within foraging radii - Digital elevation model analysis for catchment and travel cost modeling</w:t>
      </w:r>
    </w:p>
    <w:p w14:paraId="43A3B3C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NYS OPRHP CRIS database (requires research application) - USGS National Map data (freely available) - USDA NRCS soils data (freely available) - Budget: GIS analysis is largely software and labor cost, ~$2,000-5,000</w:t>
      </w:r>
    </w:p>
    <w:p w14:paraId="7A345E63" w14:textId="77777777" w:rsidR="00506C35" w:rsidRPr="009D048A" w:rsidRDefault="00000000">
      <w:pPr>
        <w:pStyle w:val="Heading3"/>
        <w:rPr>
          <w:rFonts w:ascii="Times New Roman" w:hAnsi="Times New Roman" w:cs="Times New Roman"/>
          <w:sz w:val="22"/>
          <w:szCs w:val="22"/>
        </w:rPr>
      </w:pPr>
      <w:bookmarkStart w:id="83" w:name="exchange-data"/>
      <w:bookmarkEnd w:id="82"/>
      <w:r w:rsidRPr="009D048A">
        <w:rPr>
          <w:rFonts w:ascii="Times New Roman" w:hAnsi="Times New Roman" w:cs="Times New Roman"/>
          <w:sz w:val="22"/>
          <w:szCs w:val="22"/>
        </w:rPr>
        <w:t>14.5 Exchange Data</w:t>
      </w:r>
    </w:p>
    <w:p w14:paraId="4615E34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artifact descriptions and illustrations - General characterizations of beveled adzes and Genesee points as “exotic”</w:t>
      </w:r>
    </w:p>
    <w:p w14:paraId="50BD7A4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Formal lithic sourcing analysis (XRF or LA-ICP-MS) - Comparative sourcing data from other Finger Lakes sites - Quantitative comparison of non-local artifact frequencies across site types</w:t>
      </w:r>
    </w:p>
    <w:p w14:paraId="1009D5C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Curated lithic collections (RMSC, NYSM) - Archaeometry laboratory for sourcing analysis - Budget: ~$50-100 per sample, ~$5,000-10,000 for a comprehensive analysis</w:t>
      </w:r>
    </w:p>
    <w:p w14:paraId="645C2703" w14:textId="77777777" w:rsidR="00506C35" w:rsidRPr="009D048A" w:rsidRDefault="00000000">
      <w:pPr>
        <w:pStyle w:val="Heading3"/>
        <w:rPr>
          <w:rFonts w:ascii="Times New Roman" w:hAnsi="Times New Roman" w:cs="Times New Roman"/>
          <w:sz w:val="22"/>
          <w:szCs w:val="22"/>
        </w:rPr>
      </w:pPr>
      <w:bookmarkStart w:id="84" w:name="storage-data"/>
      <w:bookmarkEnd w:id="83"/>
      <w:r w:rsidRPr="009D048A">
        <w:rPr>
          <w:rFonts w:ascii="Times New Roman" w:hAnsi="Times New Roman" w:cs="Times New Roman"/>
          <w:sz w:val="22"/>
          <w:szCs w:val="22"/>
        </w:rPr>
        <w:t>14.6 Storage Data</w:t>
      </w:r>
    </w:p>
    <w:p w14:paraId="3E517C8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pit counts, dimensions, and general descriptions - Some information on pit contents and lining materials</w:t>
      </w:r>
    </w:p>
    <w:p w14:paraId="57220F3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Systematic re-analysis of pit morphology, capacity, and construction sequence - Comparative data on storage features from other Finger Lakes sites - Detailed analysis of pit fill contents (botanical, faunal, sediment)</w:t>
      </w:r>
    </w:p>
    <w:p w14:paraId="50AFA81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Original excavation records and notes (RMSC, Ritchie papers) - Published and unpublished site reports from regional CRM and academic projects - Budget: primarily research time; ~$3,000-5,000 for collections access and analysis</w:t>
      </w:r>
    </w:p>
    <w:p w14:paraId="7DCF9F9D" w14:textId="77777777" w:rsidR="00506C35" w:rsidRPr="009D048A" w:rsidRDefault="00000000">
      <w:pPr>
        <w:pStyle w:val="Heading3"/>
        <w:rPr>
          <w:rFonts w:ascii="Times New Roman" w:hAnsi="Times New Roman" w:cs="Times New Roman"/>
          <w:sz w:val="22"/>
          <w:szCs w:val="22"/>
        </w:rPr>
      </w:pPr>
      <w:bookmarkStart w:id="85" w:name="faunal-and-botanical-data"/>
      <w:bookmarkEnd w:id="84"/>
      <w:r w:rsidRPr="009D048A">
        <w:rPr>
          <w:rFonts w:ascii="Times New Roman" w:hAnsi="Times New Roman" w:cs="Times New Roman"/>
          <w:sz w:val="22"/>
          <w:szCs w:val="22"/>
        </w:rPr>
        <w:t>14.7 Faunal and Botanical Data</w:t>
      </w:r>
    </w:p>
    <w:p w14:paraId="212B4B8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What exists:</w:t>
      </w:r>
      <w:r w:rsidRPr="009D048A">
        <w:rPr>
          <w:rFonts w:ascii="Times New Roman" w:hAnsi="Times New Roman" w:cs="Times New Roman"/>
          <w:sz w:val="21"/>
          <w:szCs w:val="21"/>
        </w:rPr>
        <w:t xml:space="preserve"> - Ritchie’s species lists and general descriptions - Some published faunal and botanical analyses</w:t>
      </w:r>
    </w:p>
    <w:p w14:paraId="14FCB5A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What is needed:</w:t>
      </w:r>
      <w:r w:rsidRPr="009D048A">
        <w:rPr>
          <w:rFonts w:ascii="Times New Roman" w:hAnsi="Times New Roman" w:cs="Times New Roman"/>
          <w:sz w:val="21"/>
          <w:szCs w:val="21"/>
        </w:rPr>
        <w:t xml:space="preserve"> - Comprehensive faunal reanalysis with modern methods (NISP, MNI, skeletal element representation) - Diet breadth analysis to assess resource diversification - Stable isotope analysis of human bone for dietary reconstruction</w:t>
      </w:r>
    </w:p>
    <w:p w14:paraId="3DD0E7E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Where to get it:</w:t>
      </w:r>
      <w:r w:rsidRPr="009D048A">
        <w:rPr>
          <w:rFonts w:ascii="Times New Roman" w:hAnsi="Times New Roman" w:cs="Times New Roman"/>
          <w:sz w:val="21"/>
          <w:szCs w:val="21"/>
        </w:rPr>
        <w:t xml:space="preserve"> - Curated collections (RMSC, NYSM) - Zooarchaeological specialist - Stable isotope laboratory - Budget: ~$8,000-15,000 for comprehensive reanalysis</w:t>
      </w:r>
    </w:p>
    <w:p w14:paraId="125DAA3E"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5BD69C67">
          <v:rect id="_x0000_i1032" alt="" style="width:468pt;height:.05pt;mso-width-percent:0;mso-height-percent:0;mso-width-percent:0;mso-height-percent:0" o:hralign="center" o:hrstd="t" o:hr="t"/>
        </w:pict>
      </w:r>
    </w:p>
    <w:p w14:paraId="2E58C2C6" w14:textId="77777777" w:rsidR="00506C35" w:rsidRPr="009D048A" w:rsidRDefault="00000000">
      <w:pPr>
        <w:pStyle w:val="Heading2"/>
        <w:rPr>
          <w:rFonts w:ascii="Times New Roman" w:hAnsi="Times New Roman" w:cs="Times New Roman"/>
          <w:sz w:val="24"/>
          <w:szCs w:val="24"/>
        </w:rPr>
      </w:pPr>
      <w:bookmarkStart w:id="86" w:name="alternative-hypotheses"/>
      <w:bookmarkEnd w:id="78"/>
      <w:bookmarkEnd w:id="85"/>
      <w:r w:rsidRPr="009D048A">
        <w:rPr>
          <w:rFonts w:ascii="Times New Roman" w:hAnsi="Times New Roman" w:cs="Times New Roman"/>
          <w:sz w:val="24"/>
          <w:szCs w:val="24"/>
        </w:rPr>
        <w:lastRenderedPageBreak/>
        <w:t>15. Alternative Hypotheses</w:t>
      </w:r>
    </w:p>
    <w:p w14:paraId="1E34ECE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A rigorous dissertation must consider alternative explanations. The model’s predictions are most convincing when they can distinguish between the aggregation economics hypothesis and plausible alternatives. Here we lay out six alternative hypotheses, describe their predictions, and identify where they overlap with and diverge from the aggregation economics model.</w:t>
      </w:r>
    </w:p>
    <w:p w14:paraId="6F709AD3" w14:textId="77777777" w:rsidR="00506C35" w:rsidRPr="009D048A" w:rsidRDefault="00000000">
      <w:pPr>
        <w:pStyle w:val="Heading3"/>
        <w:rPr>
          <w:rFonts w:ascii="Times New Roman" w:hAnsi="Times New Roman" w:cs="Times New Roman"/>
          <w:sz w:val="22"/>
          <w:szCs w:val="22"/>
        </w:rPr>
      </w:pPr>
      <w:bookmarkStart w:id="87" w:name="alternative-1-trade-center-model"/>
      <w:r w:rsidRPr="009D048A">
        <w:rPr>
          <w:rFonts w:ascii="Times New Roman" w:hAnsi="Times New Roman" w:cs="Times New Roman"/>
          <w:sz w:val="22"/>
          <w:szCs w:val="22"/>
        </w:rPr>
        <w:t>15.1 Alternative 1: Trade Center Model</w:t>
      </w:r>
    </w:p>
    <w:p w14:paraId="4DF0931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Lamoka Lake served as a central place in a regional exchange network. Bands congregated to trade goods, and the infrastructure resulted from trade-related activities.</w:t>
      </w:r>
    </w:p>
    <w:p w14:paraId="21482F6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Exchange goods should be abundant and central to site activities - Infrastructure should relate to trade facilitation, not food processing - Site location should optimize network centrality, not ecological diversity - Site importance should track trade network intensity, not environmental variability</w:t>
      </w:r>
    </w:p>
    <w:p w14:paraId="6950406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predict exchange goods concentration at the site (H6) and regional site hierarchy (H5).</w:t>
      </w:r>
    </w:p>
    <w:p w14:paraId="46C3F7D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Trade center predicts exchange goods drive infrastructure; economics predicts infrastructure drives exchange. Test: do exchange goods precede or follow storage pit construction? - Trade center predicts no relationship between environmental variability and site intensity (H4 distinguishes). - Trade center does not predict ecotone-driven site selection (H3 distinguishes).</w:t>
      </w:r>
    </w:p>
    <w:p w14:paraId="67083BC3" w14:textId="77777777" w:rsidR="00506C35" w:rsidRPr="009D048A" w:rsidRDefault="00000000">
      <w:pPr>
        <w:pStyle w:val="Heading3"/>
        <w:rPr>
          <w:rFonts w:ascii="Times New Roman" w:hAnsi="Times New Roman" w:cs="Times New Roman"/>
          <w:sz w:val="22"/>
          <w:szCs w:val="22"/>
        </w:rPr>
      </w:pPr>
      <w:bookmarkStart w:id="88" w:name="alternative-2-ritualceremonial-center"/>
      <w:bookmarkEnd w:id="87"/>
      <w:r w:rsidRPr="009D048A">
        <w:rPr>
          <w:rFonts w:ascii="Times New Roman" w:hAnsi="Times New Roman" w:cs="Times New Roman"/>
          <w:sz w:val="22"/>
          <w:szCs w:val="22"/>
        </w:rPr>
        <w:t>15.2 Alternative 2: Ritual/Ceremonial Center</w:t>
      </w:r>
    </w:p>
    <w:p w14:paraId="41E9925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Lamoka Lake served as a ritual or ceremonial center. The burials, the density of features, and the aggregation pattern reflect ceremonial rather than economic motivations.</w:t>
      </w:r>
    </w:p>
    <w:p w14:paraId="389EE52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Ritual objects and features should be prominent - Burials should show evidence of elaborate ceremonial treatment - Infrastructure investment should exceed economic necessity - Site location may reflect cosmological significance rather than ecological factors</w:t>
      </w:r>
    </w:p>
    <w:p w14:paraId="42CAA83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predict fall seasonality (if ceremonies were harvest-timed) and site primacy.</w:t>
      </w:r>
    </w:p>
    <w:p w14:paraId="73A4410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Ceremonial model does not predict storage scaling with aggregation size (H2 distinguishes). - Ceremonial model does not predict environmental variability correlation (H4 distinguishes). - Ceremonial model does not predict abandonment under stabilization (H7 distinguishes). - If burials show simple interment without grave goods or elaborate preparation, the ceremonial interpretation is weakened.</w:t>
      </w:r>
    </w:p>
    <w:p w14:paraId="7F5EF3AA" w14:textId="77777777" w:rsidR="00506C35" w:rsidRPr="009D048A" w:rsidRDefault="00000000">
      <w:pPr>
        <w:pStyle w:val="Heading3"/>
        <w:rPr>
          <w:rFonts w:ascii="Times New Roman" w:hAnsi="Times New Roman" w:cs="Times New Roman"/>
          <w:sz w:val="22"/>
          <w:szCs w:val="22"/>
        </w:rPr>
      </w:pPr>
      <w:bookmarkStart w:id="89" w:name="alternative-3-aggrandizer-big-man-model"/>
      <w:bookmarkEnd w:id="88"/>
      <w:r w:rsidRPr="009D048A">
        <w:rPr>
          <w:rFonts w:ascii="Times New Roman" w:hAnsi="Times New Roman" w:cs="Times New Roman"/>
          <w:sz w:val="22"/>
          <w:szCs w:val="22"/>
        </w:rPr>
        <w:t>15.3 Alternative 3: Aggrandizer (“Big Man”) Model</w:t>
      </w:r>
    </w:p>
    <w:p w14:paraId="78B6D06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Ambitious individuals organized communal labor to enhance their own status. Storage infrastructure reflects competitive display and accumulation by emerging elites, not cooperative risk management.</w:t>
      </w:r>
    </w:p>
    <w:p w14:paraId="1865947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Storage and exchange goods should be unequally distributed (concentrated with “Big Men”) - Infrastructure investment should scale with individual status markers, not aggregation size - Burials should show inequality in grave goods and treatment - Site should show evidence of centralized control (differential access to storage features)</w:t>
      </w:r>
    </w:p>
    <w:p w14:paraId="0BFDC17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predict site primacy and aggregation-scale infrastructure.</w:t>
      </w:r>
    </w:p>
    <w:p w14:paraId="20F303F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Aggrandizer model predicts unequal distribution of storage and goods; economics predicts relatively even distribution. - Aggrandizer model does not predict environmental threshold for emergence (H4, H7 distinguish). - If storage pits are distributed evenly across the site without evidence of differential access, the aggrandizer interpretation is weakened.</w:t>
      </w:r>
    </w:p>
    <w:p w14:paraId="25EAD9A4" w14:textId="77777777" w:rsidR="00506C35" w:rsidRPr="009D048A" w:rsidRDefault="00000000">
      <w:pPr>
        <w:pStyle w:val="Heading3"/>
        <w:rPr>
          <w:rFonts w:ascii="Times New Roman" w:hAnsi="Times New Roman" w:cs="Times New Roman"/>
          <w:sz w:val="22"/>
          <w:szCs w:val="22"/>
        </w:rPr>
      </w:pPr>
      <w:bookmarkStart w:id="90" w:name="alternative-4-resource-abundance-model"/>
      <w:bookmarkEnd w:id="89"/>
      <w:r w:rsidRPr="009D048A">
        <w:rPr>
          <w:rFonts w:ascii="Times New Roman" w:hAnsi="Times New Roman" w:cs="Times New Roman"/>
          <w:sz w:val="22"/>
          <w:szCs w:val="22"/>
        </w:rPr>
        <w:lastRenderedPageBreak/>
        <w:t>15.4 Alternative 4: Resource Abundance Model</w:t>
      </w:r>
    </w:p>
    <w:p w14:paraId="3DAC3F0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Lamoka Lake was simply a very rich location. High resource abundance attracted people and sustained large populations, and the infrastructure naturally followed from long-term occupation.</w:t>
      </w:r>
    </w:p>
    <w:p w14:paraId="13FB7A5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Site should be located at the point of maximum resource abundance - Infrastructure should scale with total resource availability, not environmental variability - Site use should intensify during periods of high resource availability - No specific relationship between variability and aggregation intensity</w:t>
      </w:r>
    </w:p>
    <w:p w14:paraId="319214C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recognize the ecological importance of the site location.</w:t>
      </w:r>
    </w:p>
    <w:p w14:paraId="4C35069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Abundance model predicts site use intensifies during good times; economics predicts intensification during variable times (H4 distinguishes). - Abundance model predicts gradual infrastructure accumulation proportional to occupation duration; economics predicts pulse construction during high-variability periods (H2 distinguishes). - Abundance model does not predict abandonment under stabilization (H7 distinguishes). - Abundance model predicts sites at points of maximum productivity, not maximum diversity. If other locations in the Finger Lakes have higher absolute productivity but lack aggregation infrastructure, the abundance model is weakened (H3 distinguishes).</w:t>
      </w:r>
    </w:p>
    <w:p w14:paraId="2949B973" w14:textId="77777777" w:rsidR="00506C35" w:rsidRPr="009D048A" w:rsidRDefault="00000000">
      <w:pPr>
        <w:pStyle w:val="Heading3"/>
        <w:rPr>
          <w:rFonts w:ascii="Times New Roman" w:hAnsi="Times New Roman" w:cs="Times New Roman"/>
          <w:sz w:val="22"/>
          <w:szCs w:val="22"/>
        </w:rPr>
      </w:pPr>
      <w:bookmarkStart w:id="91" w:name="alternative-5-costly-signaling-model"/>
      <w:bookmarkEnd w:id="90"/>
      <w:r w:rsidRPr="009D048A">
        <w:rPr>
          <w:rFonts w:ascii="Times New Roman" w:hAnsi="Times New Roman" w:cs="Times New Roman"/>
          <w:sz w:val="22"/>
          <w:szCs w:val="22"/>
        </w:rPr>
        <w:t>15.5 Alternative 5: Costly Signaling Model</w:t>
      </w:r>
    </w:p>
    <w:p w14:paraId="0C5C4347"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The infrastructure at Lamoka Lake functioned as a costly signal, a display of group capacity designed to advertise quality to potential partners or rivals, similar to the framework used for Rapa Nui and Poverty Point.</w:t>
      </w:r>
    </w:p>
    <w:p w14:paraId="4A8DADB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Infrastructure should exceed utilitarian need (over-investment as display) - Construction should be visible and impressive rather than purely functional - Signal costs should be wasteful (honest signaling requires genuine sacrifice) - Infrastructure should correlate with group quality indicators</w:t>
      </w:r>
    </w:p>
    <w:p w14:paraId="384F3FA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predict aggregation and cooperative investment.</w:t>
      </w:r>
    </w:p>
    <w:p w14:paraId="53496CD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Costly signaling predicts over-investment beyond practical need; economics predicts investment proportional to practical returns. Test: do storage pit volumes match estimated food storage needs, or exceed them substantially? - Costly signaling predicts investment in visible features even without practical return; economics predicts all investment is utilitarian. - If storage capacity approximately matches estimated food storage needs (~50,000 liters for ~300 people for ~3 months), the utilitarian interpretation is supported. If capacity vastly exceeds need, the costly signaling interpretation gains strength.</w:t>
      </w:r>
    </w:p>
    <w:p w14:paraId="42E05987" w14:textId="77777777" w:rsidR="00506C35" w:rsidRPr="009D048A" w:rsidRDefault="00000000">
      <w:pPr>
        <w:pStyle w:val="Heading3"/>
        <w:rPr>
          <w:rFonts w:ascii="Times New Roman" w:hAnsi="Times New Roman" w:cs="Times New Roman"/>
          <w:sz w:val="22"/>
          <w:szCs w:val="22"/>
        </w:rPr>
      </w:pPr>
      <w:bookmarkStart w:id="92" w:name="alternative-6-population-pressure-model"/>
      <w:bookmarkEnd w:id="91"/>
      <w:r w:rsidRPr="009D048A">
        <w:rPr>
          <w:rFonts w:ascii="Times New Roman" w:hAnsi="Times New Roman" w:cs="Times New Roman"/>
          <w:sz w:val="22"/>
          <w:szCs w:val="22"/>
        </w:rPr>
        <w:t>15.6 Alternative 6: Population Pressure Model</w:t>
      </w:r>
    </w:p>
    <w:p w14:paraId="33D7747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Claim.</w:t>
      </w:r>
      <w:r w:rsidRPr="009D048A">
        <w:rPr>
          <w:rFonts w:ascii="Times New Roman" w:hAnsi="Times New Roman" w:cs="Times New Roman"/>
          <w:sz w:val="21"/>
          <w:szCs w:val="21"/>
        </w:rPr>
        <w:t xml:space="preserve"> Growing population forced people together and compelled cooperative infrastructure investment. Aggregation was not a strategic choice but a demographic necessity.</w:t>
      </w:r>
    </w:p>
    <w:p w14:paraId="6B9B228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Predictions:</w:t>
      </w:r>
      <w:r w:rsidRPr="009D048A">
        <w:rPr>
          <w:rFonts w:ascii="Times New Roman" w:hAnsi="Times New Roman" w:cs="Times New Roman"/>
          <w:sz w:val="21"/>
          <w:szCs w:val="21"/>
        </w:rPr>
        <w:t xml:space="preserve"> - Population growth should precede aggregation intensification - Infrastructure investment should correlate with population size, not environmental variability - Abandonment should correlate with population decline - Aggregation should be involuntary (no strategic choice component)</w:t>
      </w:r>
    </w:p>
    <w:p w14:paraId="3988DBE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Overlap with aggregation economics:</w:t>
      </w:r>
      <w:r w:rsidRPr="009D048A">
        <w:rPr>
          <w:rFonts w:ascii="Times New Roman" w:hAnsi="Times New Roman" w:cs="Times New Roman"/>
          <w:sz w:val="21"/>
          <w:szCs w:val="21"/>
        </w:rPr>
        <w:t xml:space="preserve"> Both recognize that aggregation involves multiple bands.</w:t>
      </w:r>
    </w:p>
    <w:p w14:paraId="5269099A"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Distinguishing tests:</w:t>
      </w:r>
      <w:r w:rsidRPr="009D048A">
        <w:rPr>
          <w:rFonts w:ascii="Times New Roman" w:hAnsi="Times New Roman" w:cs="Times New Roman"/>
          <w:sz w:val="21"/>
          <w:szCs w:val="21"/>
        </w:rPr>
        <w:t xml:space="preserve"> - Population pressure predicts infrastructure scaling with population; economics predicts scaling with aggregation frequency x size x duration (H2 distinguishes). - Population pressure does not predict environmental variability correlation (H4 distinguishes). - Population pressure predicts abandonment from population decline; economics predicts abandonment from environmental stabilization (H7 distinguishes). - Regional population estimates for the Late Archaic Finger Lakes (~500 people in ~25 bands) suggest densities well below carrying capacity, weakening the population pressure argument.</w:t>
      </w:r>
    </w:p>
    <w:p w14:paraId="22A24D3C"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8270590">
          <v:rect id="_x0000_i1031" alt="" style="width:468pt;height:.05pt;mso-width-percent:0;mso-height-percent:0;mso-width-percent:0;mso-height-percent:0" o:hralign="center" o:hrstd="t" o:hr="t"/>
        </w:pict>
      </w:r>
    </w:p>
    <w:p w14:paraId="4779CD0A" w14:textId="77777777" w:rsidR="00506C35" w:rsidRPr="009D048A" w:rsidRDefault="00000000">
      <w:pPr>
        <w:pStyle w:val="Heading2"/>
        <w:rPr>
          <w:rFonts w:ascii="Times New Roman" w:hAnsi="Times New Roman" w:cs="Times New Roman"/>
          <w:sz w:val="24"/>
          <w:szCs w:val="24"/>
        </w:rPr>
      </w:pPr>
      <w:bookmarkStart w:id="93" w:name="a-discrimination-protocol"/>
      <w:bookmarkEnd w:id="86"/>
      <w:bookmarkEnd w:id="92"/>
      <w:r w:rsidRPr="009D048A">
        <w:rPr>
          <w:rFonts w:ascii="Times New Roman" w:hAnsi="Times New Roman" w:cs="Times New Roman"/>
          <w:sz w:val="24"/>
          <w:szCs w:val="24"/>
        </w:rPr>
        <w:lastRenderedPageBreak/>
        <w:t>16. A Discrimination Protocol</w:t>
      </w:r>
    </w:p>
    <w:p w14:paraId="26BBD519" w14:textId="77777777" w:rsidR="00506C35" w:rsidRPr="009D048A" w:rsidRDefault="00000000">
      <w:pPr>
        <w:pStyle w:val="Heading3"/>
        <w:rPr>
          <w:rFonts w:ascii="Times New Roman" w:hAnsi="Times New Roman" w:cs="Times New Roman"/>
          <w:sz w:val="22"/>
          <w:szCs w:val="22"/>
        </w:rPr>
      </w:pPr>
      <w:bookmarkStart w:id="94" w:name="which-predictions-are-shared-vs.-unique"/>
      <w:r w:rsidRPr="009D048A">
        <w:rPr>
          <w:rFonts w:ascii="Times New Roman" w:hAnsi="Times New Roman" w:cs="Times New Roman"/>
          <w:sz w:val="22"/>
          <w:szCs w:val="22"/>
        </w:rPr>
        <w:t>16.1 Which Predictions Are Shared vs. Unique?</w:t>
      </w:r>
    </w:p>
    <w:p w14:paraId="0EEAD91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16.1. Prediction overlap across hypotheses.</w:t>
      </w:r>
    </w:p>
    <w:tbl>
      <w:tblPr>
        <w:tblStyle w:val="Table"/>
        <w:tblW w:w="5000" w:type="pct"/>
        <w:tblLayout w:type="fixed"/>
        <w:tblLook w:val="0020" w:firstRow="1" w:lastRow="0" w:firstColumn="0" w:lastColumn="0" w:noHBand="0" w:noVBand="0"/>
      </w:tblPr>
      <w:tblGrid>
        <w:gridCol w:w="1239"/>
        <w:gridCol w:w="1352"/>
        <w:gridCol w:w="789"/>
        <w:gridCol w:w="901"/>
        <w:gridCol w:w="1465"/>
        <w:gridCol w:w="1239"/>
        <w:gridCol w:w="901"/>
        <w:gridCol w:w="1690"/>
      </w:tblGrid>
      <w:tr w:rsidR="00506C35" w:rsidRPr="009D048A" w14:paraId="5B52A4C1"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024" w:type="dxa"/>
          </w:tcPr>
          <w:p w14:paraId="62979D0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Prediction</w:t>
            </w:r>
          </w:p>
        </w:tc>
        <w:tc>
          <w:tcPr>
            <w:tcW w:w="1118" w:type="dxa"/>
          </w:tcPr>
          <w:p w14:paraId="6D70D70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Agg. Econ.</w:t>
            </w:r>
          </w:p>
        </w:tc>
        <w:tc>
          <w:tcPr>
            <w:tcW w:w="652" w:type="dxa"/>
          </w:tcPr>
          <w:p w14:paraId="1CF7446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Trade</w:t>
            </w:r>
          </w:p>
        </w:tc>
        <w:tc>
          <w:tcPr>
            <w:tcW w:w="745" w:type="dxa"/>
          </w:tcPr>
          <w:p w14:paraId="5507D0C0"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Ritual</w:t>
            </w:r>
          </w:p>
        </w:tc>
        <w:tc>
          <w:tcPr>
            <w:tcW w:w="1211" w:type="dxa"/>
          </w:tcPr>
          <w:p w14:paraId="27E02B78"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Aggrandizer</w:t>
            </w:r>
          </w:p>
        </w:tc>
        <w:tc>
          <w:tcPr>
            <w:tcW w:w="1024" w:type="dxa"/>
          </w:tcPr>
          <w:p w14:paraId="5DF06CA4"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Abundance</w:t>
            </w:r>
          </w:p>
        </w:tc>
        <w:tc>
          <w:tcPr>
            <w:tcW w:w="745" w:type="dxa"/>
          </w:tcPr>
          <w:p w14:paraId="6B84A57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Signal</w:t>
            </w:r>
          </w:p>
        </w:tc>
        <w:tc>
          <w:tcPr>
            <w:tcW w:w="1397" w:type="dxa"/>
          </w:tcPr>
          <w:p w14:paraId="5ACBE66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Pop. Pressure</w:t>
            </w:r>
          </w:p>
        </w:tc>
      </w:tr>
      <w:tr w:rsidR="00506C35" w:rsidRPr="009D048A" w14:paraId="7006478C" w14:textId="77777777">
        <w:tc>
          <w:tcPr>
            <w:tcW w:w="1024" w:type="dxa"/>
          </w:tcPr>
          <w:p w14:paraId="0C8767D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H1: Fall seasonality</w:t>
            </w:r>
          </w:p>
        </w:tc>
        <w:tc>
          <w:tcPr>
            <w:tcW w:w="1118" w:type="dxa"/>
          </w:tcPr>
          <w:p w14:paraId="41A67F6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2B71D73A"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c>
          <w:tcPr>
            <w:tcW w:w="745" w:type="dxa"/>
          </w:tcPr>
          <w:p w14:paraId="495A92E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c>
          <w:tcPr>
            <w:tcW w:w="1211" w:type="dxa"/>
          </w:tcPr>
          <w:p w14:paraId="32C18E2B"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c>
          <w:tcPr>
            <w:tcW w:w="1024" w:type="dxa"/>
          </w:tcPr>
          <w:p w14:paraId="4677C59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745" w:type="dxa"/>
          </w:tcPr>
          <w:p w14:paraId="7BE3EDA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397" w:type="dxa"/>
          </w:tcPr>
          <w:p w14:paraId="7220D13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r>
      <w:tr w:rsidR="00506C35" w:rsidRPr="009D048A" w14:paraId="1FD5D9F2" w14:textId="77777777">
        <w:tc>
          <w:tcPr>
            <w:tcW w:w="1024" w:type="dxa"/>
          </w:tcPr>
          <w:p w14:paraId="3BF3C4B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H2: Storage scaling</w:t>
            </w:r>
          </w:p>
        </w:tc>
        <w:tc>
          <w:tcPr>
            <w:tcW w:w="1118" w:type="dxa"/>
          </w:tcPr>
          <w:p w14:paraId="11CE67E4"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36744D47" w14:textId="77777777" w:rsidR="00506C35" w:rsidRPr="009D048A" w:rsidRDefault="00506C35">
            <w:pPr>
              <w:pStyle w:val="Compact"/>
              <w:rPr>
                <w:rFonts w:ascii="Times New Roman" w:hAnsi="Times New Roman" w:cs="Times New Roman"/>
                <w:sz w:val="21"/>
                <w:szCs w:val="21"/>
              </w:rPr>
            </w:pPr>
          </w:p>
        </w:tc>
        <w:tc>
          <w:tcPr>
            <w:tcW w:w="745" w:type="dxa"/>
          </w:tcPr>
          <w:p w14:paraId="26C56028" w14:textId="77777777" w:rsidR="00506C35" w:rsidRPr="009D048A" w:rsidRDefault="00506C35">
            <w:pPr>
              <w:pStyle w:val="Compact"/>
              <w:rPr>
                <w:rFonts w:ascii="Times New Roman" w:hAnsi="Times New Roman" w:cs="Times New Roman"/>
                <w:sz w:val="21"/>
                <w:szCs w:val="21"/>
              </w:rPr>
            </w:pPr>
          </w:p>
        </w:tc>
        <w:tc>
          <w:tcPr>
            <w:tcW w:w="1211" w:type="dxa"/>
          </w:tcPr>
          <w:p w14:paraId="7D069D51" w14:textId="77777777" w:rsidR="00506C35" w:rsidRPr="009D048A" w:rsidRDefault="00506C35">
            <w:pPr>
              <w:pStyle w:val="Compact"/>
              <w:rPr>
                <w:rFonts w:ascii="Times New Roman" w:hAnsi="Times New Roman" w:cs="Times New Roman"/>
                <w:sz w:val="21"/>
                <w:szCs w:val="21"/>
              </w:rPr>
            </w:pPr>
          </w:p>
        </w:tc>
        <w:tc>
          <w:tcPr>
            <w:tcW w:w="1024" w:type="dxa"/>
          </w:tcPr>
          <w:p w14:paraId="01CE34E0" w14:textId="77777777" w:rsidR="00506C35" w:rsidRPr="009D048A" w:rsidRDefault="00506C35">
            <w:pPr>
              <w:pStyle w:val="Compact"/>
              <w:rPr>
                <w:rFonts w:ascii="Times New Roman" w:hAnsi="Times New Roman" w:cs="Times New Roman"/>
                <w:sz w:val="21"/>
                <w:szCs w:val="21"/>
              </w:rPr>
            </w:pPr>
          </w:p>
        </w:tc>
        <w:tc>
          <w:tcPr>
            <w:tcW w:w="745" w:type="dxa"/>
          </w:tcPr>
          <w:p w14:paraId="5ECF2002" w14:textId="77777777" w:rsidR="00506C35" w:rsidRPr="009D048A" w:rsidRDefault="00506C35">
            <w:pPr>
              <w:pStyle w:val="Compact"/>
              <w:rPr>
                <w:rFonts w:ascii="Times New Roman" w:hAnsi="Times New Roman" w:cs="Times New Roman"/>
                <w:sz w:val="21"/>
                <w:szCs w:val="21"/>
              </w:rPr>
            </w:pPr>
          </w:p>
        </w:tc>
        <w:tc>
          <w:tcPr>
            <w:tcW w:w="1397" w:type="dxa"/>
          </w:tcPr>
          <w:p w14:paraId="4B0BD421" w14:textId="77777777" w:rsidR="00506C35" w:rsidRPr="009D048A" w:rsidRDefault="00506C35">
            <w:pPr>
              <w:pStyle w:val="Compact"/>
              <w:rPr>
                <w:rFonts w:ascii="Times New Roman" w:hAnsi="Times New Roman" w:cs="Times New Roman"/>
                <w:sz w:val="21"/>
                <w:szCs w:val="21"/>
              </w:rPr>
            </w:pPr>
          </w:p>
        </w:tc>
      </w:tr>
      <w:tr w:rsidR="00506C35" w:rsidRPr="009D048A" w14:paraId="16EF8360" w14:textId="77777777">
        <w:tc>
          <w:tcPr>
            <w:tcW w:w="1024" w:type="dxa"/>
          </w:tcPr>
          <w:p w14:paraId="6A16D83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H3: Ecotone site selection</w:t>
            </w:r>
          </w:p>
        </w:tc>
        <w:tc>
          <w:tcPr>
            <w:tcW w:w="1118" w:type="dxa"/>
          </w:tcPr>
          <w:p w14:paraId="0972159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78B2361C" w14:textId="77777777" w:rsidR="00506C35" w:rsidRPr="009D048A" w:rsidRDefault="00506C35">
            <w:pPr>
              <w:pStyle w:val="Compact"/>
              <w:rPr>
                <w:rFonts w:ascii="Times New Roman" w:hAnsi="Times New Roman" w:cs="Times New Roman"/>
                <w:sz w:val="21"/>
                <w:szCs w:val="21"/>
              </w:rPr>
            </w:pPr>
          </w:p>
        </w:tc>
        <w:tc>
          <w:tcPr>
            <w:tcW w:w="745" w:type="dxa"/>
          </w:tcPr>
          <w:p w14:paraId="67D2D997" w14:textId="77777777" w:rsidR="00506C35" w:rsidRPr="009D048A" w:rsidRDefault="00506C35">
            <w:pPr>
              <w:pStyle w:val="Compact"/>
              <w:rPr>
                <w:rFonts w:ascii="Times New Roman" w:hAnsi="Times New Roman" w:cs="Times New Roman"/>
                <w:sz w:val="21"/>
                <w:szCs w:val="21"/>
              </w:rPr>
            </w:pPr>
          </w:p>
        </w:tc>
        <w:tc>
          <w:tcPr>
            <w:tcW w:w="1211" w:type="dxa"/>
          </w:tcPr>
          <w:p w14:paraId="1EF254A4" w14:textId="77777777" w:rsidR="00506C35" w:rsidRPr="009D048A" w:rsidRDefault="00506C35">
            <w:pPr>
              <w:pStyle w:val="Compact"/>
              <w:rPr>
                <w:rFonts w:ascii="Times New Roman" w:hAnsi="Times New Roman" w:cs="Times New Roman"/>
                <w:sz w:val="21"/>
                <w:szCs w:val="21"/>
              </w:rPr>
            </w:pPr>
          </w:p>
        </w:tc>
        <w:tc>
          <w:tcPr>
            <w:tcW w:w="1024" w:type="dxa"/>
          </w:tcPr>
          <w:p w14:paraId="51A5E8CD" w14:textId="77777777" w:rsidR="00506C35" w:rsidRPr="009D048A" w:rsidRDefault="00506C35">
            <w:pPr>
              <w:pStyle w:val="Compact"/>
              <w:rPr>
                <w:rFonts w:ascii="Times New Roman" w:hAnsi="Times New Roman" w:cs="Times New Roman"/>
                <w:sz w:val="21"/>
                <w:szCs w:val="21"/>
              </w:rPr>
            </w:pPr>
          </w:p>
        </w:tc>
        <w:tc>
          <w:tcPr>
            <w:tcW w:w="745" w:type="dxa"/>
          </w:tcPr>
          <w:p w14:paraId="64E0D66A" w14:textId="77777777" w:rsidR="00506C35" w:rsidRPr="009D048A" w:rsidRDefault="00506C35">
            <w:pPr>
              <w:pStyle w:val="Compact"/>
              <w:rPr>
                <w:rFonts w:ascii="Times New Roman" w:hAnsi="Times New Roman" w:cs="Times New Roman"/>
                <w:sz w:val="21"/>
                <w:szCs w:val="21"/>
              </w:rPr>
            </w:pPr>
          </w:p>
        </w:tc>
        <w:tc>
          <w:tcPr>
            <w:tcW w:w="1397" w:type="dxa"/>
          </w:tcPr>
          <w:p w14:paraId="208E8776" w14:textId="77777777" w:rsidR="00506C35" w:rsidRPr="009D048A" w:rsidRDefault="00506C35">
            <w:pPr>
              <w:pStyle w:val="Compact"/>
              <w:rPr>
                <w:rFonts w:ascii="Times New Roman" w:hAnsi="Times New Roman" w:cs="Times New Roman"/>
                <w:sz w:val="21"/>
                <w:szCs w:val="21"/>
              </w:rPr>
            </w:pPr>
          </w:p>
        </w:tc>
      </w:tr>
      <w:tr w:rsidR="00506C35" w:rsidRPr="009D048A" w14:paraId="003C8C93" w14:textId="77777777">
        <w:tc>
          <w:tcPr>
            <w:tcW w:w="1024" w:type="dxa"/>
          </w:tcPr>
          <w:p w14:paraId="7D8FB49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H4: Env. variability correlation</w:t>
            </w:r>
          </w:p>
        </w:tc>
        <w:tc>
          <w:tcPr>
            <w:tcW w:w="1118" w:type="dxa"/>
          </w:tcPr>
          <w:p w14:paraId="0D10FAD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5F733A01" w14:textId="77777777" w:rsidR="00506C35" w:rsidRPr="009D048A" w:rsidRDefault="00506C35">
            <w:pPr>
              <w:pStyle w:val="Compact"/>
              <w:rPr>
                <w:rFonts w:ascii="Times New Roman" w:hAnsi="Times New Roman" w:cs="Times New Roman"/>
                <w:sz w:val="21"/>
                <w:szCs w:val="21"/>
              </w:rPr>
            </w:pPr>
          </w:p>
        </w:tc>
        <w:tc>
          <w:tcPr>
            <w:tcW w:w="745" w:type="dxa"/>
          </w:tcPr>
          <w:p w14:paraId="628531E5" w14:textId="77777777" w:rsidR="00506C35" w:rsidRPr="009D048A" w:rsidRDefault="00506C35">
            <w:pPr>
              <w:pStyle w:val="Compact"/>
              <w:rPr>
                <w:rFonts w:ascii="Times New Roman" w:hAnsi="Times New Roman" w:cs="Times New Roman"/>
                <w:sz w:val="21"/>
                <w:szCs w:val="21"/>
              </w:rPr>
            </w:pPr>
          </w:p>
        </w:tc>
        <w:tc>
          <w:tcPr>
            <w:tcW w:w="1211" w:type="dxa"/>
          </w:tcPr>
          <w:p w14:paraId="2AD80FDC" w14:textId="77777777" w:rsidR="00506C35" w:rsidRPr="009D048A" w:rsidRDefault="00506C35">
            <w:pPr>
              <w:pStyle w:val="Compact"/>
              <w:rPr>
                <w:rFonts w:ascii="Times New Roman" w:hAnsi="Times New Roman" w:cs="Times New Roman"/>
                <w:sz w:val="21"/>
                <w:szCs w:val="21"/>
              </w:rPr>
            </w:pPr>
          </w:p>
        </w:tc>
        <w:tc>
          <w:tcPr>
            <w:tcW w:w="1024" w:type="dxa"/>
          </w:tcPr>
          <w:p w14:paraId="3DE53374" w14:textId="77777777" w:rsidR="00506C35" w:rsidRPr="009D048A" w:rsidRDefault="00506C35">
            <w:pPr>
              <w:pStyle w:val="Compact"/>
              <w:rPr>
                <w:rFonts w:ascii="Times New Roman" w:hAnsi="Times New Roman" w:cs="Times New Roman"/>
                <w:sz w:val="21"/>
                <w:szCs w:val="21"/>
              </w:rPr>
            </w:pPr>
          </w:p>
        </w:tc>
        <w:tc>
          <w:tcPr>
            <w:tcW w:w="745" w:type="dxa"/>
          </w:tcPr>
          <w:p w14:paraId="1CF3BC63" w14:textId="77777777" w:rsidR="00506C35" w:rsidRPr="009D048A" w:rsidRDefault="00506C35">
            <w:pPr>
              <w:pStyle w:val="Compact"/>
              <w:rPr>
                <w:rFonts w:ascii="Times New Roman" w:hAnsi="Times New Roman" w:cs="Times New Roman"/>
                <w:sz w:val="21"/>
                <w:szCs w:val="21"/>
              </w:rPr>
            </w:pPr>
          </w:p>
        </w:tc>
        <w:tc>
          <w:tcPr>
            <w:tcW w:w="1397" w:type="dxa"/>
          </w:tcPr>
          <w:p w14:paraId="4D8EF43C" w14:textId="77777777" w:rsidR="00506C35" w:rsidRPr="009D048A" w:rsidRDefault="00506C35">
            <w:pPr>
              <w:pStyle w:val="Compact"/>
              <w:rPr>
                <w:rFonts w:ascii="Times New Roman" w:hAnsi="Times New Roman" w:cs="Times New Roman"/>
                <w:sz w:val="21"/>
                <w:szCs w:val="21"/>
              </w:rPr>
            </w:pPr>
          </w:p>
        </w:tc>
      </w:tr>
      <w:tr w:rsidR="00506C35" w:rsidRPr="009D048A" w14:paraId="01EB1C5E" w14:textId="77777777">
        <w:tc>
          <w:tcPr>
            <w:tcW w:w="1024" w:type="dxa"/>
          </w:tcPr>
          <w:p w14:paraId="2DE990A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H5: Regional hierarchy</w:t>
            </w:r>
          </w:p>
        </w:tc>
        <w:tc>
          <w:tcPr>
            <w:tcW w:w="1118" w:type="dxa"/>
          </w:tcPr>
          <w:p w14:paraId="745F722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0CAADA00"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745" w:type="dxa"/>
          </w:tcPr>
          <w:p w14:paraId="1179DC5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211" w:type="dxa"/>
          </w:tcPr>
          <w:p w14:paraId="0B069AC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024" w:type="dxa"/>
          </w:tcPr>
          <w:p w14:paraId="176C550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c>
          <w:tcPr>
            <w:tcW w:w="745" w:type="dxa"/>
          </w:tcPr>
          <w:p w14:paraId="3205CE3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397" w:type="dxa"/>
          </w:tcPr>
          <w:p w14:paraId="23C61A49"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r>
      <w:tr w:rsidR="00506C35" w:rsidRPr="009D048A" w14:paraId="6D09CE03" w14:textId="77777777">
        <w:tc>
          <w:tcPr>
            <w:tcW w:w="1024" w:type="dxa"/>
          </w:tcPr>
          <w:p w14:paraId="33ABFE5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H6: Exchange concentration</w:t>
            </w:r>
          </w:p>
        </w:tc>
        <w:tc>
          <w:tcPr>
            <w:tcW w:w="1118" w:type="dxa"/>
          </w:tcPr>
          <w:p w14:paraId="68483DC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367799D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745" w:type="dxa"/>
          </w:tcPr>
          <w:p w14:paraId="2554D78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w:t>
            </w:r>
          </w:p>
        </w:tc>
        <w:tc>
          <w:tcPr>
            <w:tcW w:w="1211" w:type="dxa"/>
          </w:tcPr>
          <w:p w14:paraId="42DDC98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024" w:type="dxa"/>
          </w:tcPr>
          <w:p w14:paraId="518A5986" w14:textId="77777777" w:rsidR="00506C35" w:rsidRPr="009D048A" w:rsidRDefault="00506C35">
            <w:pPr>
              <w:pStyle w:val="Compact"/>
              <w:rPr>
                <w:rFonts w:ascii="Times New Roman" w:hAnsi="Times New Roman" w:cs="Times New Roman"/>
                <w:sz w:val="21"/>
                <w:szCs w:val="21"/>
              </w:rPr>
            </w:pPr>
          </w:p>
        </w:tc>
        <w:tc>
          <w:tcPr>
            <w:tcW w:w="745" w:type="dxa"/>
          </w:tcPr>
          <w:p w14:paraId="43995D1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1397" w:type="dxa"/>
          </w:tcPr>
          <w:p w14:paraId="6D944AE3" w14:textId="77777777" w:rsidR="00506C35" w:rsidRPr="009D048A" w:rsidRDefault="00506C35">
            <w:pPr>
              <w:pStyle w:val="Compact"/>
              <w:rPr>
                <w:rFonts w:ascii="Times New Roman" w:hAnsi="Times New Roman" w:cs="Times New Roman"/>
                <w:sz w:val="21"/>
                <w:szCs w:val="21"/>
              </w:rPr>
            </w:pPr>
          </w:p>
        </w:tc>
      </w:tr>
      <w:tr w:rsidR="00506C35" w:rsidRPr="009D048A" w14:paraId="7F1862AE" w14:textId="77777777">
        <w:tc>
          <w:tcPr>
            <w:tcW w:w="1024" w:type="dxa"/>
          </w:tcPr>
          <w:p w14:paraId="2C314A5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H7: Abandonment under stabilization</w:t>
            </w:r>
          </w:p>
        </w:tc>
        <w:tc>
          <w:tcPr>
            <w:tcW w:w="1118" w:type="dxa"/>
          </w:tcPr>
          <w:p w14:paraId="79FDD22E"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X</w:t>
            </w:r>
          </w:p>
        </w:tc>
        <w:tc>
          <w:tcPr>
            <w:tcW w:w="652" w:type="dxa"/>
          </w:tcPr>
          <w:p w14:paraId="1975221A" w14:textId="77777777" w:rsidR="00506C35" w:rsidRPr="009D048A" w:rsidRDefault="00506C35">
            <w:pPr>
              <w:pStyle w:val="Compact"/>
              <w:rPr>
                <w:rFonts w:ascii="Times New Roman" w:hAnsi="Times New Roman" w:cs="Times New Roman"/>
                <w:sz w:val="21"/>
                <w:szCs w:val="21"/>
              </w:rPr>
            </w:pPr>
          </w:p>
        </w:tc>
        <w:tc>
          <w:tcPr>
            <w:tcW w:w="745" w:type="dxa"/>
          </w:tcPr>
          <w:p w14:paraId="3DAA0ECB" w14:textId="77777777" w:rsidR="00506C35" w:rsidRPr="009D048A" w:rsidRDefault="00506C35">
            <w:pPr>
              <w:pStyle w:val="Compact"/>
              <w:rPr>
                <w:rFonts w:ascii="Times New Roman" w:hAnsi="Times New Roman" w:cs="Times New Roman"/>
                <w:sz w:val="21"/>
                <w:szCs w:val="21"/>
              </w:rPr>
            </w:pPr>
          </w:p>
        </w:tc>
        <w:tc>
          <w:tcPr>
            <w:tcW w:w="1211" w:type="dxa"/>
          </w:tcPr>
          <w:p w14:paraId="4006694C" w14:textId="77777777" w:rsidR="00506C35" w:rsidRPr="009D048A" w:rsidRDefault="00506C35">
            <w:pPr>
              <w:pStyle w:val="Compact"/>
              <w:rPr>
                <w:rFonts w:ascii="Times New Roman" w:hAnsi="Times New Roman" w:cs="Times New Roman"/>
                <w:sz w:val="21"/>
                <w:szCs w:val="21"/>
              </w:rPr>
            </w:pPr>
          </w:p>
        </w:tc>
        <w:tc>
          <w:tcPr>
            <w:tcW w:w="1024" w:type="dxa"/>
          </w:tcPr>
          <w:p w14:paraId="5102637F" w14:textId="77777777" w:rsidR="00506C35" w:rsidRPr="009D048A" w:rsidRDefault="00506C35">
            <w:pPr>
              <w:pStyle w:val="Compact"/>
              <w:rPr>
                <w:rFonts w:ascii="Times New Roman" w:hAnsi="Times New Roman" w:cs="Times New Roman"/>
                <w:sz w:val="21"/>
                <w:szCs w:val="21"/>
              </w:rPr>
            </w:pPr>
          </w:p>
        </w:tc>
        <w:tc>
          <w:tcPr>
            <w:tcW w:w="745" w:type="dxa"/>
          </w:tcPr>
          <w:p w14:paraId="63AFE5A3" w14:textId="77777777" w:rsidR="00506C35" w:rsidRPr="009D048A" w:rsidRDefault="00506C35">
            <w:pPr>
              <w:pStyle w:val="Compact"/>
              <w:rPr>
                <w:rFonts w:ascii="Times New Roman" w:hAnsi="Times New Roman" w:cs="Times New Roman"/>
                <w:sz w:val="21"/>
                <w:szCs w:val="21"/>
              </w:rPr>
            </w:pPr>
          </w:p>
        </w:tc>
        <w:tc>
          <w:tcPr>
            <w:tcW w:w="1397" w:type="dxa"/>
          </w:tcPr>
          <w:p w14:paraId="6E098AA2" w14:textId="77777777" w:rsidR="00506C35" w:rsidRPr="009D048A" w:rsidRDefault="00506C35">
            <w:pPr>
              <w:pStyle w:val="Compact"/>
              <w:rPr>
                <w:rFonts w:ascii="Times New Roman" w:hAnsi="Times New Roman" w:cs="Times New Roman"/>
                <w:sz w:val="21"/>
                <w:szCs w:val="21"/>
              </w:rPr>
            </w:pPr>
          </w:p>
        </w:tc>
      </w:tr>
    </w:tbl>
    <w:p w14:paraId="658EBAC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X</w:t>
      </w:r>
      <w:r w:rsidRPr="009D048A">
        <w:rPr>
          <w:rFonts w:ascii="Times New Roman" w:hAnsi="Times New Roman" w:cs="Times New Roman"/>
          <w:sz w:val="21"/>
          <w:szCs w:val="21"/>
        </w:rPr>
        <w:t xml:space="preserve"> = predicted; </w:t>
      </w:r>
      <w:r w:rsidRPr="009D048A">
        <w:rPr>
          <w:rFonts w:ascii="Times New Roman" w:hAnsi="Times New Roman" w:cs="Times New Roman"/>
          <w:b/>
          <w:bCs/>
          <w:sz w:val="21"/>
          <w:szCs w:val="21"/>
        </w:rPr>
        <w:t>?</w:t>
      </w:r>
      <w:r w:rsidRPr="009D048A">
        <w:rPr>
          <w:rFonts w:ascii="Times New Roman" w:hAnsi="Times New Roman" w:cs="Times New Roman"/>
          <w:sz w:val="21"/>
          <w:szCs w:val="21"/>
        </w:rPr>
        <w:t xml:space="preserve"> = partially or conditionally predicted; blank = not predicted.</w:t>
      </w:r>
    </w:p>
    <w:p w14:paraId="2F9F363C" w14:textId="77777777" w:rsidR="00506C35" w:rsidRPr="009D048A" w:rsidRDefault="00000000">
      <w:pPr>
        <w:pStyle w:val="Heading3"/>
        <w:rPr>
          <w:rFonts w:ascii="Times New Roman" w:hAnsi="Times New Roman" w:cs="Times New Roman"/>
          <w:sz w:val="22"/>
          <w:szCs w:val="22"/>
        </w:rPr>
      </w:pPr>
      <w:bookmarkStart w:id="95" w:name="strongest-discriminators"/>
      <w:bookmarkEnd w:id="94"/>
      <w:r w:rsidRPr="009D048A">
        <w:rPr>
          <w:rFonts w:ascii="Times New Roman" w:hAnsi="Times New Roman" w:cs="Times New Roman"/>
          <w:sz w:val="22"/>
          <w:szCs w:val="22"/>
        </w:rPr>
        <w:t>16.2 Strongest Discriminators</w:t>
      </w:r>
    </w:p>
    <w:p w14:paraId="09F0778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H7 (abandonment under stabilization)</w:t>
      </w:r>
      <w:r w:rsidRPr="009D048A">
        <w:rPr>
          <w:rFonts w:ascii="Times New Roman" w:hAnsi="Times New Roman" w:cs="Times New Roman"/>
          <w:sz w:val="21"/>
          <w:szCs w:val="21"/>
        </w:rPr>
        <w:t xml:space="preserve"> is the single strongest discriminator. It is predicted only by the aggregation economics model and is actively contradicted by most alternatives (which predict abandonment from deterioration, not stabilization). If you can demonstrate that Lamoka Lake’s terminal occupation coincided with decreased climate variability, this provides strong support for the economic model and falsifies the abundance, population pressure, and simple deterioration explanations.</w:t>
      </w:r>
    </w:p>
    <w:p w14:paraId="69259CA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H4 (environmental variability correlation)</w:t>
      </w:r>
      <w:r w:rsidRPr="009D048A">
        <w:rPr>
          <w:rFonts w:ascii="Times New Roman" w:hAnsi="Times New Roman" w:cs="Times New Roman"/>
          <w:sz w:val="21"/>
          <w:szCs w:val="21"/>
        </w:rPr>
        <w:t xml:space="preserve"> is the second strongest. Only the aggregation economics model predicts that site use intensity should track environmental </w:t>
      </w:r>
      <w:r w:rsidRPr="009D048A">
        <w:rPr>
          <w:rFonts w:ascii="Times New Roman" w:hAnsi="Times New Roman" w:cs="Times New Roman"/>
          <w:i/>
          <w:iCs/>
          <w:sz w:val="21"/>
          <w:szCs w:val="21"/>
        </w:rPr>
        <w:t>variability</w:t>
      </w:r>
      <w:r w:rsidRPr="009D048A">
        <w:rPr>
          <w:rFonts w:ascii="Times New Roman" w:hAnsi="Times New Roman" w:cs="Times New Roman"/>
          <w:sz w:val="21"/>
          <w:szCs w:val="21"/>
        </w:rPr>
        <w:t xml:space="preserve"> rather than mean conditions. The abundance model predicts tracking with mean conditions; the trade and ceremonial models predict no environmental relationship.</w:t>
      </w:r>
    </w:p>
    <w:p w14:paraId="62F7981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H3 (ecotone site selection)</w:t>
      </w:r>
      <w:r w:rsidRPr="009D048A">
        <w:rPr>
          <w:rFonts w:ascii="Times New Roman" w:hAnsi="Times New Roman" w:cs="Times New Roman"/>
          <w:sz w:val="21"/>
          <w:szCs w:val="21"/>
        </w:rPr>
        <w:t xml:space="preserve"> is the third strongest. Only the aggregation economics model generates a spatial prediction linking site selection to ecological diversity. This is also the cheapest to test (GIS analysis with existing site data).</w:t>
      </w:r>
    </w:p>
    <w:p w14:paraId="4F93B4DA" w14:textId="77777777" w:rsidR="00506C35" w:rsidRPr="009D048A" w:rsidRDefault="00000000">
      <w:pPr>
        <w:pStyle w:val="Heading3"/>
        <w:rPr>
          <w:rFonts w:ascii="Times New Roman" w:hAnsi="Times New Roman" w:cs="Times New Roman"/>
          <w:sz w:val="22"/>
          <w:szCs w:val="22"/>
        </w:rPr>
      </w:pPr>
      <w:bookmarkStart w:id="96" w:name="recommended-test-sequence"/>
      <w:bookmarkEnd w:id="95"/>
      <w:r w:rsidRPr="009D048A">
        <w:rPr>
          <w:rFonts w:ascii="Times New Roman" w:hAnsi="Times New Roman" w:cs="Times New Roman"/>
          <w:sz w:val="22"/>
          <w:szCs w:val="22"/>
        </w:rPr>
        <w:t>16.3 Recommended Test Sequence</w:t>
      </w:r>
    </w:p>
    <w:p w14:paraId="708DF5FF"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Start with the cheapest and most discriminating tests:</w:t>
      </w:r>
    </w:p>
    <w:p w14:paraId="11231992"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lastRenderedPageBreak/>
        <w:t>Round 1 (lowest cost, highest discrimination):</w:t>
      </w:r>
    </w:p>
    <w:p w14:paraId="0A98B91A" w14:textId="77777777" w:rsidR="00506C35" w:rsidRPr="009D048A" w:rsidRDefault="00000000">
      <w:pPr>
        <w:numPr>
          <w:ilvl w:val="0"/>
          <w:numId w:val="29"/>
        </w:numPr>
        <w:rPr>
          <w:rFonts w:ascii="Times New Roman" w:hAnsi="Times New Roman" w:cs="Times New Roman"/>
          <w:sz w:val="21"/>
          <w:szCs w:val="21"/>
        </w:rPr>
      </w:pPr>
      <w:r w:rsidRPr="009D048A">
        <w:rPr>
          <w:rFonts w:ascii="Times New Roman" w:hAnsi="Times New Roman" w:cs="Times New Roman"/>
          <w:b/>
          <w:bCs/>
          <w:sz w:val="21"/>
          <w:szCs w:val="21"/>
        </w:rPr>
        <w:t>H3: Ecotone site selection.</w:t>
      </w:r>
      <w:r w:rsidRPr="009D048A">
        <w:rPr>
          <w:rFonts w:ascii="Times New Roman" w:hAnsi="Times New Roman" w:cs="Times New Roman"/>
          <w:sz w:val="21"/>
          <w:szCs w:val="21"/>
        </w:rPr>
        <w:t xml:space="preserve"> GIS analysis of site locations vs. ecological diversity. Cost: labor + software (~$2,000-5,000). If ecotone diversity does NOT correlate with storage density, the model is in trouble.</w:t>
      </w:r>
    </w:p>
    <w:p w14:paraId="2001E3BA" w14:textId="77777777" w:rsidR="00506C35" w:rsidRPr="009D048A" w:rsidRDefault="00000000">
      <w:pPr>
        <w:numPr>
          <w:ilvl w:val="0"/>
          <w:numId w:val="29"/>
        </w:numPr>
        <w:rPr>
          <w:rFonts w:ascii="Times New Roman" w:hAnsi="Times New Roman" w:cs="Times New Roman"/>
          <w:sz w:val="21"/>
          <w:szCs w:val="21"/>
        </w:rPr>
      </w:pPr>
      <w:r w:rsidRPr="009D048A">
        <w:rPr>
          <w:rFonts w:ascii="Times New Roman" w:hAnsi="Times New Roman" w:cs="Times New Roman"/>
          <w:b/>
          <w:bCs/>
          <w:sz w:val="21"/>
          <w:szCs w:val="21"/>
        </w:rPr>
        <w:t>H5: Regional site hierarchy.</w:t>
      </w:r>
      <w:r w:rsidRPr="009D048A">
        <w:rPr>
          <w:rFonts w:ascii="Times New Roman" w:hAnsi="Times New Roman" w:cs="Times New Roman"/>
          <w:sz w:val="21"/>
          <w:szCs w:val="21"/>
        </w:rPr>
        <w:t xml:space="preserve"> Compile storage feature data from published site reports. Cost: labor (~$2,000-3,000). If the distribution is NOT skewed, the model’s prediction of site primacy is wrong.</w:t>
      </w:r>
    </w:p>
    <w:p w14:paraId="038A22C7" w14:textId="77777777" w:rsidR="00506C35" w:rsidRPr="009D048A" w:rsidRDefault="00000000">
      <w:pPr>
        <w:numPr>
          <w:ilvl w:val="0"/>
          <w:numId w:val="29"/>
        </w:numPr>
        <w:rPr>
          <w:rFonts w:ascii="Times New Roman" w:hAnsi="Times New Roman" w:cs="Times New Roman"/>
          <w:sz w:val="21"/>
          <w:szCs w:val="21"/>
        </w:rPr>
      </w:pPr>
      <w:r w:rsidRPr="009D048A">
        <w:rPr>
          <w:rFonts w:ascii="Times New Roman" w:hAnsi="Times New Roman" w:cs="Times New Roman"/>
          <w:b/>
          <w:bCs/>
          <w:sz w:val="21"/>
          <w:szCs w:val="21"/>
        </w:rPr>
        <w:t>H6: Exchange concentration.</w:t>
      </w:r>
      <w:r w:rsidRPr="009D048A">
        <w:rPr>
          <w:rFonts w:ascii="Times New Roman" w:hAnsi="Times New Roman" w:cs="Times New Roman"/>
          <w:sz w:val="21"/>
          <w:szCs w:val="21"/>
        </w:rPr>
        <w:t xml:space="preserve"> Compare non-local artifact frequencies across site types using existing collection data. Cost: labor + collections access (~$3,000-5,000). If exchange goods are NOT concentrated at Lamoka Lake, the aggregation interpretation is weakened.</w:t>
      </w:r>
    </w:p>
    <w:p w14:paraId="6564D55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Round 2 (moderate cost, moderate discrimination):</w:t>
      </w:r>
    </w:p>
    <w:p w14:paraId="6859CC36" w14:textId="77777777" w:rsidR="00506C35" w:rsidRPr="009D048A" w:rsidRDefault="00000000">
      <w:pPr>
        <w:numPr>
          <w:ilvl w:val="0"/>
          <w:numId w:val="30"/>
        </w:numPr>
        <w:rPr>
          <w:rFonts w:ascii="Times New Roman" w:hAnsi="Times New Roman" w:cs="Times New Roman"/>
          <w:sz w:val="21"/>
          <w:szCs w:val="21"/>
        </w:rPr>
      </w:pPr>
      <w:r w:rsidRPr="009D048A">
        <w:rPr>
          <w:rFonts w:ascii="Times New Roman" w:hAnsi="Times New Roman" w:cs="Times New Roman"/>
          <w:b/>
          <w:bCs/>
          <w:sz w:val="21"/>
          <w:szCs w:val="21"/>
        </w:rPr>
        <w:t>H1: Fall seasonality.</w:t>
      </w:r>
      <w:r w:rsidRPr="009D048A">
        <w:rPr>
          <w:rFonts w:ascii="Times New Roman" w:hAnsi="Times New Roman" w:cs="Times New Roman"/>
          <w:sz w:val="21"/>
          <w:szCs w:val="21"/>
        </w:rPr>
        <w:t xml:space="preserve"> Faunal seasonality analysis from curated collections. Cost: ~$5,000-10,000. If the site was NOT primarily a fall occupation, the timing predictions fail.</w:t>
      </w:r>
    </w:p>
    <w:p w14:paraId="57FC30BF" w14:textId="77777777" w:rsidR="00506C35" w:rsidRPr="009D048A" w:rsidRDefault="00000000">
      <w:pPr>
        <w:numPr>
          <w:ilvl w:val="0"/>
          <w:numId w:val="30"/>
        </w:numPr>
        <w:rPr>
          <w:rFonts w:ascii="Times New Roman" w:hAnsi="Times New Roman" w:cs="Times New Roman"/>
          <w:sz w:val="21"/>
          <w:szCs w:val="21"/>
        </w:rPr>
      </w:pPr>
      <w:r w:rsidRPr="009D048A">
        <w:rPr>
          <w:rFonts w:ascii="Times New Roman" w:hAnsi="Times New Roman" w:cs="Times New Roman"/>
          <w:b/>
          <w:bCs/>
          <w:sz w:val="21"/>
          <w:szCs w:val="21"/>
        </w:rPr>
        <w:t>H2: Storage scaling.</w:t>
      </w:r>
      <w:r w:rsidRPr="009D048A">
        <w:rPr>
          <w:rFonts w:ascii="Times New Roman" w:hAnsi="Times New Roman" w:cs="Times New Roman"/>
          <w:sz w:val="21"/>
          <w:szCs w:val="21"/>
        </w:rPr>
        <w:t xml:space="preserve"> AMS dating of storage pit construction sequence. Cost: ~$6,000-15,000. If pit construction does NOT cluster in the core occupation period, the scaling prediction fails.</w:t>
      </w:r>
    </w:p>
    <w:p w14:paraId="00E6F64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Round 3 (highest cost, strongest discrimination):</w:t>
      </w:r>
    </w:p>
    <w:p w14:paraId="3782513E" w14:textId="77777777" w:rsidR="00506C35" w:rsidRPr="009D048A" w:rsidRDefault="00000000">
      <w:pPr>
        <w:numPr>
          <w:ilvl w:val="0"/>
          <w:numId w:val="31"/>
        </w:numPr>
        <w:rPr>
          <w:rFonts w:ascii="Times New Roman" w:hAnsi="Times New Roman" w:cs="Times New Roman"/>
          <w:sz w:val="21"/>
          <w:szCs w:val="21"/>
        </w:rPr>
      </w:pPr>
      <w:r w:rsidRPr="009D048A">
        <w:rPr>
          <w:rFonts w:ascii="Times New Roman" w:hAnsi="Times New Roman" w:cs="Times New Roman"/>
          <w:b/>
          <w:bCs/>
          <w:sz w:val="21"/>
          <w:szCs w:val="21"/>
        </w:rPr>
        <w:t>H4: Environmental variability.</w:t>
      </w:r>
      <w:r w:rsidRPr="009D048A">
        <w:rPr>
          <w:rFonts w:ascii="Times New Roman" w:hAnsi="Times New Roman" w:cs="Times New Roman"/>
          <w:sz w:val="21"/>
          <w:szCs w:val="21"/>
        </w:rPr>
        <w:t xml:space="preserve"> Paleoclimate proxy analysis. Cost: ~$15,000-25,000 for new cores; less if existing data can be compiled. If aggregation intensity does NOT correlate with climate variability, the threshold mechanism is not supported.</w:t>
      </w:r>
    </w:p>
    <w:p w14:paraId="1D737664" w14:textId="77777777" w:rsidR="00506C35" w:rsidRPr="009D048A" w:rsidRDefault="00000000">
      <w:pPr>
        <w:numPr>
          <w:ilvl w:val="0"/>
          <w:numId w:val="31"/>
        </w:numPr>
        <w:rPr>
          <w:rFonts w:ascii="Times New Roman" w:hAnsi="Times New Roman" w:cs="Times New Roman"/>
          <w:sz w:val="21"/>
          <w:szCs w:val="21"/>
        </w:rPr>
      </w:pPr>
      <w:r w:rsidRPr="009D048A">
        <w:rPr>
          <w:rFonts w:ascii="Times New Roman" w:hAnsi="Times New Roman" w:cs="Times New Roman"/>
          <w:b/>
          <w:bCs/>
          <w:sz w:val="21"/>
          <w:szCs w:val="21"/>
        </w:rPr>
        <w:t>H7: Abandonment conditions.</w:t>
      </w:r>
      <w:r w:rsidRPr="009D048A">
        <w:rPr>
          <w:rFonts w:ascii="Times New Roman" w:hAnsi="Times New Roman" w:cs="Times New Roman"/>
          <w:sz w:val="21"/>
          <w:szCs w:val="21"/>
        </w:rPr>
        <w:t xml:space="preserve"> Requires both precise terminal chronology and high-resolution paleoclimate record. Cost: combined with H4 work. If abandonment correlates with </w:t>
      </w:r>
      <w:r w:rsidRPr="009D048A">
        <w:rPr>
          <w:rFonts w:ascii="Times New Roman" w:hAnsi="Times New Roman" w:cs="Times New Roman"/>
          <w:i/>
          <w:iCs/>
          <w:sz w:val="21"/>
          <w:szCs w:val="21"/>
        </w:rPr>
        <w:t>increased</w:t>
      </w:r>
      <w:r w:rsidRPr="009D048A">
        <w:rPr>
          <w:rFonts w:ascii="Times New Roman" w:hAnsi="Times New Roman" w:cs="Times New Roman"/>
          <w:sz w:val="21"/>
          <w:szCs w:val="21"/>
        </w:rPr>
        <w:t xml:space="preserve"> variability rather than stabilization, the model is falsified.</w:t>
      </w:r>
    </w:p>
    <w:p w14:paraId="7191A87A" w14:textId="77777777" w:rsidR="00506C35" w:rsidRPr="009D048A" w:rsidRDefault="00000000">
      <w:pPr>
        <w:pStyle w:val="Heading3"/>
        <w:rPr>
          <w:rFonts w:ascii="Times New Roman" w:hAnsi="Times New Roman" w:cs="Times New Roman"/>
          <w:sz w:val="22"/>
          <w:szCs w:val="22"/>
        </w:rPr>
      </w:pPr>
      <w:bookmarkStart w:id="97" w:name="decision-tree-for-interpreting-results"/>
      <w:bookmarkEnd w:id="96"/>
      <w:r w:rsidRPr="009D048A">
        <w:rPr>
          <w:rFonts w:ascii="Times New Roman" w:hAnsi="Times New Roman" w:cs="Times New Roman"/>
          <w:sz w:val="22"/>
          <w:szCs w:val="22"/>
        </w:rPr>
        <w:t>16.4 Decision Tree for Interpreting Results</w:t>
      </w:r>
    </w:p>
    <w:p w14:paraId="7BF93B77" w14:textId="77777777" w:rsidR="00506C35" w:rsidRPr="009D048A" w:rsidRDefault="00000000">
      <w:pPr>
        <w:pStyle w:val="SourceCode"/>
        <w:rPr>
          <w:rFonts w:ascii="Times New Roman" w:hAnsi="Times New Roman" w:cs="Times New Roman"/>
          <w:sz w:val="21"/>
          <w:szCs w:val="21"/>
        </w:rPr>
      </w:pPr>
      <w:r w:rsidRPr="009D048A">
        <w:rPr>
          <w:rStyle w:val="VerbatimChar"/>
          <w:rFonts w:ascii="Times New Roman" w:hAnsi="Times New Roman" w:cs="Times New Roman"/>
          <w:sz w:val="20"/>
          <w:szCs w:val="21"/>
        </w:rPr>
        <w:t xml:space="preserve">                    Does H3 hold?</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(ecotone correlation)</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Yes               No</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Does H4 hold?     Model likely wrong.</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(variability correlation)  Consider abundance</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          or trade models.</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Yes        No</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Does H7 hold?   Partial support only.</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(abandon under     Threshold mechanism</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stabilization)    questionable.</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       Consider modified</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Yes     No     model or alternatives.</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       |</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STRONG      MODERATE</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SUPPORT     SUPPORT</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for model   (H7 is hardest</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to test; partial</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support still</w:t>
      </w:r>
      <w:r w:rsidRPr="009D048A">
        <w:rPr>
          <w:rFonts w:ascii="Times New Roman" w:hAnsi="Times New Roman" w:cs="Times New Roman"/>
          <w:sz w:val="21"/>
          <w:szCs w:val="21"/>
        </w:rPr>
        <w:br/>
      </w:r>
      <w:r w:rsidRPr="009D048A">
        <w:rPr>
          <w:rStyle w:val="VerbatimChar"/>
          <w:rFonts w:ascii="Times New Roman" w:hAnsi="Times New Roman" w:cs="Times New Roman"/>
          <w:sz w:val="20"/>
          <w:szCs w:val="21"/>
        </w:rPr>
        <w:t xml:space="preserve">                  meaningful)</w:t>
      </w:r>
    </w:p>
    <w:p w14:paraId="236B3AB2"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412C4DE4">
          <v:rect id="_x0000_i1030" alt="" style="width:468pt;height:.05pt;mso-width-percent:0;mso-height-percent:0;mso-width-percent:0;mso-height-percent:0" o:hralign="center" o:hrstd="t" o:hr="t"/>
        </w:pict>
      </w:r>
    </w:p>
    <w:p w14:paraId="63B778E2" w14:textId="77777777" w:rsidR="00506C35" w:rsidRPr="009D048A" w:rsidRDefault="00000000">
      <w:pPr>
        <w:pStyle w:val="Heading2"/>
        <w:rPr>
          <w:rFonts w:ascii="Times New Roman" w:hAnsi="Times New Roman" w:cs="Times New Roman"/>
          <w:sz w:val="24"/>
          <w:szCs w:val="24"/>
        </w:rPr>
      </w:pPr>
      <w:bookmarkStart w:id="98" w:name="practical-dissertation-roadmap"/>
      <w:bookmarkEnd w:id="93"/>
      <w:bookmarkEnd w:id="97"/>
      <w:r w:rsidRPr="009D048A">
        <w:rPr>
          <w:rFonts w:ascii="Times New Roman" w:hAnsi="Times New Roman" w:cs="Times New Roman"/>
          <w:sz w:val="24"/>
          <w:szCs w:val="24"/>
        </w:rPr>
        <w:lastRenderedPageBreak/>
        <w:t>17. Practical Dissertation Roadmap</w:t>
      </w:r>
    </w:p>
    <w:p w14:paraId="10A5551D" w14:textId="77777777" w:rsidR="00506C35" w:rsidRPr="009D048A" w:rsidRDefault="00000000">
      <w:pPr>
        <w:pStyle w:val="Heading3"/>
        <w:rPr>
          <w:rFonts w:ascii="Times New Roman" w:hAnsi="Times New Roman" w:cs="Times New Roman"/>
          <w:sz w:val="22"/>
          <w:szCs w:val="22"/>
        </w:rPr>
      </w:pPr>
      <w:bookmarkStart w:id="99" w:name="X02c6c2e17d460099e4c172218156b9bafdd759e"/>
      <w:r w:rsidRPr="009D048A">
        <w:rPr>
          <w:rFonts w:ascii="Times New Roman" w:hAnsi="Times New Roman" w:cs="Times New Roman"/>
          <w:sz w:val="22"/>
          <w:szCs w:val="22"/>
        </w:rPr>
        <w:t>17.1 Year 1: Compile Existing Data, Run Preliminary Tests</w:t>
      </w:r>
    </w:p>
    <w:p w14:paraId="31BEF94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Semester 1 (Fall)</w:t>
      </w:r>
      <w:r w:rsidRPr="009D048A">
        <w:rPr>
          <w:rFonts w:ascii="Times New Roman" w:hAnsi="Times New Roman" w:cs="Times New Roman"/>
          <w:sz w:val="21"/>
          <w:szCs w:val="21"/>
        </w:rPr>
        <w:t xml:space="preserve"> - Literature review: Lamoka Lake, Finger Lakes Late Archaic, aggregation theory - Compile existing site database from NYS OPRHP CRIS and published reports - Begin GIS analysis for H3 (ecotone site selection) - Access curated collections at RMSC and NYSM - Identify available paleoclimate data for the Finger Lakes region</w:t>
      </w:r>
    </w:p>
    <w:p w14:paraId="066EC88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Semester 2 (Spring)</w:t>
      </w:r>
      <w:r w:rsidRPr="009D048A">
        <w:rPr>
          <w:rFonts w:ascii="Times New Roman" w:hAnsi="Times New Roman" w:cs="Times New Roman"/>
          <w:sz w:val="21"/>
          <w:szCs w:val="21"/>
        </w:rPr>
        <w:t xml:space="preserve"> - Complete H3 test (GIS ecotone analysis) - Complete H5 test (regional site hierarchy from existing data) - Begin H6 test (exchange goods comparison from existing collection data) - Draft literature review and methods chapters - Prepare grant applications for Year 2 fieldwork and analysis</w:t>
      </w:r>
    </w:p>
    <w:p w14:paraId="6310B14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Key deliverable:</w:t>
      </w:r>
      <w:r w:rsidRPr="009D048A">
        <w:rPr>
          <w:rFonts w:ascii="Times New Roman" w:hAnsi="Times New Roman" w:cs="Times New Roman"/>
          <w:sz w:val="21"/>
          <w:szCs w:val="21"/>
        </w:rPr>
        <w:t xml:space="preserve"> Preliminary results from H3, H5, H6 (the cheapest tests). These results determine whether the model survives initial screening. If H3 fails decisively (no ecotone correlation), you may need to revise the model or pivot to an alternative framework.</w:t>
      </w:r>
    </w:p>
    <w:p w14:paraId="126E95EA" w14:textId="77777777" w:rsidR="00506C35" w:rsidRPr="009D048A" w:rsidRDefault="00000000">
      <w:pPr>
        <w:pStyle w:val="Heading3"/>
        <w:rPr>
          <w:rFonts w:ascii="Times New Roman" w:hAnsi="Times New Roman" w:cs="Times New Roman"/>
          <w:sz w:val="22"/>
          <w:szCs w:val="22"/>
        </w:rPr>
      </w:pPr>
      <w:bookmarkStart w:id="100" w:name="year-2-generate-new-data"/>
      <w:bookmarkEnd w:id="99"/>
      <w:r w:rsidRPr="009D048A">
        <w:rPr>
          <w:rFonts w:ascii="Times New Roman" w:hAnsi="Times New Roman" w:cs="Times New Roman"/>
          <w:sz w:val="22"/>
          <w:szCs w:val="22"/>
        </w:rPr>
        <w:t>17.2 Year 2: Generate New Data</w:t>
      </w:r>
    </w:p>
    <w:p w14:paraId="3779FBA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Semester 3 (Fall)</w:t>
      </w:r>
      <w:r w:rsidRPr="009D048A">
        <w:rPr>
          <w:rFonts w:ascii="Times New Roman" w:hAnsi="Times New Roman" w:cs="Times New Roman"/>
          <w:sz w:val="21"/>
          <w:szCs w:val="21"/>
        </w:rPr>
        <w:t xml:space="preserve"> - Submit samples for AMS dating (H2: storage scaling chronology) - Begin faunal reanalysis from curated collections (H1: seasonality) - If feasible: arrange paleoclimate core extraction from Lamoka Lake or adjacent water body (H4, H7) - Begin lithic sourcing analysis (H6: exchange goods)</w:t>
      </w:r>
    </w:p>
    <w:p w14:paraId="5DB8717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Semester 4 (Spring)</w:t>
      </w:r>
      <w:r w:rsidRPr="009D048A">
        <w:rPr>
          <w:rFonts w:ascii="Times New Roman" w:hAnsi="Times New Roman" w:cs="Times New Roman"/>
          <w:sz w:val="21"/>
          <w:szCs w:val="21"/>
        </w:rPr>
        <w:t xml:space="preserve"> - Receive and analyze AMS dates (H2) - Complete faunal seasonality analysis (H1) - Process and analyze paleoclimate core (H4, H7) or compile existing proxy data - Complete lithic sourcing analysis (H6) - Begin data integration and model parameter refinement</w:t>
      </w:r>
    </w:p>
    <w:p w14:paraId="07E4B6E0"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Key deliverable:</w:t>
      </w:r>
      <w:r w:rsidRPr="009D048A">
        <w:rPr>
          <w:rFonts w:ascii="Times New Roman" w:hAnsi="Times New Roman" w:cs="Times New Roman"/>
          <w:sz w:val="21"/>
          <w:szCs w:val="21"/>
        </w:rPr>
        <w:t xml:space="preserve"> New data for H1, H2, and H6. Paleoclimate data for H4 and H7 (may extend into Year 3 depending on core processing time).</w:t>
      </w:r>
    </w:p>
    <w:p w14:paraId="6C48530A" w14:textId="77777777" w:rsidR="00506C35" w:rsidRPr="009D048A" w:rsidRDefault="00000000">
      <w:pPr>
        <w:pStyle w:val="Heading3"/>
        <w:rPr>
          <w:rFonts w:ascii="Times New Roman" w:hAnsi="Times New Roman" w:cs="Times New Roman"/>
          <w:sz w:val="22"/>
          <w:szCs w:val="22"/>
        </w:rPr>
      </w:pPr>
      <w:bookmarkStart w:id="101" w:name="X868933571357006335ef8c8bc25596b96468dd0"/>
      <w:bookmarkEnd w:id="100"/>
      <w:r w:rsidRPr="009D048A">
        <w:rPr>
          <w:rFonts w:ascii="Times New Roman" w:hAnsi="Times New Roman" w:cs="Times New Roman"/>
          <w:sz w:val="22"/>
          <w:szCs w:val="22"/>
        </w:rPr>
        <w:t>17.3 Year 3: Test Remaining Hypotheses, Write Up</w:t>
      </w:r>
    </w:p>
    <w:p w14:paraId="2DA6922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Semester 5 (Fall)</w:t>
      </w:r>
      <w:r w:rsidRPr="009D048A">
        <w:rPr>
          <w:rFonts w:ascii="Times New Roman" w:hAnsi="Times New Roman" w:cs="Times New Roman"/>
          <w:sz w:val="21"/>
          <w:szCs w:val="21"/>
        </w:rPr>
        <w:t xml:space="preserve"> - Complete H4 test (environmental variability correlation) - Complete H7 test (abandonment conditions) if paleoclimate data are available - Run updated simulations with refined parameter estimates - Begin writing results and discussion chapters</w:t>
      </w:r>
    </w:p>
    <w:p w14:paraId="6A41D52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Semester 6 (Spring)</w:t>
      </w:r>
      <w:r w:rsidRPr="009D048A">
        <w:rPr>
          <w:rFonts w:ascii="Times New Roman" w:hAnsi="Times New Roman" w:cs="Times New Roman"/>
          <w:sz w:val="21"/>
          <w:szCs w:val="21"/>
        </w:rPr>
        <w:t xml:space="preserve"> - Complete dissertation writing - Address alternative hypotheses (Section 15) in discussion - Present results at SAA or ESAF conference - Defend</w:t>
      </w:r>
    </w:p>
    <w:p w14:paraId="7A9C3EF1" w14:textId="77777777" w:rsidR="00506C35" w:rsidRPr="009D048A" w:rsidRDefault="00000000">
      <w:pPr>
        <w:pStyle w:val="Heading3"/>
        <w:rPr>
          <w:rFonts w:ascii="Times New Roman" w:hAnsi="Times New Roman" w:cs="Times New Roman"/>
          <w:sz w:val="22"/>
          <w:szCs w:val="22"/>
        </w:rPr>
      </w:pPr>
      <w:bookmarkStart w:id="102" w:name="collaborations-needed"/>
      <w:bookmarkEnd w:id="101"/>
      <w:r w:rsidRPr="009D048A">
        <w:rPr>
          <w:rFonts w:ascii="Times New Roman" w:hAnsi="Times New Roman" w:cs="Times New Roman"/>
          <w:sz w:val="22"/>
          <w:szCs w:val="22"/>
        </w:rPr>
        <w:t>17.4 Collaborations Needed</w:t>
      </w:r>
    </w:p>
    <w:tbl>
      <w:tblPr>
        <w:tblStyle w:val="Table"/>
        <w:tblW w:w="5000" w:type="pct"/>
        <w:tblLayout w:type="fixed"/>
        <w:tblLook w:val="0020" w:firstRow="1" w:lastRow="0" w:firstColumn="0" w:lastColumn="0" w:noHBand="0" w:noVBand="0"/>
      </w:tblPr>
      <w:tblGrid>
        <w:gridCol w:w="2569"/>
        <w:gridCol w:w="2569"/>
        <w:gridCol w:w="4438"/>
      </w:tblGrid>
      <w:tr w:rsidR="00506C35" w:rsidRPr="009D048A" w14:paraId="4222B550"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2124" w:type="dxa"/>
          </w:tcPr>
          <w:p w14:paraId="57279FB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Expertise</w:t>
            </w:r>
          </w:p>
        </w:tc>
        <w:tc>
          <w:tcPr>
            <w:tcW w:w="2124" w:type="dxa"/>
          </w:tcPr>
          <w:p w14:paraId="2626BBD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Why needed</w:t>
            </w:r>
          </w:p>
        </w:tc>
        <w:tc>
          <w:tcPr>
            <w:tcW w:w="3670" w:type="dxa"/>
          </w:tcPr>
          <w:p w14:paraId="3701262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Potential contacts</w:t>
            </w:r>
          </w:p>
        </w:tc>
      </w:tr>
      <w:tr w:rsidR="00506C35" w:rsidRPr="009D048A" w14:paraId="2AFF718C" w14:textId="77777777">
        <w:tc>
          <w:tcPr>
            <w:tcW w:w="2124" w:type="dxa"/>
          </w:tcPr>
          <w:p w14:paraId="4892888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Paleoecologist</w:t>
            </w:r>
          </w:p>
        </w:tc>
        <w:tc>
          <w:tcPr>
            <w:tcW w:w="2124" w:type="dxa"/>
          </w:tcPr>
          <w:p w14:paraId="388D051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Pollen/sediment core analysis</w:t>
            </w:r>
          </w:p>
        </w:tc>
        <w:tc>
          <w:tcPr>
            <w:tcW w:w="3670" w:type="dxa"/>
          </w:tcPr>
          <w:p w14:paraId="150990A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Cornell, Syracuse, or Binghamton Earth Sciences</w:t>
            </w:r>
          </w:p>
        </w:tc>
      </w:tr>
      <w:tr w:rsidR="00506C35" w:rsidRPr="009D048A" w14:paraId="61C9731E" w14:textId="77777777">
        <w:tc>
          <w:tcPr>
            <w:tcW w:w="2124" w:type="dxa"/>
          </w:tcPr>
          <w:p w14:paraId="24B3CCA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Zooarchaeologist</w:t>
            </w:r>
          </w:p>
        </w:tc>
        <w:tc>
          <w:tcPr>
            <w:tcW w:w="2124" w:type="dxa"/>
          </w:tcPr>
          <w:p w14:paraId="20BEA60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Faunal seasonality analysis</w:t>
            </w:r>
          </w:p>
        </w:tc>
        <w:tc>
          <w:tcPr>
            <w:tcW w:w="3670" w:type="dxa"/>
          </w:tcPr>
          <w:p w14:paraId="4CF4AE2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Specialist in eastern North America fauna</w:t>
            </w:r>
          </w:p>
        </w:tc>
      </w:tr>
      <w:tr w:rsidR="00506C35" w:rsidRPr="009D048A" w14:paraId="7FA31EB2" w14:textId="77777777">
        <w:tc>
          <w:tcPr>
            <w:tcW w:w="2124" w:type="dxa"/>
          </w:tcPr>
          <w:p w14:paraId="0852302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Paleoethnobotanist</w:t>
            </w:r>
          </w:p>
        </w:tc>
        <w:tc>
          <w:tcPr>
            <w:tcW w:w="2124" w:type="dxa"/>
          </w:tcPr>
          <w:p w14:paraId="540DEB0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Storage pit contents analysis</w:t>
            </w:r>
          </w:p>
        </w:tc>
        <w:tc>
          <w:tcPr>
            <w:tcW w:w="3670" w:type="dxa"/>
          </w:tcPr>
          <w:p w14:paraId="34FD975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Northeast specialist</w:t>
            </w:r>
          </w:p>
        </w:tc>
      </w:tr>
      <w:tr w:rsidR="00506C35" w:rsidRPr="009D048A" w14:paraId="3A610912" w14:textId="77777777">
        <w:tc>
          <w:tcPr>
            <w:tcW w:w="2124" w:type="dxa"/>
          </w:tcPr>
          <w:p w14:paraId="2FDD80C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GIS specialist</w:t>
            </w:r>
          </w:p>
        </w:tc>
        <w:tc>
          <w:tcPr>
            <w:tcW w:w="2124" w:type="dxa"/>
          </w:tcPr>
          <w:p w14:paraId="5FA35F7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Ecological zone mapping</w:t>
            </w:r>
          </w:p>
        </w:tc>
        <w:tc>
          <w:tcPr>
            <w:tcW w:w="3670" w:type="dxa"/>
          </w:tcPr>
          <w:p w14:paraId="1993138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Geography department</w:t>
            </w:r>
          </w:p>
        </w:tc>
      </w:tr>
      <w:tr w:rsidR="00506C35" w:rsidRPr="009D048A" w14:paraId="7AADF125" w14:textId="77777777">
        <w:tc>
          <w:tcPr>
            <w:tcW w:w="2124" w:type="dxa"/>
          </w:tcPr>
          <w:p w14:paraId="37A5C80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Archaeometry</w:t>
            </w:r>
          </w:p>
        </w:tc>
        <w:tc>
          <w:tcPr>
            <w:tcW w:w="2124" w:type="dxa"/>
          </w:tcPr>
          <w:p w14:paraId="6DF6F81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Lithic sourcing (XRF/LA-ICP-MS)</w:t>
            </w:r>
          </w:p>
        </w:tc>
        <w:tc>
          <w:tcPr>
            <w:tcW w:w="3670" w:type="dxa"/>
          </w:tcPr>
          <w:p w14:paraId="3697DAB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University archaeometry lab</w:t>
            </w:r>
          </w:p>
        </w:tc>
      </w:tr>
      <w:tr w:rsidR="00506C35" w:rsidRPr="009D048A" w14:paraId="2902B9D9" w14:textId="77777777">
        <w:tc>
          <w:tcPr>
            <w:tcW w:w="2124" w:type="dxa"/>
          </w:tcPr>
          <w:p w14:paraId="7E091CC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Statistician</w:t>
            </w:r>
          </w:p>
        </w:tc>
        <w:tc>
          <w:tcPr>
            <w:tcW w:w="2124" w:type="dxa"/>
          </w:tcPr>
          <w:p w14:paraId="3EA15C8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Bayesian radiocarbon modeling</w:t>
            </w:r>
          </w:p>
        </w:tc>
        <w:tc>
          <w:tcPr>
            <w:tcW w:w="3670" w:type="dxa"/>
          </w:tcPr>
          <w:p w14:paraId="4F66777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Specialist in OxCal or similar</w:t>
            </w:r>
          </w:p>
        </w:tc>
      </w:tr>
    </w:tbl>
    <w:p w14:paraId="68A07F97" w14:textId="77777777" w:rsidR="00506C35" w:rsidRPr="009D048A" w:rsidRDefault="00000000">
      <w:pPr>
        <w:pStyle w:val="Heading3"/>
        <w:rPr>
          <w:rFonts w:ascii="Times New Roman" w:hAnsi="Times New Roman" w:cs="Times New Roman"/>
          <w:sz w:val="22"/>
          <w:szCs w:val="22"/>
        </w:rPr>
      </w:pPr>
      <w:bookmarkStart w:id="103" w:name="budget-considerations"/>
      <w:bookmarkEnd w:id="102"/>
      <w:r w:rsidRPr="009D048A">
        <w:rPr>
          <w:rFonts w:ascii="Times New Roman" w:hAnsi="Times New Roman" w:cs="Times New Roman"/>
          <w:sz w:val="22"/>
          <w:szCs w:val="22"/>
        </w:rPr>
        <w:lastRenderedPageBreak/>
        <w:t>17.5 Budget Considerations</w:t>
      </w:r>
    </w:p>
    <w:p w14:paraId="704BA1D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17.1. Estimated costs by data class.</w:t>
      </w:r>
    </w:p>
    <w:tbl>
      <w:tblPr>
        <w:tblStyle w:val="Table"/>
        <w:tblW w:w="0" w:type="auto"/>
        <w:tblLook w:val="0020" w:firstRow="1" w:lastRow="0" w:firstColumn="0" w:lastColumn="0" w:noHBand="0" w:noVBand="0"/>
      </w:tblPr>
      <w:tblGrid>
        <w:gridCol w:w="2648"/>
        <w:gridCol w:w="1546"/>
        <w:gridCol w:w="2351"/>
      </w:tblGrid>
      <w:tr w:rsidR="00506C35" w:rsidRPr="009D048A" w14:paraId="54975A34"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0" w:type="auto"/>
          </w:tcPr>
          <w:p w14:paraId="208BA03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Item</w:t>
            </w:r>
          </w:p>
        </w:tc>
        <w:tc>
          <w:tcPr>
            <w:tcW w:w="0" w:type="auto"/>
          </w:tcPr>
          <w:p w14:paraId="278E87B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Estimated cost</w:t>
            </w:r>
          </w:p>
        </w:tc>
        <w:tc>
          <w:tcPr>
            <w:tcW w:w="0" w:type="auto"/>
          </w:tcPr>
          <w:p w14:paraId="21F87B1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Priority</w:t>
            </w:r>
          </w:p>
        </w:tc>
      </w:tr>
      <w:tr w:rsidR="00506C35" w:rsidRPr="009D048A" w14:paraId="72934067" w14:textId="77777777">
        <w:tc>
          <w:tcPr>
            <w:tcW w:w="0" w:type="auto"/>
          </w:tcPr>
          <w:p w14:paraId="4D6C5AD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GIS analysis (H3, H5)</w:t>
            </w:r>
          </w:p>
        </w:tc>
        <w:tc>
          <w:tcPr>
            <w:tcW w:w="0" w:type="auto"/>
          </w:tcPr>
          <w:p w14:paraId="50E62E7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$2,000-5,000</w:t>
            </w:r>
          </w:p>
        </w:tc>
        <w:tc>
          <w:tcPr>
            <w:tcW w:w="0" w:type="auto"/>
          </w:tcPr>
          <w:p w14:paraId="299274B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1, high priority</w:t>
            </w:r>
          </w:p>
        </w:tc>
      </w:tr>
      <w:tr w:rsidR="00506C35" w:rsidRPr="009D048A" w14:paraId="13752685" w14:textId="77777777">
        <w:tc>
          <w:tcPr>
            <w:tcW w:w="0" w:type="auto"/>
          </w:tcPr>
          <w:p w14:paraId="161A9FA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Collections access and travel</w:t>
            </w:r>
          </w:p>
        </w:tc>
        <w:tc>
          <w:tcPr>
            <w:tcW w:w="0" w:type="auto"/>
          </w:tcPr>
          <w:p w14:paraId="166BF3F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$3,000-5,000</w:t>
            </w:r>
          </w:p>
        </w:tc>
        <w:tc>
          <w:tcPr>
            <w:tcW w:w="0" w:type="auto"/>
          </w:tcPr>
          <w:p w14:paraId="467BB90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Years 1-2</w:t>
            </w:r>
          </w:p>
        </w:tc>
      </w:tr>
      <w:tr w:rsidR="00506C35" w:rsidRPr="009D048A" w14:paraId="38C7C5D4" w14:textId="77777777">
        <w:tc>
          <w:tcPr>
            <w:tcW w:w="0" w:type="auto"/>
          </w:tcPr>
          <w:p w14:paraId="105376E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AMS dating (20-30 dates)</w:t>
            </w:r>
          </w:p>
        </w:tc>
        <w:tc>
          <w:tcPr>
            <w:tcW w:w="0" w:type="auto"/>
          </w:tcPr>
          <w:p w14:paraId="6D05A42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$6,000-15,000</w:t>
            </w:r>
          </w:p>
        </w:tc>
        <w:tc>
          <w:tcPr>
            <w:tcW w:w="0" w:type="auto"/>
          </w:tcPr>
          <w:p w14:paraId="0C767DE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2, high priority</w:t>
            </w:r>
          </w:p>
        </w:tc>
      </w:tr>
      <w:tr w:rsidR="00506C35" w:rsidRPr="009D048A" w14:paraId="339929C1" w14:textId="77777777">
        <w:tc>
          <w:tcPr>
            <w:tcW w:w="0" w:type="auto"/>
          </w:tcPr>
          <w:p w14:paraId="62FD2C7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Faunal reanalysis (H1)</w:t>
            </w:r>
          </w:p>
        </w:tc>
        <w:tc>
          <w:tcPr>
            <w:tcW w:w="0" w:type="auto"/>
          </w:tcPr>
          <w:p w14:paraId="25A05C0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$5,000-10,000</w:t>
            </w:r>
          </w:p>
        </w:tc>
        <w:tc>
          <w:tcPr>
            <w:tcW w:w="0" w:type="auto"/>
          </w:tcPr>
          <w:p w14:paraId="13F831B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2, moderate priority</w:t>
            </w:r>
          </w:p>
        </w:tc>
      </w:tr>
      <w:tr w:rsidR="00506C35" w:rsidRPr="009D048A" w14:paraId="693849D4" w14:textId="77777777">
        <w:tc>
          <w:tcPr>
            <w:tcW w:w="0" w:type="auto"/>
          </w:tcPr>
          <w:p w14:paraId="15E3A1E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Paleoclimate core (H4, H7)</w:t>
            </w:r>
          </w:p>
        </w:tc>
        <w:tc>
          <w:tcPr>
            <w:tcW w:w="0" w:type="auto"/>
          </w:tcPr>
          <w:p w14:paraId="58C653F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$15,000-25,000</w:t>
            </w:r>
          </w:p>
        </w:tc>
        <w:tc>
          <w:tcPr>
            <w:tcW w:w="0" w:type="auto"/>
          </w:tcPr>
          <w:p w14:paraId="4B8FDDA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2, high priority</w:t>
            </w:r>
          </w:p>
        </w:tc>
      </w:tr>
      <w:tr w:rsidR="00506C35" w:rsidRPr="009D048A" w14:paraId="7AF5C3B9" w14:textId="77777777">
        <w:tc>
          <w:tcPr>
            <w:tcW w:w="0" w:type="auto"/>
          </w:tcPr>
          <w:p w14:paraId="2F75404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Lithic sourcing (H6)</w:t>
            </w:r>
          </w:p>
        </w:tc>
        <w:tc>
          <w:tcPr>
            <w:tcW w:w="0" w:type="auto"/>
          </w:tcPr>
          <w:p w14:paraId="402EC93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$5,000-10,000</w:t>
            </w:r>
          </w:p>
        </w:tc>
        <w:tc>
          <w:tcPr>
            <w:tcW w:w="0" w:type="auto"/>
          </w:tcPr>
          <w:p w14:paraId="5DEA276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2, moderate priority</w:t>
            </w:r>
          </w:p>
        </w:tc>
      </w:tr>
      <w:tr w:rsidR="00506C35" w:rsidRPr="009D048A" w14:paraId="0551B53B" w14:textId="77777777">
        <w:tc>
          <w:tcPr>
            <w:tcW w:w="0" w:type="auto"/>
          </w:tcPr>
          <w:p w14:paraId="41628A5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Botanical analysis</w:t>
            </w:r>
          </w:p>
        </w:tc>
        <w:tc>
          <w:tcPr>
            <w:tcW w:w="0" w:type="auto"/>
          </w:tcPr>
          <w:p w14:paraId="7C62084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$3,000-5,000</w:t>
            </w:r>
          </w:p>
        </w:tc>
        <w:tc>
          <w:tcPr>
            <w:tcW w:w="0" w:type="auto"/>
          </w:tcPr>
          <w:p w14:paraId="57E4F32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Year 2, moderate priority</w:t>
            </w:r>
          </w:p>
        </w:tc>
      </w:tr>
      <w:tr w:rsidR="00506C35" w:rsidRPr="009D048A" w14:paraId="6720B63F" w14:textId="77777777">
        <w:tc>
          <w:tcPr>
            <w:tcW w:w="0" w:type="auto"/>
          </w:tcPr>
          <w:p w14:paraId="2AA24E8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Total estimated</w:t>
            </w:r>
          </w:p>
        </w:tc>
        <w:tc>
          <w:tcPr>
            <w:tcW w:w="0" w:type="auto"/>
          </w:tcPr>
          <w:p w14:paraId="2FAB96C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$39,000-75,000</w:t>
            </w:r>
          </w:p>
        </w:tc>
        <w:tc>
          <w:tcPr>
            <w:tcW w:w="0" w:type="auto"/>
          </w:tcPr>
          <w:p w14:paraId="64C4A5FD" w14:textId="77777777" w:rsidR="00506C35" w:rsidRPr="009D048A" w:rsidRDefault="00506C35">
            <w:pPr>
              <w:pStyle w:val="Compact"/>
              <w:rPr>
                <w:rFonts w:ascii="Times New Roman" w:hAnsi="Times New Roman" w:cs="Times New Roman"/>
                <w:sz w:val="21"/>
                <w:szCs w:val="21"/>
              </w:rPr>
            </w:pPr>
          </w:p>
        </w:tc>
      </w:tr>
    </w:tbl>
    <w:p w14:paraId="6CFC78D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Funding sources to consider:</w:t>
      </w:r>
      <w:r w:rsidRPr="009D048A">
        <w:rPr>
          <w:rFonts w:ascii="Times New Roman" w:hAnsi="Times New Roman" w:cs="Times New Roman"/>
          <w:sz w:val="21"/>
          <w:szCs w:val="21"/>
        </w:rPr>
        <w:t xml:space="preserve"> - NSF Doctoral Dissertation Research Improvement (DDRI) grant (~$20,000-25,000) - Wenner-Gren Dissertation Fieldwork Grant (~$25,000) - SAA Student Research Award - University dissertation research funds - State humanities council grants (NY Council on the Humanities)</w:t>
      </w:r>
    </w:p>
    <w:p w14:paraId="2CB47D70"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431B8F06">
          <v:rect id="_x0000_i1029" alt="" style="width:468pt;height:.05pt;mso-width-percent:0;mso-height-percent:0;mso-width-percent:0;mso-height-percent:0" o:hralign="center" o:hrstd="t" o:hr="t"/>
        </w:pict>
      </w:r>
    </w:p>
    <w:p w14:paraId="233D077C" w14:textId="77777777" w:rsidR="00506C35" w:rsidRPr="009D048A" w:rsidRDefault="00000000">
      <w:pPr>
        <w:pStyle w:val="Heading2"/>
        <w:rPr>
          <w:rFonts w:ascii="Times New Roman" w:hAnsi="Times New Roman" w:cs="Times New Roman"/>
          <w:sz w:val="24"/>
          <w:szCs w:val="24"/>
        </w:rPr>
      </w:pPr>
      <w:bookmarkStart w:id="104" w:name="conclusion"/>
      <w:bookmarkEnd w:id="98"/>
      <w:bookmarkEnd w:id="103"/>
      <w:r w:rsidRPr="009D048A">
        <w:rPr>
          <w:rFonts w:ascii="Times New Roman" w:hAnsi="Times New Roman" w:cs="Times New Roman"/>
          <w:sz w:val="24"/>
          <w:szCs w:val="24"/>
        </w:rPr>
        <w:t>18. Conclusion</w:t>
      </w:r>
    </w:p>
    <w:p w14:paraId="7754D2B2"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guide has walked through the complete mathematical framework behind the Lamoka Lake aggregation economics model, from the Price equation foundations through the critical threshold derivation to the seven testable predictions and a practical research design.</w:t>
      </w:r>
    </w:p>
    <w:p w14:paraId="0C23EEC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The core insight is simple: seasonal aggregation at a productive ecotone becomes adaptive when environmental variability is high enough that the insurance value of cooperation, ecotone buffering, stored surplus, and reciprocal obligations exceeds the costs of travel, infrastructure investment, and foregone foraging. The math formalizes this intuition into a single number,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0.306</m:t>
        </m:r>
      </m:oMath>
      <w:r w:rsidRPr="009D048A">
        <w:rPr>
          <w:rFonts w:ascii="Times New Roman" w:hAnsi="Times New Roman" w:cs="Times New Roman"/>
          <w:sz w:val="21"/>
          <w:szCs w:val="21"/>
        </w:rPr>
        <w:t>, that makes a precise, testable prediction.</w:t>
      </w:r>
    </w:p>
    <w:p w14:paraId="598C025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What makes this framework valuable for a dissertation is that it generates specific, falsifiable predictions that can be evaluated with archaeological and environmental data. The seven hypotheses (H1-H7) are not vague directional claims (“aggregation should relate to environment”) but precise statements about what patterns should exist in the record </w:t>
      </w:r>
      <w:r w:rsidRPr="009D048A">
        <w:rPr>
          <w:rFonts w:ascii="Times New Roman" w:hAnsi="Times New Roman" w:cs="Times New Roman"/>
          <w:i/>
          <w:iCs/>
          <w:sz w:val="21"/>
          <w:szCs w:val="21"/>
        </w:rPr>
        <w:t>if</w:t>
      </w:r>
      <w:r w:rsidRPr="009D048A">
        <w:rPr>
          <w:rFonts w:ascii="Times New Roman" w:hAnsi="Times New Roman" w:cs="Times New Roman"/>
          <w:sz w:val="21"/>
          <w:szCs w:val="21"/>
        </w:rPr>
        <w:t xml:space="preserve"> the model is correct and </w:t>
      </w:r>
      <w:r w:rsidRPr="009D048A">
        <w:rPr>
          <w:rFonts w:ascii="Times New Roman" w:hAnsi="Times New Roman" w:cs="Times New Roman"/>
          <w:i/>
          <w:iCs/>
          <w:sz w:val="21"/>
          <w:szCs w:val="21"/>
        </w:rPr>
        <w:t>should not</w:t>
      </w:r>
      <w:r w:rsidRPr="009D048A">
        <w:rPr>
          <w:rFonts w:ascii="Times New Roman" w:hAnsi="Times New Roman" w:cs="Times New Roman"/>
          <w:sz w:val="21"/>
          <w:szCs w:val="21"/>
        </w:rPr>
        <w:t xml:space="preserve"> exist if it is wrong. The strongest discriminators, H7 (abandonment under stabilization), H4 (variability correlation), and H3 (ecotone selection), collectively test the core mechanism of the model and distinguish it from five alternative hypotheses.</w:t>
      </w:r>
    </w:p>
    <w:p w14:paraId="6B437AD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A successful dissertation would not merely confirm or reject the model. It would:</w:t>
      </w:r>
    </w:p>
    <w:p w14:paraId="16CD11EE" w14:textId="77777777" w:rsidR="00506C35" w:rsidRPr="009D048A" w:rsidRDefault="00000000">
      <w:pPr>
        <w:pStyle w:val="Compact"/>
        <w:numPr>
          <w:ilvl w:val="0"/>
          <w:numId w:val="32"/>
        </w:numPr>
        <w:rPr>
          <w:rFonts w:ascii="Times New Roman" w:hAnsi="Times New Roman" w:cs="Times New Roman"/>
          <w:sz w:val="21"/>
          <w:szCs w:val="21"/>
        </w:rPr>
      </w:pPr>
      <w:r w:rsidRPr="009D048A">
        <w:rPr>
          <w:rFonts w:ascii="Times New Roman" w:hAnsi="Times New Roman" w:cs="Times New Roman"/>
          <w:sz w:val="21"/>
          <w:szCs w:val="21"/>
        </w:rPr>
        <w:t>Provide independent estimates of model parameters (</w:t>
      </w:r>
      <m:oMath>
        <m:r>
          <w:rPr>
            <w:rFonts w:ascii="Cambria Math" w:hAnsi="Cambria Math" w:cs="Times New Roman"/>
            <w:sz w:val="21"/>
            <w:szCs w:val="21"/>
          </w:rPr>
          <m:t>σ</m:t>
        </m:r>
      </m:oMath>
      <w:r w:rsidRPr="009D048A">
        <w:rPr>
          <w:rFonts w:ascii="Times New Roman" w:hAnsi="Times New Roman" w:cs="Times New Roman"/>
          <w:sz w:val="21"/>
          <w:szCs w:val="21"/>
        </w:rPr>
        <w:t xml:space="preserve">, </w:t>
      </w:r>
      <m:oMath>
        <m:r>
          <w:rPr>
            <w:rFonts w:ascii="Cambria Math" w:hAnsi="Cambria Math" w:cs="Times New Roman"/>
            <w:sz w:val="21"/>
            <w:szCs w:val="21"/>
          </w:rPr>
          <m:t>ε</m:t>
        </m:r>
      </m:oMath>
      <w:r w:rsidRPr="009D048A">
        <w:rPr>
          <w:rFonts w:ascii="Times New Roman" w:hAnsi="Times New Roman" w:cs="Times New Roman"/>
          <w:sz w:val="21"/>
          <w:szCs w:val="21"/>
        </w:rPr>
        <w:t>, covariance structure) from empirical data</w:t>
      </w:r>
    </w:p>
    <w:p w14:paraId="5435A05E" w14:textId="77777777" w:rsidR="00506C35" w:rsidRPr="009D048A" w:rsidRDefault="00000000">
      <w:pPr>
        <w:pStyle w:val="Compact"/>
        <w:numPr>
          <w:ilvl w:val="0"/>
          <w:numId w:val="32"/>
        </w:numPr>
        <w:rPr>
          <w:rFonts w:ascii="Times New Roman" w:hAnsi="Times New Roman" w:cs="Times New Roman"/>
          <w:sz w:val="21"/>
          <w:szCs w:val="21"/>
        </w:rPr>
      </w:pPr>
      <w:r w:rsidRPr="009D048A">
        <w:rPr>
          <w:rFonts w:ascii="Times New Roman" w:hAnsi="Times New Roman" w:cs="Times New Roman"/>
          <w:sz w:val="21"/>
          <w:szCs w:val="21"/>
        </w:rPr>
        <w:t>Test each prediction against evidence, honestly reporting both confirmations and failures</w:t>
      </w:r>
    </w:p>
    <w:p w14:paraId="285605E0" w14:textId="77777777" w:rsidR="00506C35" w:rsidRPr="009D048A" w:rsidRDefault="00000000">
      <w:pPr>
        <w:pStyle w:val="Compact"/>
        <w:numPr>
          <w:ilvl w:val="0"/>
          <w:numId w:val="32"/>
        </w:numPr>
        <w:rPr>
          <w:rFonts w:ascii="Times New Roman" w:hAnsi="Times New Roman" w:cs="Times New Roman"/>
          <w:sz w:val="21"/>
          <w:szCs w:val="21"/>
        </w:rPr>
      </w:pPr>
      <w:r w:rsidRPr="009D048A">
        <w:rPr>
          <w:rFonts w:ascii="Times New Roman" w:hAnsi="Times New Roman" w:cs="Times New Roman"/>
          <w:sz w:val="21"/>
          <w:szCs w:val="21"/>
        </w:rPr>
        <w:t>Evaluate alternative hypotheses with the same data</w:t>
      </w:r>
    </w:p>
    <w:p w14:paraId="072C200B" w14:textId="77777777" w:rsidR="00506C35" w:rsidRPr="009D048A" w:rsidRDefault="00000000">
      <w:pPr>
        <w:pStyle w:val="Compact"/>
        <w:numPr>
          <w:ilvl w:val="0"/>
          <w:numId w:val="32"/>
        </w:numPr>
        <w:rPr>
          <w:rFonts w:ascii="Times New Roman" w:hAnsi="Times New Roman" w:cs="Times New Roman"/>
          <w:sz w:val="21"/>
          <w:szCs w:val="21"/>
        </w:rPr>
      </w:pPr>
      <w:r w:rsidRPr="009D048A">
        <w:rPr>
          <w:rFonts w:ascii="Times New Roman" w:hAnsi="Times New Roman" w:cs="Times New Roman"/>
          <w:sz w:val="21"/>
          <w:szCs w:val="21"/>
        </w:rPr>
        <w:t>Refine the model based on findings, potentially revising parameter values or identifying mechanisms that the current model misses</w:t>
      </w:r>
    </w:p>
    <w:p w14:paraId="42D60C47" w14:textId="77777777" w:rsidR="00506C35" w:rsidRPr="009D048A" w:rsidRDefault="00000000">
      <w:pPr>
        <w:pStyle w:val="Compact"/>
        <w:numPr>
          <w:ilvl w:val="0"/>
          <w:numId w:val="32"/>
        </w:numPr>
        <w:rPr>
          <w:rFonts w:ascii="Times New Roman" w:hAnsi="Times New Roman" w:cs="Times New Roman"/>
          <w:sz w:val="21"/>
          <w:szCs w:val="21"/>
        </w:rPr>
      </w:pPr>
      <w:r w:rsidRPr="009D048A">
        <w:rPr>
          <w:rFonts w:ascii="Times New Roman" w:hAnsi="Times New Roman" w:cs="Times New Roman"/>
          <w:sz w:val="21"/>
          <w:szCs w:val="21"/>
        </w:rPr>
        <w:t>Identify which aspects of the Lamoka Lake record are well-explained by the economic model and which require additional or alternative explanation</w:t>
      </w:r>
    </w:p>
    <w:p w14:paraId="28A1E82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model is a tool for structuring inquiry, not a final answer. Its value lies not in being “right” but in being specific enough to be tested, refined, or rejected based on evidence. That is what formal models offer that verbal interpretations cannot: precision sufficient for empirical engagement.</w:t>
      </w:r>
    </w:p>
    <w:p w14:paraId="6654946F"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lastRenderedPageBreak/>
        <w:t>A final word of practical advice: a dissertation committee will value intellectual honesty over confirmation. If your data falsify one or more predictions, that is a contribution, not a failure. Models are most useful when they are wrong in informative ways, because the pattern of failure tells us which assumptions need revision. The strongest possible dissertation outcome is not “the model was right about everything” but rather “here is what the model got right, here is what it got wrong, and here is what the failures tell us about the actual processes at work at Lamoka Lake.”</w:t>
      </w:r>
    </w:p>
    <w:p w14:paraId="55CF45DB"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55ABA374">
          <v:rect id="_x0000_i1028" alt="" style="width:468pt;height:.05pt;mso-width-percent:0;mso-height-percent:0;mso-width-percent:0;mso-height-percent:0" o:hralign="center" o:hrstd="t" o:hr="t"/>
        </w:pict>
      </w:r>
    </w:p>
    <w:p w14:paraId="0BB7D31B" w14:textId="77777777" w:rsidR="00506C35" w:rsidRPr="009D048A" w:rsidRDefault="00000000">
      <w:pPr>
        <w:pStyle w:val="Heading2"/>
        <w:rPr>
          <w:rFonts w:ascii="Times New Roman" w:hAnsi="Times New Roman" w:cs="Times New Roman"/>
          <w:sz w:val="24"/>
          <w:szCs w:val="24"/>
        </w:rPr>
      </w:pPr>
      <w:bookmarkStart w:id="105" w:name="references"/>
      <w:bookmarkEnd w:id="104"/>
      <w:r w:rsidRPr="009D048A">
        <w:rPr>
          <w:rFonts w:ascii="Times New Roman" w:hAnsi="Times New Roman" w:cs="Times New Roman"/>
          <w:sz w:val="24"/>
          <w:szCs w:val="24"/>
        </w:rPr>
        <w:t>References</w:t>
      </w:r>
    </w:p>
    <w:p w14:paraId="262A5F8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Binford, L.R. 1980. Willow smoke and dogs’ tails: Hunter-gatherer settlement systems and archaeological site formation. </w:t>
      </w:r>
      <w:r w:rsidRPr="009D048A">
        <w:rPr>
          <w:rFonts w:ascii="Times New Roman" w:hAnsi="Times New Roman" w:cs="Times New Roman"/>
          <w:i/>
          <w:iCs/>
          <w:sz w:val="21"/>
          <w:szCs w:val="21"/>
        </w:rPr>
        <w:t>American Antiquity</w:t>
      </w:r>
      <w:r w:rsidRPr="009D048A">
        <w:rPr>
          <w:rFonts w:ascii="Times New Roman" w:hAnsi="Times New Roman" w:cs="Times New Roman"/>
          <w:sz w:val="21"/>
          <w:szCs w:val="21"/>
        </w:rPr>
        <w:t xml:space="preserve"> 45(1):4-20.</w:t>
      </w:r>
    </w:p>
    <w:p w14:paraId="42A01BD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Binford, L.R. 2001. </w:t>
      </w:r>
      <w:r w:rsidRPr="009D048A">
        <w:rPr>
          <w:rFonts w:ascii="Times New Roman" w:hAnsi="Times New Roman" w:cs="Times New Roman"/>
          <w:i/>
          <w:iCs/>
          <w:sz w:val="21"/>
          <w:szCs w:val="21"/>
        </w:rPr>
        <w:t>Constructing Frames of Reference: An Analytical Method for Archaeological Theory Building Using Ethnographic and Environmental Data Sets</w:t>
      </w:r>
      <w:r w:rsidRPr="009D048A">
        <w:rPr>
          <w:rFonts w:ascii="Times New Roman" w:hAnsi="Times New Roman" w:cs="Times New Roman"/>
          <w:sz w:val="21"/>
          <w:szCs w:val="21"/>
        </w:rPr>
        <w:t>. University of California Press.</w:t>
      </w:r>
    </w:p>
    <w:p w14:paraId="1358870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Bliege Bird, R. and Smith, E.A. 2005. Signaling theory, strategic interaction, and symbolic capital. </w:t>
      </w:r>
      <w:r w:rsidRPr="009D048A">
        <w:rPr>
          <w:rFonts w:ascii="Times New Roman" w:hAnsi="Times New Roman" w:cs="Times New Roman"/>
          <w:i/>
          <w:iCs/>
          <w:sz w:val="21"/>
          <w:szCs w:val="21"/>
        </w:rPr>
        <w:t>Current Anthropology</w:t>
      </w:r>
      <w:r w:rsidRPr="009D048A">
        <w:rPr>
          <w:rFonts w:ascii="Times New Roman" w:hAnsi="Times New Roman" w:cs="Times New Roman"/>
          <w:sz w:val="21"/>
          <w:szCs w:val="21"/>
        </w:rPr>
        <w:t xml:space="preserve"> 46(2):221-248.</w:t>
      </w:r>
    </w:p>
    <w:p w14:paraId="464110C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Cleland, C.E. 1982. The inland shore fishery of the northern Great Lakes: Its development and importance in prehistory. </w:t>
      </w:r>
      <w:r w:rsidRPr="009D048A">
        <w:rPr>
          <w:rFonts w:ascii="Times New Roman" w:hAnsi="Times New Roman" w:cs="Times New Roman"/>
          <w:i/>
          <w:iCs/>
          <w:sz w:val="21"/>
          <w:szCs w:val="21"/>
        </w:rPr>
        <w:t>American Antiquity</w:t>
      </w:r>
      <w:r w:rsidRPr="009D048A">
        <w:rPr>
          <w:rFonts w:ascii="Times New Roman" w:hAnsi="Times New Roman" w:cs="Times New Roman"/>
          <w:sz w:val="21"/>
          <w:szCs w:val="21"/>
        </w:rPr>
        <w:t xml:space="preserve"> 47(4):761-784.</w:t>
      </w:r>
    </w:p>
    <w:p w14:paraId="492D781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Conkey, M.W. 1980. The identification of prehistoric hunter-gatherer aggregation sites: The case of Altamira. </w:t>
      </w:r>
      <w:r w:rsidRPr="009D048A">
        <w:rPr>
          <w:rFonts w:ascii="Times New Roman" w:hAnsi="Times New Roman" w:cs="Times New Roman"/>
          <w:i/>
          <w:iCs/>
          <w:sz w:val="21"/>
          <w:szCs w:val="21"/>
        </w:rPr>
        <w:t>Current Anthropology</w:t>
      </w:r>
      <w:r w:rsidRPr="009D048A">
        <w:rPr>
          <w:rFonts w:ascii="Times New Roman" w:hAnsi="Times New Roman" w:cs="Times New Roman"/>
          <w:sz w:val="21"/>
          <w:szCs w:val="21"/>
        </w:rPr>
        <w:t xml:space="preserve"> 21(5):609-630.</w:t>
      </w:r>
    </w:p>
    <w:p w14:paraId="7064BD0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DeBoer, W.R. 1988. Subterranean storage and the organization of surplus: The view from eastern North America. </w:t>
      </w:r>
      <w:r w:rsidRPr="009D048A">
        <w:rPr>
          <w:rFonts w:ascii="Times New Roman" w:hAnsi="Times New Roman" w:cs="Times New Roman"/>
          <w:i/>
          <w:iCs/>
          <w:sz w:val="21"/>
          <w:szCs w:val="21"/>
        </w:rPr>
        <w:t>Southeastern Archaeology</w:t>
      </w:r>
      <w:r w:rsidRPr="009D048A">
        <w:rPr>
          <w:rFonts w:ascii="Times New Roman" w:hAnsi="Times New Roman" w:cs="Times New Roman"/>
          <w:sz w:val="21"/>
          <w:szCs w:val="21"/>
        </w:rPr>
        <w:t xml:space="preserve"> 7(1):1-20.</w:t>
      </w:r>
    </w:p>
    <w:p w14:paraId="63B3C77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Funk, R.E. 1988. The Laurentian concept: A review. </w:t>
      </w:r>
      <w:r w:rsidRPr="009D048A">
        <w:rPr>
          <w:rFonts w:ascii="Times New Roman" w:hAnsi="Times New Roman" w:cs="Times New Roman"/>
          <w:i/>
          <w:iCs/>
          <w:sz w:val="21"/>
          <w:szCs w:val="21"/>
        </w:rPr>
        <w:t>Archaeology of Eastern North America</w:t>
      </w:r>
      <w:r w:rsidRPr="009D048A">
        <w:rPr>
          <w:rFonts w:ascii="Times New Roman" w:hAnsi="Times New Roman" w:cs="Times New Roman"/>
          <w:sz w:val="21"/>
          <w:szCs w:val="21"/>
        </w:rPr>
        <w:t xml:space="preserve"> 16:1-42.</w:t>
      </w:r>
    </w:p>
    <w:p w14:paraId="02F84D6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Gibson, J.L. 2000. </w:t>
      </w:r>
      <w:r w:rsidRPr="009D048A">
        <w:rPr>
          <w:rFonts w:ascii="Times New Roman" w:hAnsi="Times New Roman" w:cs="Times New Roman"/>
          <w:i/>
          <w:iCs/>
          <w:sz w:val="21"/>
          <w:szCs w:val="21"/>
        </w:rPr>
        <w:t>The Ancient Mounds of Poverty Point: Place of Rings</w:t>
      </w:r>
      <w:r w:rsidRPr="009D048A">
        <w:rPr>
          <w:rFonts w:ascii="Times New Roman" w:hAnsi="Times New Roman" w:cs="Times New Roman"/>
          <w:sz w:val="21"/>
          <w:szCs w:val="21"/>
        </w:rPr>
        <w:t>. University Press of Florida.</w:t>
      </w:r>
    </w:p>
    <w:p w14:paraId="0ABDC66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Grafen, A. 1990. Biological signals as handicaps. </w:t>
      </w:r>
      <w:r w:rsidRPr="009D048A">
        <w:rPr>
          <w:rFonts w:ascii="Times New Roman" w:hAnsi="Times New Roman" w:cs="Times New Roman"/>
          <w:i/>
          <w:iCs/>
          <w:sz w:val="21"/>
          <w:szCs w:val="21"/>
        </w:rPr>
        <w:t>Journal of Theoretical Biology</w:t>
      </w:r>
      <w:r w:rsidRPr="009D048A">
        <w:rPr>
          <w:rFonts w:ascii="Times New Roman" w:hAnsi="Times New Roman" w:cs="Times New Roman"/>
          <w:sz w:val="21"/>
          <w:szCs w:val="21"/>
        </w:rPr>
        <w:t xml:space="preserve"> 144(4):517-546.</w:t>
      </w:r>
    </w:p>
    <w:p w14:paraId="2D71256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Hunt, T.L. and Lipo, C.P. 2011. </w:t>
      </w:r>
      <w:r w:rsidRPr="009D048A">
        <w:rPr>
          <w:rFonts w:ascii="Times New Roman" w:hAnsi="Times New Roman" w:cs="Times New Roman"/>
          <w:i/>
          <w:iCs/>
          <w:sz w:val="21"/>
          <w:szCs w:val="21"/>
        </w:rPr>
        <w:t>The Statues that Walked: Unraveling the Mystery of Easter Island</w:t>
      </w:r>
      <w:r w:rsidRPr="009D048A">
        <w:rPr>
          <w:rFonts w:ascii="Times New Roman" w:hAnsi="Times New Roman" w:cs="Times New Roman"/>
          <w:sz w:val="21"/>
          <w:szCs w:val="21"/>
        </w:rPr>
        <w:t>. Free Press.</w:t>
      </w:r>
    </w:p>
    <w:p w14:paraId="68B5A66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Kelly, R.L. 2013. </w:t>
      </w:r>
      <w:r w:rsidRPr="009D048A">
        <w:rPr>
          <w:rFonts w:ascii="Times New Roman" w:hAnsi="Times New Roman" w:cs="Times New Roman"/>
          <w:i/>
          <w:iCs/>
          <w:sz w:val="21"/>
          <w:szCs w:val="21"/>
        </w:rPr>
        <w:t>The Lifeways of Hunter-Gatherers: The Foraging Spectrum</w:t>
      </w:r>
      <w:r w:rsidRPr="009D048A">
        <w:rPr>
          <w:rFonts w:ascii="Times New Roman" w:hAnsi="Times New Roman" w:cs="Times New Roman"/>
          <w:sz w:val="21"/>
          <w:szCs w:val="21"/>
        </w:rPr>
        <w:t>. Cambridge University Press.</w:t>
      </w:r>
    </w:p>
    <w:p w14:paraId="1BBE540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Koenig, W.D. and Knops, J.M.H. 2000. Patterns of annual seed production by northern hemisphere trees: A global perspective. </w:t>
      </w:r>
      <w:r w:rsidRPr="009D048A">
        <w:rPr>
          <w:rFonts w:ascii="Times New Roman" w:hAnsi="Times New Roman" w:cs="Times New Roman"/>
          <w:i/>
          <w:iCs/>
          <w:sz w:val="21"/>
          <w:szCs w:val="21"/>
        </w:rPr>
        <w:t>American Naturalist</w:t>
      </w:r>
      <w:r w:rsidRPr="009D048A">
        <w:rPr>
          <w:rFonts w:ascii="Times New Roman" w:hAnsi="Times New Roman" w:cs="Times New Roman"/>
          <w:sz w:val="21"/>
          <w:szCs w:val="21"/>
        </w:rPr>
        <w:t xml:space="preserve"> 155(1):59-69.</w:t>
      </w:r>
    </w:p>
    <w:p w14:paraId="6FAADAD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Kidder, T.R., Ortmann, A.L. and Arco, L.J. 2008. Poverty Point and the archaeology of singularity. </w:t>
      </w:r>
      <w:r w:rsidRPr="009D048A">
        <w:rPr>
          <w:rFonts w:ascii="Times New Roman" w:hAnsi="Times New Roman" w:cs="Times New Roman"/>
          <w:i/>
          <w:iCs/>
          <w:sz w:val="21"/>
          <w:szCs w:val="21"/>
        </w:rPr>
        <w:t>SAA Archaeological Record</w:t>
      </w:r>
      <w:r w:rsidRPr="009D048A">
        <w:rPr>
          <w:rFonts w:ascii="Times New Roman" w:hAnsi="Times New Roman" w:cs="Times New Roman"/>
          <w:sz w:val="21"/>
          <w:szCs w:val="21"/>
        </w:rPr>
        <w:t xml:space="preserve"> 8(5):9-12.</w:t>
      </w:r>
    </w:p>
    <w:p w14:paraId="089AA12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Price, G.R. 1970. Selection and covariance. </w:t>
      </w:r>
      <w:r w:rsidRPr="009D048A">
        <w:rPr>
          <w:rFonts w:ascii="Times New Roman" w:hAnsi="Times New Roman" w:cs="Times New Roman"/>
          <w:i/>
          <w:iCs/>
          <w:sz w:val="21"/>
          <w:szCs w:val="21"/>
        </w:rPr>
        <w:t>Nature</w:t>
      </w:r>
      <w:r w:rsidRPr="009D048A">
        <w:rPr>
          <w:rFonts w:ascii="Times New Roman" w:hAnsi="Times New Roman" w:cs="Times New Roman"/>
          <w:sz w:val="21"/>
          <w:szCs w:val="21"/>
        </w:rPr>
        <w:t xml:space="preserve"> 227:520-521.</w:t>
      </w:r>
    </w:p>
    <w:p w14:paraId="2F254BC8"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Price, G.R. 1972. Extension of covariance selection mathematics. </w:t>
      </w:r>
      <w:r w:rsidRPr="009D048A">
        <w:rPr>
          <w:rFonts w:ascii="Times New Roman" w:hAnsi="Times New Roman" w:cs="Times New Roman"/>
          <w:i/>
          <w:iCs/>
          <w:sz w:val="21"/>
          <w:szCs w:val="21"/>
        </w:rPr>
        <w:t>Annals of Human Genetics</w:t>
      </w:r>
      <w:r w:rsidRPr="009D048A">
        <w:rPr>
          <w:rFonts w:ascii="Times New Roman" w:hAnsi="Times New Roman" w:cs="Times New Roman"/>
          <w:sz w:val="21"/>
          <w:szCs w:val="21"/>
        </w:rPr>
        <w:t xml:space="preserve"> 35(4):485-490.</w:t>
      </w:r>
    </w:p>
    <w:p w14:paraId="44D8FFB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Ritchie, W.A. 1932. The Lamoka Lake site: The type station of the Archaic Algonkin period in New York. </w:t>
      </w:r>
      <w:r w:rsidRPr="009D048A">
        <w:rPr>
          <w:rFonts w:ascii="Times New Roman" w:hAnsi="Times New Roman" w:cs="Times New Roman"/>
          <w:i/>
          <w:iCs/>
          <w:sz w:val="21"/>
          <w:szCs w:val="21"/>
        </w:rPr>
        <w:t>Researches and Transactions of the New York State Archaeological Association</w:t>
      </w:r>
      <w:r w:rsidRPr="009D048A">
        <w:rPr>
          <w:rFonts w:ascii="Times New Roman" w:hAnsi="Times New Roman" w:cs="Times New Roman"/>
          <w:sz w:val="21"/>
          <w:szCs w:val="21"/>
        </w:rPr>
        <w:t xml:space="preserve"> 7(4):79-134.</w:t>
      </w:r>
    </w:p>
    <w:p w14:paraId="53D7C57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Ritchie, W.A. 1969. </w:t>
      </w:r>
      <w:r w:rsidRPr="009D048A">
        <w:rPr>
          <w:rFonts w:ascii="Times New Roman" w:hAnsi="Times New Roman" w:cs="Times New Roman"/>
          <w:i/>
          <w:iCs/>
          <w:sz w:val="21"/>
          <w:szCs w:val="21"/>
        </w:rPr>
        <w:t>The Archaeology of New York State</w:t>
      </w:r>
      <w:r w:rsidRPr="009D048A">
        <w:rPr>
          <w:rFonts w:ascii="Times New Roman" w:hAnsi="Times New Roman" w:cs="Times New Roman"/>
          <w:sz w:val="21"/>
          <w:szCs w:val="21"/>
        </w:rPr>
        <w:t>. Natural History Press, Garden City, New York.</w:t>
      </w:r>
    </w:p>
    <w:p w14:paraId="17BF048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Sassaman, K.E. 2005. Poverty Point as structure, event, process. </w:t>
      </w:r>
      <w:r w:rsidRPr="009D048A">
        <w:rPr>
          <w:rFonts w:ascii="Times New Roman" w:hAnsi="Times New Roman" w:cs="Times New Roman"/>
          <w:i/>
          <w:iCs/>
          <w:sz w:val="21"/>
          <w:szCs w:val="21"/>
        </w:rPr>
        <w:t>Journal of Archaeological Method and Theory</w:t>
      </w:r>
      <w:r w:rsidRPr="009D048A">
        <w:rPr>
          <w:rFonts w:ascii="Times New Roman" w:hAnsi="Times New Roman" w:cs="Times New Roman"/>
          <w:sz w:val="21"/>
          <w:szCs w:val="21"/>
        </w:rPr>
        <w:t xml:space="preserve"> 12(4):335-364.</w:t>
      </w:r>
    </w:p>
    <w:p w14:paraId="161C8B07"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lastRenderedPageBreak/>
        <w:t xml:space="preserve">Silvertown, J.W. 1980. The evolutionary ecology of mast seeding in trees. </w:t>
      </w:r>
      <w:r w:rsidRPr="009D048A">
        <w:rPr>
          <w:rFonts w:ascii="Times New Roman" w:hAnsi="Times New Roman" w:cs="Times New Roman"/>
          <w:i/>
          <w:iCs/>
          <w:sz w:val="21"/>
          <w:szCs w:val="21"/>
        </w:rPr>
        <w:t>Biological Journal of the Linnean Society</w:t>
      </w:r>
      <w:r w:rsidRPr="009D048A">
        <w:rPr>
          <w:rFonts w:ascii="Times New Roman" w:hAnsi="Times New Roman" w:cs="Times New Roman"/>
          <w:sz w:val="21"/>
          <w:szCs w:val="21"/>
        </w:rPr>
        <w:t xml:space="preserve"> 14(2):235-250.</w:t>
      </w:r>
    </w:p>
    <w:p w14:paraId="600E4DEE"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Suttles, W. 1968. Coping with abundance: Subsistence on the Northwest Coast. In Lee, R.B. and DeVore, I. (eds.), </w:t>
      </w:r>
      <w:r w:rsidRPr="009D048A">
        <w:rPr>
          <w:rFonts w:ascii="Times New Roman" w:hAnsi="Times New Roman" w:cs="Times New Roman"/>
          <w:i/>
          <w:iCs/>
          <w:sz w:val="21"/>
          <w:szCs w:val="21"/>
        </w:rPr>
        <w:t>Man the Hunter</w:t>
      </w:r>
      <w:r w:rsidRPr="009D048A">
        <w:rPr>
          <w:rFonts w:ascii="Times New Roman" w:hAnsi="Times New Roman" w:cs="Times New Roman"/>
          <w:sz w:val="21"/>
          <w:szCs w:val="21"/>
        </w:rPr>
        <w:t>, pp. 56-68. Aldine, Chicago.</w:t>
      </w:r>
    </w:p>
    <w:p w14:paraId="1FD07AC1"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Wandsnider, L. 1997. The roasted and the boiled: Food composition and heat treatment with special emphasis on pit-hearth cooking. </w:t>
      </w:r>
      <w:r w:rsidRPr="009D048A">
        <w:rPr>
          <w:rFonts w:ascii="Times New Roman" w:hAnsi="Times New Roman" w:cs="Times New Roman"/>
          <w:i/>
          <w:iCs/>
          <w:sz w:val="21"/>
          <w:szCs w:val="21"/>
        </w:rPr>
        <w:t>Journal of Anthropological Archaeology</w:t>
      </w:r>
      <w:r w:rsidRPr="009D048A">
        <w:rPr>
          <w:rFonts w:ascii="Times New Roman" w:hAnsi="Times New Roman" w:cs="Times New Roman"/>
          <w:sz w:val="21"/>
          <w:szCs w:val="21"/>
        </w:rPr>
        <w:t xml:space="preserve"> 16(1):1-48.</w:t>
      </w:r>
    </w:p>
    <w:p w14:paraId="1C02090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Whitelaw, T. 1991. Some dimensions of variability in the social organization of community space among foragers. In Gamble, C.S. and Boismier, W.A. (eds.), </w:t>
      </w:r>
      <w:r w:rsidRPr="009D048A">
        <w:rPr>
          <w:rFonts w:ascii="Times New Roman" w:hAnsi="Times New Roman" w:cs="Times New Roman"/>
          <w:i/>
          <w:iCs/>
          <w:sz w:val="21"/>
          <w:szCs w:val="21"/>
        </w:rPr>
        <w:t>Ethnoarchaeological Approaches to Mobile Campsites</w:t>
      </w:r>
      <w:r w:rsidRPr="009D048A">
        <w:rPr>
          <w:rFonts w:ascii="Times New Roman" w:hAnsi="Times New Roman" w:cs="Times New Roman"/>
          <w:sz w:val="21"/>
          <w:szCs w:val="21"/>
        </w:rPr>
        <w:t>, pp. 139-188. International Monographs in Prehistory, Ann Arbor.</w:t>
      </w:r>
    </w:p>
    <w:p w14:paraId="1521B70D"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Wiessner, P. 2002. Hunting, healing, and hxaro exchange: A long-term perspective on !Kung (Ju/’hoansi) large-game hunting. </w:t>
      </w:r>
      <w:r w:rsidRPr="009D048A">
        <w:rPr>
          <w:rFonts w:ascii="Times New Roman" w:hAnsi="Times New Roman" w:cs="Times New Roman"/>
          <w:i/>
          <w:iCs/>
          <w:sz w:val="21"/>
          <w:szCs w:val="21"/>
        </w:rPr>
        <w:t>Evolution and Human Behavior</w:t>
      </w:r>
      <w:r w:rsidRPr="009D048A">
        <w:rPr>
          <w:rFonts w:ascii="Times New Roman" w:hAnsi="Times New Roman" w:cs="Times New Roman"/>
          <w:sz w:val="21"/>
          <w:szCs w:val="21"/>
        </w:rPr>
        <w:t xml:space="preserve"> 23(6):407-436.</w:t>
      </w:r>
    </w:p>
    <w:p w14:paraId="49782F36"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Winterhalder, B. 1986. Diet choice, risk, and food sharing in a stochastic environment. </w:t>
      </w:r>
      <w:r w:rsidRPr="009D048A">
        <w:rPr>
          <w:rFonts w:ascii="Times New Roman" w:hAnsi="Times New Roman" w:cs="Times New Roman"/>
          <w:i/>
          <w:iCs/>
          <w:sz w:val="21"/>
          <w:szCs w:val="21"/>
        </w:rPr>
        <w:t>Journal of Anthropological Archaeology</w:t>
      </w:r>
      <w:r w:rsidRPr="009D048A">
        <w:rPr>
          <w:rFonts w:ascii="Times New Roman" w:hAnsi="Times New Roman" w:cs="Times New Roman"/>
          <w:sz w:val="21"/>
          <w:szCs w:val="21"/>
        </w:rPr>
        <w:t xml:space="preserve"> 5(4):369-392.</w:t>
      </w:r>
    </w:p>
    <w:p w14:paraId="22B7FB04"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 xml:space="preserve">Zahavi, A. 1975. Mate selection: A selection for a handicap. </w:t>
      </w:r>
      <w:r w:rsidRPr="009D048A">
        <w:rPr>
          <w:rFonts w:ascii="Times New Roman" w:hAnsi="Times New Roman" w:cs="Times New Roman"/>
          <w:i/>
          <w:iCs/>
          <w:sz w:val="21"/>
          <w:szCs w:val="21"/>
        </w:rPr>
        <w:t>Journal of Theoretical Biology</w:t>
      </w:r>
      <w:r w:rsidRPr="009D048A">
        <w:rPr>
          <w:rFonts w:ascii="Times New Roman" w:hAnsi="Times New Roman" w:cs="Times New Roman"/>
          <w:sz w:val="21"/>
          <w:szCs w:val="21"/>
        </w:rPr>
        <w:t xml:space="preserve"> 53(1):205-214.</w:t>
      </w:r>
    </w:p>
    <w:p w14:paraId="07259E79"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7BEBB9CA">
          <v:rect id="_x0000_i1027" alt="" style="width:468pt;height:.05pt;mso-width-percent:0;mso-height-percent:0;mso-width-percent:0;mso-height-percent:0" o:hralign="center" o:hrstd="t" o:hr="t"/>
        </w:pict>
      </w:r>
    </w:p>
    <w:p w14:paraId="493D4F83" w14:textId="77777777" w:rsidR="00506C35" w:rsidRPr="009D048A" w:rsidRDefault="00000000">
      <w:pPr>
        <w:pStyle w:val="Heading2"/>
        <w:rPr>
          <w:rFonts w:ascii="Times New Roman" w:hAnsi="Times New Roman" w:cs="Times New Roman"/>
          <w:sz w:val="24"/>
          <w:szCs w:val="24"/>
        </w:rPr>
      </w:pPr>
      <w:bookmarkStart w:id="106" w:name="X2759e42a5240cd59155fb174574577f1d7abde4"/>
      <w:bookmarkEnd w:id="105"/>
      <w:r w:rsidRPr="009D048A">
        <w:rPr>
          <w:rFonts w:ascii="Times New Roman" w:hAnsi="Times New Roman" w:cs="Times New Roman"/>
          <w:sz w:val="24"/>
          <w:szCs w:val="24"/>
        </w:rPr>
        <w:t xml:space="preserve">Appendix A: Step-by-Step Algebra for the </w:t>
      </w:r>
      <m:oMath>
        <m:sSup>
          <m:sSupPr>
            <m:ctrlPr>
              <w:rPr>
                <w:rFonts w:ascii="Cambria Math" w:hAnsi="Cambria Math" w:cs="Times New Roman"/>
                <w:sz w:val="24"/>
                <w:szCs w:val="24"/>
              </w:rPr>
            </m:ctrlPr>
          </m:sSupPr>
          <m:e>
            <m:r>
              <w:rPr>
                <w:rFonts w:ascii="Cambria Math" w:hAnsi="Cambria Math" w:cs="Times New Roman"/>
                <w:sz w:val="24"/>
                <w:szCs w:val="24"/>
              </w:rPr>
              <m:t>σ</m:t>
            </m:r>
          </m:e>
          <m:sup>
            <m:r>
              <m:rPr>
                <m:sty m:val="p"/>
              </m:rPr>
              <w:rPr>
                <w:rFonts w:ascii="Cambria Math" w:hAnsi="Cambria Math" w:cs="Times New Roman"/>
                <w:sz w:val="24"/>
                <w:szCs w:val="24"/>
              </w:rPr>
              <m:t>*</m:t>
            </m:r>
          </m:sup>
        </m:sSup>
      </m:oMath>
      <w:r w:rsidRPr="009D048A">
        <w:rPr>
          <w:rFonts w:ascii="Times New Roman" w:hAnsi="Times New Roman" w:cs="Times New Roman"/>
          <w:sz w:val="24"/>
          <w:szCs w:val="24"/>
        </w:rPr>
        <w:t xml:space="preserve"> Derivation</w:t>
      </w:r>
    </w:p>
    <w:p w14:paraId="5020405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This appendix presents the complete derivation of the critical threshold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in maximum detail, showing every algebraic step.</w:t>
      </w:r>
    </w:p>
    <w:p w14:paraId="005104BA" w14:textId="77777777" w:rsidR="00506C35" w:rsidRPr="009D048A" w:rsidRDefault="00000000">
      <w:pPr>
        <w:pStyle w:val="Heading3"/>
        <w:rPr>
          <w:rFonts w:ascii="Times New Roman" w:hAnsi="Times New Roman" w:cs="Times New Roman"/>
          <w:sz w:val="22"/>
          <w:szCs w:val="22"/>
        </w:rPr>
      </w:pPr>
      <w:bookmarkStart w:id="107" w:name="X6e85ba474193ead266e3ae3a3a581911c9c2dd7"/>
      <w:r w:rsidRPr="009D048A">
        <w:rPr>
          <w:rFonts w:ascii="Times New Roman" w:hAnsi="Times New Roman" w:cs="Times New Roman"/>
          <w:sz w:val="22"/>
          <w:szCs w:val="22"/>
        </w:rPr>
        <w:t>A.1 Starting Point: The Full Fitness Equations</w:t>
      </w:r>
    </w:p>
    <w:p w14:paraId="3F2F131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Aggregator fitness:</w:t>
      </w:r>
    </w:p>
    <w:p w14:paraId="0BFCF437"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p w14:paraId="02319815"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Independent fitness:</w:t>
      </w:r>
    </w:p>
    <w:p w14:paraId="43A416A6"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0905C0EB" w14:textId="77777777" w:rsidR="00506C35" w:rsidRPr="009D048A" w:rsidRDefault="00000000">
      <w:pPr>
        <w:pStyle w:val="Heading3"/>
        <w:rPr>
          <w:rFonts w:ascii="Times New Roman" w:hAnsi="Times New Roman" w:cs="Times New Roman"/>
          <w:sz w:val="22"/>
          <w:szCs w:val="22"/>
        </w:rPr>
      </w:pPr>
      <w:bookmarkStart w:id="108" w:name="X6b59afa15547f5ae35f14fdf9d3e7fa6c1e9e22"/>
      <w:bookmarkEnd w:id="107"/>
      <w:r w:rsidRPr="009D048A">
        <w:rPr>
          <w:rFonts w:ascii="Times New Roman" w:hAnsi="Times New Roman" w:cs="Times New Roman"/>
          <w:sz w:val="22"/>
          <w:szCs w:val="22"/>
        </w:rPr>
        <w:t>A.2 Define the Composite Cooperation Term</w:t>
      </w:r>
    </w:p>
    <w:p w14:paraId="3CC69CF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To simplify notation, define:</w:t>
      </w:r>
    </w:p>
    <w:p w14:paraId="2A81506E"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m:oMathPara>
    </w:p>
    <w:p w14:paraId="3DF7607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This term bundles together all the “static” (non-</w:t>
      </w:r>
      <m:oMath>
        <m:r>
          <w:rPr>
            <w:rFonts w:ascii="Cambria Math" w:hAnsi="Cambria Math" w:cs="Times New Roman"/>
            <w:sz w:val="21"/>
            <w:szCs w:val="21"/>
          </w:rPr>
          <m:t>σ</m:t>
        </m:r>
      </m:oMath>
      <w:r w:rsidRPr="009D048A">
        <w:rPr>
          <w:rFonts w:ascii="Times New Roman" w:hAnsi="Times New Roman" w:cs="Times New Roman"/>
          <w:sz w:val="21"/>
          <w:szCs w:val="21"/>
        </w:rPr>
        <w:t xml:space="preserve">-dependent) advantages and disadvantages of cooperation: - </w:t>
      </w: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fitness remaining after paying costs -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oMath>
      <w:r w:rsidRPr="009D048A">
        <w:rPr>
          <w:rFonts w:ascii="Times New Roman" w:hAnsi="Times New Roman" w:cs="Times New Roman"/>
          <w:sz w:val="21"/>
          <w:szCs w:val="21"/>
        </w:rPr>
        <w:t xml:space="preserve">: cooperation returns from group size - </w:t>
      </w:r>
      <m:oMath>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oMath>
      <w:r w:rsidRPr="009D048A">
        <w:rPr>
          <w:rFonts w:ascii="Times New Roman" w:hAnsi="Times New Roman" w:cs="Times New Roman"/>
          <w:sz w:val="21"/>
          <w:szCs w:val="21"/>
        </w:rPr>
        <w:t>: reciprocal obligation benefits</w:t>
      </w:r>
    </w:p>
    <w:p w14:paraId="563D2453"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sz w:val="21"/>
          <w:szCs w:val="21"/>
        </w:rPr>
        <w:t>With this substitution, the aggregator fitness simplifies to:</w:t>
      </w:r>
    </w:p>
    <w:p w14:paraId="02A77599"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W</m:t>
              </m:r>
            </m:e>
            <m:sub>
              <m:r>
                <m:rPr>
                  <m:nor/>
                </m:rPr>
                <w:rPr>
                  <w:rFonts w:ascii="Times New Roman" w:hAnsi="Times New Roman" w:cs="Times New Roman"/>
                  <w:sz w:val="21"/>
                  <w:szCs w:val="21"/>
                </w:rPr>
                <m:t>agg</m:t>
              </m:r>
            </m:sub>
          </m:sSub>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σ</m:t>
          </m:r>
          <m:r>
            <m:rPr>
              <m:sty m:val="p"/>
            </m:rPr>
            <w:rPr>
              <w:rFonts w:ascii="Cambria Math" w:hAnsi="Cambria Math" w:cs="Times New Roman"/>
              <w:sz w:val="21"/>
              <w:szCs w:val="21"/>
            </w:rPr>
            <m:t>)</m:t>
          </m:r>
        </m:oMath>
      </m:oMathPara>
    </w:p>
    <w:p w14:paraId="6D572235" w14:textId="77777777" w:rsidR="00506C35" w:rsidRPr="009D048A" w:rsidRDefault="00000000">
      <w:pPr>
        <w:pStyle w:val="Heading3"/>
        <w:rPr>
          <w:rFonts w:ascii="Times New Roman" w:hAnsi="Times New Roman" w:cs="Times New Roman"/>
          <w:sz w:val="22"/>
          <w:szCs w:val="22"/>
        </w:rPr>
      </w:pPr>
      <w:bookmarkStart w:id="109" w:name="a.3-set-equal-at-the-threshold"/>
      <w:bookmarkEnd w:id="108"/>
      <w:r w:rsidRPr="009D048A">
        <w:rPr>
          <w:rFonts w:ascii="Times New Roman" w:hAnsi="Times New Roman" w:cs="Times New Roman"/>
          <w:sz w:val="22"/>
          <w:szCs w:val="22"/>
        </w:rPr>
        <w:t>A.3 Set Equal at the Threshold</w:t>
      </w:r>
    </w:p>
    <w:p w14:paraId="42C82AD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At </w:t>
      </w:r>
      <m:oMath>
        <m:r>
          <w:rPr>
            <w:rFonts w:ascii="Cambria Math" w:hAnsi="Cambria Math" w:cs="Times New Roman"/>
            <w:sz w:val="21"/>
            <w:szCs w:val="21"/>
          </w:rPr>
          <m:t>σ</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both strategies yield equal fitness:</w:t>
      </w:r>
    </w:p>
    <w:p w14:paraId="1421485D"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oMath>
      </m:oMathPara>
    </w:p>
    <w:p w14:paraId="5BE1D6B9" w14:textId="77777777" w:rsidR="00506C35" w:rsidRPr="009D048A" w:rsidRDefault="00000000">
      <w:pPr>
        <w:pStyle w:val="Heading3"/>
        <w:rPr>
          <w:rFonts w:ascii="Times New Roman" w:hAnsi="Times New Roman" w:cs="Times New Roman"/>
          <w:sz w:val="22"/>
          <w:szCs w:val="22"/>
        </w:rPr>
      </w:pPr>
      <w:bookmarkStart w:id="110" w:name="a.4-expand-both-sides"/>
      <w:bookmarkEnd w:id="109"/>
      <w:r w:rsidRPr="009D048A">
        <w:rPr>
          <w:rFonts w:ascii="Times New Roman" w:hAnsi="Times New Roman" w:cs="Times New Roman"/>
          <w:sz w:val="22"/>
          <w:szCs w:val="22"/>
        </w:rPr>
        <w:lastRenderedPageBreak/>
        <w:t>A.4 Expand Both Sides</w:t>
      </w:r>
    </w:p>
    <w:p w14:paraId="01F7673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Left side:</w:t>
      </w:r>
    </w:p>
    <w:p w14:paraId="0B3FE4C1"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2D377AF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Right side:</w:t>
      </w:r>
    </w:p>
    <w:p w14:paraId="447403D9"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31C46F0B"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Full equation:</w:t>
      </w:r>
    </w:p>
    <w:p w14:paraId="57E4B4A3"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p w14:paraId="7BF2C187" w14:textId="77777777" w:rsidR="00506C35" w:rsidRPr="009D048A" w:rsidRDefault="00000000">
      <w:pPr>
        <w:pStyle w:val="Heading3"/>
        <w:rPr>
          <w:rFonts w:ascii="Times New Roman" w:hAnsi="Times New Roman" w:cs="Times New Roman"/>
          <w:sz w:val="22"/>
          <w:szCs w:val="22"/>
        </w:rPr>
      </w:pPr>
      <w:bookmarkStart w:id="111" w:name="a.5-move-all-sigma-terms-to-one-side"/>
      <w:bookmarkEnd w:id="110"/>
      <w:r w:rsidRPr="009D048A">
        <w:rPr>
          <w:rFonts w:ascii="Times New Roman" w:hAnsi="Times New Roman" w:cs="Times New Roman"/>
          <w:sz w:val="22"/>
          <w:szCs w:val="22"/>
        </w:rPr>
        <w:t xml:space="preserve">A.5 Move All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m:t>
            </m:r>
          </m:sup>
        </m:sSup>
      </m:oMath>
      <w:r w:rsidRPr="009D048A">
        <w:rPr>
          <w:rFonts w:ascii="Times New Roman" w:hAnsi="Times New Roman" w:cs="Times New Roman"/>
          <w:sz w:val="22"/>
          <w:szCs w:val="22"/>
        </w:rPr>
        <w:t xml:space="preserve"> Terms to One Side</w:t>
      </w:r>
    </w:p>
    <w:p w14:paraId="2AF762F6"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Add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 xml:space="preserve"> to both sides:</w:t>
      </w:r>
    </w:p>
    <w:p w14:paraId="6F9C4810"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m:oMathPara>
    </w:p>
    <w:p w14:paraId="59857FB4"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Subtract </w:t>
      </w:r>
      <m:oMath>
        <m:r>
          <w:rPr>
            <w:rFonts w:ascii="Cambria Math" w:hAnsi="Cambria Math" w:cs="Times New Roman"/>
            <w:sz w:val="21"/>
            <w:szCs w:val="21"/>
          </w:rPr>
          <m:t>A</m:t>
        </m:r>
      </m:oMath>
      <w:r w:rsidRPr="009D048A">
        <w:rPr>
          <w:rFonts w:ascii="Times New Roman" w:hAnsi="Times New Roman" w:cs="Times New Roman"/>
          <w:sz w:val="21"/>
          <w:szCs w:val="21"/>
        </w:rPr>
        <w:t xml:space="preserve"> from both sides:</w:t>
      </w:r>
    </w:p>
    <w:p w14:paraId="7180F9D3"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A</m:t>
          </m:r>
        </m:oMath>
      </m:oMathPara>
    </w:p>
    <w:p w14:paraId="7BFD00E5" w14:textId="77777777" w:rsidR="00506C35" w:rsidRPr="009D048A" w:rsidRDefault="00000000">
      <w:pPr>
        <w:pStyle w:val="Heading3"/>
        <w:rPr>
          <w:rFonts w:ascii="Times New Roman" w:hAnsi="Times New Roman" w:cs="Times New Roman"/>
          <w:sz w:val="22"/>
          <w:szCs w:val="22"/>
        </w:rPr>
      </w:pPr>
      <w:bookmarkStart w:id="112" w:name="a.6-factor-out-sigma"/>
      <w:bookmarkEnd w:id="111"/>
      <w:r w:rsidRPr="009D048A">
        <w:rPr>
          <w:rFonts w:ascii="Times New Roman" w:hAnsi="Times New Roman" w:cs="Times New Roman"/>
          <w:sz w:val="22"/>
          <w:szCs w:val="22"/>
        </w:rPr>
        <w:t xml:space="preserve">A.6 Factor Out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m:t>
            </m:r>
          </m:sup>
        </m:sSup>
      </m:oMath>
    </w:p>
    <w:p w14:paraId="34184AF3" w14:textId="77777777" w:rsidR="00506C35" w:rsidRPr="009D048A" w:rsidRDefault="00000000">
      <w:pPr>
        <w:pStyle w:val="FirstParagraph"/>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A</m:t>
          </m:r>
        </m:oMath>
      </m:oMathPara>
    </w:p>
    <w:p w14:paraId="23002C90" w14:textId="77777777" w:rsidR="00506C35" w:rsidRPr="009D048A" w:rsidRDefault="00000000">
      <w:pPr>
        <w:pStyle w:val="Heading3"/>
        <w:rPr>
          <w:rFonts w:ascii="Times New Roman" w:hAnsi="Times New Roman" w:cs="Times New Roman"/>
          <w:sz w:val="22"/>
          <w:szCs w:val="22"/>
        </w:rPr>
      </w:pPr>
      <w:bookmarkStart w:id="113" w:name="a.7-solve-for-sigma"/>
      <w:bookmarkEnd w:id="112"/>
      <w:r w:rsidRPr="009D048A">
        <w:rPr>
          <w:rFonts w:ascii="Times New Roman" w:hAnsi="Times New Roman" w:cs="Times New Roman"/>
          <w:sz w:val="22"/>
          <w:szCs w:val="22"/>
        </w:rPr>
        <w:t xml:space="preserve">A.7 Solve for </w:t>
      </w:r>
      <m:oMath>
        <m:sSup>
          <m:sSupPr>
            <m:ctrlPr>
              <w:rPr>
                <w:rFonts w:ascii="Cambria Math" w:hAnsi="Cambria Math" w:cs="Times New Roman"/>
                <w:sz w:val="22"/>
                <w:szCs w:val="22"/>
              </w:rPr>
            </m:ctrlPr>
          </m:sSupPr>
          <m:e>
            <m:r>
              <w:rPr>
                <w:rFonts w:ascii="Cambria Math" w:hAnsi="Cambria Math" w:cs="Times New Roman"/>
                <w:sz w:val="22"/>
                <w:szCs w:val="22"/>
              </w:rPr>
              <m:t>σ</m:t>
            </m:r>
          </m:e>
          <m:sup>
            <m:r>
              <m:rPr>
                <m:sty m:val="p"/>
              </m:rPr>
              <w:rPr>
                <w:rFonts w:ascii="Cambria Math" w:hAnsi="Cambria Math" w:cs="Times New Roman"/>
                <w:sz w:val="22"/>
                <w:szCs w:val="22"/>
              </w:rPr>
              <m:t>*</m:t>
            </m:r>
          </m:sup>
        </m:sSup>
      </m:oMath>
    </w:p>
    <w:p w14:paraId="58BA5372" w14:textId="77777777" w:rsidR="00506C35" w:rsidRPr="009D048A" w:rsidRDefault="00000000">
      <w:pPr>
        <w:pStyle w:val="FirstParagraph"/>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A</m:t>
              </m:r>
            </m:num>
            <m:den>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den>
          </m:f>
        </m:oMath>
      </m:oMathPara>
    </w:p>
    <w:p w14:paraId="7F203306" w14:textId="77777777" w:rsidR="00506C35" w:rsidRPr="009D048A" w:rsidRDefault="00000000">
      <w:pPr>
        <w:pStyle w:val="Heading3"/>
        <w:rPr>
          <w:rFonts w:ascii="Times New Roman" w:hAnsi="Times New Roman" w:cs="Times New Roman"/>
          <w:sz w:val="22"/>
          <w:szCs w:val="22"/>
        </w:rPr>
      </w:pPr>
      <w:bookmarkStart w:id="114" w:name="a.8-substitute-back-the-definition-of-a"/>
      <w:bookmarkEnd w:id="113"/>
      <w:r w:rsidRPr="009D048A">
        <w:rPr>
          <w:rFonts w:ascii="Times New Roman" w:hAnsi="Times New Roman" w:cs="Times New Roman"/>
          <w:sz w:val="22"/>
          <w:szCs w:val="22"/>
        </w:rPr>
        <w:t xml:space="preserve">A.8 Substitute Back the Definition of </w:t>
      </w:r>
      <m:oMath>
        <m:r>
          <w:rPr>
            <w:rFonts w:ascii="Cambria Math" w:hAnsi="Cambria Math" w:cs="Times New Roman"/>
            <w:sz w:val="22"/>
            <w:szCs w:val="22"/>
          </w:rPr>
          <m:t>A</m:t>
        </m:r>
      </m:oMath>
    </w:p>
    <w:p w14:paraId="11525BA1" w14:textId="77777777" w:rsidR="00506C35" w:rsidRPr="009D048A" w:rsidRDefault="00000000">
      <w:pPr>
        <w:pStyle w:val="FirstParagraph"/>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num>
            <m:den>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n</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ε</m:t>
              </m:r>
              <m:r>
                <m:rPr>
                  <m:sty m:val="p"/>
                </m:rPr>
                <w:rPr>
                  <w:rFonts w:ascii="Cambria Math" w:hAnsi="Cambria Math" w:cs="Times New Roman"/>
                  <w:sz w:val="21"/>
                  <w:szCs w:val="21"/>
                </w:rPr>
                <m:t>)</m:t>
              </m:r>
            </m:den>
          </m:f>
        </m:oMath>
      </m:oMathPara>
    </w:p>
    <w:p w14:paraId="1F91D8ED" w14:textId="77777777" w:rsidR="00506C35" w:rsidRPr="009D048A" w:rsidRDefault="00000000">
      <w:pPr>
        <w:pStyle w:val="Heading3"/>
        <w:rPr>
          <w:rFonts w:ascii="Times New Roman" w:hAnsi="Times New Roman" w:cs="Times New Roman"/>
          <w:sz w:val="22"/>
          <w:szCs w:val="22"/>
        </w:rPr>
      </w:pPr>
      <w:bookmarkStart w:id="115" w:name="a.9-worked-example-lamoka-lake"/>
      <w:bookmarkEnd w:id="114"/>
      <w:r w:rsidRPr="009D048A">
        <w:rPr>
          <w:rFonts w:ascii="Times New Roman" w:hAnsi="Times New Roman" w:cs="Times New Roman"/>
          <w:sz w:val="22"/>
          <w:szCs w:val="22"/>
        </w:rPr>
        <w:t>A.9 Worked Example: Lamoka Lake</w:t>
      </w:r>
    </w:p>
    <w:p w14:paraId="393BC0B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Given values:</w:t>
      </w:r>
      <w:r w:rsidRPr="009D048A">
        <w:rPr>
          <w:rFonts w:ascii="Times New Roman" w:hAnsi="Times New Roman" w:cs="Times New Roman"/>
          <w:sz w:val="21"/>
          <w:szCs w:val="21"/>
        </w:rPr>
        <w:t xml:space="preserve"> - </w:t>
      </w:r>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r>
          <m:rPr>
            <m:sty m:val="p"/>
          </m:rPr>
          <w:rPr>
            <w:rFonts w:ascii="Cambria Math" w:hAnsi="Cambria Math" w:cs="Times New Roman"/>
            <w:sz w:val="21"/>
            <w:szCs w:val="21"/>
          </w:rPr>
          <m:t>=</m:t>
        </m:r>
        <m:r>
          <w:rPr>
            <w:rFonts w:ascii="Cambria Math" w:hAnsi="Cambria Math" w:cs="Times New Roman"/>
            <w:sz w:val="21"/>
            <w:szCs w:val="21"/>
          </w:rPr>
          <m:t>0.30</m:t>
        </m:r>
      </m:oMath>
      <w:r w:rsidRPr="009D048A">
        <w:rPr>
          <w:rFonts w:ascii="Times New Roman" w:hAnsi="Times New Roman" w:cs="Times New Roman"/>
          <w:sz w:val="21"/>
          <w:szCs w:val="21"/>
        </w:rPr>
        <w:t xml:space="preserve"> - </w:t>
      </w:r>
      <m:oMath>
        <m:r>
          <w:rPr>
            <w:rFonts w:ascii="Cambria Math" w:hAnsi="Cambria Math" w:cs="Times New Roman"/>
            <w:sz w:val="21"/>
            <w:szCs w:val="21"/>
          </w:rPr>
          <m:t>f</m:t>
        </m:r>
        <m:r>
          <m:rPr>
            <m:sty m:val="p"/>
          </m:rPr>
          <w:rPr>
            <w:rFonts w:ascii="Cambria Math" w:hAnsi="Cambria Math" w:cs="Times New Roman"/>
            <w:sz w:val="21"/>
            <w:szCs w:val="21"/>
          </w:rPr>
          <m:t>(</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0.10</m:t>
        </m:r>
        <m:r>
          <m:rPr>
            <m:sty m:val="p"/>
          </m:rPr>
          <w:rPr>
            <w:rFonts w:ascii="Cambria Math" w:hAnsi="Cambria Math" w:cs="Times New Roman"/>
            <w:sz w:val="21"/>
            <w:szCs w:val="21"/>
          </w:rPr>
          <m:t>×ln(</m:t>
        </m:r>
        <m:r>
          <w:rPr>
            <w:rFonts w:ascii="Cambria Math" w:hAnsi="Cambria Math" w:cs="Times New Roman"/>
            <w:sz w:val="21"/>
            <w:szCs w:val="21"/>
          </w:rPr>
          <m:t>12</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0.10</m:t>
        </m:r>
        <m:r>
          <m:rPr>
            <m:sty m:val="p"/>
          </m:rPr>
          <w:rPr>
            <w:rFonts w:ascii="Cambria Math" w:hAnsi="Cambria Math" w:cs="Times New Roman"/>
            <w:sz w:val="21"/>
            <w:szCs w:val="21"/>
          </w:rPr>
          <m:t>×</m:t>
        </m:r>
        <m:r>
          <w:rPr>
            <w:rFonts w:ascii="Cambria Math" w:hAnsi="Cambria Math" w:cs="Times New Roman"/>
            <w:sz w:val="21"/>
            <w:szCs w:val="21"/>
          </w:rPr>
          <m:t>2.485</m:t>
        </m:r>
        <m:r>
          <m:rPr>
            <m:sty m:val="p"/>
          </m:rPr>
          <w:rPr>
            <w:rFonts w:ascii="Cambria Math" w:hAnsi="Cambria Math" w:cs="Times New Roman"/>
            <w:sz w:val="21"/>
            <w:szCs w:val="21"/>
          </w:rPr>
          <m:t>=</m:t>
        </m:r>
        <m:r>
          <w:rPr>
            <w:rFonts w:ascii="Cambria Math" w:hAnsi="Cambria Math" w:cs="Times New Roman"/>
            <w:sz w:val="21"/>
            <w:szCs w:val="21"/>
          </w:rPr>
          <m:t>1.249</m:t>
        </m:r>
      </m:oMath>
      <w:r w:rsidRPr="009D048A">
        <w:rPr>
          <w:rFonts w:ascii="Times New Roman" w:hAnsi="Times New Roman" w:cs="Times New Roman"/>
          <w:sz w:val="21"/>
          <w:szCs w:val="21"/>
        </w:rPr>
        <w:t xml:space="preserve"> - </w:t>
      </w:r>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r>
          <m:rPr>
            <m:sty m:val="p"/>
          </m:rPr>
          <w:rPr>
            <w:rFonts w:ascii="Cambria Math" w:hAnsi="Cambria Math" w:cs="Times New Roman"/>
            <w:sz w:val="21"/>
            <w:szCs w:val="21"/>
          </w:rPr>
          <m:t>=</m:t>
        </m:r>
        <m:r>
          <w:rPr>
            <w:rFonts w:ascii="Cambria Math" w:hAnsi="Cambria Math" w:cs="Times New Roman"/>
            <w:sz w:val="21"/>
            <w:szCs w:val="21"/>
          </w:rPr>
          <m:t>0.05</m:t>
        </m:r>
      </m:oMath>
      <w:r w:rsidRPr="009D048A">
        <w:rPr>
          <w:rFonts w:ascii="Times New Roman" w:hAnsi="Times New Roman" w:cs="Times New Roman"/>
          <w:sz w:val="21"/>
          <w:szCs w:val="21"/>
        </w:rPr>
        <w:t xml:space="preserve"> - </w:t>
      </w: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1.08</m:t>
        </m:r>
      </m:oMath>
      <w:r w:rsidRPr="009D048A">
        <w:rPr>
          <w:rFonts w:ascii="Times New Roman" w:hAnsi="Times New Roman" w:cs="Times New Roman"/>
          <w:sz w:val="21"/>
          <w:szCs w:val="21"/>
        </w:rPr>
        <w:t xml:space="preserve"> - </w:t>
      </w:r>
      <m:oMath>
        <m:r>
          <w:rPr>
            <w:rFonts w:ascii="Cambria Math" w:hAnsi="Cambria Math" w:cs="Times New Roman"/>
            <w:sz w:val="21"/>
            <w:szCs w:val="21"/>
          </w:rPr>
          <m:t>α</m:t>
        </m:r>
        <m:r>
          <m:rPr>
            <m:sty m:val="p"/>
          </m:rPr>
          <w:rPr>
            <w:rFonts w:ascii="Cambria Math" w:hAnsi="Cambria Math" w:cs="Times New Roman"/>
            <w:sz w:val="21"/>
            <w:szCs w:val="21"/>
          </w:rPr>
          <m:t>=</m:t>
        </m:r>
        <m:r>
          <w:rPr>
            <w:rFonts w:ascii="Cambria Math" w:hAnsi="Cambria Math" w:cs="Times New Roman"/>
            <w:sz w:val="21"/>
            <w:szCs w:val="21"/>
          </w:rPr>
          <m:t>0.35</m:t>
        </m:r>
      </m:oMath>
      <w:r w:rsidRPr="009D048A">
        <w:rPr>
          <w:rFonts w:ascii="Times New Roman" w:hAnsi="Times New Roman" w:cs="Times New Roman"/>
          <w:sz w:val="21"/>
          <w:szCs w:val="21"/>
        </w:rPr>
        <w:t xml:space="preserve"> - </w:t>
      </w:r>
      <m:oMath>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0.70</m:t>
        </m:r>
      </m:oMath>
      <w:r w:rsidRPr="009D048A">
        <w:rPr>
          <w:rFonts w:ascii="Times New Roman" w:hAnsi="Times New Roman" w:cs="Times New Roman"/>
          <w:sz w:val="21"/>
          <w:szCs w:val="21"/>
        </w:rPr>
        <w:t xml:space="preserve"> - </w:t>
      </w:r>
      <m:oMath>
        <m:r>
          <w:rPr>
            <w:rFonts w:ascii="Cambria Math" w:hAnsi="Cambria Math" w:cs="Times New Roman"/>
            <w:sz w:val="21"/>
            <w:szCs w:val="21"/>
          </w:rPr>
          <m:t>ε</m:t>
        </m:r>
        <m:r>
          <m:rPr>
            <m:sty m:val="p"/>
          </m:rPr>
          <w:rPr>
            <w:rFonts w:ascii="Cambria Math" w:hAnsi="Cambria Math" w:cs="Times New Roman"/>
            <w:sz w:val="21"/>
            <w:szCs w:val="21"/>
          </w:rPr>
          <m:t>=</m:t>
        </m:r>
        <m:r>
          <w:rPr>
            <w:rFonts w:ascii="Cambria Math" w:hAnsi="Cambria Math" w:cs="Times New Roman"/>
            <w:sz w:val="21"/>
            <w:szCs w:val="21"/>
          </w:rPr>
          <m:t>0.30</m:t>
        </m:r>
      </m:oMath>
    </w:p>
    <w:p w14:paraId="445DAE75"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Step 1:</w:t>
      </w:r>
      <w:r w:rsidRPr="009D048A">
        <w:rPr>
          <w:rFonts w:ascii="Times New Roman" w:hAnsi="Times New Roman" w:cs="Times New Roman"/>
          <w:sz w:val="21"/>
          <w:szCs w:val="21"/>
        </w:rPr>
        <w:t xml:space="preserve"> Calculate </w:t>
      </w:r>
      <m:oMath>
        <m:r>
          <w:rPr>
            <w:rFonts w:ascii="Cambria Math" w:hAnsi="Cambria Math" w:cs="Times New Roman"/>
            <w:sz w:val="21"/>
            <w:szCs w:val="21"/>
          </w:rPr>
          <m:t>A</m:t>
        </m:r>
      </m:oMath>
      <w:r w:rsidRPr="009D048A">
        <w:rPr>
          <w:rFonts w:ascii="Times New Roman" w:hAnsi="Times New Roman" w:cs="Times New Roman"/>
          <w:sz w:val="21"/>
          <w:szCs w:val="21"/>
        </w:rPr>
        <w:t>:</w:t>
      </w:r>
    </w:p>
    <w:p w14:paraId="58FAA741" w14:textId="77777777" w:rsidR="00506C35" w:rsidRPr="009D048A" w:rsidRDefault="00000000">
      <w:pPr>
        <w:pStyle w:val="BodyText"/>
        <w:rPr>
          <w:rFonts w:ascii="Times New Roman" w:hAnsi="Times New Roman" w:cs="Times New Roman"/>
          <w:sz w:val="21"/>
          <w:szCs w:val="21"/>
        </w:rPr>
      </w:pPr>
      <m:oMathPara>
        <m:oMathParaPr>
          <m:jc m:val="center"/>
        </m:oMathParaPr>
        <m:oMath>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0.30</m:t>
          </m:r>
          <m:r>
            <m:rPr>
              <m:sty m:val="p"/>
            </m:rPr>
            <w:rPr>
              <w:rFonts w:ascii="Cambria Math" w:hAnsi="Cambria Math" w:cs="Times New Roman"/>
              <w:sz w:val="21"/>
              <w:szCs w:val="21"/>
            </w:rPr>
            <m:t>)×</m:t>
          </m:r>
          <m:r>
            <w:rPr>
              <w:rFonts w:ascii="Cambria Math" w:hAnsi="Cambria Math" w:cs="Times New Roman"/>
              <w:sz w:val="21"/>
              <w:szCs w:val="21"/>
            </w:rPr>
            <m:t>1.249</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0.05</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1.249</m:t>
          </m:r>
          <m:r>
            <m:rPr>
              <m:sty m:val="p"/>
            </m:rPr>
            <w:rPr>
              <w:rFonts w:ascii="Cambria Math" w:hAnsi="Cambria Math" w:cs="Times New Roman"/>
              <w:sz w:val="21"/>
              <w:szCs w:val="21"/>
            </w:rPr>
            <m:t>×</m:t>
          </m:r>
          <m:r>
            <w:rPr>
              <w:rFonts w:ascii="Cambria Math" w:hAnsi="Cambria Math" w:cs="Times New Roman"/>
              <w:sz w:val="21"/>
              <w:szCs w:val="21"/>
            </w:rPr>
            <m:t>1.05</m:t>
          </m:r>
          <m:r>
            <m:rPr>
              <m:sty m:val="p"/>
            </m:rPr>
            <w:rPr>
              <w:rFonts w:ascii="Cambria Math" w:hAnsi="Cambria Math" w:cs="Times New Roman"/>
              <w:sz w:val="21"/>
              <w:szCs w:val="21"/>
            </w:rPr>
            <m:t>=</m:t>
          </m:r>
          <m:r>
            <w:rPr>
              <w:rFonts w:ascii="Cambria Math" w:hAnsi="Cambria Math" w:cs="Times New Roman"/>
              <w:sz w:val="21"/>
              <w:szCs w:val="21"/>
            </w:rPr>
            <m:t>0.918</m:t>
          </m:r>
        </m:oMath>
      </m:oMathPara>
    </w:p>
    <w:p w14:paraId="22EF3FE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Step 2:</w:t>
      </w:r>
      <w:r w:rsidRPr="009D048A">
        <w:rPr>
          <w:rFonts w:ascii="Times New Roman" w:hAnsi="Times New Roman" w:cs="Times New Roman"/>
          <w:sz w:val="21"/>
          <w:szCs w:val="21"/>
        </w:rPr>
        <w:t xml:space="preserve"> Calculate </w:t>
      </w: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oMath>
      <w:r w:rsidRPr="009D048A">
        <w:rPr>
          <w:rFonts w:ascii="Times New Roman" w:hAnsi="Times New Roman" w:cs="Times New Roman"/>
          <w:sz w:val="21"/>
          <w:szCs w:val="21"/>
        </w:rPr>
        <w:t>:</w:t>
      </w:r>
    </w:p>
    <w:p w14:paraId="4F737235"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0.35</m:t>
          </m:r>
          <m:r>
            <m:rPr>
              <m:sty m:val="p"/>
            </m:rPr>
            <w:rPr>
              <w:rFonts w:ascii="Cambria Math" w:hAnsi="Cambria Math" w:cs="Times New Roman"/>
              <w:sz w:val="21"/>
              <w:szCs w:val="21"/>
            </w:rPr>
            <m:t>×(</m:t>
          </m:r>
          <m:r>
            <w:rPr>
              <w:rFonts w:ascii="Cambria Math" w:hAnsi="Cambria Math" w:cs="Times New Roman"/>
              <w:sz w:val="21"/>
              <w:szCs w:val="21"/>
            </w:rPr>
            <m:t>1</m:t>
          </m:r>
          <m:r>
            <m:rPr>
              <m:sty m:val="p"/>
            </m:rPr>
            <w:rPr>
              <w:rFonts w:ascii="Cambria Math" w:hAnsi="Cambria Math" w:cs="Times New Roman"/>
              <w:sz w:val="21"/>
              <w:szCs w:val="21"/>
            </w:rPr>
            <m:t>-</m:t>
          </m:r>
          <m:r>
            <w:rPr>
              <w:rFonts w:ascii="Cambria Math" w:hAnsi="Cambria Math" w:cs="Times New Roman"/>
              <w:sz w:val="21"/>
              <w:szCs w:val="21"/>
            </w:rPr>
            <m:t>0.30</m:t>
          </m:r>
          <m:r>
            <m:rPr>
              <m:sty m:val="p"/>
            </m:rPr>
            <w:rPr>
              <w:rFonts w:ascii="Cambria Math" w:hAnsi="Cambria Math" w:cs="Times New Roman"/>
              <w:sz w:val="21"/>
              <w:szCs w:val="21"/>
            </w:rPr>
            <m:t>)=</m:t>
          </m:r>
          <m:r>
            <w:rPr>
              <w:rFonts w:ascii="Cambria Math" w:hAnsi="Cambria Math" w:cs="Times New Roman"/>
              <w:sz w:val="21"/>
              <w:szCs w:val="21"/>
            </w:rPr>
            <m:t>0.35</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0.245</m:t>
          </m:r>
        </m:oMath>
      </m:oMathPara>
    </w:p>
    <w:p w14:paraId="1AF14DAC"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Step 3:</w:t>
      </w:r>
      <w:r w:rsidRPr="009D048A">
        <w:rPr>
          <w:rFonts w:ascii="Times New Roman" w:hAnsi="Times New Roman" w:cs="Times New Roman"/>
          <w:sz w:val="21"/>
          <w:szCs w:val="21"/>
        </w:rPr>
        <w:t xml:space="preserve"> Calculate numerator:</w:t>
      </w:r>
    </w:p>
    <w:p w14:paraId="363D80F9"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0.918</m:t>
          </m:r>
          <m:r>
            <m:rPr>
              <m:sty m:val="p"/>
            </m:rPr>
            <w:rPr>
              <w:rFonts w:ascii="Cambria Math" w:hAnsi="Cambria Math" w:cs="Times New Roman"/>
              <w:sz w:val="21"/>
              <w:szCs w:val="21"/>
            </w:rPr>
            <m:t>=</m:t>
          </m:r>
          <m:r>
            <w:rPr>
              <w:rFonts w:ascii="Cambria Math" w:hAnsi="Cambria Math" w:cs="Times New Roman"/>
              <w:sz w:val="21"/>
              <w:szCs w:val="21"/>
            </w:rPr>
            <m:t>0.162</m:t>
          </m:r>
        </m:oMath>
      </m:oMathPara>
    </w:p>
    <w:p w14:paraId="7089A0DA"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Step 4:</w:t>
      </w:r>
      <w:r w:rsidRPr="009D048A">
        <w:rPr>
          <w:rFonts w:ascii="Times New Roman" w:hAnsi="Times New Roman" w:cs="Times New Roman"/>
          <w:sz w:val="21"/>
          <w:szCs w:val="21"/>
        </w:rPr>
        <w:t xml:space="preserve"> Calculate denominator:</w:t>
      </w:r>
    </w:p>
    <w:p w14:paraId="6AECC793" w14:textId="77777777" w:rsidR="00506C35" w:rsidRPr="009D048A" w:rsidRDefault="00000000">
      <w:pPr>
        <w:pStyle w:val="BodyText"/>
        <w:rPr>
          <w:rFonts w:ascii="Times New Roman" w:hAnsi="Times New Roman" w:cs="Times New Roman"/>
          <w:sz w:val="21"/>
          <w:szCs w:val="21"/>
        </w:rPr>
      </w:pPr>
      <m:oMathPara>
        <m:oMathParaPr>
          <m:jc m:val="center"/>
        </m:oMathParaPr>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r>
            <m:rPr>
              <m:sty m:val="p"/>
            </m:rPr>
            <w:rPr>
              <w:rFonts w:ascii="Cambria Math" w:hAnsi="Cambria Math" w:cs="Times New Roman"/>
              <w:sz w:val="21"/>
              <w:szCs w:val="21"/>
            </w:rPr>
            <m:t>⋅</m:t>
          </m:r>
          <m:r>
            <w:rPr>
              <w:rFonts w:ascii="Cambria Math" w:hAnsi="Cambria Math" w:cs="Times New Roman"/>
              <w:sz w:val="21"/>
              <w:szCs w:val="21"/>
            </w:rPr>
            <m:t>β</m:t>
          </m:r>
          <m:r>
            <m:rPr>
              <m:sty m:val="p"/>
            </m:rPr>
            <w:rPr>
              <w:rFonts w:ascii="Cambria Math" w:hAnsi="Cambria Math" w:cs="Times New Roman"/>
              <w:sz w:val="21"/>
              <w:szCs w:val="21"/>
            </w:rPr>
            <m:t>-</m:t>
          </m:r>
          <m:r>
            <w:rPr>
              <w:rFonts w:ascii="Cambria Math" w:hAnsi="Cambria Math" w:cs="Times New Roman"/>
              <w:sz w:val="21"/>
              <w:szCs w:val="21"/>
            </w:rPr>
            <m:t>A</m:t>
          </m:r>
          <m:r>
            <m:rPr>
              <m:sty m:val="p"/>
            </m:rPr>
            <w:rPr>
              <w:rFonts w:ascii="Cambria Math" w:hAnsi="Cambria Math" w:cs="Times New Roman"/>
              <w:sz w:val="21"/>
              <w:szCs w:val="21"/>
            </w:rPr>
            <m:t>⋅</m:t>
          </m:r>
          <m:sSub>
            <m:sSubPr>
              <m:ctrlPr>
                <w:rPr>
                  <w:rFonts w:ascii="Cambria Math" w:hAnsi="Cambria Math" w:cs="Times New Roman"/>
                  <w:sz w:val="21"/>
                  <w:szCs w:val="21"/>
                </w:rPr>
              </m:ctrlPr>
            </m:sSubPr>
            <m:e>
              <m:r>
                <w:rPr>
                  <w:rFonts w:ascii="Cambria Math" w:hAnsi="Cambria Math" w:cs="Times New Roman"/>
                  <w:sz w:val="21"/>
                  <w:szCs w:val="21"/>
                </w:rPr>
                <m:t>α</m:t>
              </m:r>
            </m:e>
            <m:sub>
              <m:r>
                <m:rPr>
                  <m:nor/>
                </m:rPr>
                <w:rPr>
                  <w:rFonts w:ascii="Times New Roman" w:hAnsi="Times New Roman" w:cs="Times New Roman"/>
                  <w:sz w:val="21"/>
                  <w:szCs w:val="21"/>
                </w:rPr>
                <m:t>eff</m:t>
              </m:r>
            </m:sub>
          </m:sSub>
          <m:r>
            <m:rPr>
              <m:sty m:val="p"/>
            </m:rPr>
            <w:rPr>
              <w:rFonts w:ascii="Cambria Math" w:hAnsi="Cambria Math" w:cs="Times New Roman"/>
              <w:sz w:val="21"/>
              <w:szCs w:val="21"/>
            </w:rPr>
            <m:t>=</m:t>
          </m:r>
          <m:r>
            <w:rPr>
              <w:rFonts w:ascii="Cambria Math" w:hAnsi="Cambria Math" w:cs="Times New Roman"/>
              <w:sz w:val="21"/>
              <w:szCs w:val="21"/>
            </w:rPr>
            <m:t>1.08</m:t>
          </m:r>
          <m:r>
            <m:rPr>
              <m:sty m:val="p"/>
            </m:rPr>
            <w:rPr>
              <w:rFonts w:ascii="Cambria Math" w:hAnsi="Cambria Math" w:cs="Times New Roman"/>
              <w:sz w:val="21"/>
              <w:szCs w:val="21"/>
            </w:rPr>
            <m:t>×</m:t>
          </m:r>
          <m:r>
            <w:rPr>
              <w:rFonts w:ascii="Cambria Math" w:hAnsi="Cambria Math" w:cs="Times New Roman"/>
              <w:sz w:val="21"/>
              <w:szCs w:val="21"/>
            </w:rPr>
            <m:t>0.70</m:t>
          </m:r>
          <m:r>
            <m:rPr>
              <m:sty m:val="p"/>
            </m:rPr>
            <w:rPr>
              <w:rFonts w:ascii="Cambria Math" w:hAnsi="Cambria Math" w:cs="Times New Roman"/>
              <w:sz w:val="21"/>
              <w:szCs w:val="21"/>
            </w:rPr>
            <m:t>-</m:t>
          </m:r>
          <m:r>
            <w:rPr>
              <w:rFonts w:ascii="Cambria Math" w:hAnsi="Cambria Math" w:cs="Times New Roman"/>
              <w:sz w:val="21"/>
              <w:szCs w:val="21"/>
            </w:rPr>
            <m:t>0.918</m:t>
          </m:r>
          <m:r>
            <m:rPr>
              <m:sty m:val="p"/>
            </m:rPr>
            <w:rPr>
              <w:rFonts w:ascii="Cambria Math" w:hAnsi="Cambria Math" w:cs="Times New Roman"/>
              <w:sz w:val="21"/>
              <w:szCs w:val="21"/>
            </w:rPr>
            <m:t>×</m:t>
          </m:r>
          <m:r>
            <w:rPr>
              <w:rFonts w:ascii="Cambria Math" w:hAnsi="Cambria Math" w:cs="Times New Roman"/>
              <w:sz w:val="21"/>
              <w:szCs w:val="21"/>
            </w:rPr>
            <m:t>0.245</m:t>
          </m:r>
          <m:r>
            <m:rPr>
              <m:sty m:val="p"/>
            </m:rPr>
            <w:rPr>
              <w:rFonts w:ascii="Cambria Math" w:hAnsi="Cambria Math" w:cs="Times New Roman"/>
              <w:sz w:val="21"/>
              <w:szCs w:val="21"/>
            </w:rPr>
            <m:t>=</m:t>
          </m:r>
          <m:r>
            <w:rPr>
              <w:rFonts w:ascii="Cambria Math" w:hAnsi="Cambria Math" w:cs="Times New Roman"/>
              <w:sz w:val="21"/>
              <w:szCs w:val="21"/>
            </w:rPr>
            <m:t>0.756</m:t>
          </m:r>
          <m:r>
            <m:rPr>
              <m:sty m:val="p"/>
            </m:rPr>
            <w:rPr>
              <w:rFonts w:ascii="Cambria Math" w:hAnsi="Cambria Math" w:cs="Times New Roman"/>
              <w:sz w:val="21"/>
              <w:szCs w:val="21"/>
            </w:rPr>
            <m:t>-</m:t>
          </m:r>
          <m:r>
            <w:rPr>
              <w:rFonts w:ascii="Cambria Math" w:hAnsi="Cambria Math" w:cs="Times New Roman"/>
              <w:sz w:val="21"/>
              <w:szCs w:val="21"/>
            </w:rPr>
            <m:t>0.225</m:t>
          </m:r>
          <m:r>
            <m:rPr>
              <m:sty m:val="p"/>
            </m:rPr>
            <w:rPr>
              <w:rFonts w:ascii="Cambria Math" w:hAnsi="Cambria Math" w:cs="Times New Roman"/>
              <w:sz w:val="21"/>
              <w:szCs w:val="21"/>
            </w:rPr>
            <m:t>=</m:t>
          </m:r>
          <m:r>
            <w:rPr>
              <w:rFonts w:ascii="Cambria Math" w:hAnsi="Cambria Math" w:cs="Times New Roman"/>
              <w:sz w:val="21"/>
              <w:szCs w:val="21"/>
            </w:rPr>
            <m:t>0.531</m:t>
          </m:r>
        </m:oMath>
      </m:oMathPara>
    </w:p>
    <w:p w14:paraId="18B14053"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lastRenderedPageBreak/>
        <w:t>Step 5:</w:t>
      </w:r>
      <w:r w:rsidRPr="009D048A">
        <w:rPr>
          <w:rFonts w:ascii="Times New Roman" w:hAnsi="Times New Roman" w:cs="Times New Roman"/>
          <w:sz w:val="21"/>
          <w:szCs w:val="21"/>
        </w:rPr>
        <w:t xml:space="preserve"> Calculate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w:r w:rsidRPr="009D048A">
        <w:rPr>
          <w:rFonts w:ascii="Times New Roman" w:hAnsi="Times New Roman" w:cs="Times New Roman"/>
          <w:sz w:val="21"/>
          <w:szCs w:val="21"/>
        </w:rPr>
        <w:t>:</w:t>
      </w:r>
    </w:p>
    <w:p w14:paraId="62FD759C" w14:textId="77777777" w:rsidR="00506C35" w:rsidRPr="009D048A" w:rsidRDefault="00000000">
      <w:pPr>
        <w:pStyle w:val="BodyText"/>
        <w:rPr>
          <w:rFonts w:ascii="Times New Roman" w:hAnsi="Times New Roman" w:cs="Times New Roman"/>
          <w:sz w:val="21"/>
          <w:szCs w:val="21"/>
        </w:rPr>
      </w:pPr>
      <m:oMathPara>
        <m:oMathParaPr>
          <m:jc m:val="center"/>
        </m:oMathParaP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f>
            <m:fPr>
              <m:ctrlPr>
                <w:rPr>
                  <w:rFonts w:ascii="Cambria Math" w:hAnsi="Cambria Math" w:cs="Times New Roman"/>
                  <w:sz w:val="21"/>
                  <w:szCs w:val="21"/>
                </w:rPr>
              </m:ctrlPr>
            </m:fPr>
            <m:num>
              <m:r>
                <w:rPr>
                  <w:rFonts w:ascii="Cambria Math" w:hAnsi="Cambria Math" w:cs="Times New Roman"/>
                  <w:sz w:val="21"/>
                  <w:szCs w:val="21"/>
                </w:rPr>
                <m:t>0.162</m:t>
              </m:r>
            </m:num>
            <m:den>
              <m:r>
                <w:rPr>
                  <w:rFonts w:ascii="Cambria Math" w:hAnsi="Cambria Math" w:cs="Times New Roman"/>
                  <w:sz w:val="21"/>
                  <w:szCs w:val="21"/>
                </w:rPr>
                <m:t>0.531</m:t>
              </m:r>
            </m:den>
          </m:f>
          <m:r>
            <m:rPr>
              <m:sty m:val="p"/>
            </m:rPr>
            <w:rPr>
              <w:rFonts w:ascii="Cambria Math" w:hAnsi="Cambria Math" w:cs="Times New Roman"/>
              <w:sz w:val="21"/>
              <w:szCs w:val="21"/>
            </w:rPr>
            <m:t>=</m:t>
          </m:r>
          <m:r>
            <w:rPr>
              <w:rFonts w:ascii="Cambria Math" w:hAnsi="Cambria Math" w:cs="Times New Roman"/>
              <w:sz w:val="21"/>
              <w:szCs w:val="21"/>
            </w:rPr>
            <m:t>0.305</m:t>
          </m:r>
        </m:oMath>
      </m:oMathPara>
    </w:p>
    <w:p w14:paraId="3095CA2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Result:</w:t>
      </w:r>
      <w:r w:rsidRPr="009D048A">
        <w:rPr>
          <w:rFonts w:ascii="Times New Roman" w:hAnsi="Times New Roman" w:cs="Times New Roman"/>
          <w:sz w:val="21"/>
          <w:szCs w:val="21"/>
        </w:rPr>
        <w:t xml:space="preserve"> </w:t>
      </w:r>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r>
          <m:rPr>
            <m:sty m:val="p"/>
          </m:rPr>
          <w:rPr>
            <w:rFonts w:ascii="Cambria Math" w:hAnsi="Cambria Math" w:cs="Times New Roman"/>
            <w:sz w:val="21"/>
            <w:szCs w:val="21"/>
          </w:rPr>
          <m:t>≈</m:t>
        </m:r>
        <m:r>
          <w:rPr>
            <w:rFonts w:ascii="Cambria Math" w:hAnsi="Cambria Math" w:cs="Times New Roman"/>
            <w:sz w:val="21"/>
            <w:szCs w:val="21"/>
          </w:rPr>
          <m:t>0.305</m:t>
        </m:r>
      </m:oMath>
      <w:r w:rsidRPr="009D048A">
        <w:rPr>
          <w:rFonts w:ascii="Times New Roman" w:hAnsi="Times New Roman" w:cs="Times New Roman"/>
          <w:sz w:val="21"/>
          <w:szCs w:val="21"/>
        </w:rPr>
        <w:t xml:space="preserve"> for Lamoka Lake.</w:t>
      </w:r>
    </w:p>
    <w:p w14:paraId="7D77E90A" w14:textId="77777777" w:rsidR="00506C35" w:rsidRPr="009D048A" w:rsidRDefault="00000000">
      <w:pPr>
        <w:pStyle w:val="Heading3"/>
        <w:rPr>
          <w:rFonts w:ascii="Times New Roman" w:hAnsi="Times New Roman" w:cs="Times New Roman"/>
          <w:sz w:val="22"/>
          <w:szCs w:val="22"/>
        </w:rPr>
      </w:pPr>
      <w:bookmarkStart w:id="116" w:name="a.10-verification-against-code"/>
      <w:bookmarkEnd w:id="115"/>
      <w:r w:rsidRPr="009D048A">
        <w:rPr>
          <w:rFonts w:ascii="Times New Roman" w:hAnsi="Times New Roman" w:cs="Times New Roman"/>
          <w:sz w:val="22"/>
          <w:szCs w:val="22"/>
        </w:rPr>
        <w:t>A.10 Verification Against Code</w:t>
      </w:r>
    </w:p>
    <w:p w14:paraId="7C342668"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 xml:space="preserve">The </w:t>
      </w:r>
      <w:r w:rsidRPr="009D048A">
        <w:rPr>
          <w:rStyle w:val="VerbatimChar"/>
          <w:rFonts w:ascii="Times New Roman" w:hAnsi="Times New Roman" w:cs="Times New Roman"/>
          <w:sz w:val="20"/>
          <w:szCs w:val="21"/>
        </w:rPr>
        <w:t>parameters.py</w:t>
      </w:r>
      <w:r w:rsidRPr="009D048A">
        <w:rPr>
          <w:rFonts w:ascii="Times New Roman" w:hAnsi="Times New Roman" w:cs="Times New Roman"/>
          <w:sz w:val="21"/>
          <w:szCs w:val="21"/>
        </w:rPr>
        <w:t xml:space="preserve"> implementation in the Lamoka Lake codebase calculates:</w:t>
      </w:r>
    </w:p>
    <w:p w14:paraId="77B254B2" w14:textId="77777777" w:rsidR="00506C35" w:rsidRPr="009D048A" w:rsidRDefault="00000000">
      <w:pPr>
        <w:pStyle w:val="SourceCode"/>
        <w:rPr>
          <w:rFonts w:ascii="Times New Roman" w:hAnsi="Times New Roman" w:cs="Times New Roman"/>
          <w:sz w:val="21"/>
          <w:szCs w:val="21"/>
        </w:rPr>
      </w:pPr>
      <w:r w:rsidRPr="009D048A">
        <w:rPr>
          <w:rStyle w:val="KeywordTok"/>
          <w:rFonts w:ascii="Times New Roman" w:hAnsi="Times New Roman" w:cs="Times New Roman"/>
          <w:sz w:val="20"/>
          <w:szCs w:val="21"/>
        </w:rPr>
        <w:t>def</w:t>
      </w:r>
      <w:r w:rsidRPr="009D048A">
        <w:rPr>
          <w:rStyle w:val="NormalTok"/>
          <w:rFonts w:ascii="Times New Roman" w:hAnsi="Times New Roman" w:cs="Times New Roman"/>
          <w:sz w:val="20"/>
          <w:szCs w:val="21"/>
        </w:rPr>
        <w:t xml:space="preserve"> critical_threshold(epsilon, n, params):</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C_total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params.costs.C_total          </w:t>
      </w:r>
      <w:r w:rsidRPr="009D048A">
        <w:rPr>
          <w:rStyle w:val="CommentTok"/>
          <w:rFonts w:ascii="Times New Roman" w:hAnsi="Times New Roman" w:cs="Times New Roman"/>
          <w:sz w:val="20"/>
          <w:szCs w:val="21"/>
        </w:rPr>
        <w:t># 0.30</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f_n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cooperation_benefit(n, params.cooperation)  </w:t>
      </w:r>
      <w:r w:rsidRPr="009D048A">
        <w:rPr>
          <w:rStyle w:val="CommentTok"/>
          <w:rFonts w:ascii="Times New Roman" w:hAnsi="Times New Roman" w:cs="Times New Roman"/>
          <w:sz w:val="20"/>
          <w:szCs w:val="21"/>
        </w:rPr>
        <w:t># 1.249</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recip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w:t>
      </w:r>
      <w:r w:rsidRPr="009D048A">
        <w:rPr>
          <w:rStyle w:val="FloatTok"/>
          <w:rFonts w:ascii="Times New Roman" w:hAnsi="Times New Roman" w:cs="Times New Roman"/>
          <w:sz w:val="20"/>
          <w:szCs w:val="21"/>
        </w:rPr>
        <w:t>1.0</w:t>
      </w:r>
      <w:r w:rsidRPr="009D048A">
        <w:rPr>
          <w:rStyle w:val="NormalTok"/>
          <w:rFonts w:ascii="Times New Roman" w:hAnsi="Times New Roman" w:cs="Times New Roman"/>
          <w:sz w:val="20"/>
          <w:szCs w:val="21"/>
        </w:rPr>
        <w:t xml:space="preserve">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params.cooperation.B_recip          </w:t>
      </w:r>
      <w:r w:rsidRPr="009D048A">
        <w:rPr>
          <w:rStyle w:val="CommentTok"/>
          <w:rFonts w:ascii="Times New Roman" w:hAnsi="Times New Roman" w:cs="Times New Roman"/>
          <w:sz w:val="20"/>
          <w:szCs w:val="21"/>
        </w:rPr>
        <w:t># 1.05</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R_ind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params.cooperation.R_ind                    </w:t>
      </w:r>
      <w:r w:rsidRPr="009D048A">
        <w:rPr>
          <w:rStyle w:val="CommentTok"/>
          <w:rFonts w:ascii="Times New Roman" w:hAnsi="Times New Roman" w:cs="Times New Roman"/>
          <w:sz w:val="20"/>
          <w:szCs w:val="21"/>
        </w:rPr>
        <w:t># 1.08</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A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w:t>
      </w:r>
      <w:r w:rsidRPr="009D048A">
        <w:rPr>
          <w:rStyle w:val="FloatTok"/>
          <w:rFonts w:ascii="Times New Roman" w:hAnsi="Times New Roman" w:cs="Times New Roman"/>
          <w:sz w:val="20"/>
          <w:szCs w:val="21"/>
        </w:rPr>
        <w:t>1.0</w:t>
      </w:r>
      <w:r w:rsidRPr="009D048A">
        <w:rPr>
          <w:rStyle w:val="NormalTok"/>
          <w:rFonts w:ascii="Times New Roman" w:hAnsi="Times New Roman" w:cs="Times New Roman"/>
          <w:sz w:val="20"/>
          <w:szCs w:val="21"/>
        </w:rPr>
        <w:t xml:space="preserve">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C_total)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f_n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recip                  </w:t>
      </w:r>
      <w:r w:rsidRPr="009D048A">
        <w:rPr>
          <w:rStyle w:val="CommentTok"/>
          <w:rFonts w:ascii="Times New Roman" w:hAnsi="Times New Roman" w:cs="Times New Roman"/>
          <w:sz w:val="20"/>
          <w:szCs w:val="21"/>
        </w:rPr>
        <w:t># 0.918</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alpha_eff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params.vulnerability.alpha_agg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w:t>
      </w:r>
      <w:r w:rsidRPr="009D048A">
        <w:rPr>
          <w:rStyle w:val="FloatTok"/>
          <w:rFonts w:ascii="Times New Roman" w:hAnsi="Times New Roman" w:cs="Times New Roman"/>
          <w:sz w:val="20"/>
          <w:szCs w:val="21"/>
        </w:rPr>
        <w:t>1.0</w:t>
      </w:r>
      <w:r w:rsidRPr="009D048A">
        <w:rPr>
          <w:rStyle w:val="NormalTok"/>
          <w:rFonts w:ascii="Times New Roman" w:hAnsi="Times New Roman" w:cs="Times New Roman"/>
          <w:sz w:val="20"/>
          <w:szCs w:val="21"/>
        </w:rPr>
        <w:t xml:space="preserve">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epsilon)  </w:t>
      </w:r>
      <w:r w:rsidRPr="009D048A">
        <w:rPr>
          <w:rStyle w:val="CommentTok"/>
          <w:rFonts w:ascii="Times New Roman" w:hAnsi="Times New Roman" w:cs="Times New Roman"/>
          <w:sz w:val="20"/>
          <w:szCs w:val="21"/>
        </w:rPr>
        <w:t># 0.245</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denom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R_ind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params.vulnerability.beta_ind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A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alpha_eff </w:t>
      </w:r>
      <w:r w:rsidRPr="009D048A">
        <w:rPr>
          <w:rStyle w:val="CommentTok"/>
          <w:rFonts w:ascii="Times New Roman" w:hAnsi="Times New Roman" w:cs="Times New Roman"/>
          <w:sz w:val="20"/>
          <w:szCs w:val="21"/>
        </w:rPr>
        <w:t># 0.531</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numerator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R_ind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A                               </w:t>
      </w:r>
      <w:r w:rsidRPr="009D048A">
        <w:rPr>
          <w:rStyle w:val="CommentTok"/>
          <w:rFonts w:ascii="Times New Roman" w:hAnsi="Times New Roman" w:cs="Times New Roman"/>
          <w:sz w:val="20"/>
          <w:szCs w:val="21"/>
        </w:rPr>
        <w:t># 0.162</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sigma_star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numerator </w:t>
      </w:r>
      <w:r w:rsidRPr="009D048A">
        <w:rPr>
          <w:rStyle w:val="OperatorTok"/>
          <w:rFonts w:ascii="Times New Roman" w:hAnsi="Times New Roman" w:cs="Times New Roman"/>
          <w:sz w:val="20"/>
          <w:szCs w:val="21"/>
        </w:rPr>
        <w:t>/</w:t>
      </w:r>
      <w:r w:rsidRPr="009D048A">
        <w:rPr>
          <w:rStyle w:val="NormalTok"/>
          <w:rFonts w:ascii="Times New Roman" w:hAnsi="Times New Roman" w:cs="Times New Roman"/>
          <w:sz w:val="20"/>
          <w:szCs w:val="21"/>
        </w:rPr>
        <w:t xml:space="preserve"> denom                      </w:t>
      </w:r>
      <w:r w:rsidRPr="009D048A">
        <w:rPr>
          <w:rStyle w:val="CommentTok"/>
          <w:rFonts w:ascii="Times New Roman" w:hAnsi="Times New Roman" w:cs="Times New Roman"/>
          <w:sz w:val="20"/>
          <w:szCs w:val="21"/>
        </w:rPr>
        <w:t># 0.305</w:t>
      </w:r>
      <w:r w:rsidRPr="009D048A">
        <w:rPr>
          <w:rFonts w:ascii="Times New Roman" w:hAnsi="Times New Roman" w:cs="Times New Roman"/>
          <w:sz w:val="21"/>
          <w:szCs w:val="21"/>
        </w:rPr>
        <w:br/>
      </w:r>
      <w:r w:rsidRPr="009D048A">
        <w:rPr>
          <w:rStyle w:val="NormalTok"/>
          <w:rFonts w:ascii="Times New Roman" w:hAnsi="Times New Roman" w:cs="Times New Roman"/>
          <w:sz w:val="20"/>
          <w:szCs w:val="21"/>
        </w:rPr>
        <w:t xml:space="preserve">    </w:t>
      </w:r>
      <w:r w:rsidRPr="009D048A">
        <w:rPr>
          <w:rStyle w:val="ControlFlowTok"/>
          <w:rFonts w:ascii="Times New Roman" w:hAnsi="Times New Roman" w:cs="Times New Roman"/>
          <w:sz w:val="20"/>
          <w:szCs w:val="21"/>
        </w:rPr>
        <w:t>return</w:t>
      </w:r>
      <w:r w:rsidRPr="009D048A">
        <w:rPr>
          <w:rStyle w:val="NormalTok"/>
          <w:rFonts w:ascii="Times New Roman" w:hAnsi="Times New Roman" w:cs="Times New Roman"/>
          <w:sz w:val="20"/>
          <w:szCs w:val="21"/>
        </w:rPr>
        <w:t xml:space="preserve"> sigma_star</w:t>
      </w:r>
    </w:p>
    <w:p w14:paraId="0F6826AE"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sz w:val="21"/>
          <w:szCs w:val="21"/>
        </w:rPr>
        <w:t>The analytical derivation reproduces the code output exactly.</w:t>
      </w:r>
    </w:p>
    <w:p w14:paraId="29A097FC"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3981DF5B">
          <v:rect id="_x0000_i1026" alt="" style="width:468pt;height:.05pt;mso-width-percent:0;mso-height-percent:0;mso-width-percent:0;mso-height-percent:0" o:hralign="center" o:hrstd="t" o:hr="t"/>
        </w:pict>
      </w:r>
    </w:p>
    <w:p w14:paraId="10F36FEC" w14:textId="77777777" w:rsidR="00506C35" w:rsidRPr="009D048A" w:rsidRDefault="00000000">
      <w:pPr>
        <w:pStyle w:val="Heading2"/>
        <w:rPr>
          <w:rFonts w:ascii="Times New Roman" w:hAnsi="Times New Roman" w:cs="Times New Roman"/>
          <w:sz w:val="24"/>
          <w:szCs w:val="24"/>
        </w:rPr>
      </w:pPr>
      <w:bookmarkStart w:id="117" w:name="Xfcb139ca2df7e09eee1900db806549a06e62391"/>
      <w:bookmarkEnd w:id="106"/>
      <w:bookmarkEnd w:id="116"/>
      <w:r w:rsidRPr="009D048A">
        <w:rPr>
          <w:rFonts w:ascii="Times New Roman" w:hAnsi="Times New Roman" w:cs="Times New Roman"/>
          <w:sz w:val="24"/>
          <w:szCs w:val="24"/>
        </w:rPr>
        <w:t>Appendix B: Complete Parameter Table with Estimation Methods</w:t>
      </w:r>
    </w:p>
    <w:p w14:paraId="66196E40"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B.1. Complete parameters for Lamoka Lake with estimation methods.</w:t>
      </w:r>
    </w:p>
    <w:tbl>
      <w:tblPr>
        <w:tblStyle w:val="Table"/>
        <w:tblW w:w="5000" w:type="pct"/>
        <w:tblLayout w:type="fixed"/>
        <w:tblLook w:val="0020" w:firstRow="1" w:lastRow="0" w:firstColumn="0" w:lastColumn="0" w:noHBand="0" w:noVBand="0"/>
      </w:tblPr>
      <w:tblGrid>
        <w:gridCol w:w="1620"/>
        <w:gridCol w:w="1178"/>
        <w:gridCol w:w="1031"/>
        <w:gridCol w:w="1031"/>
        <w:gridCol w:w="2800"/>
        <w:gridCol w:w="1916"/>
      </w:tblGrid>
      <w:tr w:rsidR="00506C35" w:rsidRPr="009D048A" w14:paraId="21C76AE7"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1340" w:type="dxa"/>
          </w:tcPr>
          <w:p w14:paraId="78A76BF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Parameter</w:t>
            </w:r>
          </w:p>
        </w:tc>
        <w:tc>
          <w:tcPr>
            <w:tcW w:w="974" w:type="dxa"/>
          </w:tcPr>
          <w:p w14:paraId="49E5869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Symbol</w:t>
            </w:r>
          </w:p>
        </w:tc>
        <w:tc>
          <w:tcPr>
            <w:tcW w:w="852" w:type="dxa"/>
          </w:tcPr>
          <w:p w14:paraId="056A5BE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Value</w:t>
            </w:r>
          </w:p>
        </w:tc>
        <w:tc>
          <w:tcPr>
            <w:tcW w:w="852" w:type="dxa"/>
          </w:tcPr>
          <w:p w14:paraId="5C54741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Range</w:t>
            </w:r>
          </w:p>
        </w:tc>
        <w:tc>
          <w:tcPr>
            <w:tcW w:w="2315" w:type="dxa"/>
          </w:tcPr>
          <w:p w14:paraId="2EF6D25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Estimation method</w:t>
            </w:r>
          </w:p>
        </w:tc>
        <w:tc>
          <w:tcPr>
            <w:tcW w:w="1584" w:type="dxa"/>
          </w:tcPr>
          <w:p w14:paraId="4DF0966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Data source</w:t>
            </w:r>
          </w:p>
        </w:tc>
      </w:tr>
      <w:tr w:rsidR="00506C35" w:rsidRPr="009D048A" w14:paraId="0E1ADB1F" w14:textId="77777777">
        <w:tc>
          <w:tcPr>
            <w:tcW w:w="1340" w:type="dxa"/>
          </w:tcPr>
          <w:p w14:paraId="7A5CE63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Environmental</w:t>
            </w:r>
          </w:p>
        </w:tc>
        <w:tc>
          <w:tcPr>
            <w:tcW w:w="974" w:type="dxa"/>
          </w:tcPr>
          <w:p w14:paraId="58F81AE7" w14:textId="77777777" w:rsidR="00506C35" w:rsidRPr="009D048A" w:rsidRDefault="00506C35">
            <w:pPr>
              <w:pStyle w:val="Compact"/>
              <w:rPr>
                <w:rFonts w:ascii="Times New Roman" w:hAnsi="Times New Roman" w:cs="Times New Roman"/>
                <w:sz w:val="21"/>
                <w:szCs w:val="21"/>
              </w:rPr>
            </w:pPr>
          </w:p>
        </w:tc>
        <w:tc>
          <w:tcPr>
            <w:tcW w:w="852" w:type="dxa"/>
          </w:tcPr>
          <w:p w14:paraId="412CEACE" w14:textId="77777777" w:rsidR="00506C35" w:rsidRPr="009D048A" w:rsidRDefault="00506C35">
            <w:pPr>
              <w:pStyle w:val="Compact"/>
              <w:rPr>
                <w:rFonts w:ascii="Times New Roman" w:hAnsi="Times New Roman" w:cs="Times New Roman"/>
                <w:sz w:val="21"/>
                <w:szCs w:val="21"/>
              </w:rPr>
            </w:pPr>
          </w:p>
        </w:tc>
        <w:tc>
          <w:tcPr>
            <w:tcW w:w="852" w:type="dxa"/>
          </w:tcPr>
          <w:p w14:paraId="7338C756" w14:textId="77777777" w:rsidR="00506C35" w:rsidRPr="009D048A" w:rsidRDefault="00506C35">
            <w:pPr>
              <w:pStyle w:val="Compact"/>
              <w:rPr>
                <w:rFonts w:ascii="Times New Roman" w:hAnsi="Times New Roman" w:cs="Times New Roman"/>
                <w:sz w:val="21"/>
                <w:szCs w:val="21"/>
              </w:rPr>
            </w:pPr>
          </w:p>
        </w:tc>
        <w:tc>
          <w:tcPr>
            <w:tcW w:w="2315" w:type="dxa"/>
          </w:tcPr>
          <w:p w14:paraId="64441AA9" w14:textId="77777777" w:rsidR="00506C35" w:rsidRPr="009D048A" w:rsidRDefault="00506C35">
            <w:pPr>
              <w:pStyle w:val="Compact"/>
              <w:rPr>
                <w:rFonts w:ascii="Times New Roman" w:hAnsi="Times New Roman" w:cs="Times New Roman"/>
                <w:sz w:val="21"/>
                <w:szCs w:val="21"/>
              </w:rPr>
            </w:pPr>
          </w:p>
        </w:tc>
        <w:tc>
          <w:tcPr>
            <w:tcW w:w="1584" w:type="dxa"/>
          </w:tcPr>
          <w:p w14:paraId="23BFBF4E" w14:textId="77777777" w:rsidR="00506C35" w:rsidRPr="009D048A" w:rsidRDefault="00506C35">
            <w:pPr>
              <w:pStyle w:val="Compact"/>
              <w:rPr>
                <w:rFonts w:ascii="Times New Roman" w:hAnsi="Times New Roman" w:cs="Times New Roman"/>
                <w:sz w:val="21"/>
                <w:szCs w:val="21"/>
              </w:rPr>
            </w:pPr>
          </w:p>
        </w:tc>
      </w:tr>
      <w:tr w:rsidR="00506C35" w:rsidRPr="009D048A" w14:paraId="7314BAA0" w14:textId="77777777">
        <w:tc>
          <w:tcPr>
            <w:tcW w:w="1340" w:type="dxa"/>
          </w:tcPr>
          <w:p w14:paraId="3754E83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Regional uncertainty</w:t>
            </w:r>
          </w:p>
        </w:tc>
        <w:tc>
          <w:tcPr>
            <w:tcW w:w="974" w:type="dxa"/>
          </w:tcPr>
          <w:p w14:paraId="4F5C4E8E"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σ</m:t>
                </m:r>
              </m:oMath>
            </m:oMathPara>
          </w:p>
        </w:tc>
        <w:tc>
          <w:tcPr>
            <w:tcW w:w="852" w:type="dxa"/>
          </w:tcPr>
          <w:p w14:paraId="233E849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0.45</w:t>
            </w:r>
          </w:p>
        </w:tc>
        <w:tc>
          <w:tcPr>
            <w:tcW w:w="852" w:type="dxa"/>
          </w:tcPr>
          <w:p w14:paraId="30724B8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0.35-0.45</w:t>
            </w:r>
          </w:p>
        </w:tc>
        <w:tc>
          <w:tcPr>
            <w:tcW w:w="2315" w:type="dxa"/>
          </w:tcPr>
          <w:p w14:paraId="2BC7973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CV of annual resource returns</w:t>
            </w:r>
          </w:p>
        </w:tc>
        <w:tc>
          <w:tcPr>
            <w:tcW w:w="1584" w:type="dxa"/>
          </w:tcPr>
          <w:p w14:paraId="2300DC6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Pollen cores, lake sediments, mast variability data</w:t>
            </w:r>
          </w:p>
        </w:tc>
      </w:tr>
      <w:tr w:rsidR="00506C35" w:rsidRPr="009D048A" w14:paraId="29A71C51" w14:textId="77777777">
        <w:tc>
          <w:tcPr>
            <w:tcW w:w="1340" w:type="dxa"/>
          </w:tcPr>
          <w:p w14:paraId="7D48907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Ecotone advantage</w:t>
            </w:r>
          </w:p>
        </w:tc>
        <w:tc>
          <w:tcPr>
            <w:tcW w:w="974" w:type="dxa"/>
          </w:tcPr>
          <w:p w14:paraId="63DA5D13"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ε</m:t>
                </m:r>
              </m:oMath>
            </m:oMathPara>
          </w:p>
        </w:tc>
        <w:tc>
          <w:tcPr>
            <w:tcW w:w="852" w:type="dxa"/>
          </w:tcPr>
          <w:p w14:paraId="4B317EE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w:t>
            </w:r>
          </w:p>
        </w:tc>
        <w:tc>
          <w:tcPr>
            <w:tcW w:w="852" w:type="dxa"/>
          </w:tcPr>
          <w:p w14:paraId="44DDB44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0.20-0.35</w:t>
            </w:r>
          </w:p>
        </w:tc>
        <w:tc>
          <w:tcPr>
            <w:tcW w:w="2315" w:type="dxa"/>
          </w:tcPr>
          <w:p w14:paraId="08595A7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Portfolio theory from zone covariances</w:t>
            </w:r>
          </w:p>
        </w:tc>
        <w:tc>
          <w:tcPr>
            <w:tcW w:w="1584" w:type="dxa"/>
          </w:tcPr>
          <w:p w14:paraId="66F03ED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GIS zone mapping + modern/paleo covariance data</w:t>
            </w:r>
          </w:p>
        </w:tc>
      </w:tr>
      <w:tr w:rsidR="00506C35" w:rsidRPr="009D048A" w14:paraId="6C8AC722" w14:textId="77777777">
        <w:tc>
          <w:tcPr>
            <w:tcW w:w="1340" w:type="dxa"/>
          </w:tcPr>
          <w:p w14:paraId="0AF605F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Vulnerability</w:t>
            </w:r>
          </w:p>
        </w:tc>
        <w:tc>
          <w:tcPr>
            <w:tcW w:w="974" w:type="dxa"/>
          </w:tcPr>
          <w:p w14:paraId="1B50044A" w14:textId="77777777" w:rsidR="00506C35" w:rsidRPr="009D048A" w:rsidRDefault="00506C35">
            <w:pPr>
              <w:pStyle w:val="Compact"/>
              <w:rPr>
                <w:rFonts w:ascii="Times New Roman" w:hAnsi="Times New Roman" w:cs="Times New Roman"/>
                <w:sz w:val="21"/>
                <w:szCs w:val="21"/>
              </w:rPr>
            </w:pPr>
          </w:p>
        </w:tc>
        <w:tc>
          <w:tcPr>
            <w:tcW w:w="852" w:type="dxa"/>
          </w:tcPr>
          <w:p w14:paraId="67C154C3" w14:textId="77777777" w:rsidR="00506C35" w:rsidRPr="009D048A" w:rsidRDefault="00506C35">
            <w:pPr>
              <w:pStyle w:val="Compact"/>
              <w:rPr>
                <w:rFonts w:ascii="Times New Roman" w:hAnsi="Times New Roman" w:cs="Times New Roman"/>
                <w:sz w:val="21"/>
                <w:szCs w:val="21"/>
              </w:rPr>
            </w:pPr>
          </w:p>
        </w:tc>
        <w:tc>
          <w:tcPr>
            <w:tcW w:w="852" w:type="dxa"/>
          </w:tcPr>
          <w:p w14:paraId="7EDD9A6C" w14:textId="77777777" w:rsidR="00506C35" w:rsidRPr="009D048A" w:rsidRDefault="00506C35">
            <w:pPr>
              <w:pStyle w:val="Compact"/>
              <w:rPr>
                <w:rFonts w:ascii="Times New Roman" w:hAnsi="Times New Roman" w:cs="Times New Roman"/>
                <w:sz w:val="21"/>
                <w:szCs w:val="21"/>
              </w:rPr>
            </w:pPr>
          </w:p>
        </w:tc>
        <w:tc>
          <w:tcPr>
            <w:tcW w:w="2315" w:type="dxa"/>
          </w:tcPr>
          <w:p w14:paraId="167A1C6B" w14:textId="77777777" w:rsidR="00506C35" w:rsidRPr="009D048A" w:rsidRDefault="00506C35">
            <w:pPr>
              <w:pStyle w:val="Compact"/>
              <w:rPr>
                <w:rFonts w:ascii="Times New Roman" w:hAnsi="Times New Roman" w:cs="Times New Roman"/>
                <w:sz w:val="21"/>
                <w:szCs w:val="21"/>
              </w:rPr>
            </w:pPr>
          </w:p>
        </w:tc>
        <w:tc>
          <w:tcPr>
            <w:tcW w:w="1584" w:type="dxa"/>
          </w:tcPr>
          <w:p w14:paraId="65A10006" w14:textId="77777777" w:rsidR="00506C35" w:rsidRPr="009D048A" w:rsidRDefault="00506C35">
            <w:pPr>
              <w:pStyle w:val="Compact"/>
              <w:rPr>
                <w:rFonts w:ascii="Times New Roman" w:hAnsi="Times New Roman" w:cs="Times New Roman"/>
                <w:sz w:val="21"/>
                <w:szCs w:val="21"/>
              </w:rPr>
            </w:pPr>
          </w:p>
        </w:tc>
      </w:tr>
      <w:tr w:rsidR="00506C35" w:rsidRPr="009D048A" w14:paraId="054AE76C" w14:textId="77777777">
        <w:tc>
          <w:tcPr>
            <w:tcW w:w="1340" w:type="dxa"/>
          </w:tcPr>
          <w:p w14:paraId="2306653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Aggregator vulnerability</w:t>
            </w:r>
          </w:p>
        </w:tc>
        <w:tc>
          <w:tcPr>
            <w:tcW w:w="974" w:type="dxa"/>
          </w:tcPr>
          <w:p w14:paraId="47654D7D"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α</m:t>
                </m:r>
              </m:oMath>
            </m:oMathPara>
          </w:p>
        </w:tc>
        <w:tc>
          <w:tcPr>
            <w:tcW w:w="852" w:type="dxa"/>
          </w:tcPr>
          <w:p w14:paraId="145A86D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0.35</w:t>
            </w:r>
          </w:p>
        </w:tc>
        <w:tc>
          <w:tcPr>
            <w:tcW w:w="852" w:type="dxa"/>
          </w:tcPr>
          <w:p w14:paraId="6FF36BB9"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0.10-0.50</w:t>
            </w:r>
          </w:p>
        </w:tc>
        <w:tc>
          <w:tcPr>
            <w:tcW w:w="2315" w:type="dxa"/>
          </w:tcPr>
          <w:p w14:paraId="687889F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Mortality rate under shortfall with buffering</w:t>
            </w:r>
          </w:p>
        </w:tc>
        <w:tc>
          <w:tcPr>
            <w:tcW w:w="1584" w:type="dxa"/>
          </w:tcPr>
          <w:p w14:paraId="7350FEC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Faunal diversity, storage capacity, ethnographic analogs</w:t>
            </w:r>
          </w:p>
        </w:tc>
      </w:tr>
      <w:tr w:rsidR="00506C35" w:rsidRPr="009D048A" w14:paraId="7F0FD00F" w14:textId="77777777">
        <w:tc>
          <w:tcPr>
            <w:tcW w:w="1340" w:type="dxa"/>
          </w:tcPr>
          <w:p w14:paraId="259CC68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Independent vulnerability</w:t>
            </w:r>
          </w:p>
        </w:tc>
        <w:tc>
          <w:tcPr>
            <w:tcW w:w="974" w:type="dxa"/>
          </w:tcPr>
          <w:p w14:paraId="0A789D35"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β</m:t>
                </m:r>
              </m:oMath>
            </m:oMathPara>
          </w:p>
        </w:tc>
        <w:tc>
          <w:tcPr>
            <w:tcW w:w="852" w:type="dxa"/>
          </w:tcPr>
          <w:p w14:paraId="5033B94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0.70</w:t>
            </w:r>
          </w:p>
        </w:tc>
        <w:tc>
          <w:tcPr>
            <w:tcW w:w="852" w:type="dxa"/>
          </w:tcPr>
          <w:p w14:paraId="6B575CB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0.50-0.95</w:t>
            </w:r>
          </w:p>
        </w:tc>
        <w:tc>
          <w:tcPr>
            <w:tcW w:w="2315" w:type="dxa"/>
          </w:tcPr>
          <w:p w14:paraId="118BB6D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Mortality rate under shortfall without buffering</w:t>
            </w:r>
          </w:p>
        </w:tc>
        <w:tc>
          <w:tcPr>
            <w:tcW w:w="1584" w:type="dxa"/>
          </w:tcPr>
          <w:p w14:paraId="37F2F78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Single-zone failure rates, modern ecological data</w:t>
            </w:r>
          </w:p>
        </w:tc>
      </w:tr>
      <w:tr w:rsidR="00506C35" w:rsidRPr="009D048A" w14:paraId="3E0EB404" w14:textId="77777777">
        <w:tc>
          <w:tcPr>
            <w:tcW w:w="1340" w:type="dxa"/>
          </w:tcPr>
          <w:p w14:paraId="1CADC89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Costs</w:t>
            </w:r>
          </w:p>
        </w:tc>
        <w:tc>
          <w:tcPr>
            <w:tcW w:w="974" w:type="dxa"/>
          </w:tcPr>
          <w:p w14:paraId="51F5D792" w14:textId="77777777" w:rsidR="00506C35" w:rsidRPr="009D048A" w:rsidRDefault="00506C35">
            <w:pPr>
              <w:pStyle w:val="Compact"/>
              <w:rPr>
                <w:rFonts w:ascii="Times New Roman" w:hAnsi="Times New Roman" w:cs="Times New Roman"/>
                <w:sz w:val="21"/>
                <w:szCs w:val="21"/>
              </w:rPr>
            </w:pPr>
          </w:p>
        </w:tc>
        <w:tc>
          <w:tcPr>
            <w:tcW w:w="852" w:type="dxa"/>
          </w:tcPr>
          <w:p w14:paraId="5F5BE024" w14:textId="77777777" w:rsidR="00506C35" w:rsidRPr="009D048A" w:rsidRDefault="00506C35">
            <w:pPr>
              <w:pStyle w:val="Compact"/>
              <w:rPr>
                <w:rFonts w:ascii="Times New Roman" w:hAnsi="Times New Roman" w:cs="Times New Roman"/>
                <w:sz w:val="21"/>
                <w:szCs w:val="21"/>
              </w:rPr>
            </w:pPr>
          </w:p>
        </w:tc>
        <w:tc>
          <w:tcPr>
            <w:tcW w:w="852" w:type="dxa"/>
          </w:tcPr>
          <w:p w14:paraId="62B2B8B1" w14:textId="77777777" w:rsidR="00506C35" w:rsidRPr="009D048A" w:rsidRDefault="00506C35">
            <w:pPr>
              <w:pStyle w:val="Compact"/>
              <w:rPr>
                <w:rFonts w:ascii="Times New Roman" w:hAnsi="Times New Roman" w:cs="Times New Roman"/>
                <w:sz w:val="21"/>
                <w:szCs w:val="21"/>
              </w:rPr>
            </w:pPr>
          </w:p>
        </w:tc>
        <w:tc>
          <w:tcPr>
            <w:tcW w:w="2315" w:type="dxa"/>
          </w:tcPr>
          <w:p w14:paraId="7D64428D" w14:textId="77777777" w:rsidR="00506C35" w:rsidRPr="009D048A" w:rsidRDefault="00506C35">
            <w:pPr>
              <w:pStyle w:val="Compact"/>
              <w:rPr>
                <w:rFonts w:ascii="Times New Roman" w:hAnsi="Times New Roman" w:cs="Times New Roman"/>
                <w:sz w:val="21"/>
                <w:szCs w:val="21"/>
              </w:rPr>
            </w:pPr>
          </w:p>
        </w:tc>
        <w:tc>
          <w:tcPr>
            <w:tcW w:w="1584" w:type="dxa"/>
          </w:tcPr>
          <w:p w14:paraId="0A5A1CC7" w14:textId="77777777" w:rsidR="00506C35" w:rsidRPr="009D048A" w:rsidRDefault="00506C35">
            <w:pPr>
              <w:pStyle w:val="Compact"/>
              <w:rPr>
                <w:rFonts w:ascii="Times New Roman" w:hAnsi="Times New Roman" w:cs="Times New Roman"/>
                <w:sz w:val="21"/>
                <w:szCs w:val="21"/>
              </w:rPr>
            </w:pPr>
          </w:p>
        </w:tc>
      </w:tr>
      <w:tr w:rsidR="00506C35" w:rsidRPr="009D048A" w14:paraId="3556D156" w14:textId="77777777">
        <w:tc>
          <w:tcPr>
            <w:tcW w:w="1340" w:type="dxa"/>
          </w:tcPr>
          <w:p w14:paraId="551CE05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Travel cost</w:t>
            </w:r>
          </w:p>
        </w:tc>
        <w:tc>
          <w:tcPr>
            <w:tcW w:w="974" w:type="dxa"/>
          </w:tcPr>
          <w:p w14:paraId="4FD7FA45"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travel</m:t>
                    </m:r>
                  </m:sub>
                </m:sSub>
              </m:oMath>
            </m:oMathPara>
          </w:p>
        </w:tc>
        <w:tc>
          <w:tcPr>
            <w:tcW w:w="852" w:type="dxa"/>
          </w:tcPr>
          <w:p w14:paraId="2BA9028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0.08</w:t>
            </w:r>
          </w:p>
        </w:tc>
        <w:tc>
          <w:tcPr>
            <w:tcW w:w="852" w:type="dxa"/>
          </w:tcPr>
          <w:p w14:paraId="0DD2F09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0.00-0.20</w:t>
            </w:r>
          </w:p>
        </w:tc>
        <w:tc>
          <w:tcPr>
            <w:tcW w:w="2315" w:type="dxa"/>
          </w:tcPr>
          <w:p w14:paraId="70650B9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Distance/caloric cost ratio</w:t>
            </w:r>
          </w:p>
        </w:tc>
        <w:tc>
          <w:tcPr>
            <w:tcW w:w="1584" w:type="dxa"/>
          </w:tcPr>
          <w:p w14:paraId="6F79F91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Catchment analysis, lithic sourcing distances</w:t>
            </w:r>
          </w:p>
        </w:tc>
      </w:tr>
      <w:tr w:rsidR="00506C35" w:rsidRPr="009D048A" w14:paraId="35118D60" w14:textId="77777777">
        <w:tc>
          <w:tcPr>
            <w:tcW w:w="1340" w:type="dxa"/>
          </w:tcPr>
          <w:p w14:paraId="5EA9973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Infrastructure cost</w:t>
            </w:r>
          </w:p>
        </w:tc>
        <w:tc>
          <w:tcPr>
            <w:tcW w:w="974" w:type="dxa"/>
          </w:tcPr>
          <w:p w14:paraId="2B1A59E4"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infrastructure</m:t>
                    </m:r>
                  </m:sub>
                </m:sSub>
              </m:oMath>
            </m:oMathPara>
          </w:p>
        </w:tc>
        <w:tc>
          <w:tcPr>
            <w:tcW w:w="852" w:type="dxa"/>
          </w:tcPr>
          <w:p w14:paraId="2CF75BE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0.12</w:t>
            </w:r>
          </w:p>
        </w:tc>
        <w:tc>
          <w:tcPr>
            <w:tcW w:w="852" w:type="dxa"/>
          </w:tcPr>
          <w:p w14:paraId="288E02E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0.00-0.25</w:t>
            </w:r>
          </w:p>
        </w:tc>
        <w:tc>
          <w:tcPr>
            <w:tcW w:w="2315" w:type="dxa"/>
          </w:tcPr>
          <w:p w14:paraId="6B129BD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Labor hours / total productive hours</w:t>
            </w:r>
          </w:p>
        </w:tc>
        <w:tc>
          <w:tcPr>
            <w:tcW w:w="1584" w:type="dxa"/>
          </w:tcPr>
          <w:p w14:paraId="43F1FA0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Pit volume x construction time, </w:t>
            </w:r>
            <w:r w:rsidRPr="009D048A">
              <w:rPr>
                <w:rFonts w:ascii="Times New Roman" w:hAnsi="Times New Roman" w:cs="Times New Roman"/>
                <w:sz w:val="21"/>
                <w:szCs w:val="21"/>
              </w:rPr>
              <w:lastRenderedPageBreak/>
              <w:t>weir maintenance</w:t>
            </w:r>
          </w:p>
        </w:tc>
      </w:tr>
      <w:tr w:rsidR="00506C35" w:rsidRPr="009D048A" w14:paraId="48C5A8F4" w14:textId="77777777">
        <w:tc>
          <w:tcPr>
            <w:tcW w:w="1340" w:type="dxa"/>
          </w:tcPr>
          <w:p w14:paraId="7D69638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lastRenderedPageBreak/>
              <w:t>Opportunity cost</w:t>
            </w:r>
          </w:p>
        </w:tc>
        <w:tc>
          <w:tcPr>
            <w:tcW w:w="974" w:type="dxa"/>
          </w:tcPr>
          <w:p w14:paraId="4F1B3E94"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opportunity</m:t>
                    </m:r>
                  </m:sub>
                </m:sSub>
              </m:oMath>
            </m:oMathPara>
          </w:p>
        </w:tc>
        <w:tc>
          <w:tcPr>
            <w:tcW w:w="852" w:type="dxa"/>
          </w:tcPr>
          <w:p w14:paraId="633C913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c>
          <w:tcPr>
            <w:tcW w:w="852" w:type="dxa"/>
          </w:tcPr>
          <w:p w14:paraId="259B3EC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0.00-0.20</w:t>
            </w:r>
          </w:p>
        </w:tc>
        <w:tc>
          <w:tcPr>
            <w:tcW w:w="2315" w:type="dxa"/>
          </w:tcPr>
          <w:p w14:paraId="4FC4055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Foregone foraging value</w:t>
            </w:r>
          </w:p>
        </w:tc>
        <w:tc>
          <w:tcPr>
            <w:tcW w:w="1584" w:type="dxa"/>
          </w:tcPr>
          <w:p w14:paraId="2E0D215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Seasonal resource comparison, home range vs. site</w:t>
            </w:r>
          </w:p>
        </w:tc>
      </w:tr>
      <w:tr w:rsidR="00506C35" w:rsidRPr="009D048A" w14:paraId="2E355AFC" w14:textId="77777777">
        <w:tc>
          <w:tcPr>
            <w:tcW w:w="1340" w:type="dxa"/>
          </w:tcPr>
          <w:p w14:paraId="61EF6D0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Total cost</w:t>
            </w:r>
          </w:p>
        </w:tc>
        <w:tc>
          <w:tcPr>
            <w:tcW w:w="974" w:type="dxa"/>
          </w:tcPr>
          <w:p w14:paraId="3935D3CC"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C</m:t>
                    </m:r>
                  </m:e>
                  <m:sub>
                    <m:r>
                      <m:rPr>
                        <m:nor/>
                      </m:rPr>
                      <w:rPr>
                        <w:rFonts w:ascii="Times New Roman" w:hAnsi="Times New Roman" w:cs="Times New Roman"/>
                        <w:sz w:val="21"/>
                        <w:szCs w:val="21"/>
                      </w:rPr>
                      <m:t>total</m:t>
                    </m:r>
                  </m:sub>
                </m:sSub>
              </m:oMath>
            </m:oMathPara>
          </w:p>
        </w:tc>
        <w:tc>
          <w:tcPr>
            <w:tcW w:w="852" w:type="dxa"/>
          </w:tcPr>
          <w:p w14:paraId="610B0C6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w:t>
            </w:r>
          </w:p>
        </w:tc>
        <w:tc>
          <w:tcPr>
            <w:tcW w:w="852" w:type="dxa"/>
          </w:tcPr>
          <w:p w14:paraId="7FE8B13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0.00-1.00</w:t>
            </w:r>
          </w:p>
        </w:tc>
        <w:tc>
          <w:tcPr>
            <w:tcW w:w="2315" w:type="dxa"/>
          </w:tcPr>
          <w:p w14:paraId="1CE2D82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Sum of components</w:t>
            </w:r>
          </w:p>
        </w:tc>
        <w:tc>
          <w:tcPr>
            <w:tcW w:w="1584" w:type="dxa"/>
          </w:tcPr>
          <w:p w14:paraId="458C30B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Sum of above</w:t>
            </w:r>
          </w:p>
        </w:tc>
      </w:tr>
      <w:tr w:rsidR="00506C35" w:rsidRPr="009D048A" w14:paraId="16F706DF" w14:textId="77777777">
        <w:tc>
          <w:tcPr>
            <w:tcW w:w="1340" w:type="dxa"/>
          </w:tcPr>
          <w:p w14:paraId="4FF0371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Independent advantage</w:t>
            </w:r>
          </w:p>
        </w:tc>
        <w:tc>
          <w:tcPr>
            <w:tcW w:w="974" w:type="dxa"/>
          </w:tcPr>
          <w:p w14:paraId="4D7F048A"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R</m:t>
                    </m:r>
                  </m:e>
                  <m:sub>
                    <m:r>
                      <m:rPr>
                        <m:nor/>
                      </m:rPr>
                      <w:rPr>
                        <w:rFonts w:ascii="Times New Roman" w:hAnsi="Times New Roman" w:cs="Times New Roman"/>
                        <w:sz w:val="21"/>
                        <w:szCs w:val="21"/>
                      </w:rPr>
                      <m:t>ind</m:t>
                    </m:r>
                  </m:sub>
                </m:sSub>
              </m:oMath>
            </m:oMathPara>
          </w:p>
        </w:tc>
        <w:tc>
          <w:tcPr>
            <w:tcW w:w="852" w:type="dxa"/>
          </w:tcPr>
          <w:p w14:paraId="1CDDF40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1.08</w:t>
            </w:r>
          </w:p>
        </w:tc>
        <w:tc>
          <w:tcPr>
            <w:tcW w:w="852" w:type="dxa"/>
          </w:tcPr>
          <w:p w14:paraId="09E79ED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0.90-1.60</w:t>
            </w:r>
          </w:p>
        </w:tc>
        <w:tc>
          <w:tcPr>
            <w:tcW w:w="2315" w:type="dxa"/>
          </w:tcPr>
          <w:p w14:paraId="15C55FF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 xml:space="preserve">Baseline fitness advantage from avoiding cooperation costs at </w:t>
            </w:r>
            <m:oMath>
              <m:r>
                <w:rPr>
                  <w:rFonts w:ascii="Cambria Math" w:hAnsi="Cambria Math" w:cs="Times New Roman"/>
                  <w:sz w:val="21"/>
                  <w:szCs w:val="21"/>
                </w:rPr>
                <m:t>σ</m:t>
              </m:r>
              <m:r>
                <m:rPr>
                  <m:sty m:val="p"/>
                </m:rPr>
                <w:rPr>
                  <w:rFonts w:ascii="Cambria Math" w:hAnsi="Cambria Math" w:cs="Times New Roman"/>
                  <w:sz w:val="21"/>
                  <w:szCs w:val="21"/>
                </w:rPr>
                <m:t>=</m:t>
              </m:r>
              <m:r>
                <w:rPr>
                  <w:rFonts w:ascii="Cambria Math" w:hAnsi="Cambria Math" w:cs="Times New Roman"/>
                  <w:sz w:val="21"/>
                  <w:szCs w:val="21"/>
                </w:rPr>
                <m:t>0</m:t>
              </m:r>
            </m:oMath>
          </w:p>
        </w:tc>
        <w:tc>
          <w:tcPr>
            <w:tcW w:w="1584" w:type="dxa"/>
          </w:tcPr>
          <w:p w14:paraId="4FFF79F8"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Ethnographic comparison of time allocation with/without cooperation obligations</w:t>
            </w:r>
          </w:p>
        </w:tc>
      </w:tr>
      <w:tr w:rsidR="00506C35" w:rsidRPr="009D048A" w14:paraId="3E5A19FE" w14:textId="77777777">
        <w:tc>
          <w:tcPr>
            <w:tcW w:w="1340" w:type="dxa"/>
          </w:tcPr>
          <w:p w14:paraId="1DCF627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Cooperation</w:t>
            </w:r>
          </w:p>
        </w:tc>
        <w:tc>
          <w:tcPr>
            <w:tcW w:w="974" w:type="dxa"/>
          </w:tcPr>
          <w:p w14:paraId="38006331" w14:textId="77777777" w:rsidR="00506C35" w:rsidRPr="009D048A" w:rsidRDefault="00506C35">
            <w:pPr>
              <w:pStyle w:val="Compact"/>
              <w:rPr>
                <w:rFonts w:ascii="Times New Roman" w:hAnsi="Times New Roman" w:cs="Times New Roman"/>
                <w:sz w:val="21"/>
                <w:szCs w:val="21"/>
              </w:rPr>
            </w:pPr>
          </w:p>
        </w:tc>
        <w:tc>
          <w:tcPr>
            <w:tcW w:w="852" w:type="dxa"/>
          </w:tcPr>
          <w:p w14:paraId="01EA15FD" w14:textId="77777777" w:rsidR="00506C35" w:rsidRPr="009D048A" w:rsidRDefault="00506C35">
            <w:pPr>
              <w:pStyle w:val="Compact"/>
              <w:rPr>
                <w:rFonts w:ascii="Times New Roman" w:hAnsi="Times New Roman" w:cs="Times New Roman"/>
                <w:sz w:val="21"/>
                <w:szCs w:val="21"/>
              </w:rPr>
            </w:pPr>
          </w:p>
        </w:tc>
        <w:tc>
          <w:tcPr>
            <w:tcW w:w="852" w:type="dxa"/>
          </w:tcPr>
          <w:p w14:paraId="0C5A2D75" w14:textId="77777777" w:rsidR="00506C35" w:rsidRPr="009D048A" w:rsidRDefault="00506C35">
            <w:pPr>
              <w:pStyle w:val="Compact"/>
              <w:rPr>
                <w:rFonts w:ascii="Times New Roman" w:hAnsi="Times New Roman" w:cs="Times New Roman"/>
                <w:sz w:val="21"/>
                <w:szCs w:val="21"/>
              </w:rPr>
            </w:pPr>
          </w:p>
        </w:tc>
        <w:tc>
          <w:tcPr>
            <w:tcW w:w="2315" w:type="dxa"/>
          </w:tcPr>
          <w:p w14:paraId="7A8E8ADD" w14:textId="77777777" w:rsidR="00506C35" w:rsidRPr="009D048A" w:rsidRDefault="00506C35">
            <w:pPr>
              <w:pStyle w:val="Compact"/>
              <w:rPr>
                <w:rFonts w:ascii="Times New Roman" w:hAnsi="Times New Roman" w:cs="Times New Roman"/>
                <w:sz w:val="21"/>
                <w:szCs w:val="21"/>
              </w:rPr>
            </w:pPr>
          </w:p>
        </w:tc>
        <w:tc>
          <w:tcPr>
            <w:tcW w:w="1584" w:type="dxa"/>
          </w:tcPr>
          <w:p w14:paraId="49723B4F" w14:textId="77777777" w:rsidR="00506C35" w:rsidRPr="009D048A" w:rsidRDefault="00506C35">
            <w:pPr>
              <w:pStyle w:val="Compact"/>
              <w:rPr>
                <w:rFonts w:ascii="Times New Roman" w:hAnsi="Times New Roman" w:cs="Times New Roman"/>
                <w:sz w:val="21"/>
                <w:szCs w:val="21"/>
              </w:rPr>
            </w:pPr>
          </w:p>
        </w:tc>
      </w:tr>
      <w:tr w:rsidR="00506C35" w:rsidRPr="009D048A" w14:paraId="61CEC74E" w14:textId="77777777">
        <w:tc>
          <w:tcPr>
            <w:tcW w:w="1340" w:type="dxa"/>
          </w:tcPr>
          <w:p w14:paraId="21A40C6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Benefit coefficient</w:t>
            </w:r>
          </w:p>
        </w:tc>
        <w:tc>
          <w:tcPr>
            <w:tcW w:w="974" w:type="dxa"/>
          </w:tcPr>
          <w:p w14:paraId="2D7B9651"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b</m:t>
                </m:r>
              </m:oMath>
            </m:oMathPara>
          </w:p>
        </w:tc>
        <w:tc>
          <w:tcPr>
            <w:tcW w:w="852" w:type="dxa"/>
          </w:tcPr>
          <w:p w14:paraId="79427A4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0.10</w:t>
            </w:r>
          </w:p>
        </w:tc>
        <w:tc>
          <w:tcPr>
            <w:tcW w:w="852" w:type="dxa"/>
          </w:tcPr>
          <w:p w14:paraId="065A530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0.02-0.15</w:t>
            </w:r>
          </w:p>
        </w:tc>
        <w:tc>
          <w:tcPr>
            <w:tcW w:w="2315" w:type="dxa"/>
          </w:tcPr>
          <w:p w14:paraId="523128C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Returns to scale in communal processing</w:t>
            </w:r>
          </w:p>
        </w:tc>
        <w:tc>
          <w:tcPr>
            <w:tcW w:w="1584" w:type="dxa"/>
          </w:tcPr>
          <w:p w14:paraId="42F5912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Ethnographic communal fishing/processing data</w:t>
            </w:r>
          </w:p>
        </w:tc>
      </w:tr>
      <w:tr w:rsidR="00506C35" w:rsidRPr="009D048A" w14:paraId="076BDB89" w14:textId="77777777">
        <w:tc>
          <w:tcPr>
            <w:tcW w:w="1340" w:type="dxa"/>
          </w:tcPr>
          <w:p w14:paraId="54C0ED6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Optimal group size</w:t>
            </w:r>
          </w:p>
        </w:tc>
        <w:tc>
          <w:tcPr>
            <w:tcW w:w="974" w:type="dxa"/>
          </w:tcPr>
          <w:p w14:paraId="085F6740" w14:textId="77777777" w:rsidR="00506C35" w:rsidRPr="009D048A" w:rsidRDefault="00000000">
            <w:pPr>
              <w:pStyle w:val="Compact"/>
              <w:rPr>
                <w:rFonts w:ascii="Times New Roman" w:hAnsi="Times New Roman" w:cs="Times New Roman"/>
                <w:sz w:val="21"/>
                <w:szCs w:val="21"/>
              </w:rPr>
            </w:pPr>
            <m:oMathPara>
              <m:oMath>
                <m:sSup>
                  <m:sSupPr>
                    <m:ctrlPr>
                      <w:rPr>
                        <w:rFonts w:ascii="Cambria Math" w:hAnsi="Cambria Math" w:cs="Times New Roman"/>
                        <w:sz w:val="21"/>
                        <w:szCs w:val="21"/>
                      </w:rPr>
                    </m:ctrlPr>
                  </m:sSupPr>
                  <m:e>
                    <m:r>
                      <w:rPr>
                        <w:rFonts w:ascii="Cambria Math" w:hAnsi="Cambria Math" w:cs="Times New Roman"/>
                        <w:sz w:val="21"/>
                        <w:szCs w:val="21"/>
                      </w:rPr>
                      <m:t>n</m:t>
                    </m:r>
                  </m:e>
                  <m:sup>
                    <m:r>
                      <m:rPr>
                        <m:sty m:val="p"/>
                      </m:rPr>
                      <w:rPr>
                        <w:rFonts w:ascii="Cambria Math" w:hAnsi="Cambria Math" w:cs="Times New Roman"/>
                        <w:sz w:val="21"/>
                        <w:szCs w:val="21"/>
                      </w:rPr>
                      <m:t>*</m:t>
                    </m:r>
                  </m:sup>
                </m:sSup>
              </m:oMath>
            </m:oMathPara>
          </w:p>
        </w:tc>
        <w:tc>
          <w:tcPr>
            <w:tcW w:w="852" w:type="dxa"/>
          </w:tcPr>
          <w:p w14:paraId="4F08C0E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12</w:t>
            </w:r>
          </w:p>
        </w:tc>
        <w:tc>
          <w:tcPr>
            <w:tcW w:w="852" w:type="dxa"/>
          </w:tcPr>
          <w:p w14:paraId="1DDCBEFA"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3-30</w:t>
            </w:r>
          </w:p>
        </w:tc>
        <w:tc>
          <w:tcPr>
            <w:tcW w:w="2315" w:type="dxa"/>
          </w:tcPr>
          <w:p w14:paraId="38972F9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Site capacity</w:t>
            </w:r>
          </w:p>
        </w:tc>
        <w:tc>
          <w:tcPr>
            <w:tcW w:w="1584" w:type="dxa"/>
          </w:tcPr>
          <w:p w14:paraId="1B0AC67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Site area, ethnographic floor area requirements</w:t>
            </w:r>
          </w:p>
        </w:tc>
      </w:tr>
      <w:tr w:rsidR="00506C35" w:rsidRPr="009D048A" w14:paraId="0A27D983" w14:textId="77777777">
        <w:tc>
          <w:tcPr>
            <w:tcW w:w="1340" w:type="dxa"/>
          </w:tcPr>
          <w:p w14:paraId="4FD1BB4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Crowding coefficient</w:t>
            </w:r>
          </w:p>
        </w:tc>
        <w:tc>
          <w:tcPr>
            <w:tcW w:w="974" w:type="dxa"/>
          </w:tcPr>
          <w:p w14:paraId="3C09BE6D"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c</m:t>
                </m:r>
              </m:oMath>
            </m:oMathPara>
          </w:p>
        </w:tc>
        <w:tc>
          <w:tcPr>
            <w:tcW w:w="852" w:type="dxa"/>
          </w:tcPr>
          <w:p w14:paraId="5CDB213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0.025</w:t>
            </w:r>
          </w:p>
        </w:tc>
        <w:tc>
          <w:tcPr>
            <w:tcW w:w="852" w:type="dxa"/>
          </w:tcPr>
          <w:p w14:paraId="5D95BE4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0.005-0.030</w:t>
            </w:r>
          </w:p>
        </w:tc>
        <w:tc>
          <w:tcPr>
            <w:tcW w:w="2315" w:type="dxa"/>
          </w:tcPr>
          <w:p w14:paraId="54B1835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Resource depletion rate above optimal</w:t>
            </w:r>
          </w:p>
        </w:tc>
        <w:tc>
          <w:tcPr>
            <w:tcW w:w="1584" w:type="dxa"/>
          </w:tcPr>
          <w:p w14:paraId="3908300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Central-place foraging models</w:t>
            </w:r>
          </w:p>
        </w:tc>
      </w:tr>
      <w:tr w:rsidR="00506C35" w:rsidRPr="009D048A" w14:paraId="52FA98E0" w14:textId="77777777">
        <w:tc>
          <w:tcPr>
            <w:tcW w:w="1340" w:type="dxa"/>
          </w:tcPr>
          <w:p w14:paraId="35D01CF4"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Reciprocal benefit</w:t>
            </w:r>
          </w:p>
        </w:tc>
        <w:tc>
          <w:tcPr>
            <w:tcW w:w="974" w:type="dxa"/>
          </w:tcPr>
          <w:p w14:paraId="0BF3967C"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B</m:t>
                    </m:r>
                  </m:e>
                  <m:sub>
                    <m:r>
                      <m:rPr>
                        <m:nor/>
                      </m:rPr>
                      <w:rPr>
                        <w:rFonts w:ascii="Times New Roman" w:hAnsi="Times New Roman" w:cs="Times New Roman"/>
                        <w:sz w:val="21"/>
                        <w:szCs w:val="21"/>
                      </w:rPr>
                      <m:t>recip</m:t>
                    </m:r>
                  </m:sub>
                </m:sSub>
              </m:oMath>
            </m:oMathPara>
          </w:p>
        </w:tc>
        <w:tc>
          <w:tcPr>
            <w:tcW w:w="852" w:type="dxa"/>
          </w:tcPr>
          <w:p w14:paraId="1AE0BE5C"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0.05</w:t>
            </w:r>
          </w:p>
        </w:tc>
        <w:tc>
          <w:tcPr>
            <w:tcW w:w="852" w:type="dxa"/>
          </w:tcPr>
          <w:p w14:paraId="3AF3827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0.00-0.15</w:t>
            </w:r>
          </w:p>
        </w:tc>
        <w:tc>
          <w:tcPr>
            <w:tcW w:w="2315" w:type="dxa"/>
          </w:tcPr>
          <w:p w14:paraId="2AE0440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Insurance value of social networks</w:t>
            </w:r>
          </w:p>
        </w:tc>
        <w:tc>
          <w:tcPr>
            <w:tcW w:w="1584" w:type="dxa"/>
          </w:tcPr>
          <w:p w14:paraId="789DA61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Exchange goods frequency, burial patterns</w:t>
            </w:r>
          </w:p>
        </w:tc>
      </w:tr>
      <w:tr w:rsidR="00506C35" w:rsidRPr="009D048A" w14:paraId="6A6C8756" w14:textId="77777777">
        <w:tc>
          <w:tcPr>
            <w:tcW w:w="1340" w:type="dxa"/>
          </w:tcPr>
          <w:p w14:paraId="72C7AA4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Conflict</w:t>
            </w:r>
          </w:p>
        </w:tc>
        <w:tc>
          <w:tcPr>
            <w:tcW w:w="974" w:type="dxa"/>
          </w:tcPr>
          <w:p w14:paraId="70DB7A7E" w14:textId="77777777" w:rsidR="00506C35" w:rsidRPr="009D048A" w:rsidRDefault="00506C35">
            <w:pPr>
              <w:pStyle w:val="Compact"/>
              <w:rPr>
                <w:rFonts w:ascii="Times New Roman" w:hAnsi="Times New Roman" w:cs="Times New Roman"/>
                <w:sz w:val="21"/>
                <w:szCs w:val="21"/>
              </w:rPr>
            </w:pPr>
          </w:p>
        </w:tc>
        <w:tc>
          <w:tcPr>
            <w:tcW w:w="852" w:type="dxa"/>
          </w:tcPr>
          <w:p w14:paraId="2EF72FC8" w14:textId="77777777" w:rsidR="00506C35" w:rsidRPr="009D048A" w:rsidRDefault="00506C35">
            <w:pPr>
              <w:pStyle w:val="Compact"/>
              <w:rPr>
                <w:rFonts w:ascii="Times New Roman" w:hAnsi="Times New Roman" w:cs="Times New Roman"/>
                <w:sz w:val="21"/>
                <w:szCs w:val="21"/>
              </w:rPr>
            </w:pPr>
          </w:p>
        </w:tc>
        <w:tc>
          <w:tcPr>
            <w:tcW w:w="852" w:type="dxa"/>
          </w:tcPr>
          <w:p w14:paraId="5BF0D6CF" w14:textId="77777777" w:rsidR="00506C35" w:rsidRPr="009D048A" w:rsidRDefault="00506C35">
            <w:pPr>
              <w:pStyle w:val="Compact"/>
              <w:rPr>
                <w:rFonts w:ascii="Times New Roman" w:hAnsi="Times New Roman" w:cs="Times New Roman"/>
                <w:sz w:val="21"/>
                <w:szCs w:val="21"/>
              </w:rPr>
            </w:pPr>
          </w:p>
        </w:tc>
        <w:tc>
          <w:tcPr>
            <w:tcW w:w="2315" w:type="dxa"/>
          </w:tcPr>
          <w:p w14:paraId="416DA428" w14:textId="77777777" w:rsidR="00506C35" w:rsidRPr="009D048A" w:rsidRDefault="00506C35">
            <w:pPr>
              <w:pStyle w:val="Compact"/>
              <w:rPr>
                <w:rFonts w:ascii="Times New Roman" w:hAnsi="Times New Roman" w:cs="Times New Roman"/>
                <w:sz w:val="21"/>
                <w:szCs w:val="21"/>
              </w:rPr>
            </w:pPr>
          </w:p>
        </w:tc>
        <w:tc>
          <w:tcPr>
            <w:tcW w:w="1584" w:type="dxa"/>
          </w:tcPr>
          <w:p w14:paraId="263F6E05" w14:textId="77777777" w:rsidR="00506C35" w:rsidRPr="009D048A" w:rsidRDefault="00506C35">
            <w:pPr>
              <w:pStyle w:val="Compact"/>
              <w:rPr>
                <w:rFonts w:ascii="Times New Roman" w:hAnsi="Times New Roman" w:cs="Times New Roman"/>
                <w:sz w:val="21"/>
                <w:szCs w:val="21"/>
              </w:rPr>
            </w:pPr>
          </w:p>
        </w:tc>
      </w:tr>
      <w:tr w:rsidR="00506C35" w:rsidRPr="009D048A" w14:paraId="4560D3B9" w14:textId="77777777">
        <w:tc>
          <w:tcPr>
            <w:tcW w:w="1340" w:type="dxa"/>
          </w:tcPr>
          <w:p w14:paraId="6090E00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Baseline mortality</w:t>
            </w:r>
          </w:p>
        </w:tc>
        <w:tc>
          <w:tcPr>
            <w:tcW w:w="974" w:type="dxa"/>
          </w:tcPr>
          <w:p w14:paraId="30F075EB" w14:textId="77777777" w:rsidR="00506C35" w:rsidRPr="009D048A" w:rsidRDefault="00000000">
            <w:pPr>
              <w:pStyle w:val="Compact"/>
              <w:rPr>
                <w:rFonts w:ascii="Times New Roman" w:hAnsi="Times New Roman" w:cs="Times New Roman"/>
                <w:sz w:val="21"/>
                <w:szCs w:val="21"/>
              </w:rPr>
            </w:pPr>
            <m:oMathPara>
              <m:oMath>
                <m:sSub>
                  <m:sSubPr>
                    <m:ctrlPr>
                      <w:rPr>
                        <w:rFonts w:ascii="Cambria Math" w:hAnsi="Cambria Math" w:cs="Times New Roman"/>
                        <w:sz w:val="21"/>
                        <w:szCs w:val="21"/>
                      </w:rPr>
                    </m:ctrlPr>
                  </m:sSubPr>
                  <m:e>
                    <m:r>
                      <w:rPr>
                        <w:rFonts w:ascii="Cambria Math" w:hAnsi="Cambria Math" w:cs="Times New Roman"/>
                        <w:sz w:val="21"/>
                        <w:szCs w:val="21"/>
                      </w:rPr>
                      <m:t>m</m:t>
                    </m:r>
                  </m:e>
                  <m:sub>
                    <m:r>
                      <w:rPr>
                        <w:rFonts w:ascii="Cambria Math" w:hAnsi="Cambria Math" w:cs="Times New Roman"/>
                        <w:sz w:val="21"/>
                        <w:szCs w:val="21"/>
                      </w:rPr>
                      <m:t>0</m:t>
                    </m:r>
                  </m:sub>
                </m:sSub>
              </m:oMath>
            </m:oMathPara>
          </w:p>
        </w:tc>
        <w:tc>
          <w:tcPr>
            <w:tcW w:w="852" w:type="dxa"/>
          </w:tcPr>
          <w:p w14:paraId="13E8836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w:t>
            </w:r>
          </w:p>
        </w:tc>
        <w:tc>
          <w:tcPr>
            <w:tcW w:w="852" w:type="dxa"/>
          </w:tcPr>
          <w:p w14:paraId="5A04CCE5"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0.05-0.25</w:t>
            </w:r>
          </w:p>
        </w:tc>
        <w:tc>
          <w:tcPr>
            <w:tcW w:w="2315" w:type="dxa"/>
          </w:tcPr>
          <w:p w14:paraId="053550E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Not applicable (aggregation system)</w:t>
            </w:r>
          </w:p>
        </w:tc>
        <w:tc>
          <w:tcPr>
            <w:tcW w:w="1584" w:type="dxa"/>
          </w:tcPr>
          <w:p w14:paraId="696E3E8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r>
      <w:tr w:rsidR="00506C35" w:rsidRPr="009D048A" w14:paraId="62429C3A" w14:textId="77777777">
        <w:tc>
          <w:tcPr>
            <w:tcW w:w="1340" w:type="dxa"/>
          </w:tcPr>
          <w:p w14:paraId="2EA7398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Conflict reduction</w:t>
            </w:r>
          </w:p>
        </w:tc>
        <w:tc>
          <w:tcPr>
            <w:tcW w:w="974" w:type="dxa"/>
          </w:tcPr>
          <w:p w14:paraId="605690EF" w14:textId="77777777" w:rsidR="00506C35" w:rsidRPr="009D048A" w:rsidRDefault="00000000">
            <w:pPr>
              <w:pStyle w:val="Compact"/>
              <w:rPr>
                <w:rFonts w:ascii="Times New Roman" w:hAnsi="Times New Roman" w:cs="Times New Roman"/>
                <w:sz w:val="21"/>
                <w:szCs w:val="21"/>
              </w:rPr>
            </w:pPr>
            <m:oMathPara>
              <m:oMath>
                <m:r>
                  <w:rPr>
                    <w:rFonts w:ascii="Cambria Math" w:hAnsi="Cambria Math" w:cs="Times New Roman"/>
                    <w:sz w:val="21"/>
                    <w:szCs w:val="21"/>
                  </w:rPr>
                  <m:t>r</m:t>
                </m:r>
              </m:oMath>
            </m:oMathPara>
          </w:p>
        </w:tc>
        <w:tc>
          <w:tcPr>
            <w:tcW w:w="852" w:type="dxa"/>
          </w:tcPr>
          <w:p w14:paraId="7403170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0.00</w:t>
            </w:r>
          </w:p>
        </w:tc>
        <w:tc>
          <w:tcPr>
            <w:tcW w:w="852" w:type="dxa"/>
          </w:tcPr>
          <w:p w14:paraId="35988C6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0.50-0.90</w:t>
            </w:r>
          </w:p>
        </w:tc>
        <w:tc>
          <w:tcPr>
            <w:tcW w:w="2315" w:type="dxa"/>
          </w:tcPr>
          <w:p w14:paraId="384FA2F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Not applicable (aggregation system)</w:t>
            </w:r>
          </w:p>
        </w:tc>
        <w:tc>
          <w:tcPr>
            <w:tcW w:w="1584" w:type="dxa"/>
          </w:tcPr>
          <w:p w14:paraId="622C8DA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r>
      <w:tr w:rsidR="00506C35" w:rsidRPr="009D048A" w14:paraId="72EEFBA3" w14:textId="77777777">
        <w:tc>
          <w:tcPr>
            <w:tcW w:w="1340" w:type="dxa"/>
          </w:tcPr>
          <w:p w14:paraId="30703A2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Output</w:t>
            </w:r>
          </w:p>
        </w:tc>
        <w:tc>
          <w:tcPr>
            <w:tcW w:w="974" w:type="dxa"/>
          </w:tcPr>
          <w:p w14:paraId="5C72F4C1" w14:textId="77777777" w:rsidR="00506C35" w:rsidRPr="009D048A" w:rsidRDefault="00506C35">
            <w:pPr>
              <w:pStyle w:val="Compact"/>
              <w:rPr>
                <w:rFonts w:ascii="Times New Roman" w:hAnsi="Times New Roman" w:cs="Times New Roman"/>
                <w:sz w:val="21"/>
                <w:szCs w:val="21"/>
              </w:rPr>
            </w:pPr>
          </w:p>
        </w:tc>
        <w:tc>
          <w:tcPr>
            <w:tcW w:w="852" w:type="dxa"/>
          </w:tcPr>
          <w:p w14:paraId="4124781D" w14:textId="77777777" w:rsidR="00506C35" w:rsidRPr="009D048A" w:rsidRDefault="00506C35">
            <w:pPr>
              <w:pStyle w:val="Compact"/>
              <w:rPr>
                <w:rFonts w:ascii="Times New Roman" w:hAnsi="Times New Roman" w:cs="Times New Roman"/>
                <w:sz w:val="21"/>
                <w:szCs w:val="21"/>
              </w:rPr>
            </w:pPr>
          </w:p>
        </w:tc>
        <w:tc>
          <w:tcPr>
            <w:tcW w:w="852" w:type="dxa"/>
          </w:tcPr>
          <w:p w14:paraId="2F20CEDF" w14:textId="77777777" w:rsidR="00506C35" w:rsidRPr="009D048A" w:rsidRDefault="00506C35">
            <w:pPr>
              <w:pStyle w:val="Compact"/>
              <w:rPr>
                <w:rFonts w:ascii="Times New Roman" w:hAnsi="Times New Roman" w:cs="Times New Roman"/>
                <w:sz w:val="21"/>
                <w:szCs w:val="21"/>
              </w:rPr>
            </w:pPr>
          </w:p>
        </w:tc>
        <w:tc>
          <w:tcPr>
            <w:tcW w:w="2315" w:type="dxa"/>
          </w:tcPr>
          <w:p w14:paraId="18AD0ECA" w14:textId="77777777" w:rsidR="00506C35" w:rsidRPr="009D048A" w:rsidRDefault="00506C35">
            <w:pPr>
              <w:pStyle w:val="Compact"/>
              <w:rPr>
                <w:rFonts w:ascii="Times New Roman" w:hAnsi="Times New Roman" w:cs="Times New Roman"/>
                <w:sz w:val="21"/>
                <w:szCs w:val="21"/>
              </w:rPr>
            </w:pPr>
          </w:p>
        </w:tc>
        <w:tc>
          <w:tcPr>
            <w:tcW w:w="1584" w:type="dxa"/>
          </w:tcPr>
          <w:p w14:paraId="421D23B0" w14:textId="77777777" w:rsidR="00506C35" w:rsidRPr="009D048A" w:rsidRDefault="00506C35">
            <w:pPr>
              <w:pStyle w:val="Compact"/>
              <w:rPr>
                <w:rFonts w:ascii="Times New Roman" w:hAnsi="Times New Roman" w:cs="Times New Roman"/>
                <w:sz w:val="21"/>
                <w:szCs w:val="21"/>
              </w:rPr>
            </w:pPr>
          </w:p>
        </w:tc>
      </w:tr>
      <w:tr w:rsidR="00506C35" w:rsidRPr="009D048A" w14:paraId="129E8B91" w14:textId="77777777">
        <w:tc>
          <w:tcPr>
            <w:tcW w:w="1340" w:type="dxa"/>
          </w:tcPr>
          <w:p w14:paraId="5538A136"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Critical threshold</w:t>
            </w:r>
          </w:p>
        </w:tc>
        <w:tc>
          <w:tcPr>
            <w:tcW w:w="974" w:type="dxa"/>
          </w:tcPr>
          <w:p w14:paraId="788D7E56" w14:textId="77777777" w:rsidR="00506C35" w:rsidRPr="009D048A" w:rsidRDefault="00000000">
            <w:pPr>
              <w:pStyle w:val="Compact"/>
              <w:rPr>
                <w:rFonts w:ascii="Times New Roman" w:hAnsi="Times New Roman" w:cs="Times New Roman"/>
                <w:sz w:val="21"/>
                <w:szCs w:val="21"/>
              </w:rPr>
            </w:pPr>
            <m:oMathPara>
              <m:oMath>
                <m:sSup>
                  <m:sSupPr>
                    <m:ctrlPr>
                      <w:rPr>
                        <w:rFonts w:ascii="Cambria Math" w:hAnsi="Cambria Math" w:cs="Times New Roman"/>
                        <w:sz w:val="21"/>
                        <w:szCs w:val="21"/>
                      </w:rPr>
                    </m:ctrlPr>
                  </m:sSupPr>
                  <m:e>
                    <m:r>
                      <w:rPr>
                        <w:rFonts w:ascii="Cambria Math" w:hAnsi="Cambria Math" w:cs="Times New Roman"/>
                        <w:sz w:val="21"/>
                        <w:szCs w:val="21"/>
                      </w:rPr>
                      <m:t>σ</m:t>
                    </m:r>
                  </m:e>
                  <m:sup>
                    <m:r>
                      <m:rPr>
                        <m:sty m:val="p"/>
                      </m:rPr>
                      <w:rPr>
                        <w:rFonts w:ascii="Cambria Math" w:hAnsi="Cambria Math" w:cs="Times New Roman"/>
                        <w:sz w:val="21"/>
                        <w:szCs w:val="21"/>
                      </w:rPr>
                      <m:t>*</m:t>
                    </m:r>
                  </m:sup>
                </m:sSup>
              </m:oMath>
            </m:oMathPara>
          </w:p>
        </w:tc>
        <w:tc>
          <w:tcPr>
            <w:tcW w:w="852" w:type="dxa"/>
          </w:tcPr>
          <w:p w14:paraId="6734B4C2"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0.305</w:t>
            </w:r>
          </w:p>
        </w:tc>
        <w:tc>
          <w:tcPr>
            <w:tcW w:w="852" w:type="dxa"/>
          </w:tcPr>
          <w:p w14:paraId="6C07588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c>
          <w:tcPr>
            <w:tcW w:w="2315" w:type="dxa"/>
          </w:tcPr>
          <w:p w14:paraId="70DD36DE"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Derived from above</w:t>
            </w:r>
          </w:p>
        </w:tc>
        <w:tc>
          <w:tcPr>
            <w:tcW w:w="1584" w:type="dxa"/>
          </w:tcPr>
          <w:p w14:paraId="718EE971"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w:t>
            </w:r>
          </w:p>
        </w:tc>
      </w:tr>
    </w:tbl>
    <w:p w14:paraId="675CE25C" w14:textId="77777777" w:rsidR="00506C35" w:rsidRPr="009D048A" w:rsidRDefault="005C4551">
      <w:pPr>
        <w:rPr>
          <w:rFonts w:ascii="Times New Roman" w:hAnsi="Times New Roman" w:cs="Times New Roman"/>
          <w:sz w:val="21"/>
          <w:szCs w:val="21"/>
        </w:rPr>
      </w:pPr>
      <w:r w:rsidRPr="005C4551">
        <w:rPr>
          <w:rFonts w:ascii="Times New Roman" w:hAnsi="Times New Roman" w:cs="Times New Roman"/>
          <w:noProof/>
          <w:sz w:val="21"/>
          <w:szCs w:val="21"/>
        </w:rPr>
        <w:pict w14:anchorId="71D131D4">
          <v:rect id="_x0000_i1025" alt="" style="width:468pt;height:.05pt;mso-width-percent:0;mso-height-percent:0;mso-width-percent:0;mso-height-percent:0" o:hralign="center" o:hrstd="t" o:hr="t"/>
        </w:pict>
      </w:r>
    </w:p>
    <w:p w14:paraId="7164D576" w14:textId="77777777" w:rsidR="00506C35" w:rsidRPr="009D048A" w:rsidRDefault="00000000">
      <w:pPr>
        <w:pStyle w:val="Heading2"/>
        <w:rPr>
          <w:rFonts w:ascii="Times New Roman" w:hAnsi="Times New Roman" w:cs="Times New Roman"/>
          <w:sz w:val="24"/>
          <w:szCs w:val="24"/>
        </w:rPr>
      </w:pPr>
      <w:bookmarkStart w:id="118" w:name="X568b5a8bc556b95eb77d4a865cb93f9688e7813"/>
      <w:bookmarkEnd w:id="117"/>
      <w:r w:rsidRPr="009D048A">
        <w:rPr>
          <w:rFonts w:ascii="Times New Roman" w:hAnsi="Times New Roman" w:cs="Times New Roman"/>
          <w:sz w:val="24"/>
          <w:szCs w:val="24"/>
        </w:rPr>
        <w:t>Appendix C: Summary of Alternative Hypothesis Predictions</w:t>
      </w:r>
    </w:p>
    <w:p w14:paraId="445DFB3D" w14:textId="77777777" w:rsidR="00506C35" w:rsidRPr="009D048A" w:rsidRDefault="00000000">
      <w:pPr>
        <w:pStyle w:val="FirstParagraph"/>
        <w:rPr>
          <w:rFonts w:ascii="Times New Roman" w:hAnsi="Times New Roman" w:cs="Times New Roman"/>
          <w:sz w:val="21"/>
          <w:szCs w:val="21"/>
        </w:rPr>
      </w:pPr>
      <w:r w:rsidRPr="009D048A">
        <w:rPr>
          <w:rFonts w:ascii="Times New Roman" w:hAnsi="Times New Roman" w:cs="Times New Roman"/>
          <w:b/>
          <w:bCs/>
          <w:sz w:val="21"/>
          <w:szCs w:val="21"/>
        </w:rPr>
        <w:t>Table C.1. Predictions by hypothesis.</w:t>
      </w:r>
    </w:p>
    <w:tbl>
      <w:tblPr>
        <w:tblStyle w:val="Table"/>
        <w:tblW w:w="5000" w:type="pct"/>
        <w:tblLayout w:type="fixed"/>
        <w:tblLook w:val="0020" w:firstRow="1" w:lastRow="0" w:firstColumn="0" w:lastColumn="0" w:noHBand="0" w:noVBand="0"/>
      </w:tblPr>
      <w:tblGrid>
        <w:gridCol w:w="893"/>
        <w:gridCol w:w="1786"/>
        <w:gridCol w:w="1136"/>
        <w:gridCol w:w="648"/>
        <w:gridCol w:w="1055"/>
        <w:gridCol w:w="893"/>
        <w:gridCol w:w="1461"/>
        <w:gridCol w:w="1704"/>
      </w:tblGrid>
      <w:tr w:rsidR="00506C35" w:rsidRPr="009D048A" w14:paraId="5189B719" w14:textId="77777777" w:rsidTr="00506C35">
        <w:trPr>
          <w:cnfStyle w:val="100000000000" w:firstRow="1" w:lastRow="0" w:firstColumn="0" w:lastColumn="0" w:oddVBand="0" w:evenVBand="0" w:oddHBand="0" w:evenHBand="0" w:firstRowFirstColumn="0" w:firstRowLastColumn="0" w:lastRowFirstColumn="0" w:lastRowLastColumn="0"/>
          <w:tblHeader/>
        </w:trPr>
        <w:tc>
          <w:tcPr>
            <w:tcW w:w="738" w:type="dxa"/>
          </w:tcPr>
          <w:p w14:paraId="647C383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sz w:val="21"/>
                <w:szCs w:val="21"/>
              </w:rPr>
              <w:t>Prediction</w:t>
            </w:r>
          </w:p>
        </w:tc>
        <w:tc>
          <w:tcPr>
            <w:tcW w:w="1476" w:type="dxa"/>
          </w:tcPr>
          <w:p w14:paraId="0C86574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Aggregation Economics</w:t>
            </w:r>
          </w:p>
        </w:tc>
        <w:tc>
          <w:tcPr>
            <w:tcW w:w="939" w:type="dxa"/>
          </w:tcPr>
          <w:p w14:paraId="18CEED7A"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Trade Center</w:t>
            </w:r>
          </w:p>
        </w:tc>
        <w:tc>
          <w:tcPr>
            <w:tcW w:w="536" w:type="dxa"/>
          </w:tcPr>
          <w:p w14:paraId="55791B04"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Ritual</w:t>
            </w:r>
          </w:p>
        </w:tc>
        <w:tc>
          <w:tcPr>
            <w:tcW w:w="872" w:type="dxa"/>
          </w:tcPr>
          <w:p w14:paraId="220E3D0D"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Aggrandizer</w:t>
            </w:r>
          </w:p>
        </w:tc>
        <w:tc>
          <w:tcPr>
            <w:tcW w:w="738" w:type="dxa"/>
          </w:tcPr>
          <w:p w14:paraId="1748D1F9"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Abundance</w:t>
            </w:r>
          </w:p>
        </w:tc>
        <w:tc>
          <w:tcPr>
            <w:tcW w:w="1208" w:type="dxa"/>
          </w:tcPr>
          <w:p w14:paraId="5FAC046A"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Costly Signaling</w:t>
            </w:r>
          </w:p>
        </w:tc>
        <w:tc>
          <w:tcPr>
            <w:tcW w:w="1409" w:type="dxa"/>
          </w:tcPr>
          <w:p w14:paraId="653230D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Population Pressure</w:t>
            </w:r>
          </w:p>
        </w:tc>
      </w:tr>
      <w:tr w:rsidR="00506C35" w:rsidRPr="009D048A" w14:paraId="685D0962" w14:textId="77777777">
        <w:tc>
          <w:tcPr>
            <w:tcW w:w="738" w:type="dxa"/>
          </w:tcPr>
          <w:p w14:paraId="2B421CFD"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H1</w:t>
            </w:r>
            <w:r w:rsidRPr="009D048A">
              <w:rPr>
                <w:rFonts w:ascii="Times New Roman" w:hAnsi="Times New Roman" w:cs="Times New Roman"/>
                <w:sz w:val="21"/>
                <w:szCs w:val="21"/>
              </w:rPr>
              <w:t>: Fall seasonality</w:t>
            </w:r>
          </w:p>
        </w:tc>
        <w:tc>
          <w:tcPr>
            <w:tcW w:w="1476" w:type="dxa"/>
          </w:tcPr>
          <w:p w14:paraId="225EE6C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2DC779F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c>
          <w:tcPr>
            <w:tcW w:w="536" w:type="dxa"/>
          </w:tcPr>
          <w:p w14:paraId="589DE7BE"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c>
          <w:tcPr>
            <w:tcW w:w="872" w:type="dxa"/>
          </w:tcPr>
          <w:p w14:paraId="3CD0520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c>
          <w:tcPr>
            <w:tcW w:w="738" w:type="dxa"/>
          </w:tcPr>
          <w:p w14:paraId="1EE7562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1208" w:type="dxa"/>
          </w:tcPr>
          <w:p w14:paraId="2BE18CF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1409" w:type="dxa"/>
          </w:tcPr>
          <w:p w14:paraId="06EA5F7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r>
      <w:tr w:rsidR="00506C35" w:rsidRPr="009D048A" w14:paraId="2069C152" w14:textId="77777777">
        <w:tc>
          <w:tcPr>
            <w:tcW w:w="738" w:type="dxa"/>
          </w:tcPr>
          <w:p w14:paraId="543DD46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H2</w:t>
            </w:r>
            <w:r w:rsidRPr="009D048A">
              <w:rPr>
                <w:rFonts w:ascii="Times New Roman" w:hAnsi="Times New Roman" w:cs="Times New Roman"/>
                <w:sz w:val="21"/>
                <w:szCs w:val="21"/>
              </w:rPr>
              <w:t xml:space="preserve">: Storage scales with </w:t>
            </w:r>
            <w:r w:rsidRPr="009D048A">
              <w:rPr>
                <w:rFonts w:ascii="Times New Roman" w:hAnsi="Times New Roman" w:cs="Times New Roman"/>
                <w:sz w:val="21"/>
                <w:szCs w:val="21"/>
              </w:rPr>
              <w:lastRenderedPageBreak/>
              <w:t>agg. size x frequency x duration</w:t>
            </w:r>
          </w:p>
        </w:tc>
        <w:tc>
          <w:tcPr>
            <w:tcW w:w="1476" w:type="dxa"/>
          </w:tcPr>
          <w:p w14:paraId="630B8C60"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lastRenderedPageBreak/>
              <w:t>Yes</w:t>
            </w:r>
          </w:p>
        </w:tc>
        <w:tc>
          <w:tcPr>
            <w:tcW w:w="939" w:type="dxa"/>
          </w:tcPr>
          <w:p w14:paraId="4D1527D9"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536" w:type="dxa"/>
          </w:tcPr>
          <w:p w14:paraId="3FA69C0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872" w:type="dxa"/>
          </w:tcPr>
          <w:p w14:paraId="75BC9D78"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738" w:type="dxa"/>
          </w:tcPr>
          <w:p w14:paraId="5FF1F82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208" w:type="dxa"/>
          </w:tcPr>
          <w:p w14:paraId="60C90DA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409" w:type="dxa"/>
          </w:tcPr>
          <w:p w14:paraId="1C1D058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r>
      <w:tr w:rsidR="00506C35" w:rsidRPr="009D048A" w14:paraId="2D77239A" w14:textId="77777777">
        <w:tc>
          <w:tcPr>
            <w:tcW w:w="738" w:type="dxa"/>
          </w:tcPr>
          <w:p w14:paraId="142A1FE3"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H3</w:t>
            </w:r>
            <w:r w:rsidRPr="009D048A">
              <w:rPr>
                <w:rFonts w:ascii="Times New Roman" w:hAnsi="Times New Roman" w:cs="Times New Roman"/>
                <w:sz w:val="21"/>
                <w:szCs w:val="21"/>
              </w:rPr>
              <w:t>: Ecotone-driven site selection</w:t>
            </w:r>
          </w:p>
        </w:tc>
        <w:tc>
          <w:tcPr>
            <w:tcW w:w="1476" w:type="dxa"/>
          </w:tcPr>
          <w:p w14:paraId="2F160AAD"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7BA46610"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536" w:type="dxa"/>
          </w:tcPr>
          <w:p w14:paraId="6CEC5E22"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872" w:type="dxa"/>
          </w:tcPr>
          <w:p w14:paraId="42E434F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738" w:type="dxa"/>
          </w:tcPr>
          <w:p w14:paraId="47D0AFE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208" w:type="dxa"/>
          </w:tcPr>
          <w:p w14:paraId="2BF86E3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409" w:type="dxa"/>
          </w:tcPr>
          <w:p w14:paraId="74A9B44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r>
      <w:tr w:rsidR="00506C35" w:rsidRPr="009D048A" w14:paraId="4076D79E" w14:textId="77777777">
        <w:tc>
          <w:tcPr>
            <w:tcW w:w="738" w:type="dxa"/>
          </w:tcPr>
          <w:p w14:paraId="4E9D89CF"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H4</w:t>
            </w:r>
            <w:r w:rsidRPr="009D048A">
              <w:rPr>
                <w:rFonts w:ascii="Times New Roman" w:hAnsi="Times New Roman" w:cs="Times New Roman"/>
                <w:sz w:val="21"/>
                <w:szCs w:val="21"/>
              </w:rPr>
              <w:t>: Env. variability correlates with agg. intensity</w:t>
            </w:r>
          </w:p>
        </w:tc>
        <w:tc>
          <w:tcPr>
            <w:tcW w:w="1476" w:type="dxa"/>
          </w:tcPr>
          <w:p w14:paraId="0CBCB34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3E356B0D"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536" w:type="dxa"/>
          </w:tcPr>
          <w:p w14:paraId="2258B288"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872" w:type="dxa"/>
          </w:tcPr>
          <w:p w14:paraId="3FC5D8F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738" w:type="dxa"/>
          </w:tcPr>
          <w:p w14:paraId="242108C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 (predicts mean, not variance)</w:t>
            </w:r>
          </w:p>
        </w:tc>
        <w:tc>
          <w:tcPr>
            <w:tcW w:w="1208" w:type="dxa"/>
          </w:tcPr>
          <w:p w14:paraId="225A384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409" w:type="dxa"/>
          </w:tcPr>
          <w:p w14:paraId="7A2D8C9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r>
      <w:tr w:rsidR="00506C35" w:rsidRPr="009D048A" w14:paraId="6D359917" w14:textId="77777777">
        <w:tc>
          <w:tcPr>
            <w:tcW w:w="738" w:type="dxa"/>
          </w:tcPr>
          <w:p w14:paraId="2A3A97C0"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H5</w:t>
            </w:r>
            <w:r w:rsidRPr="009D048A">
              <w:rPr>
                <w:rFonts w:ascii="Times New Roman" w:hAnsi="Times New Roman" w:cs="Times New Roman"/>
                <w:sz w:val="21"/>
                <w:szCs w:val="21"/>
              </w:rPr>
              <w:t>: Strongly skewed regional hierarchy</w:t>
            </w:r>
          </w:p>
        </w:tc>
        <w:tc>
          <w:tcPr>
            <w:tcW w:w="1476" w:type="dxa"/>
          </w:tcPr>
          <w:p w14:paraId="24DC61F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35A60F14"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536" w:type="dxa"/>
          </w:tcPr>
          <w:p w14:paraId="3E9D3268"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872" w:type="dxa"/>
          </w:tcPr>
          <w:p w14:paraId="2FA385D7"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738" w:type="dxa"/>
          </w:tcPr>
          <w:p w14:paraId="2F525C94"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c>
          <w:tcPr>
            <w:tcW w:w="1208" w:type="dxa"/>
          </w:tcPr>
          <w:p w14:paraId="05B65A9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1409" w:type="dxa"/>
          </w:tcPr>
          <w:p w14:paraId="3FBDBE2D"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r>
      <w:tr w:rsidR="00506C35" w:rsidRPr="009D048A" w14:paraId="70E6C1C8" w14:textId="77777777">
        <w:tc>
          <w:tcPr>
            <w:tcW w:w="738" w:type="dxa"/>
          </w:tcPr>
          <w:p w14:paraId="3C3EF1E7"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H6</w:t>
            </w:r>
            <w:r w:rsidRPr="009D048A">
              <w:rPr>
                <w:rFonts w:ascii="Times New Roman" w:hAnsi="Times New Roman" w:cs="Times New Roman"/>
                <w:sz w:val="21"/>
                <w:szCs w:val="21"/>
              </w:rPr>
              <w:t>: Exchange goods concentrated at agg. site</w:t>
            </w:r>
          </w:p>
        </w:tc>
        <w:tc>
          <w:tcPr>
            <w:tcW w:w="1476" w:type="dxa"/>
          </w:tcPr>
          <w:p w14:paraId="55D30FF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1D1984C1"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536" w:type="dxa"/>
          </w:tcPr>
          <w:p w14:paraId="77068ECA"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Maybe</w:t>
            </w:r>
          </w:p>
        </w:tc>
        <w:tc>
          <w:tcPr>
            <w:tcW w:w="872" w:type="dxa"/>
          </w:tcPr>
          <w:p w14:paraId="51A0E1CE"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738" w:type="dxa"/>
          </w:tcPr>
          <w:p w14:paraId="2403706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208" w:type="dxa"/>
          </w:tcPr>
          <w:p w14:paraId="32FD089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1409" w:type="dxa"/>
          </w:tcPr>
          <w:p w14:paraId="303EB65C"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r>
      <w:tr w:rsidR="00506C35" w:rsidRPr="009D048A" w14:paraId="42BDBEA4" w14:textId="77777777">
        <w:tc>
          <w:tcPr>
            <w:tcW w:w="738" w:type="dxa"/>
          </w:tcPr>
          <w:p w14:paraId="5FA5181B" w14:textId="77777777" w:rsidR="00506C35" w:rsidRPr="009D048A" w:rsidRDefault="00000000">
            <w:pPr>
              <w:pStyle w:val="Compact"/>
              <w:rPr>
                <w:rFonts w:ascii="Times New Roman" w:hAnsi="Times New Roman" w:cs="Times New Roman"/>
                <w:sz w:val="21"/>
                <w:szCs w:val="21"/>
              </w:rPr>
            </w:pPr>
            <w:r w:rsidRPr="009D048A">
              <w:rPr>
                <w:rFonts w:ascii="Times New Roman" w:hAnsi="Times New Roman" w:cs="Times New Roman"/>
                <w:b/>
                <w:bCs/>
                <w:sz w:val="21"/>
                <w:szCs w:val="21"/>
              </w:rPr>
              <w:t>H7</w:t>
            </w:r>
            <w:r w:rsidRPr="009D048A">
              <w:rPr>
                <w:rFonts w:ascii="Times New Roman" w:hAnsi="Times New Roman" w:cs="Times New Roman"/>
                <w:sz w:val="21"/>
                <w:szCs w:val="21"/>
              </w:rPr>
              <w:t>: Abandonment under environmental stabilization</w:t>
            </w:r>
          </w:p>
        </w:tc>
        <w:tc>
          <w:tcPr>
            <w:tcW w:w="1476" w:type="dxa"/>
          </w:tcPr>
          <w:p w14:paraId="5B9AA6CA"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Yes</w:t>
            </w:r>
          </w:p>
        </w:tc>
        <w:tc>
          <w:tcPr>
            <w:tcW w:w="939" w:type="dxa"/>
          </w:tcPr>
          <w:p w14:paraId="56FD6B33"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536" w:type="dxa"/>
          </w:tcPr>
          <w:p w14:paraId="530658DF"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872" w:type="dxa"/>
          </w:tcPr>
          <w:p w14:paraId="358C3895"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738" w:type="dxa"/>
          </w:tcPr>
          <w:p w14:paraId="5F63703D"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 (predicts opposite)</w:t>
            </w:r>
          </w:p>
        </w:tc>
        <w:tc>
          <w:tcPr>
            <w:tcW w:w="1208" w:type="dxa"/>
          </w:tcPr>
          <w:p w14:paraId="04D5B246"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c>
          <w:tcPr>
            <w:tcW w:w="1409" w:type="dxa"/>
          </w:tcPr>
          <w:p w14:paraId="1524E04E" w14:textId="77777777" w:rsidR="00506C35" w:rsidRPr="009D048A" w:rsidRDefault="00000000">
            <w:pPr>
              <w:pStyle w:val="Compact"/>
              <w:jc w:val="center"/>
              <w:rPr>
                <w:rFonts w:ascii="Times New Roman" w:hAnsi="Times New Roman" w:cs="Times New Roman"/>
                <w:sz w:val="21"/>
                <w:szCs w:val="21"/>
              </w:rPr>
            </w:pPr>
            <w:r w:rsidRPr="009D048A">
              <w:rPr>
                <w:rFonts w:ascii="Times New Roman" w:hAnsi="Times New Roman" w:cs="Times New Roman"/>
                <w:sz w:val="21"/>
                <w:szCs w:val="21"/>
              </w:rPr>
              <w:t>No</w:t>
            </w:r>
          </w:p>
        </w:tc>
      </w:tr>
    </w:tbl>
    <w:p w14:paraId="04477D29"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Unique predictions of the aggregation economics model:</w:t>
      </w:r>
      <w:r w:rsidRPr="009D048A">
        <w:rPr>
          <w:rFonts w:ascii="Times New Roman" w:hAnsi="Times New Roman" w:cs="Times New Roman"/>
          <w:sz w:val="21"/>
          <w:szCs w:val="21"/>
        </w:rPr>
        <w:t xml:space="preserve"> - H2 (storage scaling): Only the economics model predicts the specific relationship between aggregation parameters and infrastructure accumulation. - H3 </w:t>
      </w:r>
      <w:r w:rsidRPr="009D048A">
        <w:rPr>
          <w:rFonts w:ascii="Times New Roman" w:hAnsi="Times New Roman" w:cs="Times New Roman"/>
          <w:sz w:val="21"/>
          <w:szCs w:val="21"/>
        </w:rPr>
        <w:lastRenderedPageBreak/>
        <w:t xml:space="preserve">(ecotone selection): Only the economics model generates a spatial prediction linking site location to ecological diversity. - H4 (variability correlation): Only the economics model predicts that site use intensity tracks environmental </w:t>
      </w:r>
      <w:r w:rsidRPr="009D048A">
        <w:rPr>
          <w:rFonts w:ascii="Times New Roman" w:hAnsi="Times New Roman" w:cs="Times New Roman"/>
          <w:i/>
          <w:iCs/>
          <w:sz w:val="21"/>
          <w:szCs w:val="21"/>
        </w:rPr>
        <w:t>variability</w:t>
      </w:r>
      <w:r w:rsidRPr="009D048A">
        <w:rPr>
          <w:rFonts w:ascii="Times New Roman" w:hAnsi="Times New Roman" w:cs="Times New Roman"/>
          <w:sz w:val="21"/>
          <w:szCs w:val="21"/>
        </w:rPr>
        <w:t xml:space="preserve"> rather than mean conditions. - H7 (abandonment under stabilization): Only the economics model predicts the counterintuitive result that environmental improvement causes system collapse.</w:t>
      </w:r>
    </w:p>
    <w:p w14:paraId="459950BB"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Most discriminating single test:</w:t>
      </w:r>
      <w:r w:rsidRPr="009D048A">
        <w:rPr>
          <w:rFonts w:ascii="Times New Roman" w:hAnsi="Times New Roman" w:cs="Times New Roman"/>
          <w:sz w:val="21"/>
          <w:szCs w:val="21"/>
        </w:rPr>
        <w:t xml:space="preserve"> H7. If abandonment correlates with stabilization rather than deterioration, this simultaneously confirms the economics model and falsifies the abundance, population pressure, and simple deterioration explanations.</w:t>
      </w:r>
    </w:p>
    <w:p w14:paraId="25BAF0AC" w14:textId="77777777" w:rsidR="00506C35" w:rsidRPr="009D048A" w:rsidRDefault="00000000">
      <w:pPr>
        <w:pStyle w:val="BodyText"/>
        <w:rPr>
          <w:rFonts w:ascii="Times New Roman" w:hAnsi="Times New Roman" w:cs="Times New Roman"/>
          <w:sz w:val="21"/>
          <w:szCs w:val="21"/>
        </w:rPr>
      </w:pPr>
      <w:r w:rsidRPr="009D048A">
        <w:rPr>
          <w:rFonts w:ascii="Times New Roman" w:hAnsi="Times New Roman" w:cs="Times New Roman"/>
          <w:b/>
          <w:bCs/>
          <w:sz w:val="21"/>
          <w:szCs w:val="21"/>
        </w:rPr>
        <w:t>Most cost-effective initial test:</w:t>
      </w:r>
      <w:r w:rsidRPr="009D048A">
        <w:rPr>
          <w:rFonts w:ascii="Times New Roman" w:hAnsi="Times New Roman" w:cs="Times New Roman"/>
          <w:sz w:val="21"/>
          <w:szCs w:val="21"/>
        </w:rPr>
        <w:t xml:space="preserve"> H3. GIS analysis of existing site data against ecological zone diversity can be done with minimal cost and provides strong discrimination between the economics model and most alternatives.</w:t>
      </w:r>
      <w:bookmarkEnd w:id="69"/>
      <w:bookmarkEnd w:id="118"/>
    </w:p>
    <w:sectPr w:rsidR="00506C35" w:rsidRPr="009D048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C42F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F8A8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63607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371A3C8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6"/>
    <w:multiLevelType w:val="multilevel"/>
    <w:tmpl w:val="D980AA74"/>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 w16cid:durableId="687826647">
    <w:abstractNumId w:val="0"/>
  </w:num>
  <w:num w:numId="2" w16cid:durableId="1760060668">
    <w:abstractNumId w:val="1"/>
  </w:num>
  <w:num w:numId="3" w16cid:durableId="20127085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10647004">
    <w:abstractNumId w:val="1"/>
  </w:num>
  <w:num w:numId="5" w16cid:durableId="8258249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6058040">
    <w:abstractNumId w:val="1"/>
  </w:num>
  <w:num w:numId="7" w16cid:durableId="1166938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8812392">
    <w:abstractNumId w:val="1"/>
  </w:num>
  <w:num w:numId="9" w16cid:durableId="1909685172">
    <w:abstractNumId w:val="1"/>
  </w:num>
  <w:num w:numId="10" w16cid:durableId="1808425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20788198">
    <w:abstractNumId w:val="1"/>
  </w:num>
  <w:num w:numId="12" w16cid:durableId="1765805798">
    <w:abstractNumId w:val="1"/>
  </w:num>
  <w:num w:numId="13" w16cid:durableId="1232472101">
    <w:abstractNumId w:val="1"/>
  </w:num>
  <w:num w:numId="14" w16cid:durableId="441992888">
    <w:abstractNumId w:val="1"/>
  </w:num>
  <w:num w:numId="15" w16cid:durableId="906300293">
    <w:abstractNumId w:val="1"/>
  </w:num>
  <w:num w:numId="16" w16cid:durableId="65539342">
    <w:abstractNumId w:val="1"/>
  </w:num>
  <w:num w:numId="17" w16cid:durableId="445390219">
    <w:abstractNumId w:val="1"/>
  </w:num>
  <w:num w:numId="18" w16cid:durableId="1502237637">
    <w:abstractNumId w:val="1"/>
  </w:num>
  <w:num w:numId="19" w16cid:durableId="822549032">
    <w:abstractNumId w:val="1"/>
  </w:num>
  <w:num w:numId="20" w16cid:durableId="232357627">
    <w:abstractNumId w:val="1"/>
  </w:num>
  <w:num w:numId="21" w16cid:durableId="1966891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35470060">
    <w:abstractNumId w:val="1"/>
  </w:num>
  <w:num w:numId="23" w16cid:durableId="1448693723">
    <w:abstractNumId w:val="1"/>
  </w:num>
  <w:num w:numId="24" w16cid:durableId="1241909633">
    <w:abstractNumId w:val="1"/>
  </w:num>
  <w:num w:numId="25" w16cid:durableId="403113750">
    <w:abstractNumId w:val="1"/>
  </w:num>
  <w:num w:numId="26" w16cid:durableId="9863192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94685040">
    <w:abstractNumId w:val="1"/>
  </w:num>
  <w:num w:numId="28" w16cid:durableId="553389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70649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3961329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1" w16cid:durableId="525022929">
    <w:abstractNumId w:val="4"/>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2" w16cid:durableId="1926377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506C35"/>
    <w:rsid w:val="00506C35"/>
    <w:rsid w:val="005C4551"/>
    <w:rsid w:val="009D048A"/>
    <w:rsid w:val="00A14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3B8B"/>
  <w15:docId w15:val="{CE06F3AE-C580-A642-BB46-5E52BE17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48</Pages>
  <Words>16272</Words>
  <Characters>97796</Characters>
  <Application>Microsoft Office Word</Application>
  <DocSecurity>0</DocSecurity>
  <Lines>2222</Lines>
  <Paragraphs>1391</Paragraphs>
  <ScaleCrop>false</ScaleCrop>
  <Company/>
  <LinksUpToDate>false</LinksUpToDate>
  <CharactersWithSpaces>112677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Carl Lipo</cp:lastModifiedBy>
  <cp:revision>2</cp:revision>
  <dcterms:created xsi:type="dcterms:W3CDTF">2026-02-24T16:33:00Z</dcterms:created>
  <dcterms:modified xsi:type="dcterms:W3CDTF">2026-02-24T16:36:00Z</dcterms:modified>
</cp:coreProperties>
</file>