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2.png" ContentType="image/png"/>
  <Override PartName="/word/media/rId26.png" ContentType="image/png"/>
  <Override PartName="/word/media/rId31.png" ContentType="image/png"/>
  <Override PartName="/word/media/rId35.png" ContentType="image/png"/>
  <Override PartName="/word/media/rId38.png" ContentType="image/png"/>
  <Override PartName="/word/media/rId42.png" ContentType="image/png"/>
  <Override PartName="/word/media/rId50.png" ContentType="image/png"/>
  <Override PartName="/word/media/rId56.png" ContentType="image/png"/>
  <Override PartName="/word/media/rId61.png" ContentType="image/png"/>
  <Override PartName="/word/media/rId67.png" ContentType="image/png"/>
  <Override PartName="/word/media/rId71.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t xml:space="preserve">Signaling under environmental uncertainty: A multilevel-selection threshold model for Poverty Point</w:t>
      </w:r>
    </w:p>
    <w:p>
      <w:pPr>
        <w:pStyle w:val="FirstParagraph"/>
      </w:pPr>
      <w:r>
        <w:rPr>
          <w:b/>
          <w:bCs/>
        </w:rPr>
        <w:t xml:space="preserve">Target journal:</w:t>
      </w:r>
      <w:r>
        <w:t xml:space="preserve"> </w:t>
      </w:r>
      <w:r>
        <w:rPr>
          <w:i/>
          <w:iCs/>
        </w:rPr>
        <w:t xml:space="preserve">Journal of Archaeological Method and Theory</w:t>
      </w:r>
    </w:p>
    <w:p>
      <w:pPr>
        <w:pStyle w:val="BodyText"/>
      </w:pPr>
      <w:r>
        <w:rPr>
          <w:b/>
          <w:bCs/>
        </w:rPr>
        <w:t xml:space="preserve">Authors:</w:t>
      </w:r>
      <w:r>
        <w:t xml:space="preserve"> </w:t>
      </w:r>
      <w:r>
        <w:t xml:space="preserve">Carl P. Lipo¹* (ORCID: 0000-0003-4391-3590), Beau DiNapoli¹ (ORCID: 0000-0003-2180-2195), Diana M. Greenlee²</w:t>
      </w:r>
    </w:p>
    <w:p>
      <w:pPr>
        <w:pStyle w:val="BodyText"/>
      </w:pPr>
      <w:r>
        <w:t xml:space="preserve">¹ Department of Anthropology, Binghamton University, Binghamton, NY 13902, USA</w:t>
      </w:r>
    </w:p>
    <w:p>
      <w:pPr>
        <w:pStyle w:val="BodyText"/>
      </w:pPr>
      <w:r>
        <w:t xml:space="preserve">² Poverty Point Station Archaeology Program, University of Louisiana at Monroe, Monroe, LA 71209, USA</w:t>
      </w:r>
    </w:p>
    <w:p>
      <w:pPr>
        <w:pStyle w:val="BodyText"/>
      </w:pPr>
      <w:r>
        <w:t xml:space="preserve">*</w:t>
      </w:r>
      <w:r>
        <w:t xml:space="preserve"> </w:t>
      </w:r>
      <w:r>
        <w:rPr>
          <w:b/>
          <w:bCs/>
        </w:rPr>
        <w:t xml:space="preserve">Corresponding author:</w:t>
      </w:r>
      <w:r>
        <w:t xml:space="preserve"> </w:t>
      </w:r>
      <w:r>
        <w:t xml:space="preserve">Carl P. Lipo, clipo@binghamton.edu</w:t>
      </w:r>
    </w:p>
    <w:p>
      <w:pPr>
        <w:pStyle w:val="BodyText"/>
      </w:pPr>
      <w:r>
        <w:rPr>
          <w:b/>
          <w:bCs/>
        </w:rPr>
        <w:t xml:space="preserve">Keywords:</w:t>
      </w:r>
      <w:r>
        <w:t xml:space="preserve"> </w:t>
      </w:r>
      <w: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t xml:space="preserve">Abstract</w:t>
      </w:r>
    </w:p>
    <w:p>
      <w:pPr>
        <w:pStyle w:val="FirstParagraph"/>
      </w:pPr>
      <w: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t xml:space="preserve">1. Introduction</w:t>
      </w:r>
    </w:p>
    <w:p>
      <w:pPr>
        <w:pStyle w:val="FirstParagraph"/>
      </w:pPr>
      <w: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drawing>
          <wp:inline>
            <wp:extent cx="5943600" cy="8275482"/>
            <wp:effectExtent b="0" l="0" r="0" t="0"/>
            <wp:docPr descr="" title="" id="11" name="Picture"/>
            <a:graphic>
              <a:graphicData uri="http://schemas.openxmlformats.org/drawingml/2006/picture">
                <pic:pic>
                  <pic:nvPicPr>
                    <pic:cNvPr descr="../../figures/manuscript/figure_01_poverty_point_map.png" id="12" name="Picture"/>
                    <pic:cNvPicPr>
                      <a:picLocks noChangeArrowheads="1" noChangeAspect="1"/>
                    </pic:cNvPicPr>
                  </pic:nvPicPr>
                  <pic:blipFill>
                    <a:blip r:embed="rId10"/>
                    <a:stretch>
                      <a:fillRect/>
                    </a:stretch>
                  </pic:blipFill>
                  <pic:spPr bwMode="auto">
                    <a:xfrm>
                      <a:off x="0" y="0"/>
                      <a:ext cx="5943600" cy="8275482"/>
                    </a:xfrm>
                    <a:prstGeom prst="rect">
                      <a:avLst/>
                    </a:prstGeom>
                    <a:noFill/>
                    <a:ln w="9525">
                      <a:noFill/>
                      <a:headEnd/>
                      <a:tailEnd/>
                    </a:ln>
                  </pic:spPr>
                </pic:pic>
              </a:graphicData>
            </a:graphic>
          </wp:inline>
        </w:drawing>
      </w:r>
    </w:p>
    <w:p>
      <w:pPr>
        <w:pStyle w:val="BodyText"/>
      </w:pPr>
      <w:r>
        <w:rPr>
          <w:b/>
          <w:bCs/>
          <w:i/>
          <w:iCs/>
        </w:rPr>
        <w:t xml:space="preserve">Figure 1. Location of Poverty Point and other sites in the Lower Mississippi Valley.</w:t>
      </w:r>
      <w:r>
        <w:t xml:space="preserve"> </w:t>
      </w:r>
      <w:r>
        <w:rPr>
          <w:i/>
          <w:iCs/>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t xml:space="preserve"> </w:t>
      </w:r>
      <w:r>
        <w:rPr>
          <w:i/>
          <w:iCs/>
        </w:rPr>
        <w:t xml:space="preserve">Other Late Archaic and Middle Archaic sites are shown as orange circles with site numbers.</w:t>
      </w:r>
      <w:r>
        <w:t xml:space="preserve"> </w:t>
      </w:r>
      <w:r>
        <w:rPr>
          <w:i/>
          <w:iCs/>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drawing>
          <wp:inline>
            <wp:extent cx="5943600" cy="3976173"/>
            <wp:effectExtent b="0" l="0" r="0" t="0"/>
            <wp:docPr descr="" title="" id="14" name="Picture"/>
            <a:graphic>
              <a:graphicData uri="http://schemas.openxmlformats.org/drawingml/2006/picture">
                <pic:pic>
                  <pic:nvPicPr>
                    <pic:cNvPr descr="../../figures/manuscript/figure_02_site_architecture.png" id="15" name="Picture"/>
                    <pic:cNvPicPr>
                      <a:picLocks noChangeArrowheads="1" noChangeAspect="1"/>
                    </pic:cNvPicPr>
                  </pic:nvPicPr>
                  <pic:blipFill>
                    <a:blip r:embed="rId13"/>
                    <a:stretch>
                      <a:fillRect/>
                    </a:stretch>
                  </pic:blipFill>
                  <pic:spPr bwMode="auto">
                    <a:xfrm>
                      <a:off x="0" y="0"/>
                      <a:ext cx="5943600" cy="3976173"/>
                    </a:xfrm>
                    <a:prstGeom prst="rect">
                      <a:avLst/>
                    </a:prstGeom>
                    <a:noFill/>
                    <a:ln w="9525">
                      <a:noFill/>
                      <a:headEnd/>
                      <a:tailEnd/>
                    </a:ln>
                  </pic:spPr>
                </pic:pic>
              </a:graphicData>
            </a:graphic>
          </wp:inline>
        </w:drawing>
      </w:r>
    </w:p>
    <w:p>
      <w:pPr>
        <w:pStyle w:val="BodyText"/>
      </w:pPr>
      <w:r>
        <w:rPr>
          <w:b/>
          <w:bCs/>
          <w:i/>
          <w:iCs/>
        </w:rPr>
        <w:t xml:space="preserve">Figure 2. Poverty Point monumental architecture.</w:t>
      </w:r>
      <w:r>
        <w:t xml:space="preserve"> </w:t>
      </w:r>
      <w:r>
        <w:rPr>
          <w:i/>
          <w:iCs/>
        </w:rPr>
        <w:t xml:space="preserve">LiDAR digital elevation model (elevation in meters, color scale at right) of the Poverty Point core, showing the six concentric C-shaped earthen ridge sets (N, NW, W, SW, and S ridges, numbered 1 to 6 from inner to outer) divided by radial aisles, Mound A (Bird Mound, 22 m), Mounds B, C, D, E, and F, the Mound E ridge and causeway, the central plaza, and the W Plaza Rise. White circles mark the timber post circles identified within and around the plaza by magnetic gradient survey (Clay 2023; Hargrave et al. 2021). Bayou Maçon flanks the core to the east. The constructed monumental core encompasses approximately 140 hectares.</w:t>
      </w:r>
    </w:p>
    <w:p>
      <w:pPr>
        <w:pStyle w:val="BodyText"/>
      </w:pPr>
      <w: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t xml:space="preserve"> </w:t>
      </w:r>
      <w:r>
        <w:t xml:space="preserve">“complexity”</w:t>
      </w:r>
      <w:r>
        <w:t xml:space="preserve"> </w:t>
      </w:r>
      <w: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in the agricultural sense is not supported by the subsistence record. The type-site macrobotanical assemblage is dominated by wild nuts and fruits, with only small quantities of native starchy cultigens (maygrass, little barley, chenopod) that fall well short of agricultural dependence (Leone 2014, 2020), and the peripheral-site record is consistent with seasonal rather than year-round residence (Jackson 1986; Thomas and Campbell 1978).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t xml:space="preserve"> </w:t>
      </w:r>
      <w:r>
        <w:t xml:space="preserve">“transactional epiphenomena.”</w:t>
      </w:r>
      <w:r>
        <w:t xml:space="preserve"> </w:t>
      </w:r>
      <w: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t xml:space="preserve"> </w:t>
      </w:r>
      <w:r>
        <w:rPr>
          <w:i/>
          <w:iCs/>
        </w:rPr>
        <w:t xml:space="preserve">why</w:t>
      </w:r>
      <w:r>
        <w:t xml:space="preserve"> </w:t>
      </w:r>
      <w:r>
        <w:t xml:space="preserve">mobile foragers should make such large group-level investments at all,</w:t>
      </w:r>
      <w:r>
        <w:t xml:space="preserve"> </w:t>
      </w:r>
      <w:r>
        <w:rPr>
          <w:i/>
          <w:iCs/>
        </w:rPr>
        <w:t xml:space="preserve">when</w:t>
      </w:r>
      <w:r>
        <w:t xml:space="preserve"> </w:t>
      </w:r>
      <w:r>
        <w:t xml:space="preserve">the pattern should begin and end, and</w:t>
      </w:r>
      <w:r>
        <w:t xml:space="preserve"> </w:t>
      </w:r>
      <w:r>
        <w:rPr>
          <w:i/>
          <w:iCs/>
        </w:rPr>
        <w:t xml:space="preserve">where</w:t>
      </w:r>
      <w:r>
        <w:t xml:space="preserve"> </w:t>
      </w:r>
      <w: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t xml:space="preserve"> </w:t>
      </w:r>
      <w:r>
        <w:rPr>
          <w:i/>
          <w:iCs/>
        </w:rPr>
        <w:t xml:space="preserve">waste</w:t>
      </w:r>
      <w: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t xml:space="preserve"> </w:t>
      </w:r>
      <w:r>
        <w:rPr>
          <w:i/>
          <w:iCs/>
        </w:rPr>
        <w:t xml:space="preserve">ex ante</w:t>
      </w:r>
      <w:r>
        <w:t xml:space="preserve"> </w:t>
      </w:r>
      <w:r>
        <w:t xml:space="preserve">what observations would falsify the framework.</w:t>
      </w:r>
    </w:p>
    <w:p>
      <w:pPr>
        <w:pStyle w:val="BodyText"/>
      </w:pPr>
      <w: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t xml:space="preserve"> </w:t>
      </w:r>
      <w:r>
        <w:rPr>
          <w:i/>
          <w:iCs/>
        </w:rPr>
        <w:t xml:space="preserve">what</w:t>
      </w:r>
      <w:r>
        <w:t xml:space="preserve"> </w:t>
      </w:r>
      <w:r>
        <w:t xml:space="preserve">was where and</w:t>
      </w:r>
      <w:r>
        <w:t xml:space="preserve"> </w:t>
      </w:r>
      <w:r>
        <w:rPr>
          <w:i/>
          <w:iCs/>
        </w:rPr>
        <w:t xml:space="preserve">when</w:t>
      </w:r>
      <w: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t xml:space="preserve"> </w:t>
      </w:r>
      <w:r>
        <w:t xml:space="preserve">“patterns”</w:t>
      </w:r>
      <w:r>
        <w:t xml:space="preserve"> </w:t>
      </w:r>
      <w: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t xml:space="preserve">2. Theoretical framework</w:t>
      </w:r>
    </w:p>
    <w:p>
      <w:pPr>
        <w:pStyle w:val="FirstParagraph"/>
      </w:pPr>
      <w:r>
        <w:rPr>
          <w:b/>
          <w:bCs/>
        </w:rPr>
        <w:t xml:space="preserve">Notation.</w:t>
      </w:r>
      <w:r>
        <w:t xml:space="preserve"> </w:t>
      </w:r>
      <w:r>
        <w:rPr>
          <w:i/>
          <w:iCs/>
        </w:rPr>
        <w:t xml:space="preserve">Symbols used throughout the paper, grouped by role. Tunable-parameter values, ranges, and sources are given in Supplemental §S2. This table is a reader’s glossary of meaning. Derived quantities (e.g.,</w:t>
      </w:r>
      <w:r>
        <w:t xml:space="preserve"> </w:t>
      </w:r>
      <m:oMath>
        <m:sSup>
          <m:e>
            <m:r>
              <m:t>σ</m:t>
            </m:r>
          </m:e>
          <m:sup>
            <m:r>
              <m:rPr>
                <m:sty m:val="p"/>
              </m:rPr>
              <m:t>*</m:t>
            </m:r>
          </m:sup>
        </m:sSup>
      </m:oMath>
      <w:r>
        <w:rPr>
          <w:i/>
          <w:iCs/>
        </w:rPr>
        <w:t xml:space="preserve">,</w:t>
      </w:r>
      <w:r>
        <w:t xml:space="preserve"> </w:t>
      </w:r>
      <m:oMath>
        <m:r>
          <m:t>S</m:t>
        </m:r>
        <m:r>
          <m:rPr>
            <m:sty m:val="p"/>
          </m:rPr>
          <m:t>(</m:t>
        </m:r>
        <m:r>
          <m:t>t</m:t>
        </m:r>
        <m:r>
          <m:rPr>
            <m:sty m:val="p"/>
          </m:rPr>
          <m:t>)</m:t>
        </m:r>
      </m:oMath>
      <w:r>
        <w:rPr>
          <w:i/>
          <w:iCs/>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t xml:space="preserve">2.1 Multilevel selection and the logic of aggregation</w:t>
      </w:r>
    </w:p>
    <w:p>
      <w:pPr>
        <w:pStyle w:val="FirstParagraph"/>
      </w:pPr>
      <w: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t xml:space="preserve">The framework operates at two distinct scales, and both are needed to explain Poverty Point. At the</w:t>
      </w:r>
      <w:r>
        <w:t xml:space="preserve"> </w:t>
      </w:r>
      <w:r>
        <w:rPr>
          <w:i/>
          <w:iCs/>
        </w:rPr>
        <w:t xml:space="preserve">band level</w:t>
      </w:r>
      <w: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t xml:space="preserve"> </w:t>
      </w:r>
      <w:r>
        <w:rPr>
          <w:i/>
          <w:iCs/>
        </w:rPr>
        <w:t xml:space="preserve">population level</w:t>
      </w:r>
      <w: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t xml:space="preserve"> </w:t>
      </w:r>
      <m:oMath>
        <m:r>
          <m:t>S</m:t>
        </m:r>
        <m:r>
          <m:rPr>
            <m:sty m:val="p"/>
          </m:rPr>
          <m:t>(</m:t>
        </m:r>
        <m:r>
          <m:t>t</m:t>
        </m:r>
        <m:r>
          <m:rPr>
            <m:sty m:val="p"/>
          </m:rPr>
          <m:t>)</m:t>
        </m:r>
      </m:oMath>
      <w:r>
        <w:t xml:space="preserve"> </w:t>
      </w:r>
      <w:r>
        <w:t xml:space="preserve">tells us whether aggregator bands or independent bands are doing better at the moment, and the cumulative integral</w:t>
      </w:r>
      <w:r>
        <w:t xml:space="preserve"> </w:t>
      </w:r>
      <m:oMath>
        <m:nary>
          <m:naryPr>
            <m:chr m:val="∑"/>
            <m:limLoc m:val="undOvr"/>
            <m:subHide m:val="off"/>
            <m:supHide m:val="on"/>
          </m:naryPr>
          <m:sub>
            <m:r>
              <m:t>t</m:t>
            </m:r>
          </m:sub>
          <m:sup>
            <m:r>
              <m:t>​</m:t>
            </m:r>
          </m:sup>
          <m:e>
            <m:r>
              <m:t>S</m:t>
            </m:r>
          </m:e>
        </m:nary>
        <m:r>
          <m:rPr>
            <m:sty m:val="p"/>
          </m:rPr>
          <m:t>(</m:t>
        </m:r>
        <m:r>
          <m:t>t</m:t>
        </m:r>
        <m:r>
          <m:rPr>
            <m:sty m:val="p"/>
          </m:rPr>
          <m:t>)</m:t>
        </m:r>
      </m:oMath>
      <w:r>
        <w:t xml:space="preserve"> </w:t>
      </w:r>
      <w:r>
        <w:t xml:space="preserve">tells us how far the population frequency has shifted as a result. For Poverty Point, both quantities matter. Per-year</w:t>
      </w:r>
      <w:r>
        <w:t xml:space="preserve"> </w:t>
      </w:r>
      <m:oMath>
        <m:r>
          <m:t>S</m:t>
        </m:r>
        <m:r>
          <m:rPr>
            <m:sty m:val="p"/>
          </m:rPr>
          <m:t>(</m:t>
        </m:r>
        <m:r>
          <m:t>t</m:t>
        </m:r>
        <m:r>
          <m:rPr>
            <m:sty m:val="p"/>
          </m:rPr>
          <m:t>)</m:t>
        </m:r>
      </m:oMath>
      <w:r>
        <w:t xml:space="preserve"> </w:t>
      </w:r>
      <w: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t xml:space="preserve"> </w:t>
      </w:r>
      <m:oMath>
        <m:acc>
          <m:accPr>
            <m:chr m:val="‾"/>
          </m:accPr>
          <m:e>
            <m:r>
              <m:t>p</m:t>
            </m:r>
          </m:e>
        </m:acc>
        <m:r>
          <m:rPr>
            <m:sty m:val="p"/>
          </m:rPr>
          <m:t>≈</m:t>
        </m:r>
        <m:r>
          <m:t>0.5</m:t>
        </m:r>
      </m:oMath>
      <w:r>
        <w:t xml:space="preserve"> </w:t>
      </w:r>
      <w:r>
        <w:t xml:space="preserve">to equilibrium</w:t>
      </w:r>
      <w:r>
        <w:t xml:space="preserve"> </w:t>
      </w:r>
      <m:oMath>
        <m:acc>
          <m:accPr>
            <m:chr m:val="‾"/>
          </m:accPr>
          <m:e>
            <m:r>
              <m:t>p</m:t>
            </m:r>
          </m:e>
        </m:acc>
        <m:r>
          <m:rPr>
            <m:sty m:val="p"/>
          </m:rPr>
          <m:t>≈</m:t>
        </m:r>
        <m:r>
          <m:t>0.98</m:t>
        </m:r>
      </m:oMath>
      <w:r>
        <w:t xml:space="preserve"> </w:t>
      </w:r>
      <w:r>
        <w:t xml:space="preserve">above threshold;</w:t>
      </w:r>
      <w:r>
        <w:t xml:space="preserve"> </w:t>
      </w:r>
      <m:oMath>
        <m:acc>
          <m:accPr>
            <m:chr m:val="‾"/>
          </m:accPr>
          <m:e>
            <m:r>
              <m:t>p</m:t>
            </m:r>
          </m:e>
        </m:acc>
        <m:r>
          <m:rPr>
            <m:sty m:val="p"/>
          </m:rPr>
          <m:t>≈</m:t>
        </m:r>
        <m:r>
          <m:t>0.37</m:t>
        </m:r>
      </m:oMath>
      <w:r>
        <w:t xml:space="preserve"> </w:t>
      </w:r>
      <w:r>
        <w:t xml:space="preserve">below) that explain how the LMV system converges on the sustained-aggregation equilibrium archaeology records, or fails to.</w:t>
      </w:r>
    </w:p>
    <w:p>
      <w:pPr>
        <w:pStyle w:val="BodyText"/>
      </w:pPr>
      <w: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t xml:space="preserve"> </w:t>
      </w:r>
      <m:oMath>
        <m:r>
          <m:t>S</m:t>
        </m:r>
        <m:r>
          <m:rPr>
            <m:sty m:val="p"/>
          </m:rPr>
          <m:t>(</m:t>
        </m:r>
        <m:r>
          <m:t>t</m:t>
        </m:r>
        <m:r>
          <m:rPr>
            <m:sty m:val="p"/>
          </m:rPr>
          <m:t>)</m:t>
        </m:r>
        <m:r>
          <m:rPr>
            <m:sty m:val="p"/>
          </m:rPr>
          <m:t>≈</m:t>
        </m:r>
        <m:r>
          <m:rPr>
            <m:sty m:val="p"/>
          </m:rPr>
          <m:t>+</m:t>
        </m:r>
        <m:r>
          <m:t>0.02</m:t>
        </m:r>
      </m:oMath>
      <w:r>
        <w:t xml:space="preserve"> </w:t>
      </w:r>
      <w:r>
        <w:t xml:space="preserve">above the threshold,</w:t>
      </w:r>
      <w:r>
        <w:t xml:space="preserve"> </w:t>
      </w:r>
      <m:oMath>
        <m:r>
          <m:rPr>
            <m:sty m:val="p"/>
          </m:rPr>
          <m:t>≈</m:t>
        </m:r>
        <m:r>
          <m:rPr>
            <m:sty m:val="p"/>
          </m:rPr>
          <m:t>+</m:t>
        </m:r>
        <m:r>
          <m:t>0.05</m:t>
        </m:r>
      </m:oMath>
      <w:r>
        <w:t xml:space="preserve"> </w:t>
      </w:r>
      <w:r>
        <w:t xml:space="preserve">at it, and</w:t>
      </w:r>
      <w:r>
        <w:t xml:space="preserve"> </w:t>
      </w:r>
      <m:oMath>
        <m:r>
          <m:rPr>
            <m:sty m:val="p"/>
          </m:rPr>
          <m:t>≈</m:t>
        </m:r>
        <m:r>
          <m:rPr>
            <m:sty m:val="p"/>
          </m:rPr>
          <m:t>−</m:t>
        </m:r>
        <m:r>
          <m:t>0.01</m:t>
        </m:r>
      </m:oMath>
      <w:r>
        <w:t xml:space="preserve"> </w:t>
      </w:r>
      <w:r>
        <w:t xml:space="preserve">below it, integrating over the 200-year simulated interval to the population-level shifts that the simulation actually exhibits.</w:t>
      </w:r>
    </w:p>
    <w:p>
      <w:pPr>
        <w:pStyle w:val="BodyText"/>
      </w:pPr>
      <m:oMath>
        <m:r>
          <m:t>σ</m:t>
        </m:r>
      </m:oMath>
      <w:r>
        <w:t xml:space="preserve"> </w:t>
      </w:r>
      <w:r>
        <w:t xml:space="preserve">modulates the balance between the two Price components. In stable environments, the within-group cost dominates. In volatile environments, the between-group benefit dominates. Separating the two regimes is a critical threshold</w:t>
      </w:r>
      <w:r>
        <w:t xml:space="preserve"> </w:t>
      </w:r>
      <m:oMath>
        <m:sSup>
          <m:e>
            <m:r>
              <m:t>σ</m:t>
            </m:r>
          </m:e>
          <m:sup>
            <m:r>
              <m:rPr>
                <m:sty m:val="p"/>
              </m:rPr>
              <m:t>*</m:t>
            </m:r>
          </m:sup>
        </m:sSup>
      </m:oMath>
      <w: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t xml:space="preserve"> </w:t>
      </w:r>
      <w:r>
        <w:rPr>
          <w:i/>
          <w:iCs/>
        </w:rPr>
        <w:t xml:space="preserve">phase transitions</w:t>
      </w:r>
      <w: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drawing>
          <wp:inline>
            <wp:extent cx="5943600" cy="2953364"/>
            <wp:effectExtent b="0" l="0" r="0" t="0"/>
            <wp:docPr descr="" title="" id="18" name="Picture"/>
            <a:graphic>
              <a:graphicData uri="http://schemas.openxmlformats.org/drawingml/2006/picture">
                <pic:pic>
                  <pic:nvPicPr>
                    <pic:cNvPr descr="../../figures/manuscript/figure_03_mls_decomposition.png" id="19" name="Picture"/>
                    <pic:cNvPicPr>
                      <a:picLocks noChangeArrowheads="1" noChangeAspect="1"/>
                    </pic:cNvPicPr>
                  </pic:nvPicPr>
                  <pic:blipFill>
                    <a:blip r:embed="rId17"/>
                    <a:stretch>
                      <a:fillRect/>
                    </a:stretch>
                  </pic:blipFill>
                  <pic:spPr bwMode="auto">
                    <a:xfrm>
                      <a:off x="0" y="0"/>
                      <a:ext cx="5943600" cy="2953364"/>
                    </a:xfrm>
                    <a:prstGeom prst="rect">
                      <a:avLst/>
                    </a:prstGeom>
                    <a:noFill/>
                    <a:ln w="9525">
                      <a:noFill/>
                      <a:headEnd/>
                      <a:tailEnd/>
                    </a:ln>
                  </pic:spPr>
                </pic:pic>
              </a:graphicData>
            </a:graphic>
          </wp:inline>
        </w:drawing>
      </w:r>
    </w:p>
    <w:p>
      <w:pPr>
        <w:pStyle w:val="BodyText"/>
      </w:pPr>
      <w:r>
        <w:rPr>
          <w:b/>
          <w:bCs/>
          <w:i/>
          <w:iCs/>
        </w:rPr>
        <w:t xml:space="preserve">Figure 3. The cost and benefit components of the aggregator strategy.</w:t>
      </w:r>
      <w:r>
        <w:t xml:space="preserve"> </w:t>
      </w:r>
      <w:r>
        <w:rPr>
          <w:i/>
          <w:iCs/>
        </w:rPr>
        <w:t xml:space="preserve">(A) Schematic of the band-level selection logic. Aggregator bands pay a cooperation cost denoted by</w:t>
      </w:r>
      <w:r>
        <w:t xml:space="preserve"> </w:t>
      </w:r>
      <m:oMath>
        <m:r>
          <m:t>C</m:t>
        </m:r>
      </m:oMath>
      <w:r>
        <w:t xml:space="preserve"> </w:t>
      </w:r>
      <w:r>
        <w:rPr>
          <w:i/>
          <w:iCs/>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i/>
          <w:iCs/>
        </w:rPr>
        <w:t xml:space="preserve">) supports a denser cooperation network, raising the buffering value of joining. An independent-majority population (</w:t>
      </w:r>
      <m:oMath>
        <m:r>
          <m:t>q</m:t>
        </m:r>
        <m:r>
          <m:rPr>
            <m:sty m:val="p"/>
          </m:rPr>
          <m:t>=</m:t>
        </m:r>
        <m:r>
          <m:t>0.2</m:t>
        </m:r>
      </m:oMath>
      <w:r>
        <w:rPr>
          <w:i/>
          <w:iCs/>
        </w:rPr>
        <w:t xml:space="preserve">) supports a thinner network. (B) Net selection on the aggregator strategy as a function of environmental uncertainty</w:t>
      </w:r>
      <w:r>
        <w:t xml:space="preserve"> </w:t>
      </w:r>
      <m:oMath>
        <m:r>
          <m:t>σ</m:t>
        </m:r>
      </m:oMath>
      <w:r>
        <w:rPr>
          <w:i/>
          <w:iCs/>
        </w:rPr>
        <w:t xml:space="preserve">, decomposed into the constant-cost component (red,</w:t>
      </w:r>
      <w:r>
        <w:t xml:space="preserve"> </w:t>
      </w:r>
      <m:oMath>
        <m:r>
          <m:rPr>
            <m:sty m:val="p"/>
          </m:rPr>
          <m:t>−</m:t>
        </m:r>
        <m:r>
          <m:t>C</m:t>
        </m:r>
      </m:oMath>
      <w:r>
        <w:rPr>
          <w:i/>
          <w:iCs/>
        </w:rPr>
        <w:t xml:space="preserve">) and the network-buffering benefit component (blue,</w:t>
      </w:r>
      <w: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i/>
          <w:iCs/>
        </w:rPr>
        <w:t xml:space="preserve">), which grows with shortfall frequency. The smooth analytical curves are illustrative under simplified parameterizations chosen so the schematic threshold lands near our calibrated</w:t>
      </w:r>
      <w:r>
        <w:t xml:space="preserve"> </w:t>
      </w:r>
      <m:oMath>
        <m:sSup>
          <m:e>
            <m:r>
              <m:t>σ</m:t>
            </m:r>
          </m:e>
          <m:sup>
            <m:r>
              <m:rPr>
                <m:sty m:val="p"/>
              </m:rPr>
              <m:t>*</m:t>
            </m:r>
          </m:sup>
        </m:sSup>
        <m:r>
          <m:rPr>
            <m:sty m:val="p"/>
          </m:rPr>
          <m:t>≈</m:t>
        </m:r>
        <m:r>
          <m:t>0.40</m:t>
        </m:r>
      </m:oMath>
      <w:r>
        <w:rPr>
          <w:i/>
          <w:iCs/>
        </w:rPr>
        <w:t xml:space="preserve">. Black points (with</w:t>
      </w:r>
      <w:r>
        <w:t xml:space="preserve"> </w:t>
      </w:r>
      <m:oMath>
        <m:r>
          <m:rPr>
            <m:sty m:val="p"/>
          </m:rPr>
          <m:t>±</m:t>
        </m:r>
        <m:r>
          <m:t>1</m:t>
        </m:r>
      </m:oMath>
      <w:r>
        <w:t xml:space="preserve"> </w:t>
      </w:r>
      <w:r>
        <w:rPr>
          <w:i/>
          <w:iCs/>
        </w:rPr>
        <w:t xml:space="preserve">SD error bars) overlay the empirical between-strategy-class selection differential</w:t>
      </w:r>
      <w: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t xml:space="preserve"> </w:t>
      </w:r>
      <w:r>
        <w:rPr>
          <w:i/>
          <w:iCs/>
        </w:rPr>
        <w:t xml:space="preserve">computed from agent-based-model output at three</w:t>
      </w:r>
      <w:r>
        <w:t xml:space="preserve"> </w:t>
      </w:r>
      <m:oMath>
        <m:r>
          <m:t>σ</m:t>
        </m:r>
      </m:oMath>
      <w:r>
        <w:t xml:space="preserve"> </w:t>
      </w:r>
      <w:r>
        <w:rPr>
          <w:i/>
          <w:iCs/>
        </w:rPr>
        <w:t xml:space="preserve">scenarios spanning the threshold (below-threshold</w:t>
      </w:r>
      <w:r>
        <w:t xml:space="preserve"> </w:t>
      </w:r>
      <m:oMath>
        <m:r>
          <m:t>σ</m:t>
        </m:r>
        <m:r>
          <m:rPr>
            <m:sty m:val="p"/>
          </m:rPr>
          <m:t>=</m:t>
        </m:r>
        <m:r>
          <m:t>0.20</m:t>
        </m:r>
      </m:oMath>
      <w:r>
        <w:rPr>
          <w:i/>
          <w:iCs/>
        </w:rPr>
        <w:t xml:space="preserve">, near-threshold</w:t>
      </w:r>
      <w:r>
        <w:t xml:space="preserve"> </w:t>
      </w:r>
      <m:oMath>
        <m:r>
          <m:t>σ</m:t>
        </m:r>
        <m:r>
          <m:rPr>
            <m:sty m:val="p"/>
          </m:rPr>
          <m:t>=</m:t>
        </m:r>
        <m:r>
          <m:t>0.40</m:t>
        </m:r>
      </m:oMath>
      <w:r>
        <w:rPr>
          <w:i/>
          <w:iCs/>
        </w:rPr>
        <w:t xml:space="preserve">, above-threshold</w:t>
      </w:r>
      <w:r>
        <w:t xml:space="preserve"> </w:t>
      </w:r>
      <m:oMath>
        <m:r>
          <m:t>σ</m:t>
        </m:r>
        <m:r>
          <m:rPr>
            <m:sty m:val="p"/>
          </m:rPr>
          <m:t>=</m:t>
        </m:r>
        <m:r>
          <m:t>0.64</m:t>
        </m:r>
      </m:oMath>
      <w:r>
        <w:rPr>
          <w:i/>
          <w:iCs/>
        </w:rPr>
        <w:t xml:space="preserve">, 5 replicates each, post-burn-in pooled across years; §S5.5). The empirical anchors confirm the analytical prediction: between-strategy-class selection is negative below</w:t>
      </w:r>
      <w:r>
        <w:t xml:space="preserve"> </w:t>
      </w:r>
      <m:oMath>
        <m:sSup>
          <m:e>
            <m:r>
              <m:t>σ</m:t>
            </m:r>
          </m:e>
          <m:sup>
            <m:r>
              <m:rPr>
                <m:sty m:val="p"/>
              </m:rPr>
              <m:t>*</m:t>
            </m:r>
          </m:sup>
        </m:sSup>
      </m:oMath>
      <w:r>
        <w:t xml:space="preserve"> </w:t>
      </w:r>
      <w:r>
        <w:rPr>
          <w:i/>
          <w:iCs/>
        </w:rPr>
        <w:t xml:space="preserve">and positive above it, with the sign reversal occurring near the framework’s analytical threshold.</w:t>
      </w:r>
    </w:p>
    <w:p>
      <w:pPr>
        <w:pStyle w:val="BodyText"/>
      </w:pPr>
      <w: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t xml:space="preserve">Costly-signaling models in archaeology have traditionally been developed for territorial groups competing for fixed positions in a landscape, where the signal carries a</w:t>
      </w:r>
      <w:r>
        <w:t xml:space="preserve"> </w:t>
      </w:r>
      <w:r>
        <w:t xml:space="preserve">“we can defend this place”</w:t>
      </w:r>
      <w:r>
        <w:t xml:space="preserve"> </w:t>
      </w:r>
      <w:r>
        <w:t xml:space="preserve">message, and monuments serve as deterrents directed at neighboring groups. For mobile hunter-gatherer bands, the optimization problem is different. Bands are not territorial (Kelly 2013). They choose whether to aggregate at a central location, how long to remain, and how much to invest in collective construction. The signal function shifts from deterrence to attraction. It now says</w:t>
      </w:r>
      <w:r>
        <w:t xml:space="preserve"> </w:t>
      </w:r>
      <w:r>
        <w:t xml:space="preserve">“we will cooperate reliably”</w:t>
      </w:r>
      <w:r>
        <w:t xml:space="preserve"> </w:t>
      </w:r>
      <w: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t xml:space="preserve">2.2 Honest signals: index, not handicap</w:t>
      </w:r>
    </w:p>
    <w:p>
      <w:pPr>
        <w:pStyle w:val="FirstParagraph"/>
      </w:pPr>
      <w:r>
        <w:t xml:space="preserve">The investment in monumentality serves as a signal within and between bands. These signals are considered</w:t>
      </w:r>
      <w:r>
        <w:t xml:space="preserve"> </w:t>
      </w:r>
      <w:r>
        <w:t xml:space="preserve">“costly”</w:t>
      </w:r>
      <w:r>
        <w:t xml:space="preserve"> </w:t>
      </w:r>
      <w:r>
        <w:t xml:space="preserve">since they are an investment of energy and resources. Signaling theory in archaeology distinguishes two kinds of reliable signals.</w:t>
      </w:r>
      <w:r>
        <w:t xml:space="preserve"> </w:t>
      </w:r>
      <w:r>
        <w:rPr>
          <w:i/>
          <w:iCs/>
        </w:rPr>
        <w:t xml:space="preserve">Handicap</w:t>
      </w:r>
      <w:r>
        <w:t xml:space="preserve"> </w:t>
      </w:r>
      <w:r>
        <w:t xml:space="preserve">signals (Zahavi 1975) are reliable because they are wasteful: only individuals with surplus capacity can afford them, so the signal correlates with quality precisely because of the cost.</w:t>
      </w:r>
      <w:r>
        <w:t xml:space="preserve"> </w:t>
      </w:r>
      <w:r>
        <w:rPr>
          <w:i/>
          <w:iCs/>
        </w:rPr>
        <w:t xml:space="preserve">Index</w:t>
      </w:r>
      <w:r>
        <w:t xml:space="preserve"> </w:t>
      </w:r>
      <w: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t xml:space="preserve">For a signaling framework to do empirical work, it must specify four things: who is signaling, who is receiving, what quality is being signaled, and how the receiver responds. At an aggregation gathering: (1) the</w:t>
      </w:r>
      <w:r>
        <w:t xml:space="preserve"> </w:t>
      </w:r>
      <w:r>
        <w:rPr>
          <w:b/>
          <w:bCs/>
        </w:rPr>
        <w:t xml:space="preserve">signaler</w:t>
      </w:r>
      <w:r>
        <w:t xml:space="preserve"> </w:t>
      </w:r>
      <w:r>
        <w:t xml:space="preserve">is an aggregating band; (2) the</w:t>
      </w:r>
      <w:r>
        <w:t xml:space="preserve"> </w:t>
      </w:r>
      <w:r>
        <w:rPr>
          <w:b/>
          <w:bCs/>
        </w:rPr>
        <w:t xml:space="preserve">receivers</w:t>
      </w:r>
      <w:r>
        <w:t xml:space="preserve"> </w:t>
      </w:r>
      <w:r>
        <w:t xml:space="preserve">are other bands at the gathering, both established partners and prospective ones drawn from across the regional network; (3) the</w:t>
      </w:r>
      <w:r>
        <w:t xml:space="preserve"> </w:t>
      </w:r>
      <w:r>
        <w:rPr>
          <w:b/>
          <w:bCs/>
        </w:rPr>
        <w:t xml:space="preserve">quality being signaled</w:t>
      </w:r>
      <w:r>
        <w:t xml:space="preserve"> </w:t>
      </w:r>
      <w:r>
        <w:t xml:space="preserve">is cooperative reliability, operationalized as a band’s likelihood of contributing labor to collective construction and reciprocating obligations during shortfalls; (4) the</w:t>
      </w:r>
      <w:r>
        <w:t xml:space="preserve"> </w:t>
      </w:r>
      <w:r>
        <w:rPr>
          <w:b/>
          <w:bCs/>
        </w:rPr>
        <w:t xml:space="preserve">receiver response</w:t>
      </w:r>
      <w:r>
        <w:t xml:space="preserve"> </w:t>
      </w:r>
      <w:r>
        <w:t xml:space="preserve">is preferential partner selection, with bands forming and strengthening reciprocal obligations with high-signal partners over the course of an aggregation season.</w:t>
      </w:r>
    </w:p>
    <w:p>
      <w:pPr>
        <w:pStyle w:val="BodyText"/>
      </w:pPr>
      <w:r>
        <w:t xml:space="preserve">The framework requires a signal-conditional response from the receiver. A</w:t>
      </w:r>
      <w:r>
        <w:t xml:space="preserve"> </w:t>
      </w:r>
      <w:r>
        <w:t xml:space="preserve">“signal-conditional response”</w:t>
      </w:r>
      <w:r>
        <w:t xml:space="preserve"> </w:t>
      </w:r>
      <w: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b/>
          <w:bCs/>
        </w:rPr>
        <w:t xml:space="preserve">The signal half-life.</w:t>
      </w:r>
      <w:r>
        <w:t xml:space="preserve"> </w:t>
      </w:r>
      <w:r>
        <w:t xml:space="preserve">The value of a completed earthwork as an honest signal of</w:t>
      </w:r>
      <w:r>
        <w:t xml:space="preserve"> </w:t>
      </w:r>
      <w:r>
        <w:rPr>
          <w:i/>
          <w:iCs/>
        </w:rPr>
        <w:t xml:space="preserve">current</w:t>
      </w:r>
      <w:r>
        <w:t xml:space="preserve"> </w:t>
      </w:r>
      <w: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t xml:space="preserve"> </w:t>
      </w:r>
      <w:r>
        <w:t xml:space="preserve">“expensive”</w:t>
      </w:r>
      <w: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t xml:space="preserve">A weaker form of the signaling argument could, in principle, apply to PPO production</w:t>
      </w:r>
      <w:r>
        <w:t xml:space="preserve"> </w:t>
      </w:r>
      <w:r>
        <w:rPr>
          <w:i/>
          <w:iCs/>
        </w:rPr>
        <w:t xml:space="preserve">volume</w:t>
      </w:r>
      <w:r>
        <w:t xml:space="preserve"> </w:t>
      </w:r>
      <w:r>
        <w:t xml:space="preserve">at the site rather than PPO</w:t>
      </w:r>
      <w:r>
        <w:t xml:space="preserve"> </w:t>
      </w:r>
      <w:r>
        <w:rPr>
          <w:i/>
          <w:iCs/>
        </w:rPr>
        <w:t xml:space="preserve">possession</w:t>
      </w:r>
      <w:r>
        <w:t xml:space="preserve"> </w:t>
      </w:r>
      <w: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t xml:space="preserve"> </w:t>
      </w:r>
      <w:r>
        <w:rPr>
          <w:i/>
          <w:iCs/>
        </w:rPr>
        <w:t xml:space="preserve">forms</w:t>
      </w:r>
      <w:r>
        <w:t xml:space="preserve"> </w:t>
      </w:r>
      <w: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t xml:space="preserve">2.3 The ecotone advantage</w:t>
      </w:r>
    </w:p>
    <w:p>
      <w:pPr>
        <w:pStyle w:val="FirstParagraph"/>
      </w:pPr>
      <w: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t xml:space="preserve"> </w:t>
      </w:r>
      <m:oMath>
        <m:r>
          <m:t>ε</m:t>
        </m:r>
      </m:oMath>
      <w: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t xml:space="preserve">The mechanism</w:t>
      </w:r>
      <w:r>
        <w:t xml:space="preserve"> </w:t>
      </w:r>
      <m:oMath>
        <m:r>
          <m:t>ε</m:t>
        </m:r>
      </m:oMath>
      <w:r>
        <w:t xml:space="preserve"> </w:t>
      </w:r>
      <w:r>
        <w:t xml:space="preserve">encodes is shortfall buffering through</w:t>
      </w:r>
      <w:r>
        <w:t xml:space="preserve"> </w:t>
      </w:r>
      <w:r>
        <w:rPr>
          <w:i/>
          <w:iCs/>
        </w:rPr>
        <w:t xml:space="preserve">negative covariance</w:t>
      </w:r>
      <w:r>
        <w:t xml:space="preserve"> </w:t>
      </w:r>
      <w: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t xml:space="preserve"> </w:t>
      </w:r>
      <m:oMath>
        <m:r>
          <m:t>ε</m:t>
        </m:r>
      </m:oMath>
      <w:r>
        <w:t xml:space="preserve"> </w:t>
      </w:r>
      <w:r>
        <w:t xml:space="preserve">is small. When the local zones draw on independent shortfall drivers (e.g., drainages with different hydrographs, uplands and lowlands responding to different precipitation modes), some local zones are typically producing during regional shortfalls.</w:t>
      </w:r>
      <w:r>
        <w:t xml:space="preserve"> </w:t>
      </w:r>
      <m:oMath>
        <m:r>
          <m:t>ε</m:t>
        </m:r>
      </m:oMath>
      <w:r>
        <w:t xml:space="preserve"> </w:t>
      </w:r>
      <w: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t xml:space="preserve"> </w:t>
      </w:r>
      <m:oMath>
        <m:r>
          <m:t>ε</m:t>
        </m:r>
      </m:oMath>
      <w:r>
        <w:t xml:space="preserve">.</w:t>
      </w:r>
    </w:p>
    <w:p>
      <w:pPr>
        <w:pStyle w:val="BodyText"/>
      </w:pPr>
      <w:r>
        <w:drawing>
          <wp:inline>
            <wp:extent cx="5943600" cy="6110216"/>
            <wp:effectExtent b="0" l="0" r="0" t="0"/>
            <wp:docPr descr="" title="" id="23" name="Picture"/>
            <a:graphic>
              <a:graphicData uri="http://schemas.openxmlformats.org/drawingml/2006/picture">
                <pic:pic>
                  <pic:nvPicPr>
                    <pic:cNvPr descr="../../figures/manuscript/figure_04_ecotone_seasonal.png" id="24" name="Picture"/>
                    <pic:cNvPicPr>
                      <a:picLocks noChangeArrowheads="1" noChangeAspect="1"/>
                    </pic:cNvPicPr>
                  </pic:nvPicPr>
                  <pic:blipFill>
                    <a:blip r:embed="rId22"/>
                    <a:stretch>
                      <a:fillRect/>
                    </a:stretch>
                  </pic:blipFill>
                  <pic:spPr bwMode="auto">
                    <a:xfrm>
                      <a:off x="0" y="0"/>
                      <a:ext cx="5943600" cy="6110216"/>
                    </a:xfrm>
                    <a:prstGeom prst="rect">
                      <a:avLst/>
                    </a:prstGeom>
                    <a:noFill/>
                    <a:ln w="9525">
                      <a:noFill/>
                      <a:headEnd/>
                      <a:tailEnd/>
                    </a:ln>
                  </pic:spPr>
                </pic:pic>
              </a:graphicData>
            </a:graphic>
          </wp:inline>
        </w:drawing>
      </w:r>
    </w:p>
    <w:p>
      <w:pPr>
        <w:pStyle w:val="BodyText"/>
      </w:pPr>
      <w:r>
        <w:rPr>
          <w:b/>
          <w:bCs/>
          <w:i/>
          <w:iCs/>
        </w:rPr>
        <w:t xml:space="preserve">Figure 4. The ecotone advantage: how multi-zone access buffers shortfall.</w:t>
      </w:r>
      <w:r>
        <w:t xml:space="preserve"> </w:t>
      </w:r>
      <w:r>
        <w:rPr>
          <w:i/>
          <w:iCs/>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Because the zones peak at staggered times, several resource types overlap in summer and at least one zone remains productive in most other seasons; this temporal complementarity, not summer abundance alone, is what the ecotone advantage exploits (Panel B).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t xml:space="preserve"> </w:t>
      </w:r>
      <m:oMath>
        <m:r>
          <m:t>ε</m:t>
        </m:r>
      </m:oMath>
      <w:r>
        <w:t xml:space="preserve"> </w:t>
      </w:r>
      <w:r>
        <w:rPr>
          <w:i/>
          <w:iCs/>
        </w:rPr>
        <w:t xml:space="preserve">encodes this variance reduction, not raw zone count.</w:t>
      </w:r>
    </w:p>
    <w:p>
      <w:pPr>
        <w:pStyle w:val="BodyText"/>
      </w:pPr>
      <w: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t xml:space="preserve"> </w:t>
      </w:r>
      <m:oMath>
        <m:r>
          <m:t>ε</m:t>
        </m:r>
      </m:oMath>
      <w:r>
        <w:t xml:space="preserve"> </w:t>
      </w:r>
      <w: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t xml:space="preserve">2.4 Fitness functions and the critical threshold</w:t>
      </w:r>
    </w:p>
    <w:p>
      <w:pPr>
        <w:pStyle w:val="FirstParagraph"/>
      </w:pPr>
      <w:r>
        <w:t xml:space="preserve">Bands choose annually between the</w:t>
      </w:r>
      <w:r>
        <w:t xml:space="preserve"> </w:t>
      </w:r>
      <w:r>
        <w:rPr>
          <w:b/>
          <w:bCs/>
        </w:rPr>
        <w:t xml:space="preserve">aggregator</w:t>
      </w:r>
      <w:r>
        <w:t xml:space="preserve"> </w:t>
      </w:r>
      <w:r>
        <w:t xml:space="preserve">strategy (travel to the site, invest in monuments and exotics, and form reciprocal obligations) and the</w:t>
      </w:r>
      <w:r>
        <w:t xml:space="preserve"> </w:t>
      </w:r>
      <w:r>
        <w:rPr>
          <w:b/>
          <w:bCs/>
        </w:rPr>
        <w:t xml:space="preserve">independent</w:t>
      </w:r>
      <w:r>
        <w:t xml:space="preserve"> </w:t>
      </w:r>
      <w:r>
        <w:t xml:space="preserve">strategy (remain dispersed and forage independently). A band that aggregates</w:t>
      </w:r>
      <w:r>
        <w:t xml:space="preserve"> </w:t>
      </w:r>
      <w:r>
        <w:rPr>
          <w:i/>
          <w:iCs/>
        </w:rPr>
        <w:t xml:space="preserve">pays</w:t>
      </w:r>
      <w:r>
        <w:t xml:space="preserve"> </w:t>
      </w:r>
      <w:r>
        <w:t xml:space="preserve">to do so (travel, time away from foraging, labor on monuments) and</w:t>
      </w:r>
      <w:r>
        <w:t xml:space="preserve"> </w:t>
      </w:r>
      <w:r>
        <w:rPr>
          <w:i/>
          <w:iCs/>
        </w:rPr>
        <w:t xml:space="preserve">gains</w:t>
      </w:r>
      <w:r>
        <w:t xml:space="preserve"> </w:t>
      </w:r>
      <w: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t xml:space="preserve"> </w:t>
      </w:r>
      <m:oMath>
        <m:r>
          <m:rPr>
            <m:sty m:val="p"/>
          </m:rPr>
          <m:t>(</m:t>
        </m:r>
        <m:r>
          <m:t>1</m:t>
        </m:r>
        <m:r>
          <m:rPr>
            <m:sty m:val="p"/>
          </m:rPr>
          <m:t>−</m:t>
        </m:r>
        <m:sSub>
          <m:e>
            <m:r>
              <m:t>C</m:t>
            </m:r>
          </m:e>
          <m:sub>
            <m:r>
              <m:t>t</m:t>
            </m:r>
            <m:r>
              <m:t>o</m:t>
            </m:r>
            <m:r>
              <m:t>t</m:t>
            </m:r>
            <m:r>
              <m:t>a</m:t>
            </m:r>
            <m:r>
              <m:t>l</m:t>
            </m:r>
          </m:sub>
        </m:sSub>
        <m:r>
          <m:rPr>
            <m:sty m:val="p"/>
          </m:rPr>
          <m:t>)</m:t>
        </m:r>
      </m:oMath>
      <w:r>
        <w:t xml:space="preserve"> </w:t>
      </w:r>
      <w:r>
        <w:t xml:space="preserve">deducts travel, labor on monuments, exotic-goods investment, and foregone foraging. The shortfall-survival factor</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t>
      </w:r>
      <w: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t xml:space="preserve"> </w:t>
      </w:r>
      <m:oMath>
        <m:r>
          <m:t>B</m:t>
        </m:r>
        <m:r>
          <m:rPr>
            <m:sty m:val="p"/>
          </m:rPr>
          <m:t>(</m:t>
        </m:r>
        <m:r>
          <m:t>λ</m:t>
        </m:r>
        <m:r>
          <m:rPr>
            <m:sty m:val="p"/>
          </m:rPr>
          <m:t>)</m:t>
        </m:r>
      </m:oMath>
      <w:r>
        <w:t xml:space="preserve"> </w:t>
      </w:r>
      <w:r>
        <w:t xml:space="preserve">adds a within-group fitness boost to bands that contribute, scaled by the 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 which combines the within-group reward, the conflict-deterrence component, and the cooperation-network component. We refer to these three terms, together with the ecotone parameter</w:t>
      </w:r>
      <w:r>
        <w:t xml:space="preserve"> </w:t>
      </w:r>
      <m:oMath>
        <m:r>
          <m:t>ε</m:t>
        </m:r>
      </m:oMath>
      <w:r>
        <w:t xml:space="preserve">, as the model’s four signaling components. The ablation experiments in §4.3 and §S5.4 switch each one on and off, individually and in combination.</w:t>
      </w:r>
    </w:p>
    <w:p>
      <w:pPr>
        <w:pStyle w:val="BodyText"/>
      </w:pPr>
      <w:r>
        <w:t xml:space="preserve">The vulnerability function</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w:t>
      </w:r>
      <w:r>
        <w:t xml:space="preserve">is computed from the band’s cooperation network rather than set as a free input. Here</w:t>
      </w:r>
      <w:r>
        <w:t xml:space="preserve"> </w:t>
      </w:r>
      <m:oMath>
        <m:r>
          <m:t>k</m:t>
        </m:r>
      </m:oMath>
      <w:r>
        <w:t xml:space="preserve"> </w:t>
      </w:r>
      <w:r>
        <w:t xml:space="preserve">is the number of cooperation partners a band has access to,</w:t>
      </w:r>
      <w:r>
        <w:t xml:space="preserve"> </w:t>
      </w:r>
      <m:oMath>
        <m:r>
          <m:t>γ</m:t>
        </m:r>
      </m:oMath>
      <w:r>
        <w:t xml:space="preserve"> </w:t>
      </w:r>
      <w:r>
        <w:t xml:space="preserve">controls how much each partner reduces vulnerability, and</w:t>
      </w:r>
      <w:r>
        <w:t xml:space="preserve"> </w:t>
      </w:r>
      <m:oMath>
        <m:r>
          <m:t>α</m:t>
        </m:r>
        <m:r>
          <m:rPr>
            <m:sty m:val="p"/>
          </m:rPr>
          <m:t>(</m:t>
        </m:r>
        <m:r>
          <m:t>k</m:t>
        </m:r>
        <m:r>
          <m:rPr>
            <m:sty m:val="p"/>
          </m:rPr>
          <m:t>)</m:t>
        </m:r>
      </m:oMath>
      <w:r>
        <w:t xml:space="preserve"> </w:t>
      </w:r>
      <w: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t xml:space="preserve">). Aggregators with mature monument stocks reach within-aggregation network degree</w:t>
      </w:r>
      <w:r>
        <w:t xml:space="preserve"> </w:t>
      </w:r>
      <m:oMath>
        <m:sSub>
          <m:e>
            <m:r>
              <m:t>k</m:t>
            </m:r>
          </m:e>
          <m:sub>
            <m:r>
              <m:t>a</m:t>
            </m:r>
            <m:r>
              <m:t>g</m:t>
            </m:r>
            <m:r>
              <m:t>g</m:t>
            </m:r>
          </m:sub>
        </m:sSub>
        <m:r>
          <m:rPr>
            <m:sty m:val="p"/>
          </m:rPr>
          <m:t>≈</m:t>
        </m:r>
        <m:r>
          <m:t>4</m:t>
        </m:r>
      </m:oMath>
      <w:r>
        <w:t xml:space="preserve"> </w:t>
      </w:r>
      <w:r>
        <w:t xml:space="preserve">to</w:t>
      </w:r>
      <w:r>
        <w:t xml:space="preserve"> </w:t>
      </w:r>
      <m:oMath>
        <m:r>
          <m:t>6.2</m:t>
        </m:r>
      </m:oMath>
      <w:r>
        <w:t xml:space="preserve">. Aggregation occupies only a fraction</w:t>
      </w:r>
      <w:r>
        <w:t xml:space="preserve"> </w:t>
      </w:r>
      <m:oMath>
        <m:sSub>
          <m:e>
            <m:r>
              <m:t>f</m:t>
            </m:r>
          </m:e>
          <m:sub>
            <m:r>
              <m:t>a</m:t>
            </m:r>
            <m:r>
              <m:t>g</m:t>
            </m:r>
            <m:r>
              <m:t>g</m:t>
            </m:r>
          </m:sub>
        </m:sSub>
        <m:r>
          <m:rPr>
            <m:sty m:val="p"/>
          </m:rPr>
          <m:t>≈</m:t>
        </m:r>
        <m:r>
          <m:t>0.25</m:t>
        </m:r>
      </m:oMath>
      <w:r>
        <w:t xml:space="preserve"> </w:t>
      </w:r>
      <w:r>
        <w:t xml:space="preserve">of the year, and the ties formed there decay during the dispersed phase. Therefore, the effective annual vulnerability</w:t>
      </w:r>
      <w:r>
        <w:t xml:space="preserve"> </w:t>
      </w:r>
      <m:oMath>
        <m:r>
          <m:t>α</m:t>
        </m:r>
        <m:r>
          <m:rPr>
            <m:sty m:val="p"/>
          </m:rPr>
          <m:t>(</m:t>
        </m:r>
        <m:sSub>
          <m:e>
            <m:r>
              <m:t>k</m:t>
            </m:r>
          </m:e>
          <m:sub>
            <m:r>
              <m:t>e</m:t>
            </m:r>
            <m:r>
              <m:t>f</m:t>
            </m:r>
            <m:r>
              <m:t>f</m:t>
            </m:r>
          </m:sub>
        </m:sSub>
        <m:r>
          <m:rPr>
            <m:sty m:val="p"/>
          </m:rPr>
          <m:t>)</m:t>
        </m:r>
      </m:oMath>
      <w:r>
        <w:t xml:space="preserve"> </w:t>
      </w:r>
      <w:r>
        <w:t xml:space="preserve">is a weighted average across the gathered and dispersed periods rather than the within-gathering value alone.</w:t>
      </w:r>
    </w:p>
    <w:p>
      <w:pPr>
        <w:pStyle w:val="BodyText"/>
      </w:pPr>
      <w: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sSub>
            <m:e>
              <m:r>
                <m:t>μ</m:t>
              </m:r>
            </m:e>
            <m:sub>
              <m:r>
                <m:t>c</m:t>
              </m:r>
            </m:sub>
          </m:sSub>
          <m:r>
            <m:rPr>
              <m:sty m:val="p"/>
            </m:rPr>
            <m:t>⋅</m:t>
          </m:r>
          <m:sSub>
            <m:e>
              <m:r>
                <m:t>P</m:t>
              </m:r>
            </m:e>
            <m:sub>
              <m:r>
                <m:t>b</m:t>
              </m:r>
              <m:r>
                <m:t>a</m:t>
              </m:r>
              <m:r>
                <m:t>s</m:t>
              </m:r>
              <m:r>
                <m:t>e</m:t>
              </m:r>
            </m:sub>
          </m:sSub>
          <m:r>
            <m:rPr>
              <m:sty m:val="p"/>
            </m:rPr>
            <m:t>)</m:t>
          </m:r>
        </m:oMath>
      </m:oMathPara>
    </w:p>
    <w:p>
      <w:pPr>
        <w:pStyle w:val="FirstParagraph"/>
      </w:pPr>
      <w: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t xml:space="preserve">The</w:t>
      </w:r>
      <w:r>
        <w:t xml:space="preserve"> </w:t>
      </w:r>
      <w:r>
        <w:rPr>
          <w:b/>
          <w:bCs/>
        </w:rPr>
        <w:t xml:space="preserve">critical threshold</w:t>
      </w:r>
      <w:r>
        <w:t xml:space="preserve"> </w:t>
      </w:r>
      <m:oMath>
        <m:sSup>
          <m:e>
            <m:r>
              <m:t>σ</m:t>
            </m:r>
          </m:e>
          <m:sup>
            <m:r>
              <m:rPr>
                <m:sty m:val="p"/>
              </m:rPr>
              <m:t>*</m:t>
            </m:r>
          </m:sup>
        </m:sSup>
      </m:oMath>
      <w:r>
        <w:t xml:space="preserve"> </w:t>
      </w:r>
      <w:r>
        <w:t xml:space="preserve">is the value of environmental uncertainty at which the two fitness functions cross over: below</w:t>
      </w:r>
      <w:r>
        <w:t xml:space="preserve"> </w:t>
      </w:r>
      <m:oMath>
        <m:sSup>
          <m:e>
            <m:r>
              <m:t>σ</m:t>
            </m:r>
          </m:e>
          <m:sup>
            <m:r>
              <m:rPr>
                <m:sty m:val="p"/>
              </m:rPr>
              <m:t>*</m:t>
            </m:r>
          </m:sup>
        </m:sSup>
      </m:oMath>
      <w:r>
        <w:t xml:space="preserve"> </w:t>
      </w:r>
      <w:r>
        <w:t xml:space="preserve">the independent strategy pays better, above it the aggregator strategy pays better. We find</w:t>
      </w:r>
      <w:r>
        <w:t xml:space="preserve"> </w:t>
      </w:r>
      <m:oMath>
        <m:sSup>
          <m:e>
            <m:r>
              <m:t>σ</m:t>
            </m:r>
          </m:e>
          <m:sup>
            <m:r>
              <m:rPr>
                <m:sty m:val="p"/>
              </m:rPr>
              <m:t>*</m:t>
            </m:r>
          </m:sup>
        </m:sSup>
      </m:oMath>
      <w:r>
        <w:t xml:space="preserve"> </w:t>
      </w:r>
      <w:r>
        <w:t xml:space="preserve">numerically using Brent’s (1973) method, a standard one-dimensional root-finder that locates where a function changes sign. The difference</w:t>
      </w:r>
      <w: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t xml:space="preserve"> </w:t>
      </w:r>
      <w:r>
        <w:t xml:space="preserve">rises steadily with</w:t>
      </w:r>
      <w:r>
        <w:t xml:space="preserve"> </w:t>
      </w:r>
      <m:oMath>
        <m:r>
          <m:t>σ</m:t>
        </m:r>
      </m:oMath>
      <w:r>
        <w:t xml:space="preserve"> </w:t>
      </w:r>
      <w:r>
        <w:t xml:space="preserve">across the range we use, because aggregation costs do not depend on</w:t>
      </w:r>
      <w:r>
        <w:t xml:space="preserve"> </w:t>
      </w:r>
      <m:oMath>
        <m:r>
          <m:t>σ</m:t>
        </m:r>
      </m:oMath>
      <w:r>
        <w:t xml:space="preserve"> </w:t>
      </w:r>
      <w:r>
        <w:t xml:space="preserve">while shortfall losses accumulate faster for independents than for aggregators (the cooperation network and ecotone access buffer part of the loss). The difference is negative at low</w:t>
      </w:r>
      <w:r>
        <w:t xml:space="preserve"> </w:t>
      </w:r>
      <m:oMath>
        <m:r>
          <m:t>σ</m:t>
        </m:r>
      </m:oMath>
      <w:r>
        <w:t xml:space="preserve"> </w:t>
      </w:r>
      <w:r>
        <w:t xml:space="preserve">and positive at high</w:t>
      </w:r>
      <w:r>
        <w:t xml:space="preserve"> </w:t>
      </w:r>
      <m:oMath>
        <m:r>
          <m:t>σ</m:t>
        </m:r>
      </m:oMath>
      <w:r>
        <w:t xml:space="preserve">. We verified this single-crossing behavior numerically. There are no cases of multiple thresholds. At zero ecotone advantage and 25 bands,</w:t>
      </w:r>
      <w:r>
        <w:t xml:space="preserve"> </w:t>
      </w:r>
      <m:oMath>
        <m:sSup>
          <m:e>
            <m:r>
              <m:t>σ</m:t>
            </m:r>
          </m:e>
          <m:sup>
            <m:r>
              <m:rPr>
                <m:sty m:val="p"/>
              </m:rPr>
              <m:t>*</m:t>
            </m:r>
          </m:sup>
        </m:sSup>
        <m:r>
          <m:rPr>
            <m:sty m:val="p"/>
          </m:rPr>
          <m:t>≈</m:t>
        </m:r>
        <m:r>
          <m:t>0.57</m:t>
        </m:r>
      </m:oMath>
      <w:r>
        <w:t xml:space="preserve">. With moderate ecotone advantage (</w:t>
      </w:r>
      <m:oMath>
        <m:r>
          <m:t>ε</m:t>
        </m:r>
        <m:r>
          <m:rPr>
            <m:sty m:val="p"/>
          </m:rPr>
          <m:t>=</m:t>
        </m:r>
        <m:r>
          <m:t>0.35</m:t>
        </m:r>
      </m:oMath>
      <w:r>
        <w:t xml:space="preserve">),</w:t>
      </w:r>
      <w:r>
        <w:t xml:space="preserve"> </w:t>
      </w:r>
      <m:oMath>
        <m:sSup>
          <m:e>
            <m:r>
              <m:t>σ</m:t>
            </m:r>
          </m:e>
          <m:sup>
            <m:r>
              <m:rPr>
                <m:sty m:val="p"/>
              </m:rPr>
              <m:t>*</m:t>
            </m:r>
          </m:sup>
        </m:sSup>
        <m:r>
          <m:rPr>
            <m:sty m:val="p"/>
          </m:rPr>
          <m:t>≈</m:t>
        </m:r>
        <m:r>
          <m:t>0.40</m:t>
        </m:r>
      </m:oMath>
      <w:r>
        <w:t xml:space="preserve">. With stronger ecotone access (</w:t>
      </w:r>
      <m:oMath>
        <m:r>
          <m:t>ε</m:t>
        </m:r>
        <m:r>
          <m:rPr>
            <m:sty m:val="p"/>
          </m:rPr>
          <m:t>=</m:t>
        </m:r>
        <m:r>
          <m:t>0.49</m:t>
        </m:r>
      </m:oMath>
      <w:r>
        <w:t xml:space="preserve">),</w:t>
      </w:r>
      <w:r>
        <w:t xml:space="preserve"> </w:t>
      </w:r>
      <m:oMath>
        <m:sSup>
          <m:e>
            <m:r>
              <m:t>σ</m:t>
            </m:r>
          </m:e>
          <m:sup>
            <m:r>
              <m:rPr>
                <m:sty m:val="p"/>
              </m:rPr>
              <m:t>*</m:t>
            </m:r>
          </m:sup>
        </m:sSup>
        <m:r>
          <m:rPr>
            <m:sty m:val="p"/>
          </m:rPr>
          <m:t>≈</m:t>
        </m:r>
        <m:r>
          <m:t>0.36</m:t>
        </m:r>
      </m:oMath>
      <w:r>
        <w:t xml:space="preserve">. Lower thresholds mean aggregation becomes adaptive under milder environmental uncertainty.</w:t>
      </w:r>
    </w:p>
    <w:p>
      <w:pPr>
        <w:pStyle w:val="BodyText"/>
      </w:pPr>
      <w:r>
        <w:t xml:space="preserve">The cooperation network feeds back on itself, which is what makes the transition at</w:t>
      </w:r>
      <w:r>
        <w:t xml:space="preserve"> </w:t>
      </w:r>
      <m:oMath>
        <m:sSup>
          <m:e>
            <m:r>
              <m:t>σ</m:t>
            </m:r>
          </m:e>
          <m:sup>
            <m:r>
              <m:rPr>
                <m:sty m:val="p"/>
              </m:rPr>
              <m:t>*</m:t>
            </m:r>
          </m:sup>
        </m:sSup>
      </m:oMath>
      <w:r>
        <w:t xml:space="preserve"> </w:t>
      </w:r>
      <w: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t xml:space="preserve">Monument investment builds an effective monument stock</w:t>
      </w:r>
      <w:r>
        <w:t xml:space="preserve"> </w:t>
      </w:r>
      <m:oMath>
        <m:sSub>
          <m:e>
            <m:r>
              <m:t>M</m:t>
            </m:r>
          </m:e>
          <m:sub>
            <m:r>
              <m:t>g</m:t>
            </m:r>
          </m:sub>
        </m:sSub>
      </m:oMath>
      <w:r>
        <w:t xml:space="preserve">. The stock attracts cooperation partners through a saturating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 This functional form (sometimes called Michaelis-Menten) has the property that partners are recruited steadily at low stock and then plateau</w:t>
      </w:r>
      <w:r>
        <w:t xml:space="preserve"> </w:t>
      </w:r>
      <m:oMath>
        <m:sSub>
          <m:e>
            <m:r>
              <m:t>k</m:t>
            </m:r>
          </m:e>
          <m:sub>
            <m:r>
              <m:t>0</m:t>
            </m:r>
          </m:sub>
        </m:sSub>
        <m:r>
          <m:rPr>
            <m:sty m:val="p"/>
          </m:rPr>
          <m:t>+</m:t>
        </m:r>
        <m:sSub>
          <m:e>
            <m:r>
              <m:t>k</m:t>
            </m:r>
          </m:e>
          <m:sub>
            <m:r>
              <m:rPr>
                <m:sty m:val="p"/>
              </m:rPr>
              <m:t>max</m:t>
            </m:r>
          </m:sub>
        </m:sSub>
      </m:oMath>
      <w:r>
        <w:t xml:space="preserve"> </w:t>
      </w:r>
      <w:r>
        <w:t xml:space="preserve">as the maximum capacity is reached. A larger network reduces vulnerability through</w:t>
      </w:r>
      <w:r>
        <w:t xml:space="preserve"> </w:t>
      </w:r>
      <m:oMath>
        <m:r>
          <m:t>α</m:t>
        </m:r>
        <m:r>
          <m:rPr>
            <m:sty m:val="p"/>
          </m:rPr>
          <m:t>(</m:t>
        </m:r>
        <m:r>
          <m:t>k</m:t>
        </m:r>
        <m:r>
          <m:rPr>
            <m:sty m:val="p"/>
          </m:rPr>
          <m:t>)</m:t>
        </m:r>
      </m:oMath>
      <w:r>
        <w:t xml:space="preserve">. Lower vulnerability increases the cooperation-network component of the total signaling incentive</w:t>
      </w:r>
      <w:r>
        <w:t xml:space="preserve"> </w:t>
      </w:r>
      <m:oMath>
        <m:r>
          <m:t>λ</m:t>
        </m:r>
      </m:oMath>
      <w:r>
        <w:t xml:space="preserve">. A higher</w:t>
      </w:r>
      <w:r>
        <w:t xml:space="preserve"> </w:t>
      </w:r>
      <m:oMath>
        <m:r>
          <m:t>λ</m:t>
        </m:r>
      </m:oMath>
      <w:r>
        <w:t xml:space="preserve"> </w:t>
      </w:r>
      <w:r>
        <w:t xml:space="preserve">raises the optimal level of signaling investment, leading to more monuments. The four steps form a closed loop in which</w:t>
      </w:r>
      <w:r>
        <w:t xml:space="preserve"> </w:t>
      </w:r>
      <m:oMath>
        <m:r>
          <m:t>λ</m:t>
        </m:r>
      </m:oMath>
      <w:r>
        <w:t xml:space="preserve"> </w:t>
      </w:r>
      <w:r>
        <w:t xml:space="preserve">depends on</w:t>
      </w:r>
      <w:r>
        <w:t xml:space="preserve"> </w:t>
      </w:r>
      <m:oMath>
        <m:sSub>
          <m:e>
            <m:r>
              <m:t>M</m:t>
            </m:r>
          </m:e>
          <m:sub>
            <m:r>
              <m:t>g</m:t>
            </m:r>
          </m:sub>
        </m:sSub>
      </m:oMath>
      <w:r>
        <w:t xml:space="preserve"> </w:t>
      </w:r>
      <w:r>
        <w:t xml:space="preserve">and</w:t>
      </w:r>
      <w:r>
        <w:t xml:space="preserve"> </w:t>
      </w:r>
      <m:oMath>
        <m:sSub>
          <m:e>
            <m:r>
              <m:t>M</m:t>
            </m:r>
          </m:e>
          <m:sub>
            <m:r>
              <m:t>g</m:t>
            </m:r>
          </m:sub>
        </m:sSub>
      </m:oMath>
      <w:r>
        <w:t xml:space="preserve"> </w:t>
      </w:r>
      <w:r>
        <w:t xml:space="preserve">depends on</w:t>
      </w:r>
      <w:r>
        <w:t xml:space="preserve"> </w:t>
      </w:r>
      <m:oMath>
        <m:r>
          <m:t>λ</m:t>
        </m:r>
      </m:oMath>
      <w:r>
        <w:t xml:space="preserve">. We solve this loop computationally by what mathematicians call</w:t>
      </w:r>
      <w:r>
        <w:t xml:space="preserve"> </w:t>
      </w:r>
      <w:r>
        <w:rPr>
          <w:i/>
          <w:iCs/>
        </w:rPr>
        <w:t xml:space="preserve">fixed-point iteration</w:t>
      </w:r>
      <w:r>
        <w:t xml:space="preserve">: pick a starting value for</w:t>
      </w:r>
      <w:r>
        <w:t xml:space="preserve"> </w:t>
      </w:r>
      <m:oMath>
        <m:r>
          <m:t>λ</m:t>
        </m:r>
      </m:oMath>
      <w:r>
        <w:t xml:space="preserve">, compute the monument stock that value implies, recompute</w:t>
      </w:r>
      <w:r>
        <w:t xml:space="preserve"> </w:t>
      </w:r>
      <m:oMath>
        <m:r>
          <m:t>λ</m:t>
        </m:r>
      </m:oMath>
      <w:r>
        <w:t xml:space="preserve"> </w:t>
      </w:r>
      <w:r>
        <w:t xml:space="preserve">from that stock, and repeat until the value stops changing. The</w:t>
      </w:r>
      <w:r>
        <w:t xml:space="preserve"> </w:t>
      </w:r>
      <w:r>
        <w:t xml:space="preserve">“fixed point”</w:t>
      </w:r>
      <w:r>
        <w:t xml:space="preserve"> </w:t>
      </w:r>
      <w:r>
        <w:t xml:space="preserve">is the value of</w:t>
      </w:r>
      <w:r>
        <w:t xml:space="preserve"> </w:t>
      </w:r>
      <m:oMath>
        <m:r>
          <m:t>λ</m:t>
        </m:r>
      </m:oMath>
      <w:r>
        <w:t xml:space="preserve"> </w:t>
      </w:r>
      <w: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t xml:space="preserve"> </w:t>
      </w:r>
      <m:oMath>
        <m:sSup>
          <m:e>
            <m:r>
              <m:t>10</m:t>
            </m:r>
          </m:e>
          <m:sup>
            <m:r>
              <m:rPr>
                <m:sty m:val="p"/>
              </m:rPr>
              <m:t>−</m:t>
            </m:r>
            <m:r>
              <m:t>6</m:t>
            </m:r>
          </m:sup>
        </m:sSup>
      </m:oMath>
      <w:r>
        <w:t xml:space="preserve">. Across a 30-point sweep of</w:t>
      </w:r>
      <w:r>
        <w:t xml:space="preserve"> </w:t>
      </w:r>
      <m:oMath>
        <m:r>
          <m:t>σ</m:t>
        </m:r>
      </m:oMath>
      <w:r>
        <w:t xml:space="preserve"> </w:t>
      </w:r>
      <w:r>
        <w:t xml:space="preserve">from 0.10 to 0.95, the iteration converges in 18 steps every time, and runs starting from very different initial values at</w:t>
      </w:r>
      <w:r>
        <w:t xml:space="preserve"> </w:t>
      </w:r>
      <m:oMath>
        <m:r>
          <m:t>σ</m:t>
        </m:r>
        <m:r>
          <m:rPr>
            <m:sty m:val="p"/>
          </m:rPr>
          <m:t>∈</m:t>
        </m:r>
        <m:r>
          <m:rPr>
            <m:sty m:val="p"/>
          </m:rPr>
          <m:t>{</m:t>
        </m:r>
        <m:r>
          <m:t>0.30</m:t>
        </m:r>
        <m:r>
          <m:rPr>
            <m:sty m:val="p"/>
          </m:rPr>
          <m:t>,</m:t>
        </m:r>
        <m:r>
          <m:t>0.50</m:t>
        </m:r>
        <m:r>
          <m:rPr>
            <m:sty m:val="p"/>
          </m:rPr>
          <m:t>,</m:t>
        </m:r>
        <m:r>
          <m:t>0.70</m:t>
        </m:r>
        <m:r>
          <m:rPr>
            <m:sty m:val="p"/>
          </m:rPr>
          <m:t>}</m:t>
        </m:r>
      </m:oMath>
      <w:r>
        <w:t xml:space="preserve"> </w:t>
      </w:r>
      <w:r>
        <w:t xml:space="preserve">all reach the same monument stock to within 1 part in</w:t>
      </w:r>
      <w:r>
        <w:t xml:space="preserve"> </w:t>
      </w:r>
      <m:oMath>
        <m:sSup>
          <m:e>
            <m:r>
              <m:t>10</m:t>
            </m:r>
          </m:e>
          <m:sup>
            <m:r>
              <m:t>4</m:t>
            </m:r>
          </m:sup>
        </m:sSup>
      </m:oMath>
      <w:r>
        <w:t xml:space="preserve">. The equilibrium is therefore unique at the parameter values we use. The answer the model returns does not depend on the analyst’s starting guess.</w:t>
      </w:r>
    </w:p>
    <w:p>
      <w:pPr>
        <w:pStyle w:val="BodyText"/>
      </w:pPr>
      <w:r>
        <w:drawing>
          <wp:inline>
            <wp:extent cx="5943600" cy="2394556"/>
            <wp:effectExtent b="0" l="0" r="0" t="0"/>
            <wp:docPr descr="" title="" id="27" name="Picture"/>
            <a:graphic>
              <a:graphicData uri="http://schemas.openxmlformats.org/drawingml/2006/picture">
                <pic:pic>
                  <pic:nvPicPr>
                    <pic:cNvPr descr="../../figures/manuscript/figure_05_fitness_crossover.png" id="28" name="Picture"/>
                    <pic:cNvPicPr>
                      <a:picLocks noChangeArrowheads="1" noChangeAspect="1"/>
                    </pic:cNvPicPr>
                  </pic:nvPicPr>
                  <pic:blipFill>
                    <a:blip r:embed="rId26"/>
                    <a:stretch>
                      <a:fillRect/>
                    </a:stretch>
                  </pic:blipFill>
                  <pic:spPr bwMode="auto">
                    <a:xfrm>
                      <a:off x="0" y="0"/>
                      <a:ext cx="5943600" cy="2394556"/>
                    </a:xfrm>
                    <a:prstGeom prst="rect">
                      <a:avLst/>
                    </a:prstGeom>
                    <a:noFill/>
                    <a:ln w="9525">
                      <a:noFill/>
                      <a:headEnd/>
                      <a:tailEnd/>
                    </a:ln>
                  </pic:spPr>
                </pic:pic>
              </a:graphicData>
            </a:graphic>
          </wp:inline>
        </w:drawing>
      </w:r>
    </w:p>
    <w:p>
      <w:pPr>
        <w:pStyle w:val="BodyText"/>
      </w:pPr>
      <w:r>
        <w:rPr>
          <w:b/>
          <w:bCs/>
          <w:i/>
          <w:iCs/>
        </w:rPr>
        <w:t xml:space="preserve">Figure 5. Fitness crossover and the critical threshold.</w:t>
      </w:r>
      <w:r>
        <w:t xml:space="preserve"> </w:t>
      </w:r>
      <w:r>
        <w:rPr>
          <w:i/>
          <w:iCs/>
        </w:rPr>
        <w:t xml:space="preserve">Expected fitness for aggregator (orange) and independent (purple) strategies as a function of environmental uncertainty</w:t>
      </w:r>
      <w:r>
        <w:t xml:space="preserve"> </w:t>
      </w:r>
      <m:oMath>
        <m:r>
          <m:t>σ</m:t>
        </m:r>
      </m:oMath>
      <w:r>
        <w:rPr>
          <w:i/>
          <w:iCs/>
        </w:rPr>
        <w:t xml:space="preserve">. The strategies cross at</w:t>
      </w:r>
      <w:r>
        <w:t xml:space="preserve"> </w:t>
      </w:r>
      <m:oMath>
        <m:sSup>
          <m:e>
            <m:r>
              <m:t>σ</m:t>
            </m:r>
          </m:e>
          <m:sup>
            <m:r>
              <m:rPr>
                <m:sty m:val="p"/>
              </m:rPr>
              <m:t>*</m:t>
            </m:r>
          </m:sup>
        </m:sSup>
        <m:r>
          <m:rPr>
            <m:sty m:val="p"/>
          </m:rPr>
          <m:t>≈</m:t>
        </m:r>
        <m:r>
          <m:t>0.40</m:t>
        </m:r>
      </m:oMath>
      <w:r>
        <w:t xml:space="preserve"> </w:t>
      </w:r>
      <w:r>
        <w:rPr>
          <w:i/>
          <w:iCs/>
        </w:rPr>
        <w:t xml:space="preserve">given a given moderate ecotone advantage (</w:t>
      </w:r>
      <m:oMath>
        <m:r>
          <m:t>ε</m:t>
        </m:r>
        <m:r>
          <m:rPr>
            <m:sty m:val="p"/>
          </m:rPr>
          <m:t>=</m:t>
        </m:r>
        <m:r>
          <m:t>0.35</m:t>
        </m:r>
      </m:oMath>
      <w:r>
        <w:rPr>
          <w:i/>
          <w:iCs/>
        </w:rPr>
        <w:t xml:space="preserve">). Below</w:t>
      </w:r>
      <w:r>
        <w:t xml:space="preserve"> </w:t>
      </w:r>
      <m:oMath>
        <m:sSup>
          <m:e>
            <m:r>
              <m:t>σ</m:t>
            </m:r>
          </m:e>
          <m:sup>
            <m:r>
              <m:rPr>
                <m:sty m:val="p"/>
              </m:rPr>
              <m:t>*</m:t>
            </m:r>
          </m:sup>
        </m:sSup>
      </m:oMath>
      <w:r>
        <w:rPr>
          <w:i/>
          <w:iCs/>
        </w:rPr>
        <w:t xml:space="preserve">, the independent strategy yields a higher expected fitness. Above</w:t>
      </w:r>
      <w:r>
        <w:t xml:space="preserve"> </w:t>
      </w:r>
      <m:oMath>
        <m:sSup>
          <m:e>
            <m:r>
              <m:t>σ</m:t>
            </m:r>
          </m:e>
          <m:sup>
            <m:r>
              <m:rPr>
                <m:sty m:val="p"/>
              </m:rPr>
              <m:t>*</m:t>
            </m:r>
          </m:sup>
        </m:sSup>
      </m:oMath>
      <w:r>
        <w:rPr>
          <w:i/>
          <w:iCs/>
        </w:rPr>
        <w:t xml:space="preserve">, the aggregator strategy does. The 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is monotonically increasing in</w:t>
      </w:r>
      <w:r>
        <w:t xml:space="preserve"> </w:t>
      </w:r>
      <m:oMath>
        <m:r>
          <m:t>σ</m:t>
        </m:r>
      </m:oMath>
      <w:r>
        <w:rPr>
          <w:i/>
          <w:iCs/>
        </w:rPr>
        <w:t xml:space="preserve">, so the threshold is unique.</w:t>
      </w:r>
    </w:p>
    <w:bookmarkEnd w:id="29"/>
    <w:bookmarkEnd w:id="30"/>
    <w:bookmarkStart w:id="34" w:name="the-agent-based-model"/>
    <w:p>
      <w:pPr>
        <w:pStyle w:val="Heading2"/>
      </w:pPr>
      <w:r>
        <w:t xml:space="preserve">3. The agent-based model</w:t>
      </w:r>
    </w:p>
    <w:p>
      <w:pPr>
        <w:pStyle w:val="FirstParagraph"/>
      </w:pPr>
      <w: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t xml:space="preserve"> </w:t>
      </w:r>
      <w:r>
        <w:rPr>
          <w:i/>
          <w:iCs/>
        </w:rPr>
        <w:t xml:space="preserve">dynamic sufficiency</w:t>
      </w:r>
      <w:r>
        <w:t xml:space="preserve">: whether a model’s specified state variables and transition rules contain enough machinery to generate the behavior the theory attributes to it. Dynamic sufficiency is distinct from</w:t>
      </w:r>
      <w:r>
        <w:t xml:space="preserve"> </w:t>
      </w:r>
      <w:r>
        <w:rPr>
          <w:i/>
          <w:iCs/>
        </w:rPr>
        <w:t xml:space="preserve">empirical sufficiency</w:t>
      </w:r>
      <w: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t xml:space="preserve">The agent-based model addresses the dynamic-sufficiency question. It implements the framework’s individual-level mechanisms as agent-level rules. It asks whether the aggregate-level patterns predicted by the theory (the sharp phase transition near</w:t>
      </w:r>
      <w:r>
        <w:t xml:space="preserve"> </w:t>
      </w:r>
      <m:oMath>
        <m:sSup>
          <m:e>
            <m:r>
              <m:t>σ</m:t>
            </m:r>
          </m:e>
          <m:sup>
            <m:r>
              <m:rPr>
                <m:sty m:val="p"/>
              </m:rPr>
              <m:t>*</m:t>
            </m:r>
          </m:sup>
        </m:sSup>
      </m:oMath>
      <w: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t xml:space="preserve"> </w:t>
      </w:r>
      <w:r>
        <w:rPr>
          <w:b/>
          <w:bCs/>
        </w:rPr>
        <w:t xml:space="preserve">environment module</w:t>
      </w:r>
      <w:r>
        <w:t xml:space="preserve"> </w:t>
      </w:r>
      <w:r>
        <w:t xml:space="preserve">representing a heterogeneous four-zone landscape with seasonal cycles and stochastic shortfalls. Second, we use an</w:t>
      </w:r>
      <w:r>
        <w:t xml:space="preserve"> </w:t>
      </w:r>
      <w:r>
        <w:rPr>
          <w:b/>
          <w:bCs/>
        </w:rPr>
        <w:t xml:space="preserve">agent module</w:t>
      </w:r>
      <w:r>
        <w:t xml:space="preserve"> </w:t>
      </w:r>
      <w: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t xml:space="preserve"> </w:t>
      </w:r>
      <w:r>
        <w:rPr>
          <w:b/>
          <w:bCs/>
        </w:rPr>
        <w:t xml:space="preserve">simulation controller</w:t>
      </w:r>
      <w:r>
        <w:t xml:space="preserve"> </w:t>
      </w:r>
      <w:r>
        <w:t xml:space="preserve">that orchestrates the annual aggregation-dispersal cycle.</w:t>
      </w:r>
    </w:p>
    <w:p>
      <w:pPr>
        <w:pStyle w:val="BodyText"/>
      </w:pPr>
      <w: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previous year’s realized attendance, the accumulated monument signal stock visible at the site and the signaling incentive it implies, and recent shortfall history through the realized-variance adjustment to</w:t>
      </w:r>
      <w:r>
        <w:t xml:space="preserve"> </w:t>
      </w:r>
      <m:oMath>
        <m:r>
          <m:t>σ</m:t>
        </m:r>
      </m:oMath>
      <w:r>
        <w:t xml:space="preserve">). Bands do not always pick the higher-payoff option. Instead, they choose probabilistically. For the binary aggregator-versus-independent choice, the model uses a logit on the fitness difference</w:t>
      </w:r>
      <w: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t xml:space="preserve">, with</w:t>
      </w:r>
      <w: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 </w:t>
      </w:r>
      <w:r>
        <w:t xml:space="preserve">and a softmax temperature</w:t>
      </w:r>
      <w:r>
        <w:t xml:space="preserve"> </w:t>
      </w:r>
      <m:oMath>
        <m:r>
          <m:t>τ</m:t>
        </m:r>
        <m:r>
          <m:rPr>
            <m:sty m:val="p"/>
          </m:rPr>
          <m:t>=</m:t>
        </m:r>
        <m:r>
          <m:t>0.1</m:t>
        </m:r>
      </m:oMath>
      <w:r>
        <w:t xml:space="preserve">. Low</w:t>
      </w:r>
      <w:r>
        <w:t xml:space="preserve"> </w:t>
      </w:r>
      <m:oMath>
        <m:r>
          <m:t>τ</m:t>
        </m:r>
      </m:oMath>
      <w:r>
        <w:t xml:space="preserve"> </w:t>
      </w:r>
      <w:r>
        <w:t xml:space="preserve">produces a near-deterministic choice. High</w:t>
      </w:r>
      <w:r>
        <w:t xml:space="preserve"> </w:t>
      </w:r>
      <m:oMath>
        <m:r>
          <m:t>τ</m:t>
        </m:r>
      </m:oMath>
      <w:r>
        <w:t xml:space="preserve"> </w:t>
      </w:r>
      <w:r>
        <w:t xml:space="preserve">produces nearly a random choice.</w:t>
      </w:r>
    </w:p>
    <w:p>
      <w:pPr>
        <w:pStyle w:val="BodyText"/>
      </w:pPr>
      <w: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t xml:space="preserve"> </w:t>
      </w:r>
      <m:oMath>
        <m:r>
          <m:rPr>
            <m:sty m:val="p"/>
          </m:rPr>
          <m:t>Δ</m:t>
        </m:r>
        <m:r>
          <m:t>W</m:t>
        </m:r>
      </m:oMath>
      <w:r>
        <w:t xml:space="preserve"> </w:t>
      </w:r>
      <w:r>
        <w:t xml:space="preserve">by</w:t>
      </w:r>
      <w:r>
        <w:t xml:space="preserve"> </w:t>
      </w:r>
      <m:oMath>
        <m:r>
          <m:rPr>
            <m:sty m:val="p"/>
          </m:rPr>
          <m:t>±</m:t>
        </m:r>
        <m:r>
          <m:t>0.05</m:t>
        </m:r>
      </m:oMath>
      <w:r>
        <w:t xml:space="preserve"> </w:t>
      </w:r>
      <w:r>
        <w:t xml:space="preserve">before the logit is applied: if a band has been aggregating and its recent five-year fitness is above its long-term mean, the recent-success signal nudges</w:t>
      </w:r>
      <w:r>
        <w:t xml:space="preserve"> </w:t>
      </w:r>
      <m:oMath>
        <m:r>
          <m:rPr>
            <m:sty m:val="p"/>
          </m:rPr>
          <m:t>Δ</m:t>
        </m:r>
        <m:r>
          <m:t>W</m:t>
        </m:r>
      </m:oMath>
      <w:r>
        <w:t xml:space="preserve"> </w:t>
      </w:r>
      <w:r>
        <w:t xml:space="preserve">by</w:t>
      </w:r>
      <w:r>
        <w:t xml:space="preserve"> </w:t>
      </w:r>
      <m:oMath>
        <m:r>
          <m:rPr>
            <m:sty m:val="p"/>
          </m:rPr>
          <m:t>+</m:t>
        </m:r>
        <m:r>
          <m:t>0.05</m:t>
        </m:r>
      </m:oMath>
      <w:r>
        <w:t xml:space="preserve"> </w:t>
      </w:r>
      <w:r>
        <w:t xml:space="preserve">in favor of continuing to aggregate (and symmetrically for the independent strategy and for the reverse case where recent fitness is below the long-term mean). The adjustment is at the same magnitude as the per-step sensitivity of</w:t>
      </w:r>
      <w:r>
        <w:t xml:space="preserve"> </w:t>
      </w:r>
      <m:oMath>
        <m:r>
          <m:rPr>
            <m:sty m:val="p"/>
          </m:rPr>
          <m:t>Δ</m:t>
        </m:r>
        <m:r>
          <m:t>W</m:t>
        </m:r>
      </m:oMath>
      <w:r>
        <w:t xml:space="preserve"> </w:t>
      </w:r>
      <w:r>
        <w:t xml:space="preserve">near</w:t>
      </w:r>
      <w:r>
        <w:t xml:space="preserve"> </w:t>
      </w:r>
      <m:oMath>
        <m:sSup>
          <m:e>
            <m:r>
              <m:t>σ</m:t>
            </m:r>
          </m:e>
          <m:sup>
            <m:r>
              <m:rPr>
                <m:sty m:val="p"/>
              </m:rPr>
              <m:t>*</m:t>
            </m:r>
          </m:sup>
        </m:sSup>
      </m:oMath>
      <w:r>
        <w:t xml:space="preserve">, so it can plausibly shift the threshold location. A sensitivity probe (</w:t>
      </w:r>
      <w:r>
        <w:rPr>
          <w:rStyle w:val="VerbatimChar"/>
        </w:rPr>
        <w:t xml:space="preserve">scripts/analysis/memory_effect_probe.py</w:t>
      </w:r>
      <w:r>
        <w:t xml:space="preserve">) measures the effect directly: removing the memory adjustment shifts the simulated crossing from realized</w:t>
      </w:r>
      <w:r>
        <w:t xml:space="preserve"> </w:t>
      </w:r>
      <m:oMath>
        <m:r>
          <m:t>σ</m:t>
        </m:r>
        <m:r>
          <m:rPr>
            <m:sty m:val="p"/>
          </m:rPr>
          <m:t>≈</m:t>
        </m:r>
        <m:r>
          <m:t>0.38</m:t>
        </m:r>
      </m:oMath>
      <w:r>
        <w:t xml:space="preserve"> </w:t>
      </w:r>
      <w:r>
        <w:t xml:space="preserve">to</w:t>
      </w:r>
      <w:r>
        <w:t xml:space="preserve"> </w:t>
      </w:r>
      <m:oMath>
        <m:r>
          <m:rPr>
            <m:sty m:val="p"/>
          </m:rPr>
          <m:t>≈</m:t>
        </m:r>
        <m:r>
          <m:t>0.40</m:t>
        </m:r>
      </m:oMath>
      <w:r>
        <w:t xml:space="preserve">, a shift of about +0.02 (roughly 5% of the threshold value). The memory effect therefore nudges the threshold location detectably but does not change the phase-transition structure, and the two variants bracket the analytical</w:t>
      </w:r>
      <w:r>
        <w:t xml:space="preserve"> </w:t>
      </w:r>
      <m:oMath>
        <m:sSup>
          <m:e>
            <m:r>
              <m:t>σ</m:t>
            </m:r>
          </m:e>
          <m:sup>
            <m:r>
              <m:rPr>
                <m:sty m:val="p"/>
              </m:rPr>
              <m:t>*</m:t>
            </m:r>
          </m:sup>
        </m:sSup>
        <m:r>
          <m:rPr>
            <m:sty m:val="p"/>
          </m:rPr>
          <m:t>=</m:t>
        </m:r>
        <m:r>
          <m:t>0.40</m:t>
        </m:r>
      </m:oMath>
      <w:r>
        <w:t xml:space="preserve">.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(onset Bernoulli with per-year probability</w:t>
      </w:r>
      <w:r>
        <w:t xml:space="preserve"> </w:t>
      </w:r>
      <m:oMath>
        <m:r>
          <m:t>1</m:t>
        </m:r>
        <m:r>
          <m:rPr>
            <m:sty m:val="p"/>
          </m:rPr>
          <m:t>/</m:t>
        </m:r>
        <m:r>
          <m:t>T</m:t>
        </m:r>
      </m:oMath>
      <w:r>
        <w:t xml:space="preserve">; event magnitude drawn from a clipped normal centered on</w:t>
      </w:r>
      <w:r>
        <w:t xml:space="preserve"> </w:t>
      </w:r>
      <m:oMath>
        <m:r>
          <m:t>m</m:t>
        </m:r>
      </m:oMath>
      <w:r>
        <w:t xml:space="preserve">; event duration scaling with magnitude), the softmax decision noise just described, and random initial obligation-network seeding. The complete ODD specification, submodel equations, and source code documentation are in Supplemental §S1.</w:t>
      </w:r>
    </w:p>
    <w:p>
      <w:pPr>
        <w:pStyle w:val="BodyText"/>
      </w:pPr>
      <w: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t xml:space="preserve"> </w:t>
      </w:r>
      <m:oMath>
        <m:r>
          <m:t>ε</m:t>
        </m:r>
      </m:oMath>
      <w:r>
        <w:t xml:space="preserve">.</w:t>
      </w:r>
    </w:p>
    <w:p>
      <w:pPr>
        <w:pStyle w:val="BodyText"/>
      </w:pPr>
      <w:r>
        <w:t xml:space="preserve">Stochastic shortfalls (e.g., drought years, exceptional floods, mast-crop failures) are characterized by two parameters: how often they occur (</w:t>
      </w:r>
      <w:r>
        <w:rPr>
          <w:i/>
          <w:iCs/>
        </w:rPr>
        <w:t xml:space="preserve">recurrence frequency</w:t>
      </w:r>
      <w:r>
        <w:t xml:space="preserve">) and how badly they reduce productivity when they occur (</w:t>
      </w:r>
      <w:r>
        <w:rPr>
          <w:i/>
          <w:iCs/>
        </w:rPr>
        <w:t xml:space="preserve">magnitude</w:t>
      </w:r>
      <w:r>
        <w:t xml:space="preserve">). The model collapses these two into a single composite uncertainty index,</w:t>
      </w:r>
      <w:r>
        <w:t xml:space="preserve"> </w:t>
      </w:r>
      <m:oMath>
        <m:r>
          <m:t>σ</m:t>
        </m:r>
        <m:r>
          <m:rPr>
            <m:sty m:val="p"/>
          </m:rPr>
          <m:t>=</m:t>
        </m:r>
        <m:r>
          <m:t>m</m:t>
        </m:r>
        <m:r>
          <m:rPr>
            <m:sty m:val="p"/>
          </m:rPr>
          <m:t>⋅</m:t>
        </m:r>
        <m:rad>
          <m:radPr>
            <m:degHide m:val="on"/>
          </m:radPr>
          <m:deg/>
          <m:e>
            <m:r>
              <m:t>20</m:t>
            </m:r>
            <m:r>
              <m:rPr>
                <m:sty m:val="p"/>
              </m:rPr>
              <m:t>/</m:t>
            </m:r>
            <m:r>
              <m:t>T</m:t>
            </m:r>
          </m:e>
        </m:rad>
      </m:oMath>
      <w:r>
        <w:t xml:space="preserve">, where</w:t>
      </w:r>
      <w:r>
        <w:t xml:space="preserve"> </w:t>
      </w:r>
      <m:oMath>
        <m:r>
          <m:t>m</m:t>
        </m:r>
      </m:oMath>
      <w:r>
        <w:t xml:space="preserve"> </w:t>
      </w:r>
      <w:r>
        <w:t xml:space="preserve">is the average proportional productivity loss in a shortfall year (so</w:t>
      </w:r>
      <w:r>
        <w:t xml:space="preserve"> </w:t>
      </w:r>
      <m:oMath>
        <m:r>
          <m:t>m</m:t>
        </m:r>
        <m:r>
          <m:rPr>
            <m:sty m:val="p"/>
          </m:rPr>
          <m:t>=</m:t>
        </m:r>
        <m:r>
          <m:t>0.45</m:t>
        </m:r>
      </m:oMath>
      <w:r>
        <w:t xml:space="preserve"> </w:t>
      </w:r>
      <w:r>
        <w:t xml:space="preserve">means a shortfall year delivers 55% of normal productivity) and</w:t>
      </w:r>
      <w:r>
        <w:t xml:space="preserve"> </w:t>
      </w:r>
      <m:oMath>
        <m:r>
          <m:t>T</m:t>
        </m:r>
      </m:oMath>
      <w:r>
        <w:t xml:space="preserve"> </w:t>
      </w:r>
      <w:r>
        <w:t xml:space="preserve">is the mean spacing between shortfalls. The derivation (Supplemental §S1.4) treats shortfalls as random events that arrive at an average rate of one per</w:t>
      </w:r>
      <w:r>
        <w:t xml:space="preserve"> </w:t>
      </w:r>
      <m:oMath>
        <m:r>
          <m:t>T</m:t>
        </m:r>
      </m:oMath>
      <w:r>
        <w:t xml:space="preserve"> </w:t>
      </w:r>
      <w:r>
        <w:t xml:space="preserve">year, each reducing that year’s productivity by</w:t>
      </w:r>
      <w:r>
        <w:t xml:space="preserve"> </w:t>
      </w:r>
      <m:oMath>
        <m:r>
          <m:t>m</m:t>
        </m:r>
      </m:oMath>
      <w:r>
        <w:t xml:space="preserve">. Standard probability theory then gives the standard deviation of annual productivity loss across many years as</w:t>
      </w:r>
      <w:r>
        <w:t xml:space="preserve"> </w:t>
      </w:r>
      <m:oMath>
        <m:r>
          <m:t>m</m:t>
        </m:r>
        <m:r>
          <m:rPr>
            <m:sty m:val="p"/>
          </m:rPr>
          <m:t>/</m:t>
        </m:r>
        <m:rad>
          <m:radPr>
            <m:degHide m:val="on"/>
          </m:radPr>
          <m:deg/>
          <m:e>
            <m:r>
              <m:t>T</m:t>
            </m:r>
          </m:e>
        </m:rad>
      </m:oMath>
      <w:r>
        <w:t xml:space="preserve">. We multiply by</w:t>
      </w:r>
      <w:r>
        <w:t xml:space="preserve"> </w:t>
      </w:r>
      <m:oMath>
        <m:rad>
          <m:radPr>
            <m:degHide m:val="on"/>
          </m:radPr>
          <m:deg/>
          <m:e>
            <m:r>
              <m:t>20</m:t>
            </m:r>
          </m:e>
        </m:rad>
      </m:oMath>
      <w:r>
        <w:t xml:space="preserve"> </w:t>
      </w:r>
      <w:r>
        <w:t xml:space="preserve">to express this in 20-year-reference units, so that a shortfall regime with</w:t>
      </w:r>
      <w:r>
        <w:t xml:space="preserve"> </w:t>
      </w:r>
      <m:oMath>
        <m:r>
          <m:t>T</m:t>
        </m:r>
        <m:r>
          <m:rPr>
            <m:sty m:val="p"/>
          </m:rPr>
          <m:t>=</m:t>
        </m:r>
        <m:r>
          <m:t>20</m:t>
        </m:r>
      </m:oMath>
      <w:r>
        <w:t xml:space="preserve"> </w:t>
      </w:r>
      <w:r>
        <w:t xml:space="preserve">produces</w:t>
      </w:r>
      <w:r>
        <w:t xml:space="preserve"> </w:t>
      </w:r>
      <m:oMath>
        <m:r>
          <m:t>σ</m:t>
        </m:r>
        <m:r>
          <m:rPr>
            <m:sty m:val="p"/>
          </m:rPr>
          <m:t>=</m:t>
        </m:r>
        <m:r>
          <m:t>m</m:t>
        </m:r>
      </m:oMath>
      <w:r>
        <w:t xml:space="preserve">. The intuitive consequence is that frequency and magnitude trade off. A regime with severity-0.5 shortfalls every twenty years yields the same</w:t>
      </w:r>
      <w:r>
        <w:t xml:space="preserve"> </w:t>
      </w:r>
      <m:oMath>
        <m:r>
          <m:t>σ</m:t>
        </m:r>
      </m:oMath>
      <w:r>
        <w:t xml:space="preserve"> </w:t>
      </w:r>
      <w:r>
        <w:t xml:space="preserve">as a regime with severity-0.25 shortfalls every five years, because both expose a band to the same cumulative variance over a generation-scale horizon.</w:t>
      </w:r>
    </w:p>
    <w:p>
      <w:pPr>
        <w:pStyle w:val="BodyText"/>
      </w:pPr>
      <w:r>
        <w:t xml:space="preserve">A note on interpretation is in order, because the symbol</w:t>
      </w:r>
      <w:r>
        <w:t xml:space="preserve"> </w:t>
      </w:r>
      <m:oMath>
        <m:r>
          <m:t>σ</m:t>
        </m:r>
      </m:oMath>
      <w:r>
        <w:t xml:space="preserve"> </w:t>
      </w:r>
      <w:r>
        <w:t xml:space="preserve">is conventionally read as a statistical standard deviation. In the fitness functions of §2.4,</w:t>
      </w:r>
      <w:r>
        <w:t xml:space="preserve"> </w:t>
      </w:r>
      <m:oMath>
        <m:r>
          <m:t>σ</m:t>
        </m:r>
      </m:oMath>
      <w:r>
        <w:t xml:space="preserve"> </w:t>
      </w:r>
      <w: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t xml:space="preserve"> </w:t>
      </w:r>
      <w:r>
        <w:t xml:space="preserve">“effective shortfall severity index over a 20-year horizon,”</w:t>
      </w:r>
      <w:r>
        <w:t xml:space="preserve"> </w:t>
      </w:r>
      <w:r>
        <w:t xml:space="preserve">not</w:t>
      </w:r>
      <w:r>
        <w:t xml:space="preserve"> </w:t>
      </w:r>
      <w:r>
        <w:t xml:space="preserve">“year-to-year variability in harvest yields.”</w:t>
      </w:r>
      <w:r>
        <w:t xml:space="preserve"> </w:t>
      </w:r>
      <w:r>
        <w:t xml:space="preserve">A higher</w:t>
      </w:r>
      <w:r>
        <w:t xml:space="preserve"> </w:t>
      </w:r>
      <m:oMath>
        <m:r>
          <m:t>σ</m:t>
        </m:r>
      </m:oMath>
      <w:r>
        <w:t xml:space="preserve"> </w:t>
      </w:r>
      <w: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t xml:space="preserve"> </w:t>
      </w:r>
      <m:oMath>
        <m:r>
          <m:t>σ</m:t>
        </m:r>
      </m:oMath>
      <w:r>
        <w:t xml:space="preserve"> </w:t>
      </w:r>
      <w:r>
        <w:t xml:space="preserve">values, while a longer one (say, 50 years) would yield larger values, because more shortfalls accumulate over a longer span. Critically, this rescaling does not affect the comparisons that drive the analysis. The empirical estimate</w:t>
      </w:r>
      <w:r>
        <w:t xml:space="preserve"> </w:t>
      </w:r>
      <m:oMath>
        <m:sSub>
          <m:e>
            <m:r>
              <m:t>σ</m:t>
            </m:r>
          </m:e>
          <m:sub>
            <m:r>
              <m:t>L</m:t>
            </m:r>
            <m:r>
              <m:t>M</m:t>
            </m:r>
            <m:r>
              <m:t>V</m:t>
            </m:r>
          </m:sub>
        </m:sSub>
      </m:oMath>
      <w:r>
        <w:t xml:space="preserve"> </w:t>
      </w:r>
      <w:r>
        <w:t xml:space="preserve">(i.e., the severity inferred from late-Holocene Lower Mississippi Valley paleoclimate proxies; §5.5) and the model-derived critical threshold</w:t>
      </w:r>
      <w:r>
        <w:t xml:space="preserve"> </w:t>
      </w:r>
      <m:oMath>
        <m:sSup>
          <m:e>
            <m:r>
              <m:t>σ</m:t>
            </m:r>
          </m:e>
          <m:sup>
            <m:r>
              <m:rPr>
                <m:sty m:val="p"/>
              </m:rPr>
              <m:t>*</m:t>
            </m:r>
          </m:sup>
        </m:sSup>
      </m:oMath>
      <w:r>
        <w:t xml:space="preserve"> </w:t>
      </w:r>
      <w:r>
        <w:t xml:space="preserve">are computed on the same scale, so their ratio is invariant under any consistent change of reference window. We confirm this in §S1.4: across</w:t>
      </w:r>
      <w: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t xml:space="preserve"> </w:t>
      </w:r>
      <w:r>
        <w:t xml:space="preserve">years, the ratio</w:t>
      </w:r>
      <w:r>
        <w:t xml:space="preserve"> </w:t>
      </w:r>
      <m:oMath>
        <m:sSub>
          <m:e>
            <m:r>
              <m:t>σ</m:t>
            </m:r>
          </m:e>
          <m:sub>
            <m:r>
              <m:t>L</m:t>
            </m:r>
            <m:r>
              <m:t>M</m:t>
            </m:r>
            <m:r>
              <m:t>V</m:t>
            </m:r>
          </m:sub>
        </m:sSub>
        <m:r>
          <m:rPr>
            <m:sty m:val="p"/>
          </m:rPr>
          <m:t>/</m:t>
        </m:r>
        <m:sSup>
          <m:e>
            <m:r>
              <m:t>σ</m:t>
            </m:r>
          </m:e>
          <m:sup>
            <m:r>
              <m:rPr>
                <m:sty m:val="p"/>
              </m:rPr>
              <m:t>*</m:t>
            </m:r>
          </m:sup>
        </m:sSup>
        <m:r>
          <m:rPr>
            <m:sty m:val="p"/>
          </m:rPr>
          <m:t>=</m:t>
        </m:r>
        <m:r>
          <m:t>1.59</m:t>
        </m:r>
      </m:oMath>
      <w:r>
        <w:t xml:space="preserve"> </w:t>
      </w:r>
      <w:r>
        <w:t xml:space="preserve">is preserved exactly. This invariance is what makes threshold-proximity comparisons meaningful, and we rely on it when reporting results below.</w:t>
      </w:r>
    </w:p>
    <w:p>
      <w:pPr>
        <w:pStyle w:val="BodyText"/>
      </w:pPr>
      <w:r>
        <w:t xml:space="preserve">The aggregator fitness function combines vulnerability and shortfall severity multiplicatively, as</w:t>
      </w:r>
      <w: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t xml:space="preserve">, where</w:t>
      </w:r>
      <w:r>
        <w:t xml:space="preserve"> </w:t>
      </w:r>
      <m:oMath>
        <m:r>
          <m:t>α</m:t>
        </m:r>
        <m:r>
          <m:rPr>
            <m:sty m:val="p"/>
          </m:rPr>
          <m:t>(</m:t>
        </m:r>
        <m:sSub>
          <m:e>
            <m:r>
              <m:t>k</m:t>
            </m:r>
          </m:e>
          <m:sub>
            <m:r>
              <m:t>e</m:t>
            </m:r>
            <m:r>
              <m:t>f</m:t>
            </m:r>
            <m:r>
              <m:t>f</m:t>
            </m:r>
          </m:sub>
        </m:sSub>
        <m:r>
          <m:rPr>
            <m:sty m:val="p"/>
          </m:rPr>
          <m:t>)</m:t>
        </m:r>
      </m:oMath>
      <w:r>
        <w:t xml:space="preserve"> </w:t>
      </w:r>
      <w:r>
        <w:t xml:space="preserve">is the vulnerability coefficient (i.e., the fraction of unbuffered shortfall loss the band actually experiences given its network) and</w:t>
      </w:r>
      <w:r>
        <w:t xml:space="preserve"> </w:t>
      </w:r>
      <m:oMath>
        <m:sSub>
          <m:e>
            <m:r>
              <m:t>σ</m:t>
            </m:r>
          </m:e>
          <m:sub>
            <m:r>
              <m:t>e</m:t>
            </m:r>
            <m:r>
              <m:t>f</m:t>
            </m:r>
            <m:r>
              <m:t>f</m:t>
            </m:r>
          </m:sub>
        </m:sSub>
      </m:oMath>
      <w:r>
        <w:t xml:space="preserve"> </w:t>
      </w:r>
      <w:r>
        <w:t xml:space="preserve">is the effective shortfall severity. The plain-language reading of the function is</w:t>
      </w:r>
      <w:r>
        <w:t xml:space="preserve"> </w:t>
      </w:r>
      <w:r>
        <w:t xml:space="preserve">“fraction of productivity lost = vulnerability × severity.”</w:t>
      </w:r>
      <w:r>
        <w:t xml:space="preserve"> </w:t>
      </w:r>
      <w:r>
        <w:t xml:space="preserve">This product is the principled choice given the meanings of the two factors:</w:t>
      </w:r>
      <w:r>
        <w:t xml:space="preserve"> </w:t>
      </w:r>
      <m:oMath>
        <m:r>
          <m:t>α</m:t>
        </m:r>
      </m:oMath>
      <w:r>
        <w:t xml:space="preserve"> </w:t>
      </w:r>
      <w:r>
        <w:t xml:space="preserve">does not denote a fractional loss in its own right. Instead, it modulates how a</w:t>
      </w:r>
      <w:r>
        <w:t xml:space="preserve"> </w:t>
      </w:r>
      <m:oMath>
        <m:r>
          <m:t>σ</m:t>
        </m:r>
      </m:oMath>
      <w:r>
        <w:t xml:space="preserve">-induced loss is perceived, and the multiplicative coupling ensures that modulation operates on the right scale. We considered two alternative couplings discussed in the broader risk-pooling literature, an additive form</w:t>
      </w:r>
      <w:r>
        <w:t xml:space="preserve"> </w:t>
      </w:r>
      <m:oMath>
        <m:r>
          <m:rPr>
            <m:sty m:val="p"/>
          </m:rPr>
          <m:t>(</m:t>
        </m:r>
        <m:r>
          <m:t>1</m:t>
        </m:r>
        <m:r>
          <m:rPr>
            <m:sty m:val="p"/>
          </m:rPr>
          <m:t>−</m:t>
        </m:r>
        <m:r>
          <m:t>α</m:t>
        </m:r>
        <m:r>
          <m:rPr>
            <m:sty m:val="p"/>
          </m:rPr>
          <m:t>−</m:t>
        </m:r>
        <m:sSub>
          <m:e>
            <m:r>
              <m:t>σ</m:t>
            </m:r>
          </m:e>
          <m:sub>
            <m:r>
              <m:t>e</m:t>
            </m:r>
            <m:r>
              <m:t>f</m:t>
            </m:r>
            <m:r>
              <m:t>f</m:t>
            </m:r>
          </m:sub>
        </m:sSub>
        <m:r>
          <m:rPr>
            <m:sty m:val="p"/>
          </m:rPr>
          <m:t>)</m:t>
        </m:r>
      </m:oMath>
      <w:r>
        <w:t xml:space="preserve"> </w:t>
      </w:r>
      <w:r>
        <w:t xml:space="preserve">and a hazard-composition form</w:t>
      </w:r>
      <w: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t xml:space="preserve">, and document them in §S3.6. Direct substitution of either alternative produces degenerate or quantitatively incomparable results because</w:t>
      </w:r>
      <w:r>
        <w:t xml:space="preserve"> </w:t>
      </w:r>
      <m:oMath>
        <m:r>
          <m:t>α</m:t>
        </m:r>
      </m:oMath>
      <w:r>
        <w:t xml:space="preserve"> </w:t>
      </w:r>
      <w:r>
        <w:t xml:space="preserve">and</w:t>
      </w:r>
      <w:r>
        <w:t xml:space="preserve"> </w:t>
      </w:r>
      <m:oMath>
        <m:sSub>
          <m:e>
            <m:r>
              <m:t>σ</m:t>
            </m:r>
          </m:e>
          <m:sub>
            <m:r>
              <m:t>e</m:t>
            </m:r>
            <m:r>
              <m:t>f</m:t>
            </m:r>
            <m:r>
              <m:t>f</m:t>
            </m:r>
          </m:sub>
        </m:sSub>
      </m:oMath>
      <w:r>
        <w:t xml:space="preserve"> </w:t>
      </w:r>
      <w:r>
        <w:t xml:space="preserve">are not on commensurate scales (a vulnerability coefficient is not a hazard rate), so a fair coupling-form comparison would require reformulating</w:t>
      </w:r>
      <w:r>
        <w:t xml:space="preserve"> </w:t>
      </w:r>
      <m:oMath>
        <m:r>
          <m:t>α</m:t>
        </m:r>
      </m:oMath>
      <w:r>
        <w:t xml:space="preserve"> </w:t>
      </w:r>
      <w:r>
        <w:t xml:space="preserve">as a probability-like quantity. We retain the multiplicative form throughout the analyses below, and report the §S3.6 reformulation as evidence that the phase-transition structure (a sharp transition at some</w:t>
      </w:r>
      <w:r>
        <w:t xml:space="preserve"> </w:t>
      </w:r>
      <m:oMath>
        <m:sSup>
          <m:e>
            <m:r>
              <m:t>σ</m:t>
            </m:r>
          </m:e>
          <m:sup>
            <m:r>
              <m:rPr>
                <m:sty m:val="p"/>
              </m:rPr>
              <m:t>*</m:t>
            </m:r>
          </m:sup>
        </m:sSup>
      </m:oMath>
      <w:r>
        <w:t xml:space="preserve">) is a generic property of the framework rather than the result of this specific functional form.</w:t>
      </w:r>
    </w:p>
    <w:p>
      <w:pPr>
        <w:pStyle w:val="BodyText"/>
      </w:pPr>
      <w:r>
        <w:rPr>
          <w:b/>
          <w:bCs/>
        </w:rPr>
        <w:t xml:space="preserve">Run configurations.</w:t>
      </w:r>
      <w:r>
        <w:t xml:space="preserve"> </w:t>
      </w:r>
      <w:r>
        <w:t xml:space="preserve">The model is run in three configurations in this study, each addressing a different question and each labeled at the point of use.</w:t>
      </w:r>
    </w:p>
    <w:p>
      <w:pPr>
        <w:numPr>
          <w:ilvl w:val="0"/>
          <w:numId w:val="1001"/>
        </w:numPr>
      </w:pPr>
      <w:r>
        <w:rPr>
          <w:i/>
          <w:iCs/>
        </w:rPr>
        <w:t xml:space="preserve">Phase-transition sweep</w:t>
      </w:r>
      <w:r>
        <w:t xml:space="preserve"> </w:t>
      </w:r>
      <w: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i/>
          <w:iCs/>
        </w:rPr>
        <w:t xml:space="preserve">Ablation experiment</w:t>
      </w:r>
      <w:r>
        <w:t xml:space="preserve"> </w:t>
      </w:r>
      <w: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i/>
          <w:iCs/>
        </w:rPr>
        <w:t xml:space="preserve">One-at-a-time (OAT) sensitivity</w:t>
      </w:r>
      <w:r>
        <w:t xml:space="preserve"> </w:t>
      </w:r>
      <w:r>
        <w:t xml:space="preserve">(§S3.1): tests how strongly each model parameter influences the critical threshold. Each parameter is shifted by</w:t>
      </w:r>
      <w:r>
        <w:t xml:space="preserve"> </w:t>
      </w:r>
      <m:oMath>
        <m:r>
          <m:rPr>
            <m:sty m:val="p"/>
          </m:rPr>
          <m:t>±</m:t>
        </m:r>
        <m:r>
          <m:t>50</m:t>
        </m:r>
        <m:r>
          <m:rPr>
            <m:sty m:val="p"/>
          </m:rPr>
          <m:t>%</m:t>
        </m:r>
      </m:oMath>
      <w:r>
        <w:t xml:space="preserve"> </w:t>
      </w:r>
      <w:r>
        <w:t xml:space="preserve">from its default value, and the threshold</w:t>
      </w:r>
      <w:r>
        <w:t xml:space="preserve"> </w:t>
      </w:r>
      <m:oMath>
        <m:sSup>
          <m:e>
            <m:r>
              <m:t>σ</m:t>
            </m:r>
          </m:e>
          <m:sup>
            <m:r>
              <m:rPr>
                <m:sty m:val="p"/>
              </m:rPr>
              <m:t>*</m:t>
            </m:r>
          </m:sup>
        </m:sSup>
      </m:oMath>
      <w:r>
        <w:t xml:space="preserve"> </w:t>
      </w:r>
      <w:r>
        <w:t xml:space="preserve">is recomputed analytically as the value of</w:t>
      </w:r>
      <w:r>
        <w:t xml:space="preserve"> </w:t>
      </w:r>
      <m:oMath>
        <m:r>
          <m:t>σ</m:t>
        </m:r>
      </m:oMath>
      <w:r>
        <w:t xml:space="preserve"> </w:t>
      </w:r>
      <w: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b/>
          <w:bCs/>
        </w:rPr>
        <w:t xml:space="preserve">Restructured network-saturation function (§S5.2).</w:t>
      </w:r>
      <w:r>
        <w:t xml:space="preserve"> </w:t>
      </w:r>
      <w:r>
        <w:t xml:space="preserve">The default formulation of the cooperation-network component,</w:t>
      </w:r>
      <w:r>
        <w:t xml:space="preserve"> </w:t>
      </w:r>
      <m:oMath>
        <m:sSub>
          <m:e>
            <m:r>
              <m:t>λ</m:t>
            </m:r>
          </m:e>
          <m:sub>
            <m:r>
              <m:t>X</m:t>
            </m:r>
          </m:sub>
        </m:sSub>
      </m:oMath>
      <w:r>
        <w:t xml:space="preserve">, captures only the</w:t>
      </w:r>
      <w:r>
        <w:t xml:space="preserve"> </w:t>
      </w:r>
      <w:r>
        <w:rPr>
          <w:i/>
          <w:iCs/>
        </w:rPr>
        <w:t xml:space="preserve">incremental</w:t>
      </w:r>
      <w:r>
        <w:t xml:space="preserve"> </w:t>
      </w:r>
      <w:r>
        <w:t xml:space="preserve">value of one additional partner. Once a band has already accumulated many partners through past investment, that incremental value approaches zero, and so</w:t>
      </w:r>
      <w:r>
        <w:t xml:space="preserve"> </w:t>
      </w:r>
      <m:oMath>
        <m:sSub>
          <m:e>
            <m:r>
              <m:t>λ</m:t>
            </m:r>
          </m:e>
          <m:sub>
            <m:r>
              <m:t>X</m:t>
            </m:r>
          </m:sub>
        </m:sSub>
      </m:oMath>
      <w:r>
        <w:t xml:space="preserve"> </w:t>
      </w:r>
      <w:r>
        <w:t xml:space="preserve">effectively goes silent at equilibrium, even though the network itself is still doing real work, buffering shortfalls. To recover that buffering value, we test a restructured form that adds an absolute</w:t>
      </w:r>
      <w:r>
        <w:t xml:space="preserve"> </w:t>
      </w:r>
      <w:r>
        <w:rPr>
          <w:i/>
          <w:iCs/>
        </w:rPr>
        <w:t xml:space="preserve">network-density</w:t>
      </w:r>
      <w:r>
        <w:t xml:space="preserve"> </w:t>
      </w:r>
      <w: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t xml:space="preserve"> </w:t>
      </w:r>
      <m:oMath>
        <m:sSub>
          <m:e>
            <m:r>
              <m:t>ξ</m:t>
            </m:r>
          </m:e>
          <m:sub>
            <m:r>
              <m:t>X</m:t>
            </m:r>
          </m:sub>
        </m:sSub>
      </m:oMath>
      <w:r>
        <w:t xml:space="preserve"> </w:t>
      </w:r>
      <w:r>
        <w:t xml:space="preserve">controls how much this density term contributes. At</w:t>
      </w:r>
      <w:r>
        <w:t xml:space="preserve"> </w:t>
      </w:r>
      <m:oMath>
        <m:sSub>
          <m:e>
            <m:r>
              <m:t>ξ</m:t>
            </m:r>
          </m:e>
          <m:sub>
            <m:r>
              <m:t>X</m:t>
            </m:r>
          </m:sub>
        </m:sSub>
        <m:r>
          <m:rPr>
            <m:sty m:val="p"/>
          </m:rPr>
          <m:t>=</m:t>
        </m:r>
        <m:r>
          <m:t>0</m:t>
        </m:r>
      </m:oMath>
      <w:r>
        <w:t xml:space="preserve"> </w:t>
      </w:r>
      <w:r>
        <w:t xml:space="preserve">the formulation reduces to the default, and at</w:t>
      </w:r>
      <w:r>
        <w:t xml:space="preserve"> </w:t>
      </w:r>
      <m:oMath>
        <m:sSub>
          <m:e>
            <m:r>
              <m:t>ξ</m:t>
            </m:r>
          </m:e>
          <m:sub>
            <m:r>
              <m:t>X</m:t>
            </m:r>
          </m:sub>
        </m:sSub>
        <m:r>
          <m:rPr>
            <m:sty m:val="p"/>
          </m:rPr>
          <m:t>=</m:t>
        </m:r>
        <m:r>
          <m:t>0.5</m:t>
        </m:r>
      </m:oMath>
      <w:r>
        <w:t xml:space="preserve"> </w:t>
      </w:r>
      <w:r>
        <w:t xml:space="preserve">the density term adds</w:t>
      </w:r>
      <w:r>
        <w:t xml:space="preserve"> </w:t>
      </w:r>
      <m:oMath>
        <m:r>
          <m:t>0.03</m:t>
        </m:r>
      </m:oMath>
      <w:r>
        <w:t xml:space="preserve"> </w:t>
      </w:r>
      <w:r>
        <w:t xml:space="preserve">to</w:t>
      </w:r>
      <w:r>
        <w:t xml:space="preserve"> </w:t>
      </w:r>
      <m:oMath>
        <m:r>
          <m:t>λ</m:t>
        </m:r>
      </m:oMath>
      <w:r>
        <w:t xml:space="preserve"> </w:t>
      </w:r>
      <w:r>
        <w:t xml:space="preserve">at equilibrium. The full functional form and parameter values are given in §S5.2. The implications for the §4.3 ablation are developed below.</w:t>
      </w:r>
    </w:p>
    <w:p>
      <w:pPr>
        <w:pStyle w:val="BodyText"/>
      </w:pPr>
      <w:r>
        <w:drawing>
          <wp:inline>
            <wp:extent cx="5943600" cy="5199164"/>
            <wp:effectExtent b="0" l="0" r="0" t="0"/>
            <wp:docPr descr="" title="" id="32" name="Picture"/>
            <a:graphic>
              <a:graphicData uri="http://schemas.openxmlformats.org/drawingml/2006/picture">
                <pic:pic>
                  <pic:nvPicPr>
                    <pic:cNvPr descr="../../figures/manuscript/figure_06_model_architecture.png" id="33" name="Picture"/>
                    <pic:cNvPicPr>
                      <a:picLocks noChangeArrowheads="1" noChangeAspect="1"/>
                    </pic:cNvPicPr>
                  </pic:nvPicPr>
                  <pic:blipFill>
                    <a:blip r:embed="rId31"/>
                    <a:stretch>
                      <a:fillRect/>
                    </a:stretch>
                  </pic:blipFill>
                  <pic:spPr bwMode="auto">
                    <a:xfrm>
                      <a:off x="0" y="0"/>
                      <a:ext cx="5943600" cy="5199164"/>
                    </a:xfrm>
                    <a:prstGeom prst="rect">
                      <a:avLst/>
                    </a:prstGeom>
                    <a:noFill/>
                    <a:ln w="9525">
                      <a:noFill/>
                      <a:headEnd/>
                      <a:tailEnd/>
                    </a:ln>
                  </pic:spPr>
                </pic:pic>
              </a:graphicData>
            </a:graphic>
          </wp:inline>
        </w:drawing>
      </w:r>
    </w:p>
    <w:p>
      <w:pPr>
        <w:pStyle w:val="BodyText"/>
      </w:pPr>
      <w:r>
        <w:rPr>
          <w:b/>
          <w:bCs/>
          <w:i/>
          <w:iCs/>
        </w:rPr>
        <w:t xml:space="preserve">Figure 6. Agent-based model architecture.</w:t>
      </w:r>
      <w:r>
        <w:t xml:space="preserve"> </w:t>
      </w:r>
      <w:r>
        <w:rPr>
          <w:i/>
          <w:iCs/>
        </w:rPr>
        <w:t xml:space="preserve">(A) Environment module: heterogeneous four-zone landscape (i.e., aquatic, terrestrial game, mast, ecotone-edge) with seasonal cycles and stochastic shortfalls. The ecotone parameter</w:t>
      </w:r>
      <w:r>
        <w:t xml:space="preserve"> </w:t>
      </w:r>
      <m:oMath>
        <m:r>
          <m:t>ε</m:t>
        </m:r>
      </m:oMath>
      <w:r>
        <w:t xml:space="preserve"> </w:t>
      </w:r>
      <w:r>
        <w:rPr>
          <w:i/>
          <w:iCs/>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t xml:space="preserve"> </w:t>
      </w:r>
      <m:oMath>
        <m:sSub>
          <m:e>
            <m:r>
              <m:t>W</m:t>
            </m:r>
          </m:e>
          <m:sub>
            <m:r>
              <m:t>a</m:t>
            </m:r>
            <m:r>
              <m:t>g</m:t>
            </m:r>
            <m:r>
              <m:t>g</m:t>
            </m:r>
          </m:sub>
        </m:sSub>
      </m:oMath>
      <w:r>
        <w:t xml:space="preserve"> </w:t>
      </w:r>
      <w:r>
        <w:rPr>
          <w:i/>
          <w:iCs/>
        </w:rPr>
        <w:t xml:space="preserve">and</w:t>
      </w:r>
      <w:r>
        <w:t xml:space="preserve"> </w:t>
      </w:r>
      <m:oMath>
        <m:sSub>
          <m:e>
            <m:r>
              <m:t>W</m:t>
            </m:r>
          </m:e>
          <m:sub>
            <m:r>
              <m:t>i</m:t>
            </m:r>
            <m:r>
              <m:t>n</m:t>
            </m:r>
            <m:r>
              <m:t>d</m:t>
            </m:r>
          </m:sub>
        </m:sSub>
      </m:oMath>
      <w:r>
        <w:t xml:space="preserve"> </w:t>
      </w:r>
      <w:r>
        <w:rPr>
          <w:i/>
          <w:iCs/>
        </w:rPr>
        <w:t xml:space="preserve">(eq. §2.4) determine the critical threshold</w:t>
      </w:r>
      <w:r>
        <w:t xml:space="preserve"> </w:t>
      </w:r>
      <m:oMath>
        <m:sSup>
          <m:e>
            <m:r>
              <m:t>σ</m:t>
            </m:r>
          </m:e>
          <m:sup>
            <m:r>
              <m:rPr>
                <m:sty m:val="p"/>
              </m:rPr>
              <m:t>*</m:t>
            </m:r>
          </m:sup>
        </m:sSup>
      </m:oMath>
      <w:r>
        <w:t xml:space="preserve"> </w:t>
      </w:r>
      <w:r>
        <w:rPr>
          <w:i/>
          <w:iCs/>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t xml:space="preserve">4. Theory and simulation results</w:t>
      </w:r>
    </w:p>
    <w:bookmarkStart w:id="41" w:name="phase-transition"/>
    <w:p>
      <w:pPr>
        <w:pStyle w:val="Heading3"/>
      </w:pPr>
      <w:r>
        <w:t xml:space="preserve">4.1 Phase transition</w:t>
      </w:r>
    </w:p>
    <w:p>
      <w:pPr>
        <w:pStyle w:val="FirstParagraph"/>
      </w:pPr>
      <w:r>
        <w:t xml:space="preserve">The first test is whether the simulation exhibits the sharp behavioral threshold predicted by the theory. We define the</w:t>
      </w:r>
      <w:r>
        <w:t xml:space="preserve"> </w:t>
      </w:r>
      <w:r>
        <w:rPr>
          <w:b/>
          <w:bCs/>
        </w:rPr>
        <w:t xml:space="preserve">strategy-dominance metric</w:t>
      </w:r>
      <w:r>
        <w:t xml:space="preserve"> </w:t>
      </w:r>
      <w:r>
        <w:t xml:space="preserve">as the population fraction of aggregator bands minus the population fraction of independent bands, ranging from</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 with</w:t>
      </w:r>
      <w:r>
        <w:t xml:space="preserve"> </w:t>
      </w:r>
      <m:oMath>
        <m:r>
          <m:t>0</m:t>
        </m:r>
      </m:oMath>
      <w:r>
        <w:t xml:space="preserve"> </w:t>
      </w:r>
      <w:r>
        <w:t xml:space="preserve">indicating parity. Running the model at PP-scenario parameters (</w:t>
      </w:r>
      <m:oMath>
        <m:r>
          <m:t>ε</m:t>
        </m:r>
        <m:r>
          <m:rPr>
            <m:sty m:val="p"/>
          </m:rPr>
          <m:t>=</m:t>
        </m:r>
        <m:r>
          <m:t>0.35</m:t>
        </m:r>
      </m:oMath>
      <w:r>
        <w:t xml:space="preserve">) across a sweep of effective uncertainty values with twenty stochastic replicates per cell, the signal-conditional configuration produces a clean S-curve in strategy dominance: the metric climbs from strongly negative at low</w:t>
      </w:r>
      <w:r>
        <w:t xml:space="preserve"> </w:t>
      </w:r>
      <m:oMath>
        <m:sSub>
          <m:e>
            <m:r>
              <m:t>σ</m:t>
            </m:r>
          </m:e>
          <m:sub>
            <m:r>
              <m:t>e</m:t>
            </m:r>
            <m:r>
              <m:t>f</m:t>
            </m:r>
            <m:r>
              <m:t>f</m:t>
            </m:r>
          </m:sub>
        </m:sSub>
      </m:oMath>
      <w:r>
        <w:t xml:space="preserve"> </w:t>
      </w:r>
      <w:r>
        <w:t xml:space="preserve">through crossover at</w:t>
      </w:r>
      <w:r>
        <w:t xml:space="preserve"> </w:t>
      </w:r>
      <m:oMath>
        <m:sSubSup>
          <m:e>
            <m:r>
              <m:t>σ</m:t>
            </m:r>
          </m:e>
          <m:sub>
            <m:r>
              <m:t>e</m:t>
            </m:r>
            <m:r>
              <m:t>f</m:t>
            </m:r>
            <m:r>
              <m:t>f</m:t>
            </m:r>
          </m:sub>
          <m:sup>
            <m:r>
              <m:rPr>
                <m:sty m:val="p"/>
              </m:rPr>
              <m:t>*</m:t>
            </m:r>
          </m:sup>
        </m:sSubSup>
        <m:r>
          <m:rPr>
            <m:sty m:val="p"/>
          </m:rPr>
          <m:t>≈</m:t>
        </m:r>
        <m:r>
          <m:t>0.387</m:t>
        </m:r>
      </m:oMath>
      <w:r>
        <w:t xml:space="preserve"> </w:t>
      </w:r>
      <w:r>
        <w:t xml:space="preserve">to saturation near</w:t>
      </w:r>
      <w:r>
        <w:t xml:space="preserve"> </w:t>
      </w:r>
      <m:oMath>
        <m:r>
          <m:rPr>
            <m:sty m:val="p"/>
          </m:rPr>
          <m:t>+</m:t>
        </m:r>
        <m:r>
          <m:t>0.89</m:t>
        </m:r>
      </m:oMath>
      <w:r>
        <w:t xml:space="preserve"> </w:t>
      </w:r>
      <w:r>
        <w:t xml:space="preserve">at the highest</w:t>
      </w:r>
      <w:r>
        <w:t xml:space="preserve"> </w:t>
      </w:r>
      <m:oMath>
        <m:sSub>
          <m:e>
            <m:r>
              <m:t>σ</m:t>
            </m:r>
          </m:e>
          <m:sub>
            <m:r>
              <m:t>e</m:t>
            </m:r>
            <m:r>
              <m:t>f</m:t>
            </m:r>
            <m:r>
              <m:t>f</m:t>
            </m:r>
          </m:sub>
        </m:sSub>
      </m:oMath>
      <w:r>
        <w:t xml:space="preserve"> </w:t>
      </w:r>
      <w:r>
        <w:t xml:space="preserve">values (Figure 7A). The per-cell replicate spread (SD 0.01 to 0.14, largest in the transition zone) is tight enough to characterize both the location of the crossing and the sharpness of the transition. The simulated crossover at</w:t>
      </w:r>
      <w:r>
        <w:t xml:space="preserve"> </w:t>
      </w:r>
      <m:oMath>
        <m:sSubSup>
          <m:e>
            <m:r>
              <m:t>σ</m:t>
            </m:r>
          </m:e>
          <m:sub>
            <m:r>
              <m:t>e</m:t>
            </m:r>
            <m:r>
              <m:t>f</m:t>
            </m:r>
            <m:r>
              <m:t>f</m:t>
            </m:r>
          </m:sub>
          <m:sup>
            <m:r>
              <m:rPr>
                <m:sty m:val="p"/>
              </m:rPr>
              <m:t>*</m:t>
            </m:r>
          </m:sup>
        </m:sSubSup>
        <m:r>
          <m:rPr>
            <m:sty m:val="p"/>
          </m:rPr>
          <m:t>≈</m:t>
        </m:r>
        <m:r>
          <m:t>0.387</m:t>
        </m:r>
      </m:oMath>
      <w:r>
        <w:t xml:space="preserve"> </w:t>
      </w:r>
      <w:r>
        <w:t xml:space="preserve">matches the analytical prediction</w:t>
      </w:r>
      <w:r>
        <w:t xml:space="preserve"> </w:t>
      </w:r>
      <m:oMath>
        <m:sSup>
          <m:e>
            <m:r>
              <m:t>σ</m:t>
            </m:r>
          </m:e>
          <m:sup>
            <m:r>
              <m:rPr>
                <m:sty m:val="p"/>
              </m:rPr>
              <m:t>*</m:t>
            </m:r>
          </m:sup>
        </m:sSup>
        <m:r>
          <m:rPr>
            <m:sty m:val="p"/>
          </m:rPr>
          <m:t>=</m:t>
        </m:r>
        <m:r>
          <m:t>0.40</m:t>
        </m:r>
      </m:oMath>
      <w:r>
        <w:t xml:space="preserve"> </w:t>
      </w:r>
      <w:r>
        <w:t xml:space="preserve">at</w:t>
      </w:r>
      <w:r>
        <w:t xml:space="preserve"> </w:t>
      </w:r>
      <m:oMath>
        <m:r>
          <m:t>ε</m:t>
        </m:r>
        <m:r>
          <m:rPr>
            <m:sty m:val="p"/>
          </m:rPr>
          <m:t>=</m:t>
        </m:r>
        <m:r>
          <m:t>0.35</m:t>
        </m:r>
      </m:oMath>
      <w:r>
        <w:t xml:space="preserve"> </w:t>
      </w:r>
      <w:r>
        <w:t xml:space="preserve">to within 0.013. The match is a genuine dynamic-sufficiency result rather than a restatement of the decision rule: bands decide against the emergent monument stock, realized network buffering, and density-dependent resources, none of which is pinned to the analytical equilibrium, and the emergent crossing lands within 0.013 of the analytically derived threshold. Sweep configuration, the precise</w:t>
      </w:r>
      <w:r>
        <w:t xml:space="preserve"> </w:t>
      </w:r>
      <m:oMath>
        <m:sSub>
          <m:e>
            <m:r>
              <m:t>σ</m:t>
            </m:r>
          </m:e>
          <m:sub>
            <m:r>
              <m:t>t</m:t>
            </m:r>
            <m:r>
              <m:t>a</m:t>
            </m:r>
            <m:r>
              <m:t>r</m:t>
            </m:r>
            <m:r>
              <m:t>g</m:t>
            </m:r>
            <m:r>
              <m:t>e</m:t>
            </m:r>
            <m:r>
              <m:t>t</m:t>
            </m:r>
          </m:sub>
        </m:sSub>
      </m:oMath>
      <w:r>
        <w:t xml:space="preserve"> </w:t>
      </w:r>
      <w:r>
        <w:t xml:space="preserve">values, and the realized-vs-target sigma adjustment are documented in §S7.1.</w:t>
      </w:r>
    </w:p>
    <w:p>
      <w:pPr>
        <w:pStyle w:val="BodyText"/>
      </w:pPr>
      <w:r>
        <w:drawing>
          <wp:inline>
            <wp:extent cx="5943600" cy="5094514"/>
            <wp:effectExtent b="0" l="0" r="0" t="0"/>
            <wp:docPr descr="" title="" id="36" name="Picture"/>
            <a:graphic>
              <a:graphicData uri="http://schemas.openxmlformats.org/drawingml/2006/picture">
                <pic:pic>
                  <pic:nvPicPr>
                    <pic:cNvPr descr="../../figures/manuscript/figure_07_phase_transition.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BodyText"/>
      </w:pPr>
      <w:r>
        <w:rPr>
          <w:b/>
          <w:bCs/>
          <w:i/>
          <w:iCs/>
        </w:rPr>
        <w:t xml:space="preserve">Figure 7. Phase transition validation at the calibrated PP scenario.</w:t>
      </w:r>
      <w:r>
        <w:t xml:space="preserve"> </w:t>
      </w:r>
      <w:r>
        <w:rPr>
          <w:i/>
          <w:iCs/>
        </w:rPr>
        <w:t xml:space="preserve">Twenty stochastic replicates per cell × 7</w:t>
      </w:r>
      <w:r>
        <w:t xml:space="preserve"> </w:t>
      </w:r>
      <m:oMath>
        <m:sSub>
          <m:e>
            <m:r>
              <m:t>σ</m:t>
            </m:r>
          </m:e>
          <m:sub>
            <m:r>
              <m:t>e</m:t>
            </m:r>
            <m:r>
              <m:t>f</m:t>
            </m:r>
            <m:r>
              <m:t>f</m:t>
            </m:r>
          </m:sub>
        </m:sSub>
      </m:oMath>
      <w:r>
        <w:t xml:space="preserve"> </w:t>
      </w:r>
      <w:r>
        <w:rPr>
          <w:i/>
          <w:iCs/>
        </w:rPr>
        <w:t xml:space="preserve">points at PP-scenario parameters (</w:t>
      </w:r>
      <m:oMath>
        <m:r>
          <m:t>ε</m:t>
        </m:r>
        <m:r>
          <m:rPr>
            <m:sty m:val="p"/>
          </m:rPr>
          <m:t>=</m:t>
        </m:r>
        <m:r>
          <m:t>0.35</m:t>
        </m:r>
      </m:oMath>
      <w:r>
        <w:rPr>
          <w:i/>
          <w:iCs/>
        </w:rPr>
        <w:t xml:space="preserve">). (A) Strategy dominance vs realized environmental uncertainty. The metric climbs from strongly negative at low</w:t>
      </w:r>
      <w:r>
        <w:t xml:space="preserve"> </w:t>
      </w:r>
      <m:oMath>
        <m:sSub>
          <m:e>
            <m:r>
              <m:t>σ</m:t>
            </m:r>
          </m:e>
          <m:sub>
            <m:r>
              <m:t>e</m:t>
            </m:r>
            <m:r>
              <m:t>f</m:t>
            </m:r>
            <m:r>
              <m:t>f</m:t>
            </m:r>
          </m:sub>
        </m:sSub>
      </m:oMath>
      <w:r>
        <w:t xml:space="preserve"> </w:t>
      </w:r>
      <w:r>
        <w:rPr>
          <w:i/>
          <w:iCs/>
        </w:rPr>
        <w:t xml:space="preserve">through crossover at</w:t>
      </w:r>
      <w:r>
        <w:t xml:space="preserve"> </w:t>
      </w:r>
      <m:oMath>
        <m:sSubSup>
          <m:e>
            <m:r>
              <m:t>σ</m:t>
            </m:r>
          </m:e>
          <m:sub>
            <m:r>
              <m:t>e</m:t>
            </m:r>
            <m:r>
              <m:t>f</m:t>
            </m:r>
            <m:r>
              <m:t>f</m:t>
            </m:r>
          </m:sub>
          <m:sup>
            <m:r>
              <m:rPr>
                <m:sty m:val="p"/>
              </m:rPr>
              <m:t>*</m:t>
            </m:r>
          </m:sup>
        </m:sSubSup>
        <m:r>
          <m:rPr>
            <m:sty m:val="p"/>
          </m:rPr>
          <m:t>≈</m:t>
        </m:r>
        <m:r>
          <m:t>0.387</m:t>
        </m:r>
      </m:oMath>
      <w:r>
        <w:t xml:space="preserve"> </w:t>
      </w:r>
      <w:r>
        <w:rPr>
          <w:i/>
          <w:iCs/>
        </w:rPr>
        <w:t xml:space="preserve">to saturation near</w:t>
      </w:r>
      <w:r>
        <w:t xml:space="preserve"> </w:t>
      </w:r>
      <m:oMath>
        <m:r>
          <m:rPr>
            <m:sty m:val="p"/>
          </m:rPr>
          <m:t>+</m:t>
        </m:r>
        <m:r>
          <m:t>0.89</m:t>
        </m:r>
      </m:oMath>
      <w:r>
        <w:t xml:space="preserve"> </w:t>
      </w:r>
      <w:r>
        <w:rPr>
          <w:i/>
          <w:iCs/>
        </w:rPr>
        <w:t xml:space="preserve">at the highest</w:t>
      </w:r>
      <w:r>
        <w:t xml:space="preserve"> </w:t>
      </w:r>
      <m:oMath>
        <m:sSub>
          <m:e>
            <m:r>
              <m:t>σ</m:t>
            </m:r>
          </m:e>
          <m:sub>
            <m:r>
              <m:t>e</m:t>
            </m:r>
            <m:r>
              <m:t>f</m:t>
            </m:r>
            <m:r>
              <m:t>f</m:t>
            </m:r>
          </m:sub>
        </m:sSub>
      </m:oMath>
      <w:r>
        <w:t xml:space="preserve"> </w:t>
      </w:r>
      <w:r>
        <w:rPr>
          <w:i/>
          <w:iCs/>
        </w:rPr>
        <w:t xml:space="preserve">values, matching the analytical threshold</w:t>
      </w:r>
      <w:r>
        <w:t xml:space="preserve"> </w:t>
      </w:r>
      <m:oMath>
        <m:sSup>
          <m:e>
            <m:r>
              <m:t>σ</m:t>
            </m:r>
          </m:e>
          <m:sup>
            <m:r>
              <m:rPr>
                <m:sty m:val="p"/>
              </m:rPr>
              <m:t>*</m:t>
            </m:r>
          </m:sup>
        </m:sSup>
        <m:r>
          <m:rPr>
            <m:sty m:val="p"/>
          </m:rPr>
          <m:t>=</m:t>
        </m:r>
        <m:r>
          <m:t>0.40</m:t>
        </m:r>
      </m:oMath>
      <w:r>
        <w:t xml:space="preserve"> </w:t>
      </w:r>
      <w:r>
        <w:rPr>
          <w:i/>
          <w:iCs/>
        </w:rPr>
        <w:t xml:space="preserve">(dashed red line) to within 0.013. (B) Mean aggregation size in bands per gathering, increasing from ~56 below the threshold to ~115-125 above it (the fission-grown band population numbers 130-190). (C) Monument investment (cumulative units across the 200-year simulated interval), climbing from baseline at low</w:t>
      </w:r>
      <w:r>
        <w:t xml:space="preserve"> </w:t>
      </w:r>
      <m:oMath>
        <m:sSub>
          <m:e>
            <m:r>
              <m:t>σ</m:t>
            </m:r>
          </m:e>
          <m:sub>
            <m:r>
              <m:t>e</m:t>
            </m:r>
            <m:r>
              <m:t>f</m:t>
            </m:r>
            <m:r>
              <m:t>f</m:t>
            </m:r>
          </m:sub>
        </m:sSub>
      </m:oMath>
      <w:r>
        <w:t xml:space="preserve"> </w:t>
      </w:r>
      <w:r>
        <w:rPr>
          <w:i/>
          <w:iCs/>
        </w:rPr>
        <w:t xml:space="preserve">to large accumulations at high</w:t>
      </w:r>
      <w:r>
        <w:t xml:space="preserve"> </w:t>
      </w:r>
      <m:oMath>
        <m:sSub>
          <m:e>
            <m:r>
              <m:t>σ</m:t>
            </m:r>
          </m:e>
          <m:sub>
            <m:r>
              <m:t>e</m:t>
            </m:r>
            <m:r>
              <m:t>f</m:t>
            </m:r>
            <m:r>
              <m:t>f</m:t>
            </m:r>
          </m:sub>
        </m:sSub>
      </m:oMath>
      <w:r>
        <w:rPr>
          <w:i/>
          <w:iCs/>
        </w:rPr>
        <w:t xml:space="preserve">, with the steep climb concentrated across the transition zone. (D) Joint phase-transition signature: monument investment vs strategy dominance across the sweep, with the post-threshold cluster (orange, aggregator-dominant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t xml:space="preserve"> </w:t>
      </w:r>
      <m:oMath>
        <m:sSubSup>
          <m:e>
            <m:r>
              <m:t>σ</m:t>
            </m:r>
          </m:e>
          <m:sub>
            <m:r>
              <m:t>e</m:t>
            </m:r>
            <m:r>
              <m:t>f</m:t>
            </m:r>
            <m:r>
              <m:t>f</m:t>
            </m:r>
          </m:sub>
          <m:sup>
            <m:r>
              <m:rPr>
                <m:sty m:val="p"/>
              </m:rPr>
              <m:t>*</m:t>
            </m:r>
          </m:sup>
        </m:sSubSup>
        <m:r>
          <m:rPr>
            <m:sty m:val="p"/>
          </m:rPr>
          <m:t>≈</m:t>
        </m:r>
        <m:r>
          <m:t>0.387</m:t>
        </m:r>
      </m:oMath>
      <w:r>
        <w:rPr>
          <w:i/>
          <w:iCs/>
        </w:rPr>
        <w:t xml:space="preserve">, random-partner</w:t>
      </w:r>
      <w:r>
        <w:t xml:space="preserve"> </w:t>
      </w:r>
      <m:oMath>
        <m:sSubSup>
          <m:e>
            <m:r>
              <m:t>σ</m:t>
            </m:r>
          </m:e>
          <m:sub>
            <m:r>
              <m:t>e</m:t>
            </m:r>
            <m:r>
              <m:t>f</m:t>
            </m:r>
            <m:r>
              <m:t>f</m:t>
            </m:r>
          </m:sub>
          <m:sup>
            <m:r>
              <m:rPr>
                <m:sty m:val="p"/>
              </m:rPr>
              <m:t>*</m:t>
            </m:r>
          </m:sup>
        </m:sSubSup>
        <m:r>
          <m:rPr>
            <m:sty m:val="p"/>
          </m:rPr>
          <m:t>≈</m:t>
        </m:r>
        <m:r>
          <m:t>0.385</m:t>
        </m:r>
      </m:oMath>
      <w:r>
        <w:rPr>
          <w:i/>
          <w:iCs/>
        </w:rPr>
        <w:t xml:space="preserve">; threshold shift</w:t>
      </w:r>
      <w:r>
        <w:t xml:space="preserve"> </w:t>
      </w:r>
      <m:oMath>
        <m:r>
          <m:rPr>
            <m:sty m:val="p"/>
          </m:rPr>
          <m:t>−</m:t>
        </m:r>
        <m:r>
          <m:t>0.002</m:t>
        </m:r>
      </m:oMath>
      <w:r>
        <w:t xml:space="preserve"> </w:t>
      </w:r>
      <w:r>
        <w:rPr>
          <w:i/>
          <w:iCs/>
        </w:rPr>
        <w:t xml:space="preserve">or</w:t>
      </w:r>
      <w:r>
        <w:t xml:space="preserve"> </w:t>
      </w:r>
      <m:oMath>
        <m:r>
          <m:rPr>
            <m:sty m:val="p"/>
          </m:rPr>
          <m:t>−</m:t>
        </m:r>
        <m:r>
          <m:t>0.4</m:t>
        </m:r>
        <m:r>
          <m:rPr>
            <m:sty m:val="p"/>
          </m:rPr>
          <m:t>%</m:t>
        </m:r>
      </m:oMath>
      <w:r>
        <w:rPr>
          <w:i/>
          <w:iCs/>
        </w:rPr>
        <w:t xml:space="preserve">, well within replicate noise).</w:t>
      </w:r>
    </w:p>
    <w:p>
      <w:pPr>
        <w:pStyle w:val="BodyText"/>
      </w:pPr>
      <w: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t xml:space="preserve"> </w:t>
      </w:r>
      <m:oMath>
        <m:r>
          <m:rPr>
            <m:sty m:val="p"/>
          </m:rPr>
          <m:t>+</m:t>
        </m:r>
        <m:r>
          <m:t>0.70</m:t>
        </m:r>
      </m:oMath>
      <w:r>
        <w:t xml:space="preserve"> </w:t>
      </w:r>
      <w:r>
        <w:t xml:space="preserve">and the 10-90 percentile envelope</w:t>
      </w:r>
      <w:r>
        <w:t xml:space="preserve"> </w:t>
      </w:r>
      <m:oMath>
        <m:r>
          <m:rPr>
            <m:sty m:val="p"/>
          </m:rPr>
          <m:t>[</m:t>
        </m:r>
        <m:r>
          <m:rPr>
            <m:sty m:val="p"/>
          </m:rPr>
          <m:t>+</m:t>
        </m:r>
        <m:r>
          <m:t>0.62</m:t>
        </m:r>
        <m:r>
          <m:rPr>
            <m:sty m:val="p"/>
          </m:rPr>
          <m:t>,</m:t>
        </m:r>
        <m:r>
          <m:rPr>
            <m:sty m:val="p"/>
          </m:rPr>
          <m:t>+</m:t>
        </m:r>
        <m:r>
          <m:t>0.78</m:t>
        </m:r>
        <m:r>
          <m:rPr>
            <m:sty m:val="p"/>
          </m:rPr>
          <m:t>]</m:t>
        </m:r>
      </m:oMath>
      <w:r>
        <w:t xml:space="preserve"> </w:t>
      </w:r>
      <w:r>
        <w:t xml:space="preserve">across replicates (Panel A). Cumulative monument investment grows steadily through the simulated interval, with substantial replicate-to-replicate divergence in the accumulated total (final values 6,361-32,667 units across the five seeds) that reflects genuine path dependence in the monument-network feedback (Panel B). Aggregation size settles to roughly 100-180 bands per gathering across the ensemble, out of a fission-grown population of 130-190 bands (Panel C). Stochastic shortfall realizations produce visible year-to-year variation within each trajectory, but no post-burn-in replicate-year falls below parity or out of the aggregator-dominant regime, confirming that the aggregator strategy is the stable equilibrium under PP-scenario uncertainty rather than a transient outcome.</w:t>
      </w:r>
    </w:p>
    <w:p>
      <w:pPr>
        <w:pStyle w:val="BodyText"/>
      </w:pPr>
      <w:r>
        <w:drawing>
          <wp:inline>
            <wp:extent cx="5943600" cy="4854515"/>
            <wp:effectExtent b="0" l="0" r="0" t="0"/>
            <wp:docPr descr="" title="" id="39" name="Picture"/>
            <a:graphic>
              <a:graphicData uri="http://schemas.openxmlformats.org/drawingml/2006/picture">
                <pic:pic>
                  <pic:nvPicPr>
                    <pic:cNvPr descr="../../figures/manuscript/figure_08_temporal_dynamics.png" id="40" name="Picture"/>
                    <pic:cNvPicPr>
                      <a:picLocks noChangeArrowheads="1" noChangeAspect="1"/>
                    </pic:cNvPicPr>
                  </pic:nvPicPr>
                  <pic:blipFill>
                    <a:blip r:embed="rId38"/>
                    <a:stretch>
                      <a:fillRect/>
                    </a:stretch>
                  </pic:blipFill>
                  <pic:spPr bwMode="auto">
                    <a:xfrm>
                      <a:off x="0" y="0"/>
                      <a:ext cx="5943600" cy="4854515"/>
                    </a:xfrm>
                    <a:prstGeom prst="rect">
                      <a:avLst/>
                    </a:prstGeom>
                    <a:noFill/>
                    <a:ln w="9525">
                      <a:noFill/>
                      <a:headEnd/>
                      <a:tailEnd/>
                    </a:ln>
                  </pic:spPr>
                </pic:pic>
              </a:graphicData>
            </a:graphic>
          </wp:inline>
        </w:drawing>
      </w:r>
    </w:p>
    <w:p>
      <w:pPr>
        <w:pStyle w:val="BodyText"/>
      </w:pPr>
      <w:r>
        <w:rPr>
          <w:b/>
          <w:bCs/>
          <w:i/>
          <w:iCs/>
        </w:rPr>
        <w:t xml:space="preserve">Figure 8. Temporal dynamics at calibrated PP-scenario parameters (5-replicate ensemble).</w:t>
      </w:r>
      <w:r>
        <w:t xml:space="preserve"> </w:t>
      </w:r>
      <w:r>
        <w:rPr>
          <w:i/>
          <w:iCs/>
        </w:rPr>
        <w:t xml:space="preserve">Five 500-year trajectories at PP-scenario parameters (</w:t>
      </w:r>
      <m:oMath>
        <m:r>
          <m:t>σ</m:t>
        </m:r>
        <m:r>
          <m:rPr>
            <m:sty m:val="p"/>
          </m:rPr>
          <m:t>=</m:t>
        </m:r>
        <m:r>
          <m:t>0.64</m:t>
        </m:r>
      </m:oMath>
      <w:r>
        <w:rPr>
          <w:i/>
          <w:iCs/>
        </w:rPr>
        <w:t xml:space="preserve">,</w:t>
      </w:r>
      <w:r>
        <w:t xml:space="preserve"> </w:t>
      </w:r>
      <m:oMath>
        <m:r>
          <m:t>ε</m:t>
        </m:r>
        <m:r>
          <m:rPr>
            <m:sty m:val="p"/>
          </m:rPr>
          <m:t>=</m:t>
        </m:r>
        <m:r>
          <m:t>0.35</m:t>
        </m:r>
      </m:oMath>
      <w:r>
        <w:rPr>
          <w:i/>
          <w:iCs/>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+0.70 and a replicate envelope of</w:t>
      </w:r>
      <w:r>
        <w:rPr>
          <w:i/>
          <w:iCs/>
        </w:rPr>
        <w:t xml:space="preserve"> </w:t>
      </w:r>
      <m:oMath>
        <m:r>
          <m:rPr>
            <m:sty m:val="p"/>
          </m:rPr>
          <m:t>[</m:t>
        </m:r>
        <m:r>
          <m:rPr>
            <m:sty m:val="p"/>
          </m:rPr>
          <m:t>+</m:t>
        </m:r>
        <m:r>
          <m:t>0.62</m:t>
        </m:r>
        <m:r>
          <m:rPr>
            <m:sty m:val="p"/>
          </m:rPr>
          <m:t>,</m:t>
        </m:r>
        <m:r>
          <m:rPr>
            <m:sty m:val="p"/>
          </m:rPr>
          <m:t>+</m:t>
        </m:r>
        <m:r>
          <m:t>0.78</m:t>
        </m:r>
        <m:r>
          <m:rPr>
            <m:sty m:val="p"/>
          </m:rPr>
          <m:t>]</m:t>
        </m:r>
      </m:oMath>
      <w:r>
        <w:rPr>
          <w:i/>
          <w:iCs/>
        </w:rPr>
        <w:t xml:space="preserve">. Light orange shading marks years in which more than half of the replicates were in a shortfall state. (B) Cumulative monument investment climbing steadily through the simulated interval, with substantial replicate divergence in the accumulated total (final values 6,361-32,667 units across the five seeds), reflecting path dependence in the monument-network feedback. (C) Aggregation size in bands per gathering, settling to roughly 100-180 across the ensemble as the band population grows under fission. Stochastic shortfall realizations drive year-to-year variation within each trajectory, but no post-burn-in replicate-year falls below parity.</w:t>
      </w:r>
    </w:p>
    <w:bookmarkEnd w:id="41"/>
    <w:bookmarkStart w:id="45" w:name="phase-space-structure"/>
    <w:p>
      <w:pPr>
        <w:pStyle w:val="Heading3"/>
      </w:pPr>
      <w:r>
        <w:t xml:space="preserve">4.2 Phase-space structure</w:t>
      </w:r>
    </w:p>
    <w:p>
      <w:pPr>
        <w:pStyle w:val="FirstParagraph"/>
      </w:pPr>
      <w:r>
        <w:t xml:space="preserve">The §4.1 sweep validates the threshold along a single slice through parameter space (</w:t>
      </w:r>
      <m:oMath>
        <m:r>
          <m:t>ε</m:t>
        </m:r>
        <m:r>
          <m:rPr>
            <m:sty m:val="p"/>
          </m:rPr>
          <m:t>=</m:t>
        </m:r>
        <m:r>
          <m:t>0.35</m:t>
        </m:r>
      </m:oMath>
      <w:r>
        <w:t xml:space="preserve">, varying</w:t>
      </w:r>
      <w:r>
        <w:t xml:space="preserve"> </w:t>
      </w:r>
      <m:oMath>
        <m:r>
          <m:t>σ</m:t>
        </m:r>
      </m:oMath>
      <w:r>
        <w:t xml:space="preserve">). The framework’s analytical prediction is more general: the threshold</w:t>
      </w:r>
      <w:r>
        <w:t xml:space="preserve"> </w:t>
      </w:r>
      <m:oMath>
        <m:sSup>
          <m:e>
            <m:r>
              <m:t>σ</m:t>
            </m:r>
          </m:e>
          <m:sup>
            <m:r>
              <m:rPr>
                <m:sty m:val="p"/>
              </m:rPr>
              <m:t>*</m:t>
            </m:r>
          </m:sup>
        </m:sSup>
      </m:oMath>
      <w:r>
        <w:t xml:space="preserve"> </w:t>
      </w:r>
      <w:r>
        <w:t xml:space="preserve">is a function of</w:t>
      </w:r>
      <w:r>
        <w:t xml:space="preserve"> </w:t>
      </w:r>
      <m:oMath>
        <m:r>
          <m:t>ε</m:t>
        </m:r>
      </m:oMath>
      <w:r>
        <w:t xml:space="preserve">, with low-</w:t>
      </w:r>
      <m:oMath>
        <m:r>
          <m:t>ε</m:t>
        </m:r>
      </m:oMath>
      <w:r>
        <w:t xml:space="preserve"> </w:t>
      </w:r>
      <w:r>
        <w:t xml:space="preserve">sites requiring higher</w:t>
      </w:r>
      <w:r>
        <w:t xml:space="preserve"> </w:t>
      </w:r>
      <m:oMath>
        <m:r>
          <m:t>σ</m:t>
        </m:r>
      </m:oMath>
      <w:r>
        <w:t xml:space="preserve"> </w:t>
      </w:r>
      <w:r>
        <w:t xml:space="preserve">for aggregation to become adaptive, and high-</w:t>
      </w:r>
      <m:oMath>
        <m:r>
          <m:t>ε</m:t>
        </m:r>
      </m:oMath>
      <w:r>
        <w:t xml:space="preserve"> </w:t>
      </w:r>
      <w:r>
        <w:t xml:space="preserve">sites crossing into the aggregator regime at lower</w:t>
      </w:r>
      <w:r>
        <w:t xml:space="preserve"> </w:t>
      </w:r>
      <m:oMath>
        <m:r>
          <m:t>σ</m:t>
        </m:r>
      </m:oMath>
      <w:r>
        <w:t xml:space="preserve">. To test whether the agent-based dynamics reproduce this structure across the joint parameter plane, rather than just along the slice, we ran the model on a grid over the environmental uncertainty</w:t>
      </w:r>
      <w:r>
        <w:t xml:space="preserve"> </w:t>
      </w:r>
      <m:oMath>
        <m:r>
          <m:t>σ</m:t>
        </m:r>
      </m:oMath>
      <w:r>
        <w:t xml:space="preserve"> </w:t>
      </w:r>
      <w:r>
        <w:t xml:space="preserve">and the ecotone advantage</w:t>
      </w:r>
      <w:r>
        <w:t xml:space="preserve"> </w:t>
      </w:r>
      <m:oMath>
        <m:r>
          <m:t>ε</m:t>
        </m:r>
      </m:oMath>
      <w:r>
        <w:t xml:space="preserve">.</w:t>
      </w:r>
    </w:p>
    <w:p>
      <w:pPr>
        <w:pStyle w:val="BodyText"/>
      </w:pPr>
      <w:r>
        <w:t xml:space="preserve">The simulated phase space matches the analytical prediction across the plane (Figure 9). The regime boundary shifts monotonically with</w:t>
      </w:r>
      <w:r>
        <w:t xml:space="preserve"> </w:t>
      </w:r>
      <m:oMath>
        <m:r>
          <m:t>ε</m:t>
        </m:r>
      </m:oMath>
      <w:r>
        <w:t xml:space="preserve">: at low</w:t>
      </w:r>
      <w:r>
        <w:t xml:space="preserve"> </w:t>
      </w:r>
      <m:oMath>
        <m:r>
          <m:t>ε</m:t>
        </m:r>
      </m:oMath>
      <w:r>
        <w:t xml:space="preserve"> </w:t>
      </w:r>
      <w:r>
        <w:t xml:space="preserve">(</w:t>
      </w:r>
      <m:oMath>
        <m:r>
          <m:rPr>
            <m:sty m:val="p"/>
          </m:rPr>
          <m:t>≤</m:t>
        </m:r>
        <m:r>
          <m:t>0.15</m:t>
        </m:r>
      </m:oMath>
      <w:r>
        <w:t xml:space="preserve">) sustained aggregator dominance requires realized</w:t>
      </w:r>
      <w:r>
        <w:t xml:space="preserve"> </w:t>
      </w:r>
      <m:oMath>
        <m:r>
          <m:t>σ</m:t>
        </m:r>
        <m:r>
          <m:rPr>
            <m:sty m:val="p"/>
          </m:rPr>
          <m:t>≈</m:t>
        </m:r>
        <m:r>
          <m:t>0.47</m:t>
        </m:r>
      </m:oMath>
      <w:r>
        <w:t xml:space="preserve">-</w:t>
      </w:r>
      <m:oMath>
        <m:r>
          <m:t>0.51</m:t>
        </m:r>
      </m:oMath>
      <w:r>
        <w:t xml:space="preserve">, while at high</w:t>
      </w:r>
      <w:r>
        <w:t xml:space="preserve"> </w:t>
      </w:r>
      <m:oMath>
        <m:r>
          <m:t>ε</m:t>
        </m:r>
      </m:oMath>
      <w:r>
        <w:t xml:space="preserve"> </w:t>
      </w:r>
      <w:r>
        <w:t xml:space="preserve">(</w:t>
      </w:r>
      <m:oMath>
        <m:r>
          <m:rPr>
            <m:sty m:val="p"/>
          </m:rPr>
          <m:t>≥</m:t>
        </m:r>
        <m:r>
          <m:t>0.40</m:t>
        </m:r>
      </m:oMath>
      <w:r>
        <w:t xml:space="preserve">) the boundary sits at</w:t>
      </w:r>
      <w:r>
        <w:t xml:space="preserve"> </w:t>
      </w:r>
      <m:oMath>
        <m:r>
          <m:t>σ</m:t>
        </m:r>
        <m:r>
          <m:rPr>
            <m:sty m:val="p"/>
          </m:rPr>
          <m:t>≈</m:t>
        </m:r>
        <m:r>
          <m:t>0.35</m:t>
        </m:r>
      </m:oMath>
      <w:r>
        <w:t xml:space="preserve">-</w:t>
      </w:r>
      <m:oMath>
        <m:r>
          <m:t>0.37</m:t>
        </m:r>
      </m:oMath>
      <w:r>
        <w:t xml:space="preserve">. At every</w:t>
      </w:r>
      <w:r>
        <w:t xml:space="preserve"> </w:t>
      </w:r>
      <m:oMath>
        <m:r>
          <m:t>ε</m:t>
        </m:r>
      </m:oMath>
      <w:r>
        <w:t xml:space="preserve"> </w:t>
      </w:r>
      <w:r>
        <w:t xml:space="preserve">row of the grid, the simulated dominance zero-crossing falls within 0.03 of the analytical</w:t>
      </w:r>
      <w:r>
        <w:t xml:space="preserve"> </w:t>
      </w:r>
      <m:oMath>
        <m:sSup>
          <m:e>
            <m:r>
              <m:t>σ</m:t>
            </m:r>
          </m:e>
          <m:sup>
            <m:r>
              <m:rPr>
                <m:sty m:val="p"/>
              </m:rPr>
              <m:t>*</m:t>
            </m:r>
          </m:sup>
        </m:sSup>
        <m:r>
          <m:rPr>
            <m:sty m:val="p"/>
          </m:rPr>
          <m:t>(</m:t>
        </m:r>
        <m:r>
          <m:t>ε</m:t>
        </m:r>
        <m:r>
          <m:rPr>
            <m:sty m:val="p"/>
          </m:rPr>
          <m:t>)</m:t>
        </m:r>
      </m:oMath>
      <w:r>
        <w:t xml:space="preserve"> </w:t>
      </w:r>
      <w:r>
        <w:t xml:space="preserve">line (within 0.001 at</w:t>
      </w:r>
      <w:r>
        <w:t xml:space="preserve"> </w:t>
      </w:r>
      <m:oMath>
        <m:r>
          <m:t>ε</m:t>
        </m:r>
        <m:r>
          <m:rPr>
            <m:sty m:val="p"/>
          </m:rPr>
          <m:t>=</m:t>
        </m:r>
        <m:r>
          <m:t>0.50</m:t>
        </m:r>
      </m:oMath>
      <w:r>
        <w:t xml:space="preserve">), so the aggregator-dominated region (orange) and the independent-dominated region (purple) are cleanly separated by the analytically derived boundary, with a narrow bistable transition zone along it. Maximum monument accumulation occurs in the high-</w:t>
      </w:r>
      <m:oMath>
        <m:r>
          <m:t>σ</m:t>
        </m:r>
      </m:oMath>
      <w:r>
        <w:t xml:space="preserve">, high-</w:t>
      </w:r>
      <m:oMath>
        <m:r>
          <m:t>ε</m:t>
        </m:r>
      </m:oMath>
      <w:r>
        <w:t xml:space="preserve"> </w:t>
      </w:r>
      <w:r>
        <w:t xml:space="preserve">corner of the plane (</w:t>
      </w:r>
      <m:oMath>
        <m:r>
          <m:t>σ</m:t>
        </m:r>
        <m:r>
          <m:rPr>
            <m:sty m:val="p"/>
          </m:rPr>
          <m:t>≳</m:t>
        </m:r>
        <m:r>
          <m:t>0.74</m:t>
        </m:r>
      </m:oMath>
      <w:r>
        <w:t xml:space="preserve">,</w:t>
      </w:r>
      <w:r>
        <w:t xml:space="preserve"> </w:t>
      </w:r>
      <m:oMath>
        <m:r>
          <m:t>ε</m:t>
        </m:r>
        <m:r>
          <m:rPr>
            <m:sty m:val="p"/>
          </m:rPr>
          <m:t>≳</m:t>
        </m:r>
        <m:r>
          <m:t>0.45</m:t>
        </m:r>
      </m:oMath>
      <w: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drawing>
          <wp:inline>
            <wp:extent cx="5943600" cy="1754160"/>
            <wp:effectExtent b="0" l="0" r="0" t="0"/>
            <wp:docPr descr="" title="" id="43" name="Picture"/>
            <a:graphic>
              <a:graphicData uri="http://schemas.openxmlformats.org/drawingml/2006/picture">
                <pic:pic>
                  <pic:nvPicPr>
                    <pic:cNvPr descr="../../figures/manuscript/figure_09_phase_space.png" id="44" name="Picture"/>
                    <pic:cNvPicPr>
                      <a:picLocks noChangeArrowheads="1" noChangeAspect="1"/>
                    </pic:cNvPicPr>
                  </pic:nvPicPr>
                  <pic:blipFill>
                    <a:blip r:embed="rId42"/>
                    <a:stretch>
                      <a:fillRect/>
                    </a:stretch>
                  </pic:blipFill>
                  <pic:spPr bwMode="auto">
                    <a:xfrm>
                      <a:off x="0" y="0"/>
                      <a:ext cx="5943600" cy="1754160"/>
                    </a:xfrm>
                    <a:prstGeom prst="rect">
                      <a:avLst/>
                    </a:prstGeom>
                    <a:noFill/>
                    <a:ln w="9525">
                      <a:noFill/>
                      <a:headEnd/>
                      <a:tailEnd/>
                    </a:ln>
                  </pic:spPr>
                </pic:pic>
              </a:graphicData>
            </a:graphic>
          </wp:inline>
        </w:drawing>
      </w:r>
    </w:p>
    <w:p>
      <w:pPr>
        <w:pStyle w:val="BodyText"/>
      </w:pPr>
      <w:r>
        <w:rPr>
          <w:b/>
          <w:bCs/>
          <w:i/>
          <w:iCs/>
        </w:rPr>
        <w:t xml:space="preserve">Figure 9. Phase-space structure across the joint</w:t>
      </w:r>
      <w:r>
        <w:t xml:space="preserve"> </w:t>
      </w:r>
      <m:oMath>
        <m:r>
          <m:rPr>
            <m:sty m:val="p"/>
          </m:rPr>
          <m:t>(</m:t>
        </m:r>
        <m:r>
          <m:t>σ</m:t>
        </m:r>
        <m:r>
          <m:rPr>
            <m:sty m:val="p"/>
          </m:rPr>
          <m:t>,</m:t>
        </m:r>
        <m:r>
          <m:t>ε</m:t>
        </m:r>
        <m:r>
          <m:rPr>
            <m:sty m:val="p"/>
          </m:rPr>
          <m:t>)</m:t>
        </m:r>
      </m:oMath>
      <w:r>
        <w:t xml:space="preserve"> </w:t>
      </w:r>
      <w:r>
        <w:rPr>
          <w:b/>
          <w:bCs/>
          <w:i/>
          <w:iCs/>
        </w:rPr>
        <w:t xml:space="preserve">plane (5 replicates per cell).</w:t>
      </w:r>
      <w:r>
        <w:t xml:space="preserve"> </w:t>
      </w:r>
      <w:r>
        <w:rPr>
          <w:i/>
          <w:iCs/>
        </w:rPr>
        <w:t xml:space="preserve">Mean strategy dominance, mean monument investment, and replicate spread across the two-dimensional parameter space defined by environmental uncertainty</w:t>
      </w:r>
      <w:r>
        <w:t xml:space="preserve"> </w:t>
      </w:r>
      <m:oMath>
        <m:r>
          <m:t>σ</m:t>
        </m:r>
      </m:oMath>
      <w:r>
        <w:t xml:space="preserve"> </w:t>
      </w:r>
      <w:r>
        <w:rPr>
          <w:i/>
          <w:iCs/>
        </w:rPr>
        <w:t xml:space="preserve">(horizontal axis) and ecotone advantage</w:t>
      </w:r>
      <w:r>
        <w:t xml:space="preserve"> </w:t>
      </w:r>
      <m:oMath>
        <m:r>
          <m:t>ε</m:t>
        </m:r>
      </m:oMath>
      <w:r>
        <w:t xml:space="preserve"> </w:t>
      </w:r>
      <w:r>
        <w:rPr>
          <w:i/>
          <w:iCs/>
        </w:rPr>
        <w:t xml:space="preserve">(vertical axis), produced by running the agent-based model on a 12×10 grid spanning both parameters at otherwise PP-scenario settings, with five stochastic replicates per cell. A) The analytical critical-threshold line (the value of</w:t>
      </w:r>
      <w:r>
        <w:t xml:space="preserve"> </w:t>
      </w:r>
      <m:oMath>
        <m:r>
          <m:t>σ</m:t>
        </m:r>
      </m:oMath>
      <w:r>
        <w:t xml:space="preserve"> </w:t>
      </w:r>
      <w:r>
        <w:rPr>
          <w:i/>
          <w:iCs/>
        </w:rP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rPr>
          <w:i/>
          <w:iCs/>
        </w:rPr>
        <w:t xml:space="preserve">for each</w:t>
      </w:r>
      <w:r>
        <w:t xml:space="preserve"> </w:t>
      </w:r>
      <m:oMath>
        <m:r>
          <m:t>ε</m:t>
        </m:r>
      </m:oMath>
      <w:r>
        <w:rPr>
          <w:i/>
          <w:iCs/>
        </w:rPr>
        <w:t xml:space="preserve">, derived in §2.4) is overlaid on a continuous color map of mean simulated strategy dominance (purple = independents dominate at</w:t>
      </w:r>
      <w:r>
        <w:t xml:space="preserve"> </w:t>
      </w:r>
      <m:oMath>
        <m:r>
          <m:t>σ</m:t>
        </m:r>
        <m:r>
          <m:rPr>
            <m:sty m:val="p"/>
          </m:rPr>
          <m:t>&lt;</m:t>
        </m:r>
        <m:sSup>
          <m:e>
            <m:r>
              <m:t>σ</m:t>
            </m:r>
          </m:e>
          <m:sup>
            <m:r>
              <m:rPr>
                <m:sty m:val="p"/>
              </m:rPr>
              <m:t>*</m:t>
            </m:r>
          </m:sup>
        </m:sSup>
      </m:oMath>
      <w:r>
        <w:rPr>
          <w:i/>
          <w:iCs/>
        </w:rPr>
        <w:t xml:space="preserve">; off-white = parity at the threshold; orange = aggregators dominate at</w:t>
      </w:r>
      <w:r>
        <w:t xml:space="preserve"> </w:t>
      </w:r>
      <m:oMath>
        <m:r>
          <m:t>σ</m:t>
        </m:r>
        <m:r>
          <m:rPr>
            <m:sty m:val="p"/>
          </m:rPr>
          <m:t>&gt;</m:t>
        </m:r>
        <m:sSup>
          <m:e>
            <m:r>
              <m:t>σ</m:t>
            </m:r>
          </m:e>
          <m:sup>
            <m:r>
              <m:rPr>
                <m:sty m:val="p"/>
              </m:rPr>
              <m:t>*</m:t>
            </m:r>
          </m:sup>
        </m:sSup>
      </m:oMath>
      <w:r>
        <w:rPr>
          <w:i/>
          <w:iCs/>
        </w:rPr>
        <w:t xml:space="preserve">). The threshold line falls along the color transition across the plane. B) Mean monument accumulation, which is maximal in the high-</w:t>
      </w:r>
      <w:r>
        <w:t xml:space="preserve"> </w:t>
      </w:r>
      <m:oMath>
        <m:r>
          <m:t>σ</m:t>
        </m:r>
      </m:oMath>
      <w:r>
        <w:rPr>
          <w:i/>
          <w:iCs/>
        </w:rPr>
        <w:t xml:space="preserve">, high-</w:t>
      </w:r>
      <w:r>
        <w:t xml:space="preserve"> </w:t>
      </w:r>
      <m:oMath>
        <m:r>
          <m:t>ε</m:t>
        </m:r>
      </m:oMath>
      <w:r>
        <w:t xml:space="preserve"> </w:t>
      </w:r>
      <w:r>
        <w:rPr>
          <w:i/>
          <w:iCs/>
        </w:rPr>
        <w:t xml:space="preserve">corner, exactly where the framework predicts the strongest joint operation of uncertainty pressure and ecotone-buffered cooperation. C) Per-cell standard deviation of strategy dominance across the five replicates. The replicate spread is small away from the boundary (median SD</w:t>
      </w:r>
      <w:r>
        <w:t xml:space="preserve"> </w:t>
      </w:r>
      <m:oMath>
        <m:r>
          <m:rPr>
            <m:sty m:val="p"/>
          </m:rPr>
          <m:t>≈</m:t>
        </m:r>
        <m:r>
          <m:t>0.04</m:t>
        </m:r>
      </m:oMath>
      <w:r>
        <w:rPr>
          <w:i/>
          <w:iCs/>
        </w:rPr>
        <w:t xml:space="preserve">; up to</w:t>
      </w:r>
      <w:r>
        <w:t xml:space="preserve"> </w:t>
      </w:r>
      <m:oMath>
        <m:r>
          <m:rPr>
            <m:sty m:val="p"/>
          </m:rPr>
          <m:t>≈</m:t>
        </m:r>
        <m:r>
          <m:t>0.23</m:t>
        </m:r>
      </m:oMath>
      <w:r>
        <w:t xml:space="preserve"> </w:t>
      </w:r>
      <w:r>
        <w:rPr>
          <w:i/>
          <w:iCs/>
        </w:rPr>
        <w:t xml:space="preserve">in the bistable transition zone, where path dependence is real), confirming that the mean phase-space structure in panels A and B is robust to stochastic variation rather than an artifact of single realizations.</w:t>
      </w:r>
    </w:p>
    <w:bookmarkEnd w:id="45"/>
    <w:bookmarkStart w:id="46" w:name="signaling-vs-cooperation-ablation"/>
    <w:p>
      <w:pPr>
        <w:pStyle w:val="Heading3"/>
      </w:pPr>
      <w:r>
        <w:t xml:space="preserve">4.3 Signaling-vs-cooperation ablation</w:t>
      </w:r>
    </w:p>
    <w:p>
      <w:pPr>
        <w:pStyle w:val="FirstParagraph"/>
      </w:pPr>
      <w: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t xml:space="preserve"> </w:t>
      </w:r>
      <w:r>
        <w:t xml:space="preserve">“costly signaling”</w:t>
      </w:r>
      <w:r>
        <w:t xml:space="preserve"> </w:t>
      </w:r>
      <w:r>
        <w:t xml:space="preserve">on the threshold dimension is no more than collective-action theory in different vocabulary (cf. Penn and Szamadó 2020). We address this with an</w:t>
      </w:r>
      <w:r>
        <w:t xml:space="preserve"> </w:t>
      </w:r>
      <w:r>
        <w:rPr>
          <w:i/>
          <w:iCs/>
        </w:rPr>
        <w:t xml:space="preserve">ablation comparison</w:t>
      </w:r>
      <w: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t xml:space="preserve"> </w:t>
      </w:r>
      <m:oMath>
        <m:sSub>
          <m:e>
            <m:r>
              <m:t>σ</m:t>
            </m:r>
          </m:e>
          <m:sub>
            <m:r>
              <m:t>t</m:t>
            </m:r>
            <m:r>
              <m:t>a</m:t>
            </m:r>
            <m:r>
              <m:t>r</m:t>
            </m:r>
            <m:r>
              <m:t>g</m:t>
            </m:r>
            <m:r>
              <m:t>e</m:t>
            </m:r>
            <m:r>
              <m:t>t</m:t>
            </m:r>
          </m:sub>
        </m:sSub>
      </m:oMath>
      <w:r>
        <w:t xml:space="preserve"> </w:t>
      </w:r>
      <w:r>
        <w:t xml:space="preserve">sweep with PP-scenario parameters (</w:t>
      </w:r>
      <m:oMath>
        <m:r>
          <m:t>ε</m:t>
        </m:r>
        <m:r>
          <m:rPr>
            <m:sty m:val="p"/>
          </m:rPr>
          <m:t>=</m:t>
        </m:r>
        <m:r>
          <m:t>0.35</m:t>
        </m:r>
      </m:oMath>
      <w:r>
        <w:t xml:space="preserve">). The sweep configuration and per-cell statistics for both versions are documented in §S7.1.</w:t>
      </w:r>
    </w:p>
    <w:p>
      <w:pPr>
        <w:pStyle w:val="BodyText"/>
      </w:pPr>
      <w:r>
        <w:rPr>
          <w:b/>
          <w:bCs/>
        </w:rPr>
        <w:t xml:space="preserve">Result: the two versions cross the threshold at almost the same point.</w:t>
      </w:r>
      <w:r>
        <w:t xml:space="preserve"> </w:t>
      </w:r>
      <w:r>
        <w:t xml:space="preserve">In plain terms, we tested whether</w:t>
      </w:r>
      <w:r>
        <w:t xml:space="preserve"> </w:t>
      </w:r>
      <w:r>
        <w:rPr>
          <w:i/>
          <w:iCs/>
        </w:rPr>
        <w:t xml:space="preserve">choosing partners based on their visible signals</w:t>
      </w:r>
      <w:r>
        <w:t xml:space="preserve"> </w:t>
      </w:r>
      <w:r>
        <w:t xml:space="preserve">changes the point at which aggregation becomes worthwhile, holding the cooperation safety-net mechanics fixed, and we found it does not. With twenty stochastic replicates per cell, the signal-conditional version crosses at</w:t>
      </w:r>
      <w:r>
        <w:t xml:space="preserve"> </w:t>
      </w:r>
      <m:oMath>
        <m:sSub>
          <m:e>
            <m:r>
              <m:t>σ</m:t>
            </m:r>
          </m:e>
          <m:sub>
            <m:r>
              <m:t>e</m:t>
            </m:r>
            <m:r>
              <m:t>f</m:t>
            </m:r>
            <m:r>
              <m:t>f</m:t>
            </m:r>
          </m:sub>
        </m:sSub>
        <m:r>
          <m:rPr>
            <m:sty m:val="p"/>
          </m:rPr>
          <m:t>≈</m:t>
        </m:r>
        <m:r>
          <m:t>0.387</m:t>
        </m:r>
      </m:oMath>
      <w:r>
        <w:t xml:space="preserve"> </w:t>
      </w:r>
      <w:r>
        <w:t xml:space="preserve">and the random-partner version at</w:t>
      </w:r>
      <w:r>
        <w:t xml:space="preserve"> </w:t>
      </w:r>
      <m:oMath>
        <m:sSub>
          <m:e>
            <m:r>
              <m:t>σ</m:t>
            </m:r>
          </m:e>
          <m:sub>
            <m:r>
              <m:t>e</m:t>
            </m:r>
            <m:r>
              <m:t>f</m:t>
            </m:r>
            <m:r>
              <m:t>f</m:t>
            </m:r>
          </m:sub>
        </m:sSub>
        <m:r>
          <m:rPr>
            <m:sty m:val="p"/>
          </m:rPr>
          <m:t>≈</m:t>
        </m:r>
        <m:r>
          <m:t>0.385</m:t>
        </m:r>
      </m:oMath>
      <w:r>
        <w:t xml:space="preserve">, a difference of about 0.4% in realized</w:t>
      </w:r>
      <w:r>
        <w:t xml:space="preserve"> </w:t>
      </w:r>
      <m:oMath>
        <m:sSub>
          <m:e>
            <m:r>
              <m:t>σ</m:t>
            </m:r>
          </m:e>
          <m:sub>
            <m:r>
              <m:t>e</m:t>
            </m:r>
            <m:r>
              <m:t>f</m:t>
            </m:r>
            <m:r>
              <m:t>f</m:t>
            </m:r>
          </m:sub>
        </m:sSub>
      </m:oMath>
      <w:r>
        <w:t xml:space="preserve"> </w:t>
      </w:r>
      <w:r>
        <w:t xml:space="preserve">that lies well within the replicate-to-replicate noise. Both versions reach near-total aggregator dominance (</w:t>
      </w:r>
      <m:oMath>
        <m:r>
          <m:rPr>
            <m:sty m:val="p"/>
          </m:rPr>
          <m:t>+</m:t>
        </m:r>
        <m:r>
          <m:t>0.89</m:t>
        </m:r>
      </m:oMath>
      <w:r>
        <w:t xml:space="preserve"> </w:t>
      </w:r>
      <w:r>
        <w:t xml:space="preserve">to</w:t>
      </w:r>
      <w:r>
        <w:t xml:space="preserve"> </w:t>
      </w:r>
      <m:oMath>
        <m:r>
          <m:rPr>
            <m:sty m:val="p"/>
          </m:rPr>
          <m:t>+</m:t>
        </m:r>
        <m:r>
          <m:t>0.90</m:t>
        </m:r>
      </m:oMath>
      <w:r>
        <w:t xml:space="preserve">) at the highest uncertainty levels, indistinguishable at the reported precision. The ablation result is narrower than the broad framing might suggest. What the comparison removes is the</w:t>
      </w:r>
      <w:r>
        <w:t xml:space="preserve"> </w:t>
      </w:r>
      <w:r>
        <w:rPr>
          <w:i/>
          <w:iCs/>
        </w:rPr>
        <w:t xml:space="preserve">signal-conditional partner-formation</w:t>
      </w:r>
      <w:r>
        <w:t xml:space="preserve"> </w:t>
      </w:r>
      <w: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t xml:space="preserve"> </w:t>
      </w:r>
      <m:oMath>
        <m:sSub>
          <m:e>
            <m:r>
              <m:t>σ</m:t>
            </m:r>
          </m:e>
          <m:sub>
            <m:r>
              <m:t>e</m:t>
            </m:r>
            <m:r>
              <m:t>f</m:t>
            </m:r>
            <m:r>
              <m:t>f</m:t>
            </m:r>
          </m:sub>
        </m:sSub>
      </m:oMath>
      <w:r>
        <w:t xml:space="preserve"> </w:t>
      </w:r>
      <w: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t xml:space="preserve"> </w:t>
      </w:r>
      <m:oMath>
        <m:sSub>
          <m:e>
            <m:r>
              <m:t>λ</m:t>
            </m:r>
          </m:e>
          <m:sub>
            <m:r>
              <m:t>W</m:t>
            </m:r>
          </m:sub>
        </m:sSub>
      </m:oMath>
      <w:r>
        <w:t xml:space="preserve">,</w:t>
      </w:r>
      <w:r>
        <w:t xml:space="preserve"> </w:t>
      </w:r>
      <m:oMath>
        <m:sSub>
          <m:e>
            <m:r>
              <m:t>λ</m:t>
            </m:r>
          </m:e>
          <m:sub>
            <m:r>
              <m:t>C</m:t>
            </m:r>
          </m:sub>
        </m:sSub>
      </m:oMath>
      <w:r>
        <w:t xml:space="preserve">,</w:t>
      </w:r>
      <w:r>
        <w:t xml:space="preserve"> </w:t>
      </w:r>
      <m:oMath>
        <m:sSub>
          <m:e>
            <m:r>
              <m:t>λ</m:t>
            </m:r>
          </m:e>
          <m:sub>
            <m:r>
              <m:t>X</m:t>
            </m:r>
          </m:sub>
        </m:sSub>
      </m:oMath>
      <w:r>
        <w:t xml:space="preserve">, and</w:t>
      </w:r>
      <w:r>
        <w:t xml:space="preserve"> </w:t>
      </w:r>
      <m:oMath>
        <m:r>
          <m:t>ε</m:t>
        </m:r>
      </m:oMath>
      <w:r>
        <w:t xml:space="preserve"> </w:t>
      </w:r>
      <w:r>
        <w:t xml:space="preserve">off individually and in factorial combination). The point-by-point comparison statistics for the partner-formation ablation are in §S7.1.</w:t>
      </w:r>
    </w:p>
    <w:p>
      <w:pPr>
        <w:pStyle w:val="BodyText"/>
      </w:pPr>
      <w: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t xml:space="preserve"> </w:t>
      </w:r>
      <w:r>
        <w:rPr>
          <w:i/>
          <w:iCs/>
        </w:rPr>
        <w:t xml:space="preserve">costly signaling</w:t>
      </w:r>
      <w:r>
        <w:t xml:space="preserve"> </w:t>
      </w:r>
      <w:r>
        <w:t xml:space="preserve">on this dimension. Rather, the cooperation-network component (</w:t>
      </w:r>
      <m:oMath>
        <m:sSub>
          <m:e>
            <m:r>
              <m:t>λ</m:t>
            </m:r>
          </m:e>
          <m:sub>
            <m:r>
              <m:t>X</m:t>
            </m:r>
          </m:sub>
        </m:sSub>
      </m:oMath>
      <w:r>
        <w:t xml:space="preserve">) produces the threshold, and the signal-conditional partner formation layered on top does not shift it further.</w:t>
      </w:r>
    </w:p>
    <w:p>
      <w:pPr>
        <w:pStyle w:val="BodyText"/>
      </w:pPr>
      <w:r>
        <w:t xml:space="preserve">The ablation result reported here does not resolve the discrepancy between these two findings. A different test makes the choice, the spatial-flow signature evaluated in §6.1, not by where the threshold lies.</w:t>
      </w:r>
    </w:p>
    <w:p>
      <w:pPr>
        <w:pStyle w:val="BodyText"/>
      </w:pPr>
      <w:r>
        <w:t xml:space="preserve">For completeness, we also report an earlier surrogate test that the framework used before the random-partner comparison. Setting the within-group reward parameter</w:t>
      </w:r>
      <w:r>
        <w:t xml:space="preserve"> </w:t>
      </w:r>
      <m:oMath>
        <m:sSub>
          <m:e>
            <m:r>
              <m:t>λ</m:t>
            </m:r>
          </m:e>
          <m:sub>
            <m:r>
              <m:t>W</m:t>
            </m:r>
          </m:sub>
        </m:sSub>
      </m:oMath>
      <w:r>
        <w:t xml:space="preserve"> </w:t>
      </w:r>
      <w:r>
        <w:t xml:space="preserve">to zero (i.e., removing the bonus that visibly cooperative bands receive, while leaving all network and ecotone effects intact) shifts the analytical threshold from</w:t>
      </w:r>
      <w:r>
        <w:t xml:space="preserve"> </w:t>
      </w:r>
      <m:oMath>
        <m:sSup>
          <m:e>
            <m:r>
              <m:t>σ</m:t>
            </m:r>
          </m:e>
          <m:sup>
            <m:r>
              <m:rPr>
                <m:sty m:val="p"/>
              </m:rPr>
              <m:t>*</m:t>
            </m:r>
          </m:sup>
        </m:sSup>
        <m:r>
          <m:rPr>
            <m:sty m:val="p"/>
          </m:rPr>
          <m:t>=</m:t>
        </m:r>
        <m:r>
          <m:t>0.400</m:t>
        </m:r>
      </m:oMath>
      <w:r>
        <w:t xml:space="preserve"> </w:t>
      </w:r>
      <w:r>
        <w:t xml:space="preserve">to</w:t>
      </w:r>
      <w:r>
        <w:t xml:space="preserve"> </w:t>
      </w:r>
      <m:oMath>
        <m:sSup>
          <m:e>
            <m:r>
              <m:t>σ</m:t>
            </m:r>
          </m:e>
          <m:sup>
            <m:r>
              <m:rPr>
                <m:sty m:val="p"/>
              </m:rPr>
              <m:t>*</m:t>
            </m:r>
          </m:sup>
        </m:sSup>
        <m:r>
          <m:rPr>
            <m:sty m:val="p"/>
          </m:rPr>
          <m:t>=</m:t>
        </m:r>
        <m:r>
          <m:t>0.543</m:t>
        </m:r>
      </m:oMath>
      <w:r>
        <w:t xml:space="preserve">, a 36% increase. Sweeping</w:t>
      </w:r>
      <w:r>
        <w:t xml:space="preserve"> </w:t>
      </w:r>
      <m:oMath>
        <m:sSub>
          <m:e>
            <m:r>
              <m:t>λ</m:t>
            </m:r>
          </m:e>
          <m:sub>
            <m:r>
              <m:t>W</m:t>
            </m:r>
          </m:sub>
        </m:sSub>
      </m:oMath>
      <w:r>
        <w:t xml:space="preserve"> </w:t>
      </w:r>
      <w:r>
        <w:t xml:space="preserve">across its plausible ethnographic range</w:t>
      </w:r>
      <w:r>
        <w:t xml:space="preserve"> </w:t>
      </w:r>
      <m:oMath>
        <m:r>
          <m:rPr>
            <m:sty m:val="p"/>
          </m:rPr>
          <m:t>[</m:t>
        </m:r>
        <m:r>
          <m:t>0.05</m:t>
        </m:r>
        <m:r>
          <m:rPr>
            <m:sty m:val="p"/>
          </m:rPr>
          <m:t>,</m:t>
        </m:r>
        <m:r>
          <m:t>0.30</m:t>
        </m:r>
        <m:r>
          <m:rPr>
            <m:sty m:val="p"/>
          </m:rPr>
          <m:t>]</m:t>
        </m:r>
      </m:oMath>
      <w:r>
        <w:t xml:space="preserve"> </w:t>
      </w:r>
      <w:r>
        <w:t xml:space="preserve">traces</w:t>
      </w:r>
      <w:r>
        <w:t xml:space="preserve"> </w:t>
      </w:r>
      <m:oMath>
        <m:sSup>
          <m:e>
            <m:r>
              <m:t>σ</m:t>
            </m:r>
          </m:e>
          <m:sup>
            <m:r>
              <m:rPr>
                <m:sty m:val="p"/>
              </m:rPr>
              <m:t>*</m:t>
            </m:r>
          </m:sup>
        </m:sSup>
      </m:oMath>
      <w:r>
        <w:t xml:space="preserve"> </w:t>
      </w:r>
      <w:r>
        <w:t xml:space="preserve">monotonically from 0.491 to 0.263 (the</w:t>
      </w:r>
      <w:r>
        <w:t xml:space="preserve"> </w:t>
      </w:r>
      <m:oMath>
        <m:sSub>
          <m:e>
            <m:r>
              <m:t>λ</m:t>
            </m:r>
          </m:e>
          <m:sub>
            <m:r>
              <m:t>W</m:t>
            </m:r>
          </m:sub>
        </m:sSub>
        <m:r>
          <m:rPr>
            <m:sty m:val="p"/>
          </m:rPr>
          <m:t>=</m:t>
        </m:r>
        <m:r>
          <m:t>0</m:t>
        </m:r>
      </m:oMath>
      <w:r>
        <w:t xml:space="preserve"> </w:t>
      </w:r>
      <w:r>
        <w:t xml:space="preserve">ablation endpoint is 0.543). This sensitivity indicates that</w:t>
      </w:r>
      <w:r>
        <w:t xml:space="preserve"> </w:t>
      </w:r>
      <m:oMath>
        <m:sSub>
          <m:e>
            <m:r>
              <m:t>λ</m:t>
            </m:r>
          </m:e>
          <m:sub>
            <m:r>
              <m:t>W</m:t>
            </m:r>
          </m:sub>
        </m:sSub>
      </m:oMath>
      <w:r>
        <w:t xml:space="preserve"> </w:t>
      </w:r>
      <w:r>
        <w:t xml:space="preserve">is not free to vary. Its value matters quantitatively in determining the threshold location. But the test does not isolate signaling from generic cooperation, because what is removed by setting</w:t>
      </w:r>
      <w:r>
        <w:t xml:space="preserve"> </w:t>
      </w:r>
      <m:oMath>
        <m:sSub>
          <m:e>
            <m:r>
              <m:t>λ</m:t>
            </m:r>
          </m:e>
          <m:sub>
            <m:r>
              <m:t>W</m:t>
            </m:r>
          </m:sub>
        </m:sSub>
        <m:r>
          <m:rPr>
            <m:sty m:val="p"/>
          </m:rPr>
          <m:t>=</m:t>
        </m:r>
        <m:r>
          <m:t>0</m:t>
        </m:r>
      </m:oMath>
      <w:r>
        <w:t xml:space="preserve"> </w:t>
      </w:r>
      <w: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t xml:space="preserve">The plausible-range claim for</w:t>
      </w:r>
      <w:r>
        <w:t xml:space="preserve"> </w:t>
      </w:r>
      <m:oMath>
        <m:sSub>
          <m:e>
            <m:r>
              <m:t>λ</m:t>
            </m:r>
          </m:e>
          <m:sub>
            <m:r>
              <m:t>W</m:t>
            </m:r>
          </m:sub>
        </m:sSub>
      </m:oMath>
      <w:r>
        <w:t xml:space="preserve"> </w:t>
      </w:r>
      <w: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t xml:space="preserve">‘hoansi (!Kung) record showing that good hunters’</w:t>
      </w:r>
      <w:r>
        <w:t xml:space="preserve"> </w:t>
      </w:r>
      <w: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t xml:space="preserve"> </w:t>
      </w:r>
      <m:oMath>
        <m:sSub>
          <m:e>
            <m:r>
              <m:t>λ</m:t>
            </m:r>
          </m:e>
          <m:sub>
            <m:r>
              <m:t>W</m:t>
            </m:r>
          </m:sub>
        </m:sSub>
      </m:oMath>
      <w:r>
        <w:t xml:space="preserve"> </w:t>
      </w:r>
      <w:r>
        <w:t xml:space="preserve">on the order of</w:t>
      </w:r>
      <w:r>
        <w:t xml:space="preserve"> </w:t>
      </w:r>
      <m:oMath>
        <m:r>
          <m:t>0.05</m:t>
        </m:r>
      </m:oMath>
      <w:r>
        <w:t xml:space="preserve">-</w:t>
      </w:r>
      <m:oMath>
        <m:r>
          <m:t>0.30</m:t>
        </m:r>
      </m:oMath>
      <w:r>
        <w:t xml:space="preserve">, with central values around</w:t>
      </w:r>
      <w:r>
        <w:t xml:space="preserve"> </w:t>
      </w:r>
      <m:oMath>
        <m:r>
          <m:t>0.10</m:t>
        </m:r>
      </m:oMath>
      <w:r>
        <w:t xml:space="preserve">-</w:t>
      </w:r>
      <m:oMath>
        <m:r>
          <m:t>0.20</m:t>
        </m:r>
      </m:oMath>
      <w:r>
        <w:t xml:space="preserve">. We do not claim that this analysis derives</w:t>
      </w:r>
      <w:r>
        <w:t xml:space="preserve"> </w:t>
      </w:r>
      <m:oMath>
        <m:sSub>
          <m:e>
            <m:r>
              <m:t>λ</m:t>
            </m:r>
          </m:e>
          <m:sub>
            <m:r>
              <m:t>W</m:t>
            </m:r>
          </m:sub>
        </m:sSub>
      </m:oMath>
      <w:r>
        <w:t xml:space="preserve"> </w:t>
      </w:r>
      <w:r>
        <w:t xml:space="preserve">from the data. It brackets a defensible range within which the asserted central value of 0.15 lies. The corresponding threshold sensitivity to</w:t>
      </w:r>
      <w:r>
        <w:t xml:space="preserve"> </w:t>
      </w:r>
      <m:oMath>
        <m:sSub>
          <m:e>
            <m:r>
              <m:t>λ</m:t>
            </m:r>
          </m:e>
          <m:sub>
            <m:r>
              <m:t>W</m:t>
            </m:r>
          </m:sub>
        </m:sSub>
      </m:oMath>
      <w:r>
        <w:t xml:space="preserve"> </w:t>
      </w:r>
      <w:r>
        <w:t xml:space="preserve">across this range is reported in §4.4.</w:t>
      </w:r>
    </w:p>
    <w:bookmarkEnd w:id="46"/>
    <w:bookmarkStart w:id="47" w:name="sensitivity"/>
    <w:p>
      <w:pPr>
        <w:pStyle w:val="Heading3"/>
      </w:pPr>
      <w:r>
        <w:t xml:space="preserve">4.4 Sensitivity</w:t>
      </w:r>
    </w:p>
    <w:p>
      <w:pPr>
        <w:pStyle w:val="FirstParagraph"/>
      </w:pPr>
      <w:r>
        <w:t xml:space="preserve">A one-at-a-time (OAT) sensitivity analysis varies each model parameter individually across a defined range while holding the other parameters at their default values. It records how much the critical threshold</w:t>
      </w:r>
      <w:r>
        <w:t xml:space="preserve"> </w:t>
      </w:r>
      <m:oMath>
        <m:sSup>
          <m:e>
            <m:r>
              <m:t>σ</m:t>
            </m:r>
          </m:e>
          <m:sup>
            <m:r>
              <m:rPr>
                <m:sty m:val="p"/>
              </m:rPr>
              <m:t>*</m:t>
            </m:r>
          </m:sup>
        </m:sSup>
      </m:oMath>
      <w:r>
        <w:t xml:space="preserve"> </w:t>
      </w:r>
      <w:r>
        <w:t xml:space="preserve">changes as a result. The resulting</w:t>
      </w:r>
      <w:r>
        <w:t xml:space="preserve"> </w:t>
      </w:r>
      <w:r>
        <w:rPr>
          <w:i/>
          <w:iCs/>
        </w:rPr>
        <w:t xml:space="preserve">swing</w:t>
      </w:r>
      <w:r>
        <w:t xml:space="preserve"> </w:t>
      </w:r>
      <w:r>
        <w:t xml:space="preserve">is the difference between the highest and lowest</w:t>
      </w:r>
      <w:r>
        <w:t xml:space="preserve"> </w:t>
      </w:r>
      <m:oMath>
        <m:sSup>
          <m:e>
            <m:r>
              <m:t>σ</m:t>
            </m:r>
          </m:e>
          <m:sup>
            <m:r>
              <m:rPr>
                <m:sty m:val="p"/>
              </m:rPr>
              <m:t>*</m:t>
            </m:r>
          </m:sup>
        </m:sSup>
      </m:oMath>
      <w:r>
        <w:t xml:space="preserve"> </w:t>
      </w:r>
      <w:r>
        <w:t xml:space="preserve">produced across the parameter’s tested range, and it measures how strongly that parameter influences the threshold. With baseline</w:t>
      </w:r>
      <w:r>
        <w:t xml:space="preserve"> </w:t>
      </w:r>
      <m:oMath>
        <m:sSup>
          <m:e>
            <m:r>
              <m:t>σ</m:t>
            </m:r>
          </m:e>
          <m:sup>
            <m:r>
              <m:rPr>
                <m:sty m:val="p"/>
              </m:rPr>
              <m:t>*</m:t>
            </m:r>
          </m:sup>
        </m:sSup>
        <m:r>
          <m:rPr>
            <m:sty m:val="p"/>
          </m:rPr>
          <m:t>≈</m:t>
        </m:r>
        <m:r>
          <m:t>0.40</m:t>
        </m:r>
      </m:oMath>
      <w:r>
        <w:t xml:space="preserve"> </w:t>
      </w:r>
      <w:r>
        <w:t xml:space="preserve">at PP-scenario parameters, a swing of 0.20 means the threshold can move by half its baseline value depending on the setting of that parameter alone. The full table is in Supplemental §S3.1.</w:t>
      </w:r>
    </w:p>
    <w:p>
      <w:pPr>
        <w:pStyle w:val="BodyText"/>
      </w:pPr>
      <w:r>
        <w:t xml:space="preserve">Four parameters produce large swings. A</w:t>
      </w:r>
      <w:r>
        <w:t xml:space="preserve"> </w:t>
      </w:r>
      <m:oMath>
        <m:r>
          <m:rPr>
            <m:sty m:val="p"/>
          </m:rPr>
          <m:t>±</m:t>
        </m:r>
        <m:r>
          <m:t>50</m:t>
        </m:r>
        <m:r>
          <m:rPr>
            <m:sty m:val="p"/>
          </m:rPr>
          <m:t>%</m:t>
        </m:r>
      </m:oMath>
      <w:r>
        <w:t xml:space="preserve"> </w:t>
      </w:r>
      <w:r>
        <w:t xml:space="preserve">perturbation of the signaling-investment cost</w:t>
      </w:r>
      <w:r>
        <w:t xml:space="preserve"> </w:t>
      </w:r>
      <m:oMath>
        <m:sSub>
          <m:e>
            <m:r>
              <m:t>C</m:t>
            </m:r>
          </m:e>
          <m:sub>
            <m:r>
              <m:t>s</m:t>
            </m:r>
            <m:r>
              <m:t>i</m:t>
            </m:r>
            <m:r>
              <m:t>g</m:t>
            </m:r>
            <m:r>
              <m:t>n</m:t>
            </m:r>
            <m:r>
              <m:t>a</m:t>
            </m:r>
            <m:r>
              <m:t>l</m:t>
            </m:r>
          </m:sub>
        </m:sSub>
      </m:oMath>
      <w:r>
        <w:t xml:space="preserve"> </w:t>
      </w:r>
      <w:r>
        <w:t xml:space="preserve">moves</w:t>
      </w:r>
      <w:r>
        <w:t xml:space="preserve"> </w:t>
      </w:r>
      <m:oMath>
        <m:sSup>
          <m:e>
            <m:r>
              <m:t>σ</m:t>
            </m:r>
          </m:e>
          <m:sup>
            <m:r>
              <m:rPr>
                <m:sty m:val="p"/>
              </m:rPr>
              <m:t>*</m:t>
            </m:r>
          </m:sup>
        </m:sSup>
      </m:oMath>
      <w:r>
        <w:t xml:space="preserve"> </w:t>
      </w:r>
      <w:r>
        <w:t xml:space="preserve">by 0.225, the largest swing in the model. The ecotone advantage</w:t>
      </w:r>
      <w:r>
        <w:t xml:space="preserve"> </w:t>
      </w:r>
      <m:oMath>
        <m:r>
          <m:t>ε</m:t>
        </m:r>
      </m:oMath>
      <w:r>
        <w:t xml:space="preserve"> </w:t>
      </w:r>
      <w:r>
        <w:t xml:space="preserve">contributes 0.154 across its full plausible range</w:t>
      </w:r>
      <w:r>
        <w:t xml:space="preserve"> </w:t>
      </w:r>
      <m:oMath>
        <m:r>
          <m:rPr>
            <m:sty m:val="p"/>
          </m:rPr>
          <m:t>[</m:t>
        </m:r>
        <m:r>
          <m:t>0.10</m:t>
        </m:r>
        <m:r>
          <m:rPr>
            <m:sty m:val="p"/>
          </m:rPr>
          <m:t>,</m:t>
        </m:r>
        <m:r>
          <m:t>0.50</m:t>
        </m:r>
        <m:r>
          <m:rPr>
            <m:sty m:val="p"/>
          </m:rPr>
          <m:t>]</m:t>
        </m:r>
      </m:oMath>
      <w:r>
        <w:t xml:space="preserve">, followed closely by the opportunity cost</w:t>
      </w:r>
      <w:r>
        <w:t xml:space="preserve"> </w:t>
      </w:r>
      <m:oMath>
        <m:sSub>
          <m:e>
            <m:r>
              <m:t>C</m:t>
            </m:r>
          </m:e>
          <m:sub>
            <m:r>
              <m:t>o</m:t>
            </m:r>
            <m:r>
              <m:t>p</m:t>
            </m:r>
            <m:r>
              <m:t>p</m:t>
            </m:r>
            <m:r>
              <m:t>o</m:t>
            </m:r>
            <m:r>
              <m:t>r</m:t>
            </m:r>
            <m:r>
              <m:t>t</m:t>
            </m:r>
            <m:r>
              <m:t>u</m:t>
            </m:r>
            <m:r>
              <m:t>n</m:t>
            </m:r>
            <m:r>
              <m:t>i</m:t>
            </m:r>
            <m:r>
              <m:t>t</m:t>
            </m:r>
            <m:r>
              <m:t>y</m:t>
            </m:r>
          </m:sub>
        </m:sSub>
      </m:oMath>
      <w:r>
        <w:t xml:space="preserve"> </w:t>
      </w:r>
      <w:r>
        <w:t xml:space="preserve">at 0.150 and the within-group signaling reward</w:t>
      </w:r>
      <w:r>
        <w:t xml:space="preserve"> </w:t>
      </w:r>
      <m:oMath>
        <m:sSub>
          <m:e>
            <m:r>
              <m:t>λ</m:t>
            </m:r>
          </m:e>
          <m:sub>
            <m:r>
              <m:t>W</m:t>
            </m:r>
          </m:sub>
        </m:sSub>
      </m:oMath>
      <w:r>
        <w:t xml:space="preserve"> </w:t>
      </w:r>
      <w:r>
        <w:t xml:space="preserve">at 0.137 (both across</w:t>
      </w:r>
      <w:r>
        <w:t xml:space="preserve"> </w:t>
      </w:r>
      <m:oMath>
        <m:r>
          <m:rPr>
            <m:sty m:val="p"/>
          </m:rPr>
          <m:t>±</m:t>
        </m:r>
        <m:r>
          <m:t>50</m:t>
        </m:r>
        <m:r>
          <m:rPr>
            <m:sty m:val="p"/>
          </m:rPr>
          <m:t>%</m:t>
        </m:r>
      </m:oMath>
      <w:r>
        <w:t xml:space="preserve">). The network parameters (</w:t>
      </w:r>
      <m:oMath>
        <m:sSub>
          <m:e>
            <m:r>
              <m:t>k</m:t>
            </m:r>
          </m:e>
          <m:sub>
            <m:r>
              <m:rPr>
                <m:sty m:val="p"/>
              </m:rPr>
              <m:t>max</m:t>
            </m:r>
          </m:sub>
        </m:sSub>
      </m:oMath>
      <w:r>
        <w:t xml:space="preserve">,</w:t>
      </w:r>
      <w:r>
        <w:t xml:space="preserve"> </w:t>
      </w:r>
      <m:oMath>
        <m:r>
          <m:t>γ</m:t>
        </m:r>
      </m:oMath>
      <w:r>
        <w:t xml:space="preserve">) and travel-cost coefficient produce moderate swings. Three parameters leave the threshold essentially unchanged: monument depreciation (</w:t>
      </w:r>
      <m:oMath>
        <m:r>
          <m:t>δ</m:t>
        </m:r>
      </m:oMath>
      <w:r>
        <w:t xml:space="preserve">), the half-saturation constant (</w:t>
      </w:r>
      <m:oMath>
        <m:sSub>
          <m:e>
            <m:r>
              <m:t>M</m:t>
            </m:r>
          </m:e>
          <m:sub>
            <m:r>
              <m:t>h</m:t>
            </m:r>
            <m:r>
              <m:t>a</m:t>
            </m:r>
            <m:r>
              <m:t>l</m:t>
            </m:r>
            <m:r>
              <m:t>f</m:t>
            </m:r>
          </m:sub>
        </m:sSub>
      </m:oMath>
      <w:r>
        <w:t xml:space="preserve">), and aggregation size (</w:t>
      </w:r>
      <m:oMath>
        <m:sSub>
          <m:e>
            <m:r>
              <m:t>n</m:t>
            </m:r>
          </m:e>
          <m:sub>
            <m:r>
              <m:t>a</m:t>
            </m:r>
            <m:r>
              <m:t>g</m:t>
            </m:r>
            <m:r>
              <m:t>g</m:t>
            </m:r>
          </m:sub>
        </m:sSub>
      </m:oMath>
      <w:r>
        <w:t xml:space="preserve"> </w:t>
      </w:r>
      <w:r>
        <w:t xml:space="preserve">over the plausible range</w:t>
      </w:r>
      <w:r>
        <w:t xml:space="preserve"> </w:t>
      </w:r>
      <m:oMath>
        <m:r>
          <m:t>5</m:t>
        </m:r>
        <m:r>
          <m:rPr>
            <m:sty m:val="p"/>
          </m:rPr>
          <m:t>≤</m:t>
        </m:r>
        <m:sSub>
          <m:e>
            <m:r>
              <m:t>n</m:t>
            </m:r>
          </m:e>
          <m:sub>
            <m:r>
              <m:t>a</m:t>
            </m:r>
            <m:r>
              <m:t>g</m:t>
            </m:r>
            <m:r>
              <m:t>g</m:t>
            </m:r>
          </m:sub>
        </m:sSub>
        <m:r>
          <m:rPr>
            <m:sty m:val="p"/>
          </m:rPr>
          <m:t>≤</m:t>
        </m:r>
        <m:r>
          <m:t>50</m:t>
        </m:r>
      </m:oMath>
      <w:r>
        <w:t xml:space="preserve">) show swings below 0.02. The cooperation-network component parameters</w:t>
      </w:r>
      <w:r>
        <w:t xml:space="preserve"> </w:t>
      </w:r>
      <m:oMath>
        <m:sSub>
          <m:e>
            <m:r>
              <m:t>λ</m:t>
            </m:r>
          </m:e>
          <m:sub>
            <m:r>
              <m:t>C</m:t>
            </m:r>
          </m:sub>
        </m:sSub>
      </m:oMath>
      <w:r>
        <w:t xml:space="preserve"> </w:t>
      </w:r>
      <w:r>
        <w:t xml:space="preserve">and</w:t>
      </w:r>
      <w:r>
        <w:t xml:space="preserve"> </w:t>
      </w:r>
      <m:oMath>
        <m:sSub>
          <m:e>
            <m:r>
              <m:t>λ</m:t>
            </m:r>
          </m:e>
          <m:sub>
            <m:r>
              <m:t>X</m:t>
            </m:r>
          </m:sub>
        </m:sSub>
      </m:oMath>
      <w:r>
        <w:t xml:space="preserve"> </w:t>
      </w:r>
      <w: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t xml:space="preserve">The substantive implication is that the threshold’s location is set primarily by aggregation costs (</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 and by ecotone access (</w:t>
      </w:r>
      <m:oMath>
        <m:r>
          <m:t>ε</m:t>
        </m:r>
      </m:oMath>
      <w:r>
        <w:t xml:space="preserve">). The within-group signaling reward</w:t>
      </w:r>
      <w:r>
        <w:t xml:space="preserve"> </w:t>
      </w:r>
      <m:oMath>
        <m:sSub>
          <m:e>
            <m:r>
              <m:t>λ</m:t>
            </m:r>
          </m:e>
          <m:sub>
            <m:r>
              <m:t>W</m:t>
            </m:r>
          </m:sub>
        </m:sSub>
      </m:oMath>
      <w:r>
        <w:t xml:space="preserve"> </w:t>
      </w:r>
      <w: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t xml:space="preserve">5. The Lower Mississippi Valley Late Archaic record</w:t>
      </w:r>
    </w:p>
    <w:p>
      <w:pPr>
        <w:pStyle w:val="FirstParagraph"/>
      </w:pPr>
      <w: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t xml:space="preserve">5.1 Site inventory</w:t>
      </w:r>
    </w:p>
    <w:p>
      <w:pPr>
        <w:pStyle w:val="FirstParagraph"/>
      </w:pPr>
      <w: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b/>
          <w:bCs/>
        </w:rPr>
        <w:t xml:space="preserve">Table 1.</w:t>
      </w:r>
      <w:r>
        <w:t xml:space="preserve"> </w:t>
      </w:r>
      <w:r>
        <w:rPr>
          <w:i/>
          <w:iCs/>
        </w:rPr>
        <w:t xml:space="preserve">The eleven LMV sites. Coordinates are decimal degrees (NAD83), derived from the source UTM coordinates in data/site utms.xlsx (zone 15N for interior LA/MS sites; zone 16N for the coastal MS pair).</w:t>
      </w:r>
      <w:r>
        <w:rPr>
          <w:i/>
          <w:iCs/>
        </w:rPr>
        <w:t xml:space="preserve"> </w:t>
      </w:r>
      <w:r>
        <w:rPr>
          <w:i/>
          <w:iCs/>
        </w:rPr>
        <w:t xml:space="preserve">“Period”</w:t>
      </w:r>
      <w:r>
        <w:rPr>
          <w:i/>
          <w:iCs/>
        </w:rPr>
        <w:t xml:space="preserve"> </w:t>
      </w:r>
      <w:r>
        <w:rPr>
          <w:i/>
          <w:iCs/>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32.6362 / -91.4089</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32.6175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32.4475 / -92.0978</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32.5530 / -92.1100</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31.8500 / -91.6700</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32.0833 / -91.6750</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31.6800 / -91.6500</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J.W. Copes (16MA47)</w:t>
            </w:r>
          </w:p>
        </w:tc>
        <w:tc>
          <w:tcPr/>
          <w:p>
            <w:pPr>
              <w:pStyle w:val="Compact"/>
              <w:jc w:val="right"/>
            </w:pPr>
            <w:r>
              <w:t xml:space="preserve">Madison, LA</w:t>
            </w:r>
          </w:p>
        </w:tc>
        <w:tc>
          <w:tcPr/>
          <w:p>
            <w:pPr>
              <w:pStyle w:val="Compact"/>
              <w:jc w:val="center"/>
            </w:pPr>
            <w:r>
              <w:t xml:space="preserve">32.4500 / -91.1500</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33.1789 / -90.4561</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30.3097 / -89.5933</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30.3083 / -89.5919</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b/>
          <w:bCs/>
        </w:rPr>
        <w:t xml:space="preserve">Lower Jackson</w:t>
      </w:r>
      <w:r>
        <w:t xml:space="preserve"> </w:t>
      </w:r>
      <w:r>
        <w:t xml:space="preserve">(16WC10), approximately 3 km south of the Poverty Point earthworks on Macon Ridge, is a single isolated mound (Saunders et al. 2001). The conventional Middle Archaic assignment rests on a single submound charcoal date that appears to be a multi-entity sample, and both Middle Archaic and Poverty Point-period artifacts have been recovered in the immediate area. Kidder and Grooms (2024) apply chronological hygiene criteria that would reject the submound date as a reliable</w:t>
      </w:r>
      <w:r>
        <w:t xml:space="preserve"> </w:t>
      </w:r>
      <w:r>
        <w:rPr>
          <w:i/>
          <w:iCs/>
        </w:rPr>
        <w:t xml:space="preserve">terminus post quem</w:t>
      </w:r>
      <w:r>
        <w:t xml:space="preserve"> </w:t>
      </w:r>
      <w: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t xml:space="preserve"> </w:t>
      </w:r>
      <w:r>
        <w:t xml:space="preserve">access alone is insufficient for large-scale monument accumulation. The same point is made independently by Insley and J.W. Copes (which sit in the high-</w:t>
      </w:r>
      <m:oMath>
        <m:r>
          <m:t>ε</m:t>
        </m:r>
      </m:oMath>
      <w:r>
        <w:t xml:space="preserve"> </w:t>
      </w:r>
      <w: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b/>
          <w:bCs/>
        </w:rPr>
        <w:t xml:space="preserve">Watson Brake</w:t>
      </w:r>
      <w:r>
        <w:t xml:space="preserve"> </w:t>
      </w:r>
      <w:r>
        <w:t xml:space="preserve">(16OU175) sits on a Pleistocene terrace overlooking an unnamed intermittent stream that flows from Watson Brake into the Ouachita River, in Ouachita Parish (Saunders et al. 2005b). The deposit’s 11 mounds and connecting ridges encompass approximately 6 ha of constructed earthwork. We estimate the constructed earthwork volume by per-mound polygon integration using Lidar data available from the State of Louisiana.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t xml:space="preserve"> </w:t>
      </w:r>
      <w:r>
        <w:rPr>
          <w:b/>
          <w:bCs/>
        </w:rPr>
        <w:t xml:space="preserve">27,065 m³</w:t>
      </w:r>
      <w: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2005b). WB is the framework’s most demanding internal test. Its near-threshold treatment is in §6.3.</w:t>
      </w:r>
    </w:p>
    <w:p>
      <w:pPr>
        <w:pStyle w:val="BodyText"/>
      </w:pPr>
      <w:r>
        <w:rPr>
          <w:b/>
          <w:bCs/>
        </w:rPr>
        <w:t xml:space="preserve">Frenchman’s Bend</w:t>
      </w:r>
      <w:r>
        <w:t xml:space="preserve"> </w:t>
      </w:r>
      <w:r>
        <w:t xml:space="preserve">(16OU259), in Ouachita Parish, is a smaller Middle Archaic mound complex on a Pleistocene terrace adjacent to Bayou Desiard, a tributary of the Ouachita (Saunders et al. 1994, 2009). The site comprises five low mounds with limited associated evidence of residential activity.</w:t>
      </w:r>
    </w:p>
    <w:p>
      <w:pPr>
        <w:pStyle w:val="BodyText"/>
      </w:pPr>
      <w:r>
        <w:rPr>
          <w:b/>
          <w:bCs/>
        </w:rPr>
        <w:t xml:space="preserve">Caney</w:t>
      </w:r>
      <w:r>
        <w:t xml:space="preserve"> </w:t>
      </w:r>
      <w: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summarizing Saunders et al. 2000). For the §6.4 / Table 2 screening, we treat Caney as a multi-period mound complex whose latest substantial construction is broadly Poverty Point-Tchefuncte, comparable in scale to roughly 1-2</w:t>
      </w:r>
      <m:oMath>
        <m:r>
          <m:rPr>
            <m:sty m:val="p"/>
          </m:rPr>
          <m:t>×</m:t>
        </m:r>
      </m:oMath>
      <w:r>
        <w:t xml:space="preserve"> </w:t>
      </w:r>
      <w:r>
        <w:t xml:space="preserve">Watson Brake’s individual mounds. The screening test on Caney is therefore a comparison of its catchment</w:t>
      </w:r>
      <w:r>
        <w:t xml:space="preserve"> </w:t>
      </w:r>
      <m:oMath>
        <m:r>
          <m:t>ε</m:t>
        </m:r>
      </m:oMath>
      <w:r>
        <w:t xml:space="preserve"> </w:t>
      </w:r>
      <w:r>
        <w:t xml:space="preserve">against the Late Archaic monument-builder distribution. If the bulk of construction is in fact Middle Archaic, Caney’s catchment</w:t>
      </w:r>
      <w:r>
        <w:t xml:space="preserve"> </w:t>
      </w:r>
      <m:oMath>
        <m:r>
          <m:t>ε</m:t>
        </m:r>
      </m:oMath>
      <w:r>
        <w:t xml:space="preserve"> </w:t>
      </w:r>
      <w: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t xml:space="preserve"> </w:t>
      </w:r>
      <w:r>
        <w:t xml:space="preserve">band on either reading.</w:t>
      </w:r>
    </w:p>
    <w:p>
      <w:pPr>
        <w:pStyle w:val="BodyText"/>
      </w:pPr>
      <w:r>
        <w:rPr>
          <w:b/>
          <w:bCs/>
        </w:rPr>
        <w:t xml:space="preserve">Insley</w:t>
      </w:r>
      <w:r>
        <w:t xml:space="preserve"> </w:t>
      </w:r>
      <w:r>
        <w:t xml:space="preserve">(16FR3) in Franklin Parish was originally assigned to the Middle Archaic based on its mound arrangement (Sassaman and Heckenberger 2004),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does contain exotic material, though in small quantities, and lacks the large-scale residential occupation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b/>
          <w:bCs/>
        </w:rPr>
        <w:t xml:space="preserve">Cowpen Slough</w:t>
      </w:r>
      <w:r>
        <w:t xml:space="preserve"> </w:t>
      </w:r>
      <w: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b/>
          <w:bCs/>
        </w:rPr>
        <w:t xml:space="preserve">J.W. Copes</w:t>
      </w:r>
      <w:r>
        <w:t xml:space="preserve"> </w:t>
      </w:r>
      <w:r>
        <w:t xml:space="preserve">(16MA47) in Madison Parish, on Brimberry Brake near Joe’s Bayou, is a small PP-period habitation site described by Jackson (1982, 1986, 1989) as a satellite to the Poverty Point regional system. Jackson (1982:73,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exotic material extends well beyond the single galena cube usually cited. Copes yielded one of the larger documented hinterland Poverty Point assemblages (4,031 artifacts), including nonlocal chipped stone such as novaculite alongside the galena, in quantities far below the type-site totals (Gibson and Griffing 1994:223; Jackson 1982:84; cf. Walthall et al. 1982). Participation in the long-distance exchange network therefore reached well beyond the Poverty Point type site.</w:t>
      </w:r>
    </w:p>
    <w:p>
      <w:pPr>
        <w:pStyle w:val="BodyText"/>
      </w:pPr>
      <w:r>
        <w:rPr>
          <w:b/>
          <w:bCs/>
        </w:rPr>
        <w:t xml:space="preserve">Jaketown</w:t>
      </w:r>
      <w:r>
        <w:t xml:space="preserve"> </w:t>
      </w:r>
      <w: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Poverty Point-period traits appear at Jaketown more than 400 years before they appear at the type site. Those traits therefore cannot have radiated outward from Poverty Point, and Poverty Point is not the terminal point of a single down-the-line diffusion chain. The pattern instead supports a convergence reading, in which PP-period traits developed across several regional centers (Jaketown among the earliest) and later concentrated at Poverty Point (Grooms et al. 2023).</w:t>
      </w:r>
    </w:p>
    <w:p>
      <w:pPr>
        <w:pStyle w:val="BodyText"/>
      </w:pPr>
      <w:r>
        <w:rPr>
          <w:b/>
          <w:bCs/>
        </w:rPr>
        <w:t xml:space="preserve">Claiborne</w:t>
      </w:r>
      <w:r>
        <w:t xml:space="preserve"> </w:t>
      </w:r>
      <w:r>
        <w:t xml:space="preserve">(22HA501) and</w:t>
      </w:r>
      <w:r>
        <w:t xml:space="preserve"> </w:t>
      </w:r>
      <w:r>
        <w:rPr>
          <w:b/>
          <w:bCs/>
        </w:rPr>
        <w:t xml:space="preserve">Cedarland</w:t>
      </w:r>
      <w:r>
        <w:t xml:space="preserve"> </w:t>
      </w:r>
      <w: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The broader Pearl River coast reinforces this reading, and it must be stated carefully because the relevant site is morphologically Poverty Point-like. The nearby Jackson Landing site pairs a platform mound with a 460 m semicircular earthen enclosure, but that construction dates to the early Late Woodland (ca. AD 400-700), roughly 1,500 years after the Poverty Point period, and overlies the buried Late Archaic ground surface rather than being built during it. The site’s Poverty Point-period presence is only a minor Late Archaic Pearl River-phase component (ca. 3000-1200 BC) with a perforated Poverty Point object and soapstone, not monumental architecture (Boudreaux 2015). Two points follow. The coast participated in the Poverty Point-period exchange sphere without building monuments at that time. And because the same coastal setting did support a semicircular-earthwork center later, the Poverty Point-period absence of coastal monuments cannot reflect a permanent ecological veto. It reflects the absence, during the Poverty Point window, of the sustained aggregation that produces monumentality, consistent with the necessity-but-not-sufficiency reading developed in §6.6 rather than a low-</w:t>
      </w:r>
      <m:oMath>
        <m:r>
          <m:t>ε</m:t>
        </m:r>
      </m:oMath>
      <w:r>
        <w:t xml:space="preserve"> </w:t>
      </w:r>
      <w:r>
        <w:t xml:space="preserve">exclusion. The coastal pair is the framework’s natural negative case in the LMV: coastal sites that participated in the Poverty Point exchange network yet did not become monumental during the Poverty Point period. If the screening claim is correct, they should sit at the low end of the interior</w:t>
      </w:r>
      <w:r>
        <w:t xml:space="preserve"> </w:t>
      </w:r>
      <m:oMath>
        <m:r>
          <m:t>ε</m:t>
        </m:r>
      </m:oMath>
      <w:r>
        <w:t xml:space="preserve"> </w:t>
      </w:r>
      <w:r>
        <w:t xml:space="preserve">and resource-diversity ranking; §6.4 reports that they do, though by smaller margins than a clean coastal-versus-interior split would imply.</w:t>
      </w:r>
    </w:p>
    <w:bookmarkEnd w:id="49"/>
    <w:bookmarkStart w:id="53" w:name="chronology"/>
    <w:p>
      <w:pPr>
        <w:pStyle w:val="Heading3"/>
      </w:pPr>
      <w:r>
        <w:t xml:space="preserve">5.2 Chronology</w:t>
      </w:r>
    </w:p>
    <w:p>
      <w:pPr>
        <w:pStyle w:val="FirstParagraph"/>
      </w:pPr>
      <w: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2005b).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drawing>
          <wp:inline>
            <wp:extent cx="5943600" cy="4330109"/>
            <wp:effectExtent b="0" l="0" r="0" t="0"/>
            <wp:docPr descr="" title="" id="51" name="Picture"/>
            <a:graphic>
              <a:graphicData uri="http://schemas.openxmlformats.org/drawingml/2006/picture">
                <pic:pic>
                  <pic:nvPicPr>
                    <pic:cNvPr descr="../../figures/manuscript/figure_10_regional_chronology.png" id="52" name="Picture"/>
                    <pic:cNvPicPr>
                      <a:picLocks noChangeArrowheads="1" noChangeAspect="1"/>
                    </pic:cNvPicPr>
                  </pic:nvPicPr>
                  <pic:blipFill>
                    <a:blip r:embed="rId50"/>
                    <a:stretch>
                      <a:fillRect/>
                    </a:stretch>
                  </pic:blipFill>
                  <pic:spPr bwMode="auto">
                    <a:xfrm>
                      <a:off x="0" y="0"/>
                      <a:ext cx="5943600" cy="4330109"/>
                    </a:xfrm>
                    <a:prstGeom prst="rect">
                      <a:avLst/>
                    </a:prstGeom>
                    <a:noFill/>
                    <a:ln w="9525">
                      <a:noFill/>
                      <a:headEnd/>
                      <a:tailEnd/>
                    </a:ln>
                  </pic:spPr>
                </pic:pic>
              </a:graphicData>
            </a:graphic>
          </wp:inline>
        </w:drawing>
      </w:r>
    </w:p>
    <w:p>
      <w:pPr>
        <w:pStyle w:val="BodyText"/>
      </w:pPr>
      <w:r>
        <w:rPr>
          <w:b/>
          <w:bCs/>
          <w:i/>
          <w:iCs/>
        </w:rPr>
        <w:t xml:space="preserve">Figure 10. Regional chronological synthesis.</w:t>
      </w:r>
      <w:r>
        <w:t xml:space="preserve"> </w:t>
      </w:r>
      <w:r>
        <w:rPr>
          <w:i/>
          <w:iCs/>
        </w:rPr>
        <w:t xml:space="preserve">(A) Full timeline showing Frenchman’s Bend (5600-5320 BP reliable cluster shown as solid purple band, with lighter extension to older large-SD dates (Saunders et al. 1994, 2009), Lower Jackson (single isolated mound at ~5500 cal BP shown as gray diamond with</w:t>
      </w:r>
      <w:r>
        <w:t xml:space="preserve"> </w:t>
      </w:r>
      <m:oMath>
        <m:r>
          <m:rPr>
            <m:sty m:val="p"/>
          </m:rPr>
          <m:t>±</m:t>
        </m:r>
        <m:r>
          <m:t>150</m:t>
        </m:r>
      </m:oMath>
      <w:r>
        <w:t xml:space="preserve"> </w:t>
      </w:r>
      <w:r>
        <w:rPr>
          <w:i/>
          <w:iCs/>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t xml:space="preserve"> </w:t>
      </w:r>
      <w:r>
        <w:t xml:space="preserve">in situ</w:t>
      </w:r>
      <w:r>
        <w:t xml:space="preserve"> </w:t>
      </w:r>
      <w:r>
        <w:rPr>
          <w:i/>
          <w:iCs/>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2005b, 2009).</w:t>
      </w:r>
    </w:p>
    <w:bookmarkEnd w:id="53"/>
    <w:bookmarkStart w:id="54" w:name="construction-tempo"/>
    <w:p>
      <w:pPr>
        <w:pStyle w:val="Heading3"/>
      </w:pPr>
      <w:r>
        <w:t xml:space="preserve">5.3 Construction tempo</w:t>
      </w:r>
    </w:p>
    <w:p>
      <w:pPr>
        <w:pStyle w:val="FirstParagraph"/>
      </w:pPr>
      <w: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2005b).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t xml:space="preserve">5.4 Exotic-goods inventory</w:t>
      </w:r>
    </w:p>
    <w:p>
      <w:pPr>
        <w:pStyle w:val="FirstParagraph"/>
      </w:pPr>
      <w: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t xml:space="preserve">5.5 Paleoclimate</w:t>
      </w:r>
    </w:p>
    <w:p>
      <w:pPr>
        <w:pStyle w:val="FirstParagraph"/>
      </w:pPr>
      <w:r>
        <w:t xml:space="preserve">The Late Holocene LMV climate is documented through several proxy systems, none of which is specifically an LMV-interior hydroclimate reconstruction at the resolution the framework’s</w:t>
      </w:r>
      <w:r>
        <w:t xml:space="preserve"> </w:t>
      </w:r>
      <m:oMath>
        <m:r>
          <m:t>σ</m:t>
        </m:r>
      </m:oMath>
      <w:r>
        <w:t xml:space="preserve"> </w:t>
      </w:r>
      <w: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t xml:space="preserve"> </w:t>
      </w:r>
      <m:oMath>
        <m:r>
          <m:t>σ</m:t>
        </m:r>
      </m:oMath>
      <w:r>
        <w:t xml:space="preserve"> </w:t>
      </w:r>
      <w:r>
        <w:t xml:space="preserve">derivation as an upper bound on the hurricane-driven component. Combining drought and hurricane recurrence, we estimate a shortfall frequency of ~10 years and magnitude of ~0.45, yielding</w:t>
      </w:r>
      <w:r>
        <w:t xml:space="preserve"> </w:t>
      </w:r>
      <m:oMath>
        <m:sSub>
          <m:e>
            <m:r>
              <m:t>σ</m:t>
            </m:r>
          </m:e>
          <m:sub>
            <m:r>
              <m:t>L</m:t>
            </m:r>
            <m:r>
              <m:t>M</m:t>
            </m:r>
            <m:r>
              <m:t>V</m:t>
            </m:r>
          </m:sub>
        </m:sSub>
        <m:r>
          <m:rPr>
            <m:sty m:val="p"/>
          </m:rPr>
          <m:t>≈</m:t>
        </m:r>
        <m:r>
          <m:t>0.64</m:t>
        </m:r>
      </m:oMath>
      <w:r>
        <w:t xml:space="preserve"> </w:t>
      </w:r>
      <w:r>
        <w:t xml:space="preserve">(95% CI 0.41-0.94) under the composite-uncertainty index defined in §3 (full derivation in §S1.4). The 95% CI on</w:t>
      </w:r>
      <w:r>
        <w:t xml:space="preserve"> </w:t>
      </w:r>
      <m:oMath>
        <m:sSub>
          <m:e>
            <m:r>
              <m:t>σ</m:t>
            </m:r>
          </m:e>
          <m:sub>
            <m:r>
              <m:t>L</m:t>
            </m:r>
            <m:r>
              <m:t>M</m:t>
            </m:r>
            <m:r>
              <m:t>V</m:t>
            </m:r>
          </m:sub>
        </m:sSub>
      </m:oMath>
      <w:r>
        <w:t xml:space="preserve"> </w:t>
      </w:r>
      <w:r>
        <w:t xml:space="preserve">reflects three sources of uncertainty (decomposed in §6.2 and §S15): proxy magnitude uncertainty (the</w:t>
      </w:r>
      <w:r>
        <w:t xml:space="preserve"> </w:t>
      </w:r>
      <m:oMath>
        <m:r>
          <m:t>m</m:t>
        </m:r>
      </m:oMath>
      <w:r>
        <w:t xml:space="preserve"> </w:t>
      </w:r>
      <w:r>
        <w:t xml:space="preserve">parameter,</w:t>
      </w:r>
      <w:r>
        <w:t xml:space="preserve"> </w:t>
      </w:r>
      <m:oMath>
        <m:r>
          <m:rPr>
            <m:sty m:val="p"/>
          </m:rPr>
          <m:t>∼</m:t>
        </m:r>
        <m:r>
          <m:rPr>
            <m:sty m:val="p"/>
          </m:rPr>
          <m:t>±</m:t>
        </m:r>
        <m:r>
          <m:t>30</m:t>
        </m:r>
        <m:r>
          <m:rPr>
            <m:sty m:val="p"/>
          </m:rPr>
          <m:t>%</m:t>
        </m:r>
      </m:oMath>
      <w:r>
        <w:t xml:space="preserve"> </w:t>
      </w:r>
      <w:r>
        <w:t xml:space="preserve">on the cited proxies), proxy frequency uncertainty (the</w:t>
      </w:r>
      <w:r>
        <w:t xml:space="preserve"> </w:t>
      </w:r>
      <m:oMath>
        <m:r>
          <m:t>T</m:t>
        </m:r>
      </m:oMath>
      <w:r>
        <w:t xml:space="preserve"> </w:t>
      </w:r>
      <w:r>
        <w:t xml:space="preserve">parameter,</w:t>
      </w:r>
      <w:r>
        <w:t xml:space="preserve"> </w:t>
      </w:r>
      <m:oMath>
        <m:r>
          <m:rPr>
            <m:sty m:val="p"/>
          </m:rPr>
          <m:t>∼</m:t>
        </m:r>
        <m:r>
          <m:rPr>
            <m:sty m:val="p"/>
          </m:rPr>
          <m:t>±</m:t>
        </m:r>
        <m:r>
          <m:t>30</m:t>
        </m:r>
        <m:r>
          <m:rPr>
            <m:sty m:val="p"/>
          </m:rPr>
          <m:t>%</m:t>
        </m:r>
      </m:oMath>
      <w:r>
        <w:t xml:space="preserve"> </w:t>
      </w:r>
      <w:r>
        <w:t xml:space="preserve">from cross-dating of paleotempestology events), and paleo-archaeological cross-dating error between the proxy chronologies and the archaeological active interval (</w:t>
      </w:r>
      <m:oMath>
        <m:r>
          <m:rPr>
            <m:sty m:val="p"/>
          </m:rPr>
          <m:t>∼</m:t>
        </m:r>
        <m:r>
          <m:rPr>
            <m:sty m:val="p"/>
          </m:rPr>
          <m:t>±</m:t>
        </m:r>
        <m:r>
          <m:t>50</m:t>
        </m:r>
      </m:oMath>
      <w:r>
        <w:t xml:space="preserve">-</w:t>
      </w:r>
      <m:oMath>
        <m:r>
          <m:t>100</m:t>
        </m:r>
      </m:oMath>
      <w:r>
        <w:t xml:space="preserve"> </w:t>
      </w:r>
      <w:r>
        <w:t xml:space="preserve">yr per proxy, propagating to</w:t>
      </w:r>
      <w:r>
        <w:t xml:space="preserve"> </w:t>
      </w:r>
      <m:oMath>
        <m:r>
          <m:rPr>
            <m:sty m:val="p"/>
          </m:rPr>
          <m:t>∼</m:t>
        </m:r>
        <m:r>
          <m:rPr>
            <m:sty m:val="p"/>
          </m:rPr>
          <m:t>±</m:t>
        </m:r>
        <m:r>
          <m:t>10</m:t>
        </m:r>
        <m:r>
          <m:rPr>
            <m:sty m:val="p"/>
          </m:rPr>
          <m:t>%</m:t>
        </m:r>
      </m:oMath>
      <w:r>
        <w:t xml:space="preserve"> </w:t>
      </w:r>
      <w:r>
        <w:t xml:space="preserve">on the integrated</w:t>
      </w:r>
      <w:r>
        <w:t xml:space="preserve"> </w:t>
      </w:r>
      <m:oMath>
        <m:r>
          <m:t>σ</m:t>
        </m:r>
      </m:oMath>
      <w:r>
        <w:t xml:space="preserve"> </w:t>
      </w:r>
      <w:r>
        <w:t xml:space="preserve">estimate). The width of the interval is therefore real, not nominal, and reflects genuine input uncertainty rather than artifactual broadening.</w:t>
      </w:r>
    </w:p>
    <w:p>
      <w:pPr>
        <w:pStyle w:val="BodyText"/>
      </w:pPr>
      <w:r>
        <w:rPr>
          <w:i/>
          <w:iCs/>
        </w:rPr>
        <w:t xml:space="preserve">LMV-interior proxies not yet engaged.</w:t>
      </w:r>
      <w:r>
        <w:t xml:space="preserve"> </w:t>
      </w:r>
      <w:r>
        <w:t xml:space="preserve">A future revision of the framework’s</w:t>
      </w:r>
      <w:r>
        <w:t xml:space="preserve"> </w:t>
      </w:r>
      <m:oMath>
        <m:r>
          <m:t>σ</m:t>
        </m:r>
      </m:oMath>
      <w:r>
        <w:t xml:space="preserve"> </w:t>
      </w:r>
      <w: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t xml:space="preserve"> </w:t>
      </w:r>
      <m:oMath>
        <m:sSub>
          <m:e>
            <m:r>
              <m:t>σ</m:t>
            </m:r>
          </m:e>
          <m:sub>
            <m:r>
              <m:t>L</m:t>
            </m:r>
            <m:r>
              <m:t>M</m:t>
            </m:r>
            <m:r>
              <m:t>V</m:t>
            </m:r>
          </m:sub>
        </m:sSub>
      </m:oMath>
      <w:r>
        <w:t xml:space="preserve"> </w:t>
      </w:r>
      <w: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i/>
          <w:iCs/>
        </w:rPr>
        <w:t xml:space="preserve">Decomposition of</w:t>
      </w:r>
      <w:r>
        <w:rPr>
          <w:i/>
          <w:iCs/>
        </w:rPr>
        <w:t xml:space="preserve"> </w:t>
      </w:r>
      <m:oMath>
        <m:r>
          <m:t>σ</m:t>
        </m:r>
      </m:oMath>
      <w:r>
        <w:rPr>
          <w:i/>
          <w:iCs/>
        </w:rPr>
        <w:t xml:space="preserve"> </w:t>
      </w:r>
      <w:r>
        <w:rPr>
          <w:i/>
          <w:iCs/>
        </w:rPr>
        <w:t xml:space="preserve">into independent components.</w:t>
      </w:r>
      <w:r>
        <w:t xml:space="preserve"> </w:t>
      </w:r>
      <w:r>
        <w:t xml:space="preserve">The current composite</w:t>
      </w:r>
      <w:r>
        <w:t xml:space="preserve"> </w:t>
      </w:r>
      <m:oMath>
        <m:r>
          <m:t>σ</m:t>
        </m:r>
        <m:r>
          <m:rPr>
            <m:sty m:val="p"/>
          </m:rPr>
          <m:t>=</m:t>
        </m:r>
        <m:r>
          <m:t>m</m:t>
        </m:r>
        <m:r>
          <m:rPr>
            <m:sty m:val="p"/>
          </m:rPr>
          <m:t>⋅</m:t>
        </m:r>
        <m:rad>
          <m:radPr>
            <m:degHide m:val="on"/>
          </m:radPr>
          <m:deg/>
          <m:e>
            <m:r>
              <m:t>20</m:t>
            </m:r>
            <m:r>
              <m:rPr>
                <m:sty m:val="p"/>
              </m:rPr>
              <m:t>/</m:t>
            </m:r>
            <m:r>
              <m:t>T</m:t>
            </m:r>
          </m:e>
        </m:rad>
      </m:oMath>
      <w:r>
        <w:t xml:space="preserve"> </w:t>
      </w:r>
      <w: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t xml:space="preserve"> </w:t>
      </w:r>
      <m:oMath>
        <m:sSub>
          <m:e>
            <m:r>
              <m:t>σ</m:t>
            </m:r>
          </m:e>
          <m:sub>
            <m:r>
              <m:t>d</m:t>
            </m:r>
          </m:sub>
        </m:sSub>
      </m:oMath>
      <w:r>
        <w:t xml:space="preserve"> </w:t>
      </w:r>
      <w:r>
        <w:t xml:space="preserve">and event-component</w:t>
      </w:r>
      <w:r>
        <w:t xml:space="preserve"> </w:t>
      </w:r>
      <m:oMath>
        <m:sSub>
          <m:e>
            <m:r>
              <m:t>σ</m:t>
            </m:r>
          </m:e>
          <m:sub>
            <m:r>
              <m:t>e</m:t>
            </m:r>
          </m:sub>
        </m:sSub>
      </m:oMath>
      <w:r>
        <w:t xml:space="preserve">, run separately through the §6.2 threshold-proximity test, would either confirm that the lumped-</w:t>
      </w:r>
      <m:oMath>
        <m:r>
          <m:t>σ</m:t>
        </m:r>
      </m:oMath>
      <w:r>
        <w:t xml:space="preserve"> </w:t>
      </w:r>
      <w: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drawing>
          <wp:inline>
            <wp:extent cx="5943600" cy="5169311"/>
            <wp:effectExtent b="0" l="0" r="0" t="0"/>
            <wp:docPr descr="" title="" id="57" name="Picture"/>
            <a:graphic>
              <a:graphicData uri="http://schemas.openxmlformats.org/drawingml/2006/picture">
                <pic:pic>
                  <pic:nvPicPr>
                    <pic:cNvPr descr="../../figures/manuscript/figure_11_paleoclimate_proxy.png" id="58" name="Picture"/>
                    <pic:cNvPicPr>
                      <a:picLocks noChangeArrowheads="1" noChangeAspect="1"/>
                    </pic:cNvPicPr>
                  </pic:nvPicPr>
                  <pic:blipFill>
                    <a:blip r:embed="rId56"/>
                    <a:stretch>
                      <a:fillRect/>
                    </a:stretch>
                  </pic:blipFill>
                  <pic:spPr bwMode="auto">
                    <a:xfrm>
                      <a:off x="0" y="0"/>
                      <a:ext cx="5943600" cy="5169311"/>
                    </a:xfrm>
                    <a:prstGeom prst="rect">
                      <a:avLst/>
                    </a:prstGeom>
                    <a:noFill/>
                    <a:ln w="9525">
                      <a:noFill/>
                      <a:headEnd/>
                      <a:tailEnd/>
                    </a:ln>
                  </pic:spPr>
                </pic:pic>
              </a:graphicData>
            </a:graphic>
          </wp:inline>
        </w:drawing>
      </w:r>
    </w:p>
    <w:p>
      <w:pPr>
        <w:pStyle w:val="BodyText"/>
      </w:pPr>
      <w:r>
        <w:rPr>
          <w:b/>
          <w:bCs/>
          <w:i/>
          <w:iCs/>
        </w:rPr>
        <w:t xml:space="preserve">Figure 11. Paleoclimate proxy synthesis for the Late Holocene Lower Mississippi Valley.</w:t>
      </w:r>
      <w:r>
        <w:t xml:space="preserve"> </w:t>
      </w:r>
      <w:r>
        <w:rPr>
          <w:i/>
          <w:iCs/>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t xml:space="preserve"> </w:t>
      </w:r>
      <m:oMath>
        <m:r>
          <m:t>σ</m:t>
        </m:r>
        <m:r>
          <m:rPr>
            <m:sty m:val="p"/>
          </m:rPr>
          <m:t>=</m:t>
        </m:r>
        <m:r>
          <m:t>m</m:t>
        </m:r>
        <m:rad>
          <m:radPr>
            <m:degHide m:val="on"/>
          </m:radPr>
          <m:deg/>
          <m:e>
            <m:r>
              <m:t>20</m:t>
            </m:r>
            <m:r>
              <m:rPr>
                <m:sty m:val="p"/>
              </m:rPr>
              <m:t>/</m:t>
            </m:r>
            <m:r>
              <m:t>T</m:t>
            </m:r>
          </m:e>
        </m:rad>
      </m:oMath>
      <w:r>
        <w:t xml:space="preserve"> </w:t>
      </w:r>
      <w:r>
        <w:rPr>
          <w:i/>
          <w:iCs/>
        </w:rPr>
        <w:t xml:space="preserve">for the three highest-</w:t>
      </w:r>
      <w:r>
        <w:t xml:space="preserve"> </w:t>
      </w:r>
      <m:oMath>
        <m:r>
          <m:t>σ</m:t>
        </m:r>
      </m:oMath>
      <w:r>
        <w:t xml:space="preserve"> </w:t>
      </w:r>
      <w:r>
        <w:rPr>
          <w:i/>
          <w:iCs/>
        </w:rPr>
        <w:t xml:space="preserve">LMV mound-building cases: Poverty Point (</w:t>
      </w:r>
      <m:oMath>
        <m:r>
          <m:t>T</m:t>
        </m:r>
        <m:r>
          <m:rPr>
            <m:sty m:val="p"/>
          </m:rPr>
          <m:t>=</m:t>
        </m:r>
        <m:r>
          <m:t>10</m:t>
        </m:r>
      </m:oMath>
      <w:r>
        <w:t xml:space="preserve"> </w:t>
      </w:r>
      <w:r>
        <w:rPr>
          <w:i/>
          <w:iCs/>
        </w:rPr>
        <w:t xml:space="preserve">yr,</w:t>
      </w:r>
      <w:r>
        <w:t xml:space="preserve"> </w:t>
      </w:r>
      <m:oMath>
        <m:r>
          <m:t>m</m:t>
        </m:r>
        <m:r>
          <m:rPr>
            <m:sty m:val="p"/>
          </m:rPr>
          <m:t>=</m:t>
        </m:r>
        <m:r>
          <m:t>0.45</m:t>
        </m:r>
      </m:oMath>
      <w:r>
        <w:rPr>
          <w:i/>
          <w:iCs/>
        </w:rPr>
        <w:t xml:space="preserve">,</w:t>
      </w:r>
      <w:r>
        <w:t xml:space="preserve"> </w:t>
      </w:r>
      <m:oMath>
        <m:r>
          <m:t>σ</m:t>
        </m:r>
        <m:r>
          <m:rPr>
            <m:sty m:val="p"/>
          </m:rPr>
          <m:t>=</m:t>
        </m:r>
        <m:r>
          <m:t>0.64</m:t>
        </m:r>
      </m:oMath>
      <w:r>
        <w:rPr>
          <w:i/>
          <w:iCs/>
        </w:rPr>
        <w:t xml:space="preserve">), Watson Brake (</w:t>
      </w:r>
      <m:oMath>
        <m:r>
          <m:t>T</m:t>
        </m:r>
        <m:r>
          <m:rPr>
            <m:sty m:val="p"/>
          </m:rPr>
          <m:t>=</m:t>
        </m:r>
        <m:r>
          <m:t>12</m:t>
        </m:r>
      </m:oMath>
      <w:r>
        <w:t xml:space="preserve"> </w:t>
      </w:r>
      <w:r>
        <w:rPr>
          <w:i/>
          <w:iCs/>
        </w:rPr>
        <w:t xml:space="preserve">yr,</w:t>
      </w:r>
      <w:r>
        <w:t xml:space="preserve"> </w:t>
      </w:r>
      <m:oMath>
        <m:r>
          <m:t>m</m:t>
        </m:r>
        <m:r>
          <m:rPr>
            <m:sty m:val="p"/>
          </m:rPr>
          <m:t>=</m:t>
        </m:r>
        <m:r>
          <m:t>0.43</m:t>
        </m:r>
      </m:oMath>
      <w:r>
        <w:rPr>
          <w:i/>
          <w:iCs/>
        </w:rPr>
        <w:t xml:space="preserve">,</w:t>
      </w:r>
      <w:r>
        <w:t xml:space="preserve"> </w:t>
      </w:r>
      <m:oMath>
        <m:r>
          <m:t>σ</m:t>
        </m:r>
        <m:r>
          <m:rPr>
            <m:sty m:val="p"/>
          </m:rPr>
          <m:t>=</m:t>
        </m:r>
        <m:r>
          <m:t>0.56</m:t>
        </m:r>
      </m:oMath>
      <w:r>
        <w:rPr>
          <w:i/>
          <w:iCs/>
        </w:rPr>
        <w:t xml:space="preserve">), and Jaketown (</w:t>
      </w:r>
      <m:oMath>
        <m:r>
          <m:t>T</m:t>
        </m:r>
        <m:r>
          <m:rPr>
            <m:sty m:val="p"/>
          </m:rPr>
          <m:t>=</m:t>
        </m:r>
        <m:r>
          <m:t>11</m:t>
        </m:r>
      </m:oMath>
      <w:r>
        <w:t xml:space="preserve"> </w:t>
      </w:r>
      <w:r>
        <w:rPr>
          <w:i/>
          <w:iCs/>
        </w:rPr>
        <w:t xml:space="preserve">yr,</w:t>
      </w:r>
      <w:r>
        <w:t xml:space="preserve"> </w:t>
      </w:r>
      <m:oMath>
        <m:r>
          <m:t>m</m:t>
        </m:r>
        <m:r>
          <m:rPr>
            <m:sty m:val="p"/>
          </m:rPr>
          <m:t>=</m:t>
        </m:r>
        <m:r>
          <m:t>0.43</m:t>
        </m:r>
      </m:oMath>
      <w:r>
        <w:rPr>
          <w:i/>
          <w:iCs/>
        </w:rPr>
        <w:t xml:space="preserve">,</w:t>
      </w:r>
      <w:r>
        <w:t xml:space="preserve"> </w:t>
      </w:r>
      <m:oMath>
        <m:r>
          <m:t>σ</m:t>
        </m:r>
        <m:r>
          <m:rPr>
            <m:sty m:val="p"/>
          </m:rPr>
          <m:t>=</m:t>
        </m:r>
        <m:r>
          <m:t>0.58</m:t>
        </m:r>
      </m:oMath>
      <w:r>
        <w:rPr>
          <w:i/>
          <w:iCs/>
        </w:rPr>
        <w:t xml:space="preserve">), showing the frequency-effect component</w:t>
      </w:r>
      <w:r>
        <w:t xml:space="preserve"> </w:t>
      </w:r>
      <m:oMath>
        <m:rad>
          <m:radPr>
            <m:degHide m:val="on"/>
          </m:radPr>
          <m:deg/>
          <m:e>
            <m:r>
              <m:t>20</m:t>
            </m:r>
            <m:r>
              <m:rPr>
                <m:sty m:val="p"/>
              </m:rPr>
              <m:t>/</m:t>
            </m:r>
            <m:r>
              <m:t>T</m:t>
            </m:r>
          </m:e>
        </m:rad>
      </m:oMath>
      <w:r>
        <w:t xml:space="preserve"> </w:t>
      </w:r>
      <w:r>
        <w:rPr>
          <w:i/>
          <w:iCs/>
        </w:rPr>
        <w:t xml:space="preserve">(blue bars) and magnitude component</w:t>
      </w:r>
      <w:r>
        <w:t xml:space="preserve"> </w:t>
      </w:r>
      <m:oMath>
        <m:r>
          <m:t>m</m:t>
        </m:r>
      </m:oMath>
      <w:r>
        <w:t xml:space="preserve"> </w:t>
      </w:r>
      <w:r>
        <w:rPr>
          <w:i/>
          <w:iCs/>
        </w:rPr>
        <w:t xml:space="preserve">(orange bars). Dashed red line marks the analytical critical threshold</w:t>
      </w:r>
      <w:r>
        <w:t xml:space="preserve"> </w:t>
      </w:r>
      <m:oMath>
        <m:sSup>
          <m:e>
            <m:r>
              <m:t>σ</m:t>
            </m:r>
          </m:e>
          <m:sup>
            <m:r>
              <m:rPr>
                <m:sty m:val="p"/>
              </m:rPr>
              <m:t>*</m:t>
            </m:r>
          </m:sup>
        </m:sSup>
        <m:r>
          <m:rPr>
            <m:sty m:val="p"/>
          </m:rPr>
          <m:t>≈</m:t>
        </m:r>
        <m:r>
          <m:t>0.40</m:t>
        </m:r>
      </m:oMath>
      <w:r>
        <w:rPr>
          <w:i/>
          <w:iCs/>
        </w:rPr>
        <w:t xml:space="preserve">. (E) Cross-site composite uncertainty (</w:t>
      </w:r>
      <w:r>
        <w:t xml:space="preserve"> </w:t>
      </w:r>
      <m:oMath>
        <m:r>
          <m:t>σ</m:t>
        </m:r>
      </m:oMath>
      <w:r>
        <w:t xml:space="preserve"> </w:t>
      </w:r>
      <w:r>
        <w:rPr>
          <w:i/>
          <w:iCs/>
        </w:rPr>
        <w:t xml:space="preserve">with ±1 SD error bars) across the five highest-</w:t>
      </w:r>
      <w:r>
        <w:t xml:space="preserve"> </w:t>
      </w:r>
      <m:oMath>
        <m:r>
          <m:t>σ</m:t>
        </m:r>
      </m:oMath>
      <w:r>
        <w:t xml:space="preserve"> </w:t>
      </w:r>
      <w:r>
        <w:rPr>
          <w:i/>
          <w:iCs/>
        </w:rPr>
        <w:t xml:space="preserve">LMV sites (Poverty Point, Watson Brake, Jaketown, Lower Jackson, Frenchman’s Bend). Each site’s central estimate exceeds the</w:t>
      </w:r>
      <w:r>
        <w:t xml:space="preserve"> </w:t>
      </w:r>
      <m:oMath>
        <m:sSup>
          <m:e>
            <m:r>
              <m:t>σ</m:t>
            </m:r>
          </m:e>
          <m:sup>
            <m:r>
              <m:rPr>
                <m:sty m:val="p"/>
              </m:rPr>
              <m:t>*</m:t>
            </m:r>
          </m:sup>
        </m:sSup>
        <m:r>
          <m:rPr>
            <m:sty m:val="p"/>
          </m:rPr>
          <m:t>≈</m:t>
        </m:r>
        <m:r>
          <m:t>0.40</m:t>
        </m:r>
      </m:oMath>
      <w:r>
        <w:t xml:space="preserve"> </w:t>
      </w:r>
      <w:r>
        <w:rPr>
          <w:i/>
          <w:iCs/>
        </w:rPr>
        <w:t xml:space="preserve">threshold (dashed red line). (F) Environmental phase space defined by the shortfall recurrence interval (horizontal axis, mean years between shortfalls) and shortfall magnitude (vertical axis). The analytical critical-threshold contour</w:t>
      </w:r>
      <w:r>
        <w:t xml:space="preserve"> </w:t>
      </w:r>
      <m:oMath>
        <m:sSup>
          <m:e>
            <m:r>
              <m:t>σ</m:t>
            </m:r>
          </m:e>
          <m:sup>
            <m:r>
              <m:rPr>
                <m:sty m:val="p"/>
              </m:rPr>
              <m:t>*</m:t>
            </m:r>
          </m:sup>
        </m:sSup>
        <m:r>
          <m:rPr>
            <m:sty m:val="p"/>
          </m:rPr>
          <m:t>≈</m:t>
        </m:r>
        <m:r>
          <m:t>0.40</m:t>
        </m:r>
      </m:oMath>
      <w:r>
        <w:t xml:space="preserve"> </w:t>
      </w:r>
      <w:r>
        <w:rPr>
          <w:i/>
          <w:iCs/>
        </w:rPr>
        <w:t xml:space="preserve">(dashed red) separates the regime where the framework predicts independent foraging (lower-right, blue: long recurrence interval, low magnitude) from the regime where it predicts sustained aggregation (upper-left, red: short recurrence interval, high magnitude). The four interior LMV monument-building sites with the strongest paleoclimate estimates (Poverty Point, Watson Brake, Jaketown, Lower Jackson) all fall above the threshold contour at their LMV-derived</w:t>
      </w:r>
      <w:r>
        <w:t xml:space="preserve"> </w:t>
      </w:r>
      <m:oMath>
        <m:r>
          <m:rPr>
            <m:sty m:val="p"/>
          </m:rPr>
          <m:t>(</m:t>
        </m:r>
        <m:r>
          <m:t>T</m:t>
        </m:r>
        <m:r>
          <m:rPr>
            <m:sty m:val="p"/>
          </m:rPr>
          <m:t>,</m:t>
        </m:r>
        <m:r>
          <m:t>m</m:t>
        </m:r>
        <m:r>
          <m:rPr>
            <m:sty m:val="p"/>
          </m:rPr>
          <m:t>)</m:t>
        </m:r>
      </m:oMath>
      <w:r>
        <w:t xml:space="preserve"> </w:t>
      </w:r>
      <w:r>
        <w:rPr>
          <w:i/>
          <w:iCs/>
        </w:rPr>
        <w:t xml:space="preserve">coordinates.</w:t>
      </w:r>
    </w:p>
    <w:bookmarkEnd w:id="59"/>
    <w:bookmarkEnd w:id="60"/>
    <w:bookmarkStart w:id="81" w:name="X7f56f72728939b2e31227af71f8d33710616234"/>
    <w:p>
      <w:pPr>
        <w:pStyle w:val="Heading2"/>
      </w:pPr>
      <w:r>
        <w:t xml:space="preserve">6. Empirical evaluation: Poverty Point and the LMV transition</w:t>
      </w:r>
    </w:p>
    <w:p>
      <w:pPr>
        <w:pStyle w:val="FirstParagraph"/>
      </w:pPr>
      <w: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sites known to have built mounds);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t xml:space="preserve">6.1 Calibration anchor and exotic-goods consistency</w:t>
      </w:r>
    </w:p>
    <w:p>
      <w:pPr>
        <w:pStyle w:val="FirstParagraph"/>
      </w:pPr>
      <w: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7,203 ± 3,276 (mean ± sample SD; ddof = 1 throughout; the wide replicate spread reflects genuine path dependence in the monument-network feedback across stochastic histories). Dividing the archaeological target by this replicate mean yields a scaling factor of approximately 104 m³ per investment unit. This factor is fit to the volume target and is therefore not itself a test. Its physical interpretation is roughly one large construction-crew day at PP scale: 65 laborers × 80 basket loads per person per day × 0.020 m³ per basket = 104 m³ per crew-day, of the same order as Erasmus’s (1965) per-laborer rates.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t xml:space="preserve">The scaling factor is fit to the volume target, so the volume match itself is</w:t>
      </w:r>
      <w:r>
        <w:t xml:space="preserve"> </w:t>
      </w:r>
      <w:r>
        <w:rPr>
          <w:i/>
          <w:iCs/>
        </w:rPr>
        <w:t xml:space="preserve">not</w:t>
      </w:r>
      <w:r>
        <w:t xml:space="preserve"> </w:t>
      </w:r>
      <w: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t xml:space="preserve">,</w:t>
      </w:r>
      <w:r>
        <w:t xml:space="preserve"> </w:t>
      </w:r>
      <m:oMath>
        <m:r>
          <m:t>ε</m:t>
        </m:r>
      </m:oMath>
      <w:r>
        <w:t xml:space="preserve">,</w:t>
      </w:r>
      <w:r>
        <w:t xml:space="preserve"> </w:t>
      </w:r>
      <m:oMath>
        <m:sSub>
          <m:e>
            <m:r>
              <m:t>n</m:t>
            </m:r>
          </m:e>
          <m:sub>
            <m:r>
              <m:t>a</m:t>
            </m:r>
            <m:r>
              <m:t>g</m:t>
            </m:r>
            <m:r>
              <m:t>g</m:t>
            </m:r>
          </m:sub>
        </m:sSub>
      </m:oMath>
      <w:r>
        <w:t xml:space="preserve">) were derived from independent paleoclimate and Saunders et al. (2005b) site-description sources after PP calibration but before the model was run at WB inputs.</w:t>
      </w:r>
    </w:p>
    <w:p>
      <w:pPr>
        <w:pStyle w:val="BodyText"/>
      </w:pPr>
      <w: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t xml:space="preserve">,</w:t>
      </w:r>
      <w:r>
        <w:t xml:space="preserve"> </w:t>
      </w:r>
      <m:oMath>
        <m:sSub>
          <m:e>
            <m:r>
              <m:t>σ</m:t>
            </m:r>
          </m:e>
          <m:sub>
            <m:r>
              <m:t>e</m:t>
            </m:r>
            <m:r>
              <m:t>f</m:t>
            </m:r>
            <m:r>
              <m:t>f</m:t>
            </m:r>
          </m:sub>
        </m:sSub>
        <m:r>
          <m:rPr>
            <m:sty m:val="p"/>
          </m:rPr>
          <m:t>≈</m:t>
        </m:r>
        <m:r>
          <m:t>0.38</m:t>
        </m:r>
      </m:oMath>
      <w:r>
        <w:t xml:space="preserve">) produces 7,203 ± 3,276 cumulative monument units and 10,883 ± 3,131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106 ± 30 copper, 480 ± 116 steatite, and 702 ± 188 galena items (mean ± sample SD, eight replicates). These per-material counts are not directly comparable across the model-archaeology boundary, because the units of count differ. The model’s</w:t>
      </w:r>
      <w:r>
        <w:t xml:space="preserve"> </w:t>
      </w:r>
      <w:r>
        <w:t xml:space="preserve">“item”</w:t>
      </w:r>
      <w:r>
        <w:t xml:space="preserve"> </w:t>
      </w:r>
      <w:r>
        <w:t xml:space="preserve">is a single acquisition event, equivalent to one imported</w:t>
      </w:r>
      <w:r>
        <w:t xml:space="preserve"> </w:t>
      </w:r>
      <w:r>
        <w:rPr>
          <w:i/>
          <w:iCs/>
        </w:rPr>
        <w:t xml:space="preserve">object</w:t>
      </w:r>
      <w:r>
        <w:t xml:space="preserve"> </w:t>
      </w:r>
      <w:r>
        <w:t xml:space="preserve">(one bowl, one mass, or one sheet). Steatite is reported as fragments, copper as objects, and galena as masses and shaped artifacts. Compared on a per-vessel basis, the model’s 480 steatite acquisitions are consistent with the</w:t>
      </w:r>
      <w:r>
        <w:t xml:space="preserve"> </w:t>
      </w:r>
      <w:r>
        <w:t xml:space="preserve">“several hundred vessels”</w:t>
      </w:r>
      <w:r>
        <w:t xml:space="preserve"> </w:t>
      </w:r>
      <w:r>
        <w:t xml:space="preserve">estimate, whereas the raw fragment count would read as a 4.6× undershoot. Copper (0.68×) and galena (0.95×) are close to the recovered counts in like units.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t xml:space="preserve">We treat the per-material comparison as a posterior predictive check. Each material’s eight-replicate distribution defines a 95% predictive interval at PP-calibrated parameters, and we ask whether the archaeological count falls inside it.</w:t>
      </w:r>
      <w:r>
        <w:t xml:space="preserve"> </w:t>
      </w:r>
      <w:r>
        <w:rPr>
          <w:i/>
          <w:iCs/>
        </w:rPr>
        <w:t xml:space="preserve">Copper</w:t>
      </w:r>
      <w:r>
        <w:t xml:space="preserve"> </w:t>
      </w:r>
      <w:r>
        <w:t xml:space="preserve">is the cleanest test in counting-unit terms (i.e., our model produces acquired objects, whereas archaeology counts objects): the central 95% predictive interval (mean ± 1.96 × SD) is [47, 166] and contains the archaeological count of 155 (</w:t>
      </w:r>
      <m:oMath>
        <m:r>
          <m:t>z</m:t>
        </m:r>
        <m:r>
          <m:rPr>
            <m:sty m:val="p"/>
          </m:rPr>
          <m:t>=</m:t>
        </m:r>
        <m:r>
          <m:rPr>
            <m:sty m:val="p"/>
          </m:rPr>
          <m:t>+</m:t>
        </m:r>
        <m:r>
          <m:t>1.6</m:t>
        </m:r>
      </m:oMath>
      <w:r>
        <w:t xml:space="preserve">). The model is consistent with the recovered count, though the observation sits near the interval’s upper edge, and because copper preserves poorly in the corrosive Macon Ridge soils (Mariano 2011) the surviving 155 specimens are a lower bound on original deposition, so any residual error runs toward underprediction.</w:t>
      </w:r>
      <w:r>
        <w:t xml:space="preserve"> </w:t>
      </w:r>
      <w:r>
        <w:rPr>
          <w:i/>
          <w:iCs/>
        </w:rPr>
        <w:t xml:space="preserve">Galena</w:t>
      </w:r>
      <w:r>
        <w:t xml:space="preserve"> </w:t>
      </w:r>
      <w:r>
        <w:t xml:space="preserve">(model 702 ± 188; predictive interval [333, 1070]) contains the archaeological 740 (</w:t>
      </w:r>
      <m:oMath>
        <m:r>
          <m:t>z</m:t>
        </m:r>
        <m:r>
          <m:rPr>
            <m:sty m:val="p"/>
          </m:rPr>
          <m:t>=</m:t>
        </m:r>
        <m:r>
          <m:rPr>
            <m:sty m:val="p"/>
          </m:rPr>
          <m:t>+</m:t>
        </m:r>
        <m:r>
          <m:t>0.2</m:t>
        </m:r>
      </m:oMath>
      <w:r>
        <w:t xml:space="preserve">): the model is consistent with the recovered count in like units, with no correction invoked.</w:t>
      </w:r>
      <w:r>
        <w:t xml:space="preserve"> </w:t>
      </w:r>
      <w:r>
        <w:rPr>
          <w:i/>
          <w:iCs/>
        </w:rPr>
        <w:t xml:space="preserve">Steatite</w:t>
      </w:r>
      <w:r>
        <w:t xml:space="preserve"> </w:t>
      </w:r>
      <w:r>
        <w:t xml:space="preserve">depends on whether the archaeological count is taken as fragments (2,221) or vessels. Webb estimated a steatite-vessel cache at</w:t>
      </w:r>
      <w:r>
        <w:t xml:space="preserve"> </w:t>
      </w:r>
      <w:r>
        <w:t xml:space="preserve">“several hundred vessels”</w:t>
      </w:r>
      <w:r>
        <w:t xml:space="preserve"> </w:t>
      </w:r>
      <w:r>
        <w:t xml:space="preserve">and judged the site-wide total</w:t>
      </w:r>
      <w:r>
        <w:t xml:space="preserve"> </w:t>
      </w:r>
      <w:r>
        <w:t xml:space="preserve">“must have been in the thousands”</w:t>
      </w:r>
      <w:r>
        <w:t xml:space="preserve"> </w:t>
      </w:r>
      <w:r>
        <w:t xml:space="preserve">(Webb 1982:45). On a vessel basis, the model’s predictive interval [252, 707] is consistent with Webb’s several-hundred-vessel cache estimate. On the fragment basis, the model underpredicts by roughly 4.6×; that comparison is unit-mismatched and not directly interpretable without a fragments-per-vessel conversion, which the present model does not encode. The clear failures are the two</w:t>
      </w:r>
      <w:r>
        <w:t xml:space="preserve"> </w:t>
      </w:r>
      <w:r>
        <w:rPr>
          <w:i/>
          <w:iCs/>
        </w:rPr>
        <w:t xml:space="preserve">near-source</w:t>
      </w:r>
      <w:r>
        <w:t xml:space="preserve"> </w:t>
      </w:r>
      <w:r>
        <w:t xml:space="preserve">materials: the model produces 6,406 ± 1,923 novaculite and 3,190 ± 898 crystal-quartz acquisitions against archaeological counts of 101 and 395, overpredictions of roughly 63× and 8×. The model’s acquisition rule is cost-driven, so cheap nearby materials are imported routinely; the record shows that near-source materials are rare at the type site (Mitch 2023). The framework’s own signaling logic points at the discrepancy’s direction (deposition at the hub should track signal value, which rises with source distance, rather than acquisition ease), but the model as implemented does not encode value-weighted retention, so the near-source overprediction stands as a genuine misfit rather than a reconciled one. The check is therefore consistent for copper and galena in like units and for steatite on a vessel basis, and inconsistent by roughly one to two orders of magnitude for the near-source materials.</w:t>
      </w:r>
    </w:p>
    <w:p>
      <w:pPr>
        <w:pStyle w:val="BodyText"/>
      </w:pPr>
      <w:r>
        <w:t xml:space="preserve">Treating the four materials as independent checks overstates the strength of the comparison, because the model’s predictions for them are correlated. Across the eight replicate runs, all four joint-check materials move together strongly (</w:t>
      </w:r>
      <m:oMath>
        <m:r>
          <m:t>r</m:t>
        </m:r>
        <m:r>
          <m:rPr>
            <m:sty m:val="p"/>
          </m:rPr>
          <m:t>=</m:t>
        </m:r>
        <m:r>
          <m:t>0.89</m:t>
        </m:r>
      </m:oMath>
      <w:r>
        <w:t xml:space="preserve"> </w:t>
      </w:r>
      <w:r>
        <w:t xml:space="preserve">to</w:t>
      </w:r>
      <w:r>
        <w:t xml:space="preserve"> </w:t>
      </w:r>
      <m:oMath>
        <m:r>
          <m:t>0.99</m:t>
        </m:r>
      </m:oMath>
      <w:r>
        <w:t xml:space="preserve">): when one is high in a replicate, the others tend to be high as well, because all are driven by the same attendance and acquisition dynamics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t xml:space="preserve"> </w:t>
      </w:r>
      <m:oMath>
        <m:sSup>
          <m:e>
            <m:r>
              <m:t>d</m:t>
            </m:r>
          </m:e>
          <m:sup>
            <m:r>
              <m:t>2</m:t>
            </m:r>
          </m:sup>
        </m:sSup>
        <m:r>
          <m:rPr>
            <m:sty m:val="p"/>
          </m:rPr>
          <m:t>=</m:t>
        </m:r>
        <m:r>
          <m:t>9</m:t>
        </m:r>
        <m:r>
          <m:rPr>
            <m:sty m:val="p"/>
          </m:rPr>
          <m:t>,</m:t>
        </m:r>
        <m:r>
          <m:t>289</m:t>
        </m:r>
      </m:oMath>
      <w:r>
        <w:t xml:space="preserve"> </w:t>
      </w:r>
      <w:r>
        <w:t xml:space="preserve">against the simulation distribution, far outside any rejection threshold appropriate for an eight-replicate covariance estimate. The deviation decomposes into four substantively distinct sources: copper at</w:t>
      </w:r>
      <w:r>
        <w:t xml:space="preserve"> </w:t>
      </w:r>
      <m:oMath>
        <m:r>
          <m:rPr>
            <m:sty m:val="p"/>
          </m:rPr>
          <m:t>+</m:t>
        </m:r>
        <m:r>
          <m:t>1.6</m:t>
        </m:r>
      </m:oMath>
      <w:r>
        <w:t xml:space="preserve"> </w:t>
      </w:r>
      <w:r>
        <w:t xml:space="preserve">SDs (within noise); galena at</w:t>
      </w:r>
      <w:r>
        <w:t xml:space="preserve"> </w:t>
      </w:r>
      <m:oMath>
        <m:r>
          <m:rPr>
            <m:sty m:val="p"/>
          </m:rPr>
          <m:t>+</m:t>
        </m:r>
        <m:r>
          <m:t>0.2</m:t>
        </m:r>
      </m:oMath>
      <w:r>
        <w:t xml:space="preserve"> </w:t>
      </w:r>
      <w:r>
        <w:t xml:space="preserve">SDs (a match); steatite at</w:t>
      </w:r>
      <w:r>
        <w:t xml:space="preserve"> </w:t>
      </w:r>
      <m:oMath>
        <m:r>
          <m:rPr>
            <m:sty m:val="p"/>
          </m:rPr>
          <m:t>+</m:t>
        </m:r>
        <m:r>
          <m:t>15.0</m:t>
        </m:r>
      </m:oMath>
      <w:r>
        <w:t xml:space="preserve"> </w:t>
      </w:r>
      <w:r>
        <w:t xml:space="preserve">SDs (the published count is in fragments while the model produces vessels, with roughly five fragments per vessel reconciling the gap; Webb 1982:45); and crystal quartz at</w:t>
      </w:r>
      <w:r>
        <w:t xml:space="preserve"> </w:t>
      </w:r>
      <m:oMath>
        <m:r>
          <m:rPr>
            <m:sty m:val="p"/>
          </m:rPr>
          <m:t>−</m:t>
        </m:r>
        <m:r>
          <m:t>3.1</m:t>
        </m:r>
      </m:oMath>
      <w:r>
        <w:t xml:space="preserve"> </w:t>
      </w:r>
      <w:r>
        <w:t xml:space="preserve">SDs (the near-source overprediction discussed above; novaculite, outside the joint vector, deviates comparably at</w:t>
      </w:r>
      <w:r>
        <w:t xml:space="preserve"> </w:t>
      </w:r>
      <m:oMath>
        <m:r>
          <m:rPr>
            <m:sty m:val="p"/>
          </m:rPr>
          <m:t>−</m:t>
        </m:r>
        <m:r>
          <m:t>3.3</m:t>
        </m:r>
      </m:oMath>
      <w:r>
        <w:t xml:space="preserve"> </w:t>
      </w:r>
      <w:r>
        <w:t xml:space="preserve">SDs and by a larger ratio). Substantively, the consistency of the marginal checks is partly illusory: the materials are correlated, so a single inconsistent material undermines the joint reading, and a strict joint test rejects the framework’s per-material counts strongly. The far-source, high-signal-value materials (copper, galena, steatite on a vessel basis) are consistent in like units, while the near-source materials are strongly overpredicted by the cost-driven acquisition rule. The joint rejection is carried by the unit-mismatched steatite fragment count and by the near-source misfit, and the near-source misfit is a genuine, informative failure rather than a reconciled one.</w:t>
      </w:r>
    </w:p>
    <w:p>
      <w:pPr>
        <w:pStyle w:val="BodyText"/>
      </w:pPr>
      <w:r>
        <w:drawing>
          <wp:inline>
            <wp:extent cx="5943600" cy="1848824"/>
            <wp:effectExtent b="0" l="0" r="0" t="0"/>
            <wp:docPr descr="" title="" id="62" name="Picture"/>
            <a:graphic>
              <a:graphicData uri="http://schemas.openxmlformats.org/drawingml/2006/picture">
                <pic:pic>
                  <pic:nvPicPr>
                    <pic:cNvPr descr="../../figures/manuscript/figure_12_calibration.png" id="63" name="Picture"/>
                    <pic:cNvPicPr>
                      <a:picLocks noChangeArrowheads="1" noChangeAspect="1"/>
                    </pic:cNvPicPr>
                  </pic:nvPicPr>
                  <pic:blipFill>
                    <a:blip r:embed="rId61"/>
                    <a:stretch>
                      <a:fillRect/>
                    </a:stretch>
                  </pic:blipFill>
                  <pic:spPr bwMode="auto">
                    <a:xfrm>
                      <a:off x="0" y="0"/>
                      <a:ext cx="5943600" cy="1848824"/>
                    </a:xfrm>
                    <a:prstGeom prst="rect">
                      <a:avLst/>
                    </a:prstGeom>
                    <a:noFill/>
                    <a:ln w="9525">
                      <a:noFill/>
                      <a:headEnd/>
                      <a:tailEnd/>
                    </a:ln>
                  </pic:spPr>
                </pic:pic>
              </a:graphicData>
            </a:graphic>
          </wp:inline>
        </w:drawing>
      </w:r>
    </w:p>
    <w:p>
      <w:pPr>
        <w:pStyle w:val="BodyText"/>
      </w:pPr>
      <w:r>
        <w:rPr>
          <w:b/>
          <w:bCs/>
          <w:i/>
          <w:iCs/>
        </w:rPr>
        <w:t xml:space="preserve">Figure 12. Archaeological calibration with replicate-spread error bars.</w:t>
      </w:r>
      <w:r>
        <w:t xml:space="preserve"> </w:t>
      </w:r>
      <w:r>
        <w:rPr>
          <w:i/>
          <w:iCs/>
        </w:rPr>
        <w:t xml:space="preserve">Bars are means across 8 stochastic replicates, each with 200 simulated years per scenario. Error bars are ±1 sample SD (ddof = 1). (A) Monument volume comparison. The Poverty Point bar is calibrated to the archaeological 750,000 m³ target (calibration factor ≈ 104 m³ per investment unit at this parameterization, derived from a PP mean of 7,203 ± 3,276 cumulative units; ≈ one large construction-crew day at PP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i/>
          <w:iCs/>
        </w:rPr>
        <w:t xml:space="preserve"> </w:t>
      </w:r>
      <w:r>
        <w:rPr>
          <w:i/>
          <w:iCs/>
        </w:rPr>
        <w:t xml:space="preserve">“item”</w:t>
      </w:r>
      <w:r>
        <w:rPr>
          <w:i/>
          <w:iCs/>
        </w:rPr>
        <w:t xml:space="preserve"> </w:t>
      </w:r>
      <w:r>
        <w:rPr>
          <w:i/>
          <w:iCs/>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t xml:space="preserve"> </w:t>
      </w:r>
      <m:oMath>
        <m:r>
          <m:t>e</m:t>
        </m:r>
        <m:r>
          <m:t>x</m:t>
        </m:r>
        <m:r>
          <m:t>p</m:t>
        </m:r>
        <m:r>
          <m:rPr>
            <m:sty m:val="p"/>
          </m:rPr>
          <m:t>(</m:t>
        </m:r>
        <m:r>
          <m:rPr>
            <m:sty m:val="p"/>
          </m:rPr>
          <m:t>−</m:t>
        </m:r>
        <m:r>
          <m:t>d</m:t>
        </m:r>
        <m:r>
          <m:rPr>
            <m:sty m:val="p"/>
          </m:rPr>
          <m:t>/</m:t>
        </m:r>
        <m:r>
          <m:t>500</m:t>
        </m:r>
        <m:r>
          <m:rPr>
            <m:sty m:val="p"/>
          </m:rPr>
          <m:t>)</m:t>
        </m:r>
      </m:oMath>
      <w:r>
        <w:t xml:space="preserve"> </w:t>
      </w:r>
      <w:r>
        <w:rPr>
          <w:i/>
          <w:iCs/>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t xml:space="preserve"> </w:t>
      </w:r>
      <m:oMath>
        <m:r>
          <m:t>ρ</m:t>
        </m:r>
        <m:r>
          <m:rPr>
            <m:sty m:val="p"/>
          </m:rPr>
          <m:t>=</m:t>
        </m:r>
        <m:r>
          <m:rPr>
            <m:sty m:val="p"/>
          </m:rPr>
          <m:t>−</m:t>
        </m:r>
        <m:r>
          <m:t>0.40</m:t>
        </m:r>
      </m:oMath>
      <w:r>
        <w:t xml:space="preserve"> </w:t>
      </w:r>
      <w:r>
        <w:rPr>
          <w:i/>
          <w:iCs/>
        </w:rPr>
        <w:t xml:space="preserve">and log-space</w:t>
      </w:r>
      <w:r>
        <w:t xml:space="preserve"> </w:t>
      </w:r>
      <m:oMath>
        <m:sSup>
          <m:e>
            <m:r>
              <m:t>R</m:t>
            </m:r>
          </m:e>
          <m:sup>
            <m:r>
              <m:t>2</m:t>
            </m:r>
          </m:sup>
        </m:sSup>
        <m:r>
          <m:rPr>
            <m:sty m:val="p"/>
          </m:rPr>
          <m:t>=</m:t>
        </m:r>
        <m:r>
          <m:rPr>
            <m:sty m:val="p"/>
          </m:rPr>
          <m:t>−</m:t>
        </m:r>
        <m:r>
          <m:t>1.23</m:t>
        </m:r>
      </m:oMath>
      <w:r>
        <w:t xml:space="preserve"> </w:t>
      </w:r>
      <w:r>
        <w:rPr>
          <w:i/>
          <w:iCs/>
        </w:rPr>
        <w:t xml:space="preserve">across the five materials, reflecting that the uniform model does not capture the near-source vs far-source asymmetry. The same statistics restricted to the three far-source materials (galena, steatite, copper) give</w:t>
      </w:r>
      <w:r>
        <w:t xml:space="preserve"> </w:t>
      </w:r>
      <m:oMath>
        <m:r>
          <m:t>ρ</m:t>
        </m:r>
        <m:r>
          <m:rPr>
            <m:sty m:val="p"/>
          </m:rPr>
          <m:t>=</m:t>
        </m:r>
        <m:r>
          <m:rPr>
            <m:sty m:val="p"/>
          </m:rPr>
          <m:t>+</m:t>
        </m:r>
        <m:r>
          <m:t>0.50</m:t>
        </m:r>
      </m:oMath>
      <w:r>
        <w:rPr>
          <w:i/>
          <w:iCs/>
        </w:rPr>
        <w:t xml:space="preserve">.</w:t>
      </w:r>
    </w:p>
    <w:p>
      <w:pPr>
        <w:pStyle w:val="BodyText"/>
      </w:pPr>
      <w:r>
        <w:t xml:space="preserve">The distance-decay prediction provides a partially independent test, with informative failures. The model’s exotic-acquisition function</w:t>
      </w:r>
      <w: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t xml:space="preserve"> </w:t>
      </w:r>
      <w: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t xml:space="preserve"> </w:t>
      </w:r>
      <m:oMath>
        <m:r>
          <m:t>ρ</m:t>
        </m:r>
        <m:r>
          <m:rPr>
            <m:sty m:val="p"/>
          </m:rPr>
          <m:t>=</m:t>
        </m:r>
        <m:r>
          <m:rPr>
            <m:sty m:val="p"/>
          </m:rPr>
          <m:t>−</m:t>
        </m:r>
        <m:r>
          <m:t>0.40</m:t>
        </m:r>
      </m:oMath>
      <w:r>
        <w:t xml:space="preserve"> </w:t>
      </w:r>
      <w:r>
        <w:t xml:space="preserve">and log-space</w:t>
      </w:r>
      <w:r>
        <w:t xml:space="preserve"> </w:t>
      </w:r>
      <m:oMath>
        <m:sSup>
          <m:e>
            <m:r>
              <m:t>R</m:t>
            </m:r>
          </m:e>
          <m:sup>
            <m:r>
              <m:t>2</m:t>
            </m:r>
          </m:sup>
        </m:sSup>
        <m:r>
          <m:rPr>
            <m:sty m:val="p"/>
          </m:rPr>
          <m:t>=</m:t>
        </m:r>
        <m:r>
          <m:rPr>
            <m:sty m:val="p"/>
          </m:rPr>
          <m:t>−</m:t>
        </m:r>
        <m:r>
          <m:t>1.23</m:t>
        </m:r>
      </m:oMath>
      <w:r>
        <w:t xml:space="preserve"> </w:t>
      </w:r>
      <w: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t xml:space="preserve"> </w:t>
      </w:r>
      <m:oMath>
        <m:r>
          <m:t>ρ</m:t>
        </m:r>
        <m:r>
          <m:rPr>
            <m:sty m:val="p"/>
          </m:rPr>
          <m:t>=</m:t>
        </m:r>
        <m:r>
          <m:rPr>
            <m:sty m:val="p"/>
          </m:rPr>
          <m:t>+</m:t>
        </m:r>
        <m:r>
          <m:t>0.50</m:t>
        </m:r>
      </m:oMath>
      <w: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t xml:space="preserve"> </w:t>
      </w:r>
      <w:r>
        <w:rPr>
          <w:i/>
          <w:iCs/>
        </w:rPr>
        <w:t xml:space="preserve">requires</w:t>
      </w:r>
      <w:r>
        <w:t xml:space="preserve"> </w:t>
      </w:r>
      <w:r>
        <w:t xml:space="preserve">a partner network (far-source materials) and merely a downstream beneficiary for materials that closer sites can intercept (near-source materials).</w:t>
      </w:r>
    </w:p>
    <w:p>
      <w:pPr>
        <w:pStyle w:val="BodyText"/>
      </w:pPr>
      <w:r>
        <w:t xml:space="preserve">Three caveats apply to this test. First, the 500 km characteristic length scale is a model parameter, not an</w:t>
      </w:r>
      <w:r>
        <w:t xml:space="preserve"> </w:t>
      </w:r>
      <w:r>
        <w:rPr>
          <w:i/>
          <w:iCs/>
        </w:rPr>
        <w:t xml:space="preserve">a priori</w:t>
      </w:r>
      <w:r>
        <w:t xml:space="preserve"> </w:t>
      </w:r>
      <w:r>
        <w:t xml:space="preserve">prediction, and it is not derived from data independent of the LMV. Second, the Spearman ranking is invariant under any monotonically decreasing</w:t>
      </w:r>
      <w:r>
        <w:t xml:space="preserve"> </w:t>
      </w:r>
      <m:oMath>
        <m:r>
          <m:t>p</m:t>
        </m:r>
        <m:r>
          <m:rPr>
            <m:sty m:val="p"/>
          </m:rPr>
          <m:t>(</m:t>
        </m:r>
        <m:r>
          <m:t>d</m:t>
        </m:r>
        <m:r>
          <m:rPr>
            <m:sty m:val="p"/>
          </m:rPr>
          <m:t>)</m:t>
        </m:r>
      </m:oMath>
      <w:r>
        <w:t xml:space="preserve">, so any model in the uniform-decay family (including a generic transport-cost or down-the-line exchange model) would produce the same</w:t>
      </w:r>
      <w:r>
        <w:t xml:space="preserve"> </w:t>
      </w:r>
      <m:oMath>
        <m:r>
          <m:t>ρ</m:t>
        </m:r>
      </m:oMath>
      <w: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t xml:space="preserve">The postive results of coarse asymmetry test (</w:t>
      </w:r>
      <w:r>
        <w:t xml:space="preserve">“is the regional concentration ratio strong enough, and the asymmetry consistent enough, to distinguish hub-accumulation from bidirectional storage-and-redistribution or smooth distance-decay?”</w:t>
      </w:r>
      <w: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t xml:space="preserve">“is the hinterland-to-hub concentration ratio specifically patterned at sites whose visitor-band status is independently established?”</w:t>
      </w:r>
      <w: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t xml:space="preserve">6.2 Bayesian threshold-proximity under joint uncertainty propagation</w:t>
      </w:r>
    </w:p>
    <w:p>
      <w:pPr>
        <w:pStyle w:val="FirstParagraph"/>
      </w:pPr>
      <w:r>
        <w:t xml:space="preserve">A demanding test of the framework is whether environmental conditions estimated from paleoclimate proxies, with no archaeological data included in the</w:t>
      </w:r>
      <w:r>
        <w:t xml:space="preserve"> </w:t>
      </w:r>
      <m:oMath>
        <m:r>
          <m:t>σ</m:t>
        </m:r>
      </m:oMath>
      <w:r>
        <w:t xml:space="preserve"> </w:t>
      </w:r>
      <w:r>
        <w:t xml:space="preserve">calculation, fall on the model-predicted threshold. The structural reasoning is that if Poverty Point exhibits the archaeological hallmarks of monumental aggregation, and the framework predicts that such aggregation should occur only when</w:t>
      </w:r>
      <w:r>
        <w:t xml:space="preserve"> </w:t>
      </w:r>
      <m:oMath>
        <m:r>
          <m:t>σ</m:t>
        </m:r>
      </m:oMath>
      <w:r>
        <w:t xml:space="preserve"> </w:t>
      </w:r>
      <w:r>
        <w:t xml:space="preserve">exceeds</w:t>
      </w:r>
      <w:r>
        <w:t xml:space="preserve"> </w:t>
      </w:r>
      <m:oMath>
        <m:sSup>
          <m:e>
            <m:r>
              <m:t>σ</m:t>
            </m:r>
          </m:e>
          <m:sup>
            <m:r>
              <m:rPr>
                <m:sty m:val="p"/>
              </m:rPr>
              <m:t>*</m:t>
            </m:r>
          </m:sup>
        </m:sSup>
      </m:oMath>
      <w:r>
        <w:t xml:space="preserve">, then estimating</w:t>
      </w:r>
      <w:r>
        <w:t xml:space="preserve"> </w:t>
      </w:r>
      <m:oMath>
        <m:r>
          <m:t>σ</m:t>
        </m:r>
      </m:oMath>
      <w:r>
        <w:t xml:space="preserve"> </w:t>
      </w:r>
      <w:r>
        <w:t xml:space="preserve">from independent climate proxies and comparing it to</w:t>
      </w:r>
      <w:r>
        <w:t xml:space="preserve"> </w:t>
      </w:r>
      <m:oMath>
        <m:sSup>
          <m:e>
            <m:r>
              <m:t>σ</m:t>
            </m:r>
          </m:e>
          <m:sup>
            <m:r>
              <m:rPr>
                <m:sty m:val="p"/>
              </m:rPr>
              <m:t>*</m:t>
            </m:r>
          </m:sup>
        </m:sSup>
      </m:oMath>
      <w:r>
        <w:t xml:space="preserve"> </w:t>
      </w:r>
      <w:r>
        <w:t xml:space="preserve">tests the prediction. If proxy-derived</w:t>
      </w:r>
      <w:r>
        <w:t xml:space="preserve"> </w:t>
      </w:r>
      <m:oMath>
        <m:r>
          <m:t>σ</m:t>
        </m:r>
      </m:oMath>
      <w:r>
        <w:t xml:space="preserve"> </w:t>
      </w:r>
      <w:r>
        <w:t xml:space="preserve">falls</w:t>
      </w:r>
      <w:r>
        <w:t xml:space="preserve"> </w:t>
      </w:r>
      <w:r>
        <w:rPr>
          <w:i/>
          <w:iCs/>
        </w:rPr>
        <w:t xml:space="preserve">above</w:t>
      </w:r>
      <w:r>
        <w:t xml:space="preserve"> </w:t>
      </w:r>
      <m:oMath>
        <m:sSup>
          <m:e>
            <m:r>
              <m:t>σ</m:t>
            </m:r>
          </m:e>
          <m:sup>
            <m:r>
              <m:rPr>
                <m:sty m:val="p"/>
              </m:rPr>
              <m:t>*</m:t>
            </m:r>
          </m:sup>
        </m:sSup>
      </m:oMath>
      <w:r>
        <w:t xml:space="preserve">, the prediction holds. If it falls below, the prediction fails.</w:t>
      </w:r>
    </w:p>
    <w:p>
      <w:pPr>
        <w:pStyle w:val="BodyText"/>
      </w:pPr>
      <w:r>
        <w:t xml:space="preserve">The</w:t>
      </w:r>
      <w:r>
        <w:t xml:space="preserve"> </w:t>
      </w:r>
      <w:r>
        <w:t xml:space="preserve">“independence”</w:t>
      </w:r>
      <w:r>
        <w:t xml:space="preserve"> </w:t>
      </w:r>
      <w:r>
        <w:t xml:space="preserve">framing of this test has a caveat: the model’s threshold</w:t>
      </w:r>
      <w:r>
        <w:t xml:space="preserve"> </w:t>
      </w:r>
      <m:oMath>
        <m:sSup>
          <m:e>
            <m:r>
              <m:t>σ</m:t>
            </m:r>
          </m:e>
          <m:sup>
            <m:r>
              <m:rPr>
                <m:sty m:val="p"/>
              </m:rPr>
              <m:t>*</m:t>
            </m:r>
          </m:sup>
        </m:sSup>
      </m:oMath>
      <w:r>
        <w:t xml:space="preserve"> </w:t>
      </w:r>
      <w:r>
        <w:t xml:space="preserve">is not derived independently of Poverty Point. The cost parameters (</w:t>
      </w:r>
      <m:oMath>
        <m:sSub>
          <m:e>
            <m:r>
              <m:t>C</m:t>
            </m:r>
          </m:e>
          <m:sub>
            <m:r>
              <m:t>s</m:t>
            </m:r>
            <m:r>
              <m:t>i</m:t>
            </m:r>
            <m:r>
              <m:t>g</m:t>
            </m:r>
            <m:r>
              <m:t>n</m:t>
            </m:r>
            <m:r>
              <m:t>a</m:t>
            </m:r>
            <m:r>
              <m:t>l</m:t>
            </m:r>
          </m:sub>
        </m:sSub>
        <m:r>
          <m:rPr>
            <m:sty m:val="p"/>
          </m:rPr>
          <m:t>=</m:t>
        </m:r>
        <m:r>
          <m:t>0.18</m:t>
        </m:r>
      </m:oMath>
      <w:r>
        <w:t xml:space="preserve">,</w:t>
      </w:r>
      <w:r>
        <w:t xml:space="preserve"> </w:t>
      </w:r>
      <m:oMath>
        <m:sSub>
          <m:e>
            <m:r>
              <m:t>C</m:t>
            </m:r>
          </m:e>
          <m:sub>
            <m:r>
              <m:t>o</m:t>
            </m:r>
            <m:r>
              <m:t>p</m:t>
            </m:r>
            <m:r>
              <m:t>p</m:t>
            </m:r>
            <m:r>
              <m:t>o</m:t>
            </m:r>
            <m:r>
              <m:t>r</m:t>
            </m:r>
            <m:r>
              <m:t>t</m:t>
            </m:r>
            <m:r>
              <m:t>u</m:t>
            </m:r>
            <m:r>
              <m:t>n</m:t>
            </m:r>
            <m:r>
              <m:t>i</m:t>
            </m:r>
            <m:r>
              <m:t>t</m:t>
            </m:r>
            <m:r>
              <m:t>y</m:t>
            </m:r>
          </m:sub>
        </m:sSub>
        <m:r>
          <m:rPr>
            <m:sty m:val="p"/>
          </m:rPr>
          <m:t>=</m:t>
        </m:r>
        <m:r>
          <m:t>0.12</m:t>
        </m:r>
      </m:oMath>
      <w:r>
        <w:t xml:space="preserve">), the within-group reward asserted at</w:t>
      </w:r>
      <w:r>
        <w:t xml:space="preserve"> </w:t>
      </w:r>
      <m:oMath>
        <m:sSub>
          <m:e>
            <m:r>
              <m:t>λ</m:t>
            </m:r>
          </m:e>
          <m:sub>
            <m:r>
              <m:t>W</m:t>
            </m:r>
          </m:sub>
        </m:sSub>
        <m:r>
          <m:rPr>
            <m:sty m:val="p"/>
          </m:rPr>
          <m:t>=</m:t>
        </m:r>
        <m:r>
          <m:t>0.15</m:t>
        </m:r>
      </m:oMath>
      <w:r>
        <w:t xml:space="preserve">, the network-saturation constants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and the default ecotone-weighting rubric were all chosen so that the model run at PP-scenario parameters produces a calibrated PP-scale operation. The §S3.1 one-at-a-time sensitivity table shows that</w:t>
      </w:r>
      <w:r>
        <w:t xml:space="preserve"> </w:t>
      </w:r>
      <m:oMath>
        <m:sSup>
          <m:e>
            <m:r>
              <m:t>σ</m:t>
            </m:r>
          </m:e>
          <m:sup>
            <m:r>
              <m:rPr>
                <m:sty m:val="p"/>
              </m:rPr>
              <m:t>*</m:t>
            </m:r>
          </m:sup>
        </m:sSup>
      </m:oMath>
      <w:r>
        <w:t xml:space="preserve"> </w:t>
      </w:r>
      <w:r>
        <w:t xml:space="preserve">has a 0.225 swing under</w:t>
      </w:r>
      <w:r>
        <w:t xml:space="preserve"> </w:t>
      </w:r>
      <m:oMath>
        <m:r>
          <m:rPr>
            <m:sty m:val="p"/>
          </m:rPr>
          <m:t>±</m:t>
        </m:r>
        <m:r>
          <m:t>50</m:t>
        </m:r>
        <m:r>
          <m:rPr>
            <m:sty m:val="p"/>
          </m:rPr>
          <m:t>%</m:t>
        </m:r>
      </m:oMath>
      <w:r>
        <w:t xml:space="preserve"> </w:t>
      </w:r>
      <m:oMath>
        <m:sSub>
          <m:e>
            <m:r>
              <m:t>C</m:t>
            </m:r>
          </m:e>
          <m:sub>
            <m:r>
              <m:t>s</m:t>
            </m:r>
            <m:r>
              <m:t>i</m:t>
            </m:r>
            <m:r>
              <m:t>g</m:t>
            </m:r>
            <m:r>
              <m:t>n</m:t>
            </m:r>
            <m:r>
              <m:t>a</m:t>
            </m:r>
            <m:r>
              <m:t>l</m:t>
            </m:r>
          </m:sub>
        </m:sSub>
      </m:oMath>
      <w:r>
        <w:t xml:space="preserve"> </w:t>
      </w:r>
      <w:r>
        <w:t xml:space="preserve">and a 0.154 swing under</w:t>
      </w:r>
      <w:r>
        <w:t xml:space="preserve"> </w:t>
      </w:r>
      <m:oMath>
        <m:r>
          <m:t>ε</m:t>
        </m:r>
        <m:r>
          <m:rPr>
            <m:sty m:val="p"/>
          </m:rPr>
          <m:t>∈</m:t>
        </m:r>
        <m:r>
          <m:rPr>
            <m:sty m:val="p"/>
          </m:rPr>
          <m:t>[</m:t>
        </m:r>
        <m:r>
          <m:t>0.10</m:t>
        </m:r>
        <m:r>
          <m:rPr>
            <m:sty m:val="p"/>
          </m:rPr>
          <m:t>,</m:t>
        </m:r>
        <m:r>
          <m:t>0.50</m:t>
        </m:r>
        <m:r>
          <m:rPr>
            <m:sty m:val="p"/>
          </m:rPr>
          <m:t>]</m:t>
        </m:r>
      </m:oMath>
      <w:r>
        <w:t xml:space="preserve">. So</w:t>
      </w:r>
      <w:r>
        <w:t xml:space="preserve"> </w:t>
      </w:r>
      <m:oMath>
        <m:sSup>
          <m:e>
            <m:r>
              <m:t>σ</m:t>
            </m:r>
          </m:e>
          <m:sup>
            <m:r>
              <m:rPr>
                <m:sty m:val="p"/>
              </m:rPr>
              <m:t>*</m:t>
            </m:r>
          </m:sup>
        </m:sSup>
      </m:oMath>
      <w:r>
        <w:t xml:space="preserve"> </w:t>
      </w:r>
      <w:r>
        <w:t xml:space="preserve">is conditioned on a parameter set chosen to be consistent with the Poverty Point operation, even though the paleoclimate</w:t>
      </w:r>
      <w:r>
        <w:t xml:space="preserve"> </w:t>
      </w:r>
      <m:oMath>
        <m:r>
          <m:t>σ</m:t>
        </m:r>
      </m:oMath>
      <w:r>
        <w:t xml:space="preserve"> </w:t>
      </w:r>
      <w:r>
        <w:t xml:space="preserve">is independent of the Poverty Point archaeological record. The test below assesses whether paleoclimate</w:t>
      </w:r>
      <w:r>
        <w:t xml:space="preserve"> </w:t>
      </w:r>
      <m:oMath>
        <m:r>
          <m:t>σ</m:t>
        </m:r>
      </m:oMath>
      <w:r>
        <w:t xml:space="preserve"> </w:t>
      </w:r>
      <w: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t xml:space="preserve"> </w:t>
      </w:r>
      <m:oMath>
        <m:sSup>
          <m:e>
            <m:r>
              <m:t>σ</m:t>
            </m:r>
          </m:e>
          <m:sup>
            <m:r>
              <m:rPr>
                <m:sty m:val="p"/>
              </m:rPr>
              <m:t>*</m:t>
            </m:r>
          </m:sup>
        </m:sSup>
      </m:oMath>
      <w:r>
        <w:t xml:space="preserve"> </w:t>
      </w:r>
      <w:r>
        <w:t xml:space="preserve">as well. We identify this as a priority for empirical work in §7.4.</w:t>
      </w:r>
    </w:p>
    <w:p>
      <w:pPr>
        <w:pStyle w:val="BodyText"/>
      </w:pPr>
      <w:r>
        <w:t xml:space="preserve">Our estimated regional uncertainty for Poverty Point (</w:t>
      </w:r>
      <m:oMath>
        <m:sSub>
          <m:e>
            <m:r>
              <m:t>σ</m:t>
            </m:r>
          </m:e>
          <m:sub>
            <m:r>
              <m:t>L</m:t>
            </m:r>
            <m:r>
              <m:t>M</m:t>
            </m:r>
            <m:r>
              <m:t>V</m:t>
            </m:r>
          </m:sub>
        </m:sSub>
        <m:r>
          <m:rPr>
            <m:sty m:val="p"/>
          </m:rPr>
          <m:t>≈</m:t>
        </m:r>
        <m:r>
          <m:t>0.64</m:t>
        </m:r>
      </m:oMath>
      <w:r>
        <w:t xml:space="preserve">, 95% CI 0.41-0.94) was derived from paleoclimate proxies (§5.5). The central estimate exceeds the model-predicted threshold (</w:t>
      </w:r>
      <m:oMath>
        <m:sSup>
          <m:e>
            <m:r>
              <m:t>σ</m:t>
            </m:r>
          </m:e>
          <m:sup>
            <m:r>
              <m:rPr>
                <m:sty m:val="p"/>
              </m:rPr>
              <m:t>*</m:t>
            </m:r>
          </m:sup>
        </m:sSup>
        <m:r>
          <m:rPr>
            <m:sty m:val="p"/>
          </m:rPr>
          <m:t>≈</m:t>
        </m:r>
        <m:r>
          <m:t>0.40</m:t>
        </m:r>
      </m:oMath>
      <w:r>
        <w:t xml:space="preserve"> </w:t>
      </w:r>
      <w:r>
        <w:t xml:space="preserve">given the site’s ecotone advantage;</w:t>
      </w:r>
      <w:r>
        <w:t xml:space="preserve"> </w:t>
      </w:r>
      <m:oMath>
        <m:sSup>
          <m:e>
            <m:r>
              <m:t>σ</m:t>
            </m:r>
          </m:e>
          <m:sup>
            <m:r>
              <m:rPr>
                <m:sty m:val="p"/>
              </m:rPr>
              <m:t>*</m:t>
            </m:r>
          </m:sup>
        </m:sSup>
        <m:r>
          <m:rPr>
            <m:sty m:val="p"/>
          </m:rPr>
          <m:t>≈</m:t>
        </m:r>
        <m:r>
          <m:t>0.57</m:t>
        </m:r>
      </m:oMath>
      <w:r>
        <w:t xml:space="preserve"> </w:t>
      </w:r>
      <w:r>
        <w:t xml:space="preserve">without). However, two sources of uncertainty must be propagated through the comparison: the paleoclimate uncertainty in</w:t>
      </w:r>
      <w:r>
        <w:t xml:space="preserve"> </w:t>
      </w:r>
      <m:oMath>
        <m:sSub>
          <m:e>
            <m:r>
              <m:t>σ</m:t>
            </m:r>
          </m:e>
          <m:sub>
            <m:r>
              <m:t>L</m:t>
            </m:r>
            <m:r>
              <m:t>M</m:t>
            </m:r>
            <m:r>
              <m:t>V</m:t>
            </m:r>
          </m:sub>
        </m:sSub>
      </m:oMath>
      <w:r>
        <w:t xml:space="preserve">, and the ecotone-weighting uncertainty in</w:t>
      </w:r>
      <w:r>
        <w:t xml:space="preserve"> </w:t>
      </w:r>
      <m:oMath>
        <m:r>
          <m:t>ε</m:t>
        </m:r>
      </m:oMath>
      <w:r>
        <w:t xml:space="preserve">. Once both are propagated, the inference is more measured than the central estimate alone suggests.</w:t>
      </w:r>
    </w:p>
    <w:p>
      <w:pPr>
        <w:pStyle w:val="BodyText"/>
      </w:pPr>
      <w: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t xml:space="preserve"> </w:t>
      </w:r>
      <w:r>
        <w:t xml:space="preserve">“above threshold”</w:t>
      </w:r>
      <w:r>
        <w:t xml:space="preserve"> </w:t>
      </w:r>
      <w: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t xml:space="preserve"> </w:t>
      </w:r>
      <w:r>
        <w:t xml:space="preserve">“priors”</w:t>
      </w:r>
      <w:r>
        <w:t xml:space="preserve">), and run the model on each sample. The result is a distribution of outcomes (the</w:t>
      </w:r>
      <w:r>
        <w:t xml:space="preserve"> </w:t>
      </w:r>
      <w:r>
        <w:t xml:space="preserve">“posterior”</w:t>
      </w:r>
      <w:r>
        <w:t xml:space="preserve">) for</w:t>
      </w:r>
      <w:r>
        <w:t xml:space="preserve"> </w:t>
      </w:r>
      <m:oMath>
        <m:r>
          <m:t>σ</m:t>
        </m:r>
      </m:oMath>
      <w:r>
        <w:t xml:space="preserve">,</w:t>
      </w:r>
      <w:r>
        <w:t xml:space="preserve"> </w:t>
      </w:r>
      <m:oMath>
        <m:r>
          <m:t>ε</m:t>
        </m:r>
      </m:oMath>
      <w:r>
        <w:t xml:space="preserve">,</w:t>
      </w:r>
      <w:r>
        <w:t xml:space="preserve"> </w:t>
      </w:r>
      <m:oMath>
        <m:sSub>
          <m:e>
            <m:r>
              <m:t>σ</m:t>
            </m:r>
          </m:e>
          <m:sub>
            <m:r>
              <m:t>e</m:t>
            </m:r>
            <m:r>
              <m:t>f</m:t>
            </m:r>
            <m:r>
              <m:t>f</m:t>
            </m:r>
          </m:sub>
        </m:sSub>
      </m:oMath>
      <w:r>
        <w:t xml:space="preserve">, and</w:t>
      </w:r>
      <w:r>
        <w:t xml:space="preserve"> </w:t>
      </w:r>
      <m:oMath>
        <m:sSup>
          <m:e>
            <m:r>
              <m:t>σ</m:t>
            </m:r>
          </m:e>
          <m:sup>
            <m:r>
              <m:rPr>
                <m:sty m:val="p"/>
              </m:rPr>
              <m:t>*</m:t>
            </m:r>
          </m:sup>
        </m:sSup>
      </m:oMath>
      <w:r>
        <w:t xml:space="preserve"> </w:t>
      </w:r>
      <w: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t xml:space="preserve"> </w:t>
      </w:r>
      <w: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t xml:space="preserve">).</w:t>
      </w:r>
    </w:p>
    <w:p>
      <w:pPr>
        <w:pStyle w:val="BodyText"/>
      </w:pPr>
      <w:r>
        <w:t xml:space="preserve">Three different priors on the ecotone parameter test whether the result hinges on a specific operationalization.</w:t>
      </w:r>
      <w:r>
        <w:t xml:space="preserve"> </w:t>
      </w:r>
      <w:r>
        <w:rPr>
          <w:i/>
          <w:iCs/>
        </w:rPr>
        <w:t xml:space="preserve">Prior 1 (rubric):</w:t>
      </w:r>
      <w:r>
        <w:t xml:space="preserve"> </w:t>
      </w:r>
      <w:r>
        <w:t xml:space="preserve">uniform</w:t>
      </w:r>
      <w:r>
        <w:t xml:space="preserve"> </w:t>
      </w:r>
      <m:oMath>
        <m:r>
          <m:rPr>
            <m:sty m:val="p"/>
          </m:rPr>
          <m:t>±</m:t>
        </m:r>
        <m:r>
          <m:t>0.2</m:t>
        </m:r>
      </m:oMath>
      <w:r>
        <w:t xml:space="preserve"> </w:t>
      </w:r>
      <w:r>
        <w:t xml:space="preserve">on each of the five PP ecotone weights, centered on the qualitative rubric of §S6.</w:t>
      </w:r>
      <w:r>
        <w:t xml:space="preserve"> </w:t>
      </w:r>
      <w:r>
        <w:rPr>
          <w:i/>
          <w:iCs/>
        </w:rPr>
        <w:t xml:space="preserve">Prior 2 (flat):</w:t>
      </w:r>
      <w:r>
        <w:t xml:space="preserve"> </w:t>
      </w:r>
      <m:oMath>
        <m:r>
          <m:t>ε</m:t>
        </m:r>
        <m:r>
          <m:rPr>
            <m:sty m:val="p"/>
          </m:rPr>
          <m:t>∼</m:t>
        </m:r>
        <m:r>
          <m:t>U</m:t>
        </m:r>
        <m:r>
          <m:rPr>
            <m:sty m:val="p"/>
          </m:rPr>
          <m:t>[</m:t>
        </m:r>
        <m:r>
          <m:t>0.10</m:t>
        </m:r>
        <m:r>
          <m:rPr>
            <m:sty m:val="p"/>
          </m:rPr>
          <m:t>,</m:t>
        </m:r>
        <m:r>
          <m:t>0.50</m:t>
        </m:r>
        <m:r>
          <m:rPr>
            <m:sty m:val="p"/>
          </m:rPr>
          <m:t>]</m:t>
        </m:r>
      </m:oMath>
      <w:r>
        <w:t xml:space="preserve">, treating the disagreement among GIS-derived and rubric-based estimates (Saucier-categorical 0.22, EPA L4 0.33, rubric 0.49, phenology 0.50) as genuine uncertainty over the operative quantity.</w:t>
      </w:r>
      <w:r>
        <w:t xml:space="preserve"> </w:t>
      </w:r>
      <w:r>
        <w:rPr>
          <w:i/>
          <w:iCs/>
        </w:rPr>
        <w:t xml:space="preserve">Prior 3 (GIS mixture):</w:t>
      </w:r>
      <w:r>
        <w:t xml:space="preserve"> </w:t>
      </w:r>
      <w:r>
        <w:t xml:space="preserve">draws from the four GIS-derived</w:t>
      </w:r>
      <w:r>
        <w:t xml:space="preserve"> </w:t>
      </w:r>
      <m:oMath>
        <m:r>
          <m:t>ε</m:t>
        </m:r>
      </m:oMath>
      <w:r>
        <w:t xml:space="preserve"> </w:t>
      </w:r>
      <w:r>
        <w:t xml:space="preserve">estimates with</w:t>
      </w:r>
      <w:r>
        <w:t xml:space="preserve"> </w:t>
      </w:r>
      <m:oMath>
        <m:r>
          <m:rPr>
            <m:sty m:val="p"/>
          </m:rPr>
          <m:t>±</m:t>
        </m:r>
        <m:r>
          <m:t>0.05</m:t>
        </m:r>
      </m:oMath>
      <w:r>
        <w:t xml:space="preserve"> </w:t>
      </w:r>
      <w:r>
        <w:t xml:space="preserve">jitter. Under the three priors, the average posterior</w:t>
      </w:r>
      <w:r>
        <w:t xml:space="preserve"> </w:t>
      </w:r>
      <m:oMath>
        <m:sSub>
          <m:e>
            <m:r>
              <m:t>σ</m:t>
            </m:r>
          </m:e>
          <m:sub>
            <m:r>
              <m:t>e</m:t>
            </m:r>
            <m:r>
              <m:t>f</m:t>
            </m:r>
            <m:r>
              <m:t>f</m:t>
            </m:r>
          </m:sub>
        </m:sSub>
      </m:oMath>
      <w:r>
        <w:t xml:space="preserve"> </w:t>
      </w:r>
      <w:r>
        <w:t xml:space="preserve">is 0.324, 0.445, and 0.393, and the average posterior</w:t>
      </w:r>
      <w:r>
        <w:t xml:space="preserve"> </w:t>
      </w:r>
      <m:oMath>
        <m:sSup>
          <m:e>
            <m:r>
              <m:t>σ</m:t>
            </m:r>
          </m:e>
          <m:sup>
            <m:r>
              <m:rPr>
                <m:sty m:val="p"/>
              </m:rPr>
              <m:t>*</m:t>
            </m:r>
          </m:sup>
        </m:sSup>
      </m:oMath>
      <w:r>
        <w:t xml:space="preserve"> </w:t>
      </w:r>
      <w:r>
        <w:t xml:space="preserve">is 0.357, 0.422, and 0.392. The probability that aggregation is adaptive at Poverty Point,</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is</w:t>
      </w:r>
      <w:r>
        <w:t xml:space="preserve"> </w:t>
      </w:r>
      <w:r>
        <w:rPr>
          <w:b/>
          <w:bCs/>
        </w:rPr>
        <w:t xml:space="preserve">0.36</w:t>
      </w:r>
      <w:r>
        <w:t xml:space="preserve"> </w:t>
      </w:r>
      <w:r>
        <w:t xml:space="preserve">under the rubric prior,</w:t>
      </w:r>
      <w:r>
        <w:t xml:space="preserve"> </w:t>
      </w:r>
      <w:r>
        <w:rPr>
          <w:b/>
          <w:bCs/>
        </w:rPr>
        <w:t xml:space="preserve">0.56</w:t>
      </w:r>
      <w:r>
        <w:t xml:space="preserve"> </w:t>
      </w:r>
      <w:r>
        <w:t xml:space="preserve">under the flat prior, and</w:t>
      </w:r>
      <w:r>
        <w:t xml:space="preserve"> </w:t>
      </w:r>
      <w:r>
        <w:rPr>
          <w:b/>
          <w:bCs/>
        </w:rPr>
        <w:t xml:space="preserve">0.48</w:t>
      </w:r>
      <w:r>
        <w:t xml:space="preserve"> </w:t>
      </w:r>
      <w:r>
        <w:t xml:space="preserve">under the GIS-mixture prior. The probability rises rather than falls under less-informative priors, because lower-</w:t>
      </w:r>
      <m:oMath>
        <m:r>
          <m:t>ε</m:t>
        </m:r>
      </m:oMath>
      <w:r>
        <w:t xml:space="preserve"> </w:t>
      </w:r>
      <w:r>
        <w:t xml:space="preserve">samples raise</w:t>
      </w:r>
      <w:r>
        <w:t xml:space="preserve"> </w:t>
      </w:r>
      <m:oMath>
        <m:sSup>
          <m:e>
            <m:r>
              <m:t>σ</m:t>
            </m:r>
          </m:e>
          <m:sup>
            <m:r>
              <m:rPr>
                <m:sty m:val="p"/>
              </m:rPr>
              <m:t>*</m:t>
            </m:r>
          </m:sup>
        </m:sSup>
      </m:oMath>
      <w:r>
        <w:t xml:space="preserve"> </w:t>
      </w:r>
      <w:r>
        <w:t xml:space="preserve">but raise</w:t>
      </w:r>
      <w:r>
        <w:t xml:space="preserve"> </w:t>
      </w:r>
      <m:oMath>
        <m:sSub>
          <m:e>
            <m:r>
              <m:t>σ</m:t>
            </m:r>
          </m:e>
          <m:sub>
            <m:r>
              <m:t>e</m:t>
            </m:r>
            <m:r>
              <m:t>f</m:t>
            </m:r>
            <m:r>
              <m:t>f</m:t>
            </m:r>
          </m:sub>
        </m:sSub>
      </m:oMath>
      <w:r>
        <w:t xml:space="preserve"> </w:t>
      </w:r>
      <w:r>
        <w:t xml:space="preserve">even faster (since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The qualitative conclusion that Poverty Point sits in the threshold zone is robust to the choice of prior. What is not robust is whether the site sits clearly above or below the threshold. The interval</w:t>
      </w:r>
      <w:r>
        <w:t xml:space="preserve"> </w:t>
      </w:r>
      <m:oMath>
        <m:r>
          <m:t>P</m:t>
        </m:r>
        <m:r>
          <m:rPr>
            <m:sty m:val="p"/>
          </m:rPr>
          <m:t>∈</m:t>
        </m:r>
        <m:r>
          <m:rPr>
            <m:sty m:val="p"/>
          </m:rPr>
          <m:t>[</m:t>
        </m:r>
        <m:r>
          <m:t>0.36</m:t>
        </m:r>
        <m:r>
          <m:rPr>
            <m:sty m:val="p"/>
          </m:rPr>
          <m:t>,</m:t>
        </m:r>
        <m:r>
          <m:t>0.56</m:t>
        </m:r>
        <m:r>
          <m:rPr>
            <m:sty m:val="p"/>
          </m:rPr>
          <m:t>]</m:t>
        </m:r>
      </m:oMath>
      <w:r>
        <w:t xml:space="preserve"> </w:t>
      </w:r>
      <w:r>
        <w:t xml:space="preserve">across plausible priors indicates a near tie rather than a confident result. Tightening the input distributions, either by using a narrower LMV-specific paleoclimate reconstruction or by deriving a covariance-based</w:t>
      </w:r>
      <w:r>
        <w:t xml:space="preserve"> </w:t>
      </w:r>
      <m:oMath>
        <m:r>
          <m:t>ε</m:t>
        </m:r>
      </m:oMath>
      <w:r>
        <w:t xml:space="preserve"> </w:t>
      </w:r>
      <w:r>
        <w:t xml:space="preserve">from drainage-resolved hydrographs, would further shift the probability. The full sensitivity output is available in the project repository.</w:t>
      </w:r>
    </w:p>
    <w:p>
      <w:pPr>
        <w:pStyle w:val="BodyText"/>
      </w:pPr>
      <w:r>
        <w:t xml:space="preserve">To address the conditioning caveat above, we extend the Bayesian propagation to include uncertainty in the model parameters that determine where</w:t>
      </w:r>
      <w:r>
        <w:t xml:space="preserve"> </w:t>
      </w:r>
      <m:oMath>
        <m:sSup>
          <m:e>
            <m:r>
              <m:t>σ</m:t>
            </m:r>
          </m:e>
          <m:sup>
            <m:r>
              <m:rPr>
                <m:sty m:val="p"/>
              </m:rPr>
              <m:t>*</m:t>
            </m:r>
          </m:sup>
        </m:sSup>
      </m:oMath>
      <w:r>
        <w:t xml:space="preserve"> </w:t>
      </w:r>
      <w:r>
        <w:t xml:space="preserve">lies. We sample the six parameters that the §S3.1 sensitivity analysis identifies as determining</w:t>
      </w:r>
      <w:r>
        <w:t xml:space="preserve"> </w:t>
      </w:r>
      <m:oMath>
        <m:sSup>
          <m:e>
            <m:r>
              <m:t>σ</m:t>
            </m:r>
          </m:e>
          <m:sup>
            <m:r>
              <m:rPr>
                <m:sty m:val="p"/>
              </m:rPr>
              <m:t>*</m:t>
            </m:r>
          </m:sup>
        </m:sSup>
      </m:oMath>
      <w:r>
        <w:t xml:space="preserve"> </w:t>
      </w:r>
      <w:r>
        <w:t xml:space="preserve">(</w:t>
      </w:r>
      <m:oMath>
        <m:sSub>
          <m:e>
            <m:r>
              <m:t>C</m:t>
            </m:r>
          </m:e>
          <m:sub>
            <m:r>
              <m:t>s</m:t>
            </m:r>
            <m:r>
              <m:t>i</m:t>
            </m:r>
            <m:r>
              <m:t>g</m:t>
            </m:r>
            <m:r>
              <m:t>n</m:t>
            </m:r>
            <m:r>
              <m:t>a</m:t>
            </m:r>
            <m:r>
              <m:t>l</m:t>
            </m:r>
          </m:sub>
        </m:sSub>
      </m:oMath>
      <w:r>
        <w:t xml:space="preserve">,</w:t>
      </w:r>
      <w:r>
        <w:t xml:space="preserve"> </w:t>
      </w:r>
      <m:oMath>
        <m:sSub>
          <m:e>
            <m:r>
              <m:t>C</m:t>
            </m:r>
          </m:e>
          <m:sub>
            <m:r>
              <m:t>o</m:t>
            </m:r>
            <m:r>
              <m:t>p</m:t>
            </m:r>
            <m:r>
              <m:t>p</m:t>
            </m:r>
            <m:r>
              <m:t>o</m:t>
            </m:r>
            <m:r>
              <m:t>r</m:t>
            </m:r>
            <m:r>
              <m:t>t</m:t>
            </m:r>
            <m:r>
              <m:t>u</m:t>
            </m:r>
            <m:r>
              <m:t>n</m:t>
            </m:r>
            <m:r>
              <m:t>i</m:t>
            </m:r>
            <m:r>
              <m:t>t</m:t>
            </m:r>
            <m:r>
              <m:t>y</m:t>
            </m:r>
          </m:sub>
        </m:sSub>
      </m:oMath>
      <w:r>
        <w:t xml:space="preserve">,</w:t>
      </w:r>
      <w:r>
        <w:t xml:space="preserve"> </w:t>
      </w:r>
      <m:oMath>
        <m:sSub>
          <m:e>
            <m:r>
              <m:t>λ</m:t>
            </m:r>
          </m:e>
          <m:sub>
            <m:r>
              <m:t>W</m:t>
            </m:r>
          </m:sub>
        </m:sSub>
      </m:oMath>
      <w:r>
        <w:t xml:space="preserve">,</w:t>
      </w:r>
      <w:r>
        <w:t xml:space="preserve"> </w:t>
      </w:r>
      <m:oMath>
        <m:sSub>
          <m:e>
            <m:r>
              <m:t>k</m:t>
            </m:r>
          </m:e>
          <m:sub>
            <m:r>
              <m:rPr>
                <m:sty m:val="p"/>
              </m:rPr>
              <m:t>max</m:t>
            </m:r>
          </m:sub>
        </m:sSub>
      </m:oMath>
      <w:r>
        <w:t xml:space="preserve">,</w:t>
      </w:r>
      <w:r>
        <w:t xml:space="preserve"> </w:t>
      </w:r>
      <m:oMath>
        <m:sSub>
          <m:e>
            <m:r>
              <m:t>M</m:t>
            </m:r>
          </m:e>
          <m:sub>
            <m:r>
              <m:t>h</m:t>
            </m:r>
            <m:r>
              <m:t>a</m:t>
            </m:r>
            <m:r>
              <m:t>l</m:t>
            </m:r>
            <m:r>
              <m:t>f</m:t>
            </m:r>
          </m:sub>
        </m:sSub>
      </m:oMath>
      <w:r>
        <w:t xml:space="preserve">,</w:t>
      </w:r>
      <w:r>
        <w:t xml:space="preserve"> </w:t>
      </w:r>
      <m:oMath>
        <m:r>
          <m:t>γ</m:t>
        </m:r>
      </m:oMath>
      <w:r>
        <w:t xml:space="preserve">) from independent uniform priors at</w:t>
      </w:r>
      <w:r>
        <w:t xml:space="preserve"> </w:t>
      </w:r>
      <m:oMath>
        <m:r>
          <m:rPr>
            <m:sty m:val="p"/>
          </m:rPr>
          <m:t>±</m:t>
        </m:r>
        <m:r>
          <m:t>50</m:t>
        </m:r>
        <m:r>
          <m:rPr>
            <m:sty m:val="p"/>
          </m:rPr>
          <m:t>%</m:t>
        </m:r>
      </m:oMath>
      <w:r>
        <w:t xml:space="preserve"> </w:t>
      </w:r>
      <w:r>
        <w:t xml:space="preserve">around their default values, jointly with the rubric priors on</w:t>
      </w:r>
      <w:r>
        <w:t xml:space="preserve"> </w:t>
      </w:r>
      <m:oMath>
        <m:r>
          <m:t>σ</m:t>
        </m:r>
      </m:oMath>
      <w:r>
        <w:t xml:space="preserve"> </w:t>
      </w:r>
      <w:r>
        <w:t xml:space="preserve">and</w:t>
      </w:r>
      <w:r>
        <w:t xml:space="preserve"> </w:t>
      </w:r>
      <m:oMath>
        <m:r>
          <m:t>ε</m:t>
        </m:r>
      </m:oMath>
      <w:r>
        <w:t xml:space="preserve">. Across 1,000 joint samples (Figure S2; full output in the project repository), the posterior probability</w:t>
      </w:r>
      <w: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t xml:space="preserve"> </w:t>
      </w:r>
      <w:r>
        <w:t xml:space="preserve">is between 0.32 and 0.37 across Monte Carlo seeds (five seeds, 1,000 samples each), comparable to the 0.36 result under the rubric prior alone. The posterior on the gap</w:t>
      </w:r>
      <w:r>
        <w:t xml:space="preserve"> </w:t>
      </w:r>
      <m:oMath>
        <m:sSub>
          <m:e>
            <m:r>
              <m:t>σ</m:t>
            </m:r>
          </m:e>
          <m:sub>
            <m:r>
              <m:t>e</m:t>
            </m:r>
            <m:r>
              <m:t>f</m:t>
            </m:r>
            <m:r>
              <m:t>f</m:t>
            </m:r>
          </m:sub>
        </m:sSub>
        <m:r>
          <m:rPr>
            <m:sty m:val="p"/>
          </m:rPr>
          <m:t>−</m:t>
        </m:r>
        <m:sSup>
          <m:e>
            <m:r>
              <m:t>σ</m:t>
            </m:r>
          </m:e>
          <m:sup>
            <m:r>
              <m:rPr>
                <m:sty m:val="p"/>
              </m:rPr>
              <m:t>*</m:t>
            </m:r>
          </m:sup>
        </m:sSup>
      </m:oMath>
      <w:r>
        <w:t xml:space="preserve"> </w:t>
      </w:r>
      <w:r>
        <w:t xml:space="preserve">has a mean</w:t>
      </w:r>
      <w:r>
        <w:t xml:space="preserve"> </w:t>
      </w:r>
      <m:oMath>
        <m:r>
          <m:rPr>
            <m:sty m:val="p"/>
          </m:rPr>
          <m:t>−</m:t>
        </m:r>
        <m:r>
          <m:t>0.05</m:t>
        </m:r>
      </m:oMath>
      <w:r>
        <w:t xml:space="preserve"> </w:t>
      </w:r>
      <w:r>
        <w:t xml:space="preserve">with a 95% interval</w:t>
      </w:r>
      <w:r>
        <w:t xml:space="preserve"> </w:t>
      </w:r>
      <m:oMath>
        <m:r>
          <m:rPr>
            <m:sty m:val="p"/>
          </m:rPr>
          <m:t>[</m:t>
        </m:r>
        <m:r>
          <m:rPr>
            <m:sty m:val="p"/>
          </m:rPr>
          <m:t>−</m:t>
        </m:r>
        <m:r>
          <m:t>0.26</m:t>
        </m:r>
        <m:r>
          <m:rPr>
            <m:sty m:val="p"/>
          </m:rPr>
          <m:t>,</m:t>
        </m:r>
        <m:r>
          <m:rPr>
            <m:sty m:val="p"/>
          </m:rPr>
          <m:t>+</m:t>
        </m:r>
        <m:r>
          <m:t>0.18</m:t>
        </m:r>
        <m:r>
          <m:rPr>
            <m:sty m:val="p"/>
          </m:rPr>
          <m:t>]</m:t>
        </m:r>
      </m:oMath>
      <w:r>
        <w:t xml:space="preserve"> </w:t>
      </w:r>
      <w:r>
        <w:t xml:space="preserve">that substantially straddles zero. The conditioning caveat is therefore real but bounded: the §6.2 result is robust against adding</w:t>
      </w:r>
      <w:r>
        <w:t xml:space="preserve"> </w:t>
      </w:r>
      <m:oMath>
        <m:r>
          <m:rPr>
            <m:sty m:val="p"/>
          </m:rPr>
          <m:t>±</m:t>
        </m:r>
        <m:r>
          <m:t>50</m:t>
        </m:r>
        <m:r>
          <m:rPr>
            <m:sty m:val="p"/>
          </m:rPr>
          <m:t>%</m:t>
        </m:r>
      </m:oMath>
      <w:r>
        <w:t xml:space="preserve"> </w:t>
      </w:r>
      <w:r>
        <w:t xml:space="preserve">uncertainty in the parameters that fix</w:t>
      </w:r>
      <w:r>
        <w:t xml:space="preserve"> </w:t>
      </w:r>
      <m:oMath>
        <m:sSup>
          <m:e>
            <m:r>
              <m:t>σ</m:t>
            </m:r>
          </m:e>
          <m:sup>
            <m:r>
              <m:rPr>
                <m:sty m:val="p"/>
              </m:rPr>
              <m:t>*</m:t>
            </m:r>
          </m:sup>
        </m:sSup>
      </m:oMath>
      <w: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spans roughly 0.32 to 0.56 across plausible prior structures and joint parameter propagation,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t xml:space="preserve">6.3 The Watson Brake near-threshold case</w:t>
      </w:r>
    </w:p>
    <w:p>
      <w:pPr>
        <w:pStyle w:val="FirstParagraph"/>
      </w:pPr>
      <w:r>
        <w:t xml:space="preserve">Watson Brake (16OU175, ca. 5400-4700 cal BP; Saunders et al. 2005b), the other major LMV monumental site, provides a more demanding test. Running the calibrated model at WB-appropriate parameters (</w:t>
      </w:r>
      <m:oMath>
        <m:r>
          <m:t>ε</m:t>
        </m:r>
        <m:r>
          <m:rPr>
            <m:sty m:val="p"/>
          </m:rPr>
          <m:t>=</m:t>
        </m:r>
        <m:r>
          <m:t>0.43</m:t>
        </m:r>
      </m:oMath>
      <w:r>
        <w:t xml:space="preserve">,</w:t>
      </w:r>
      <w:r>
        <w:t xml:space="preserve"> </w:t>
      </w:r>
      <m:oMath>
        <m:r>
          <m:t>σ</m:t>
        </m:r>
        <m:r>
          <m:rPr>
            <m:sty m:val="p"/>
          </m:rPr>
          <m:t>≈</m:t>
        </m:r>
        <m:r>
          <m:t>0.56</m:t>
        </m:r>
      </m:oMath>
      <w:r>
        <w:t xml:space="preserve"> </w:t>
      </w:r>
      <w:r>
        <w:t xml:space="preserve">from mid-Holocene LMV proxies,</w:t>
      </w:r>
      <w:r>
        <w:t xml:space="preserve"> </w:t>
      </w:r>
      <m:oMath>
        <m:sSub>
          <m:e>
            <m:r>
              <m:t>n</m:t>
            </m:r>
          </m:e>
          <m:sub>
            <m:r>
              <m:t>a</m:t>
            </m:r>
            <m:r>
              <m:t>g</m:t>
            </m:r>
            <m:r>
              <m:t>g</m:t>
            </m:r>
          </m:sub>
        </m:sSub>
        <m:r>
          <m:rPr>
            <m:sty m:val="p"/>
          </m:rPr>
          <m:t>≈</m:t>
        </m:r>
        <m:r>
          <m:t>8</m:t>
        </m:r>
      </m:oMath>
      <w:r>
        <w:t xml:space="preserve"> </w:t>
      </w:r>
      <w:r>
        <w:t xml:space="preserve">from the smaller monumental footprint) returns</w:t>
      </w:r>
      <w:r>
        <w:t xml:space="preserve"> </w:t>
      </w:r>
      <m:oMath>
        <m:sSup>
          <m:e>
            <m:r>
              <m:t>σ</m:t>
            </m:r>
          </m:e>
          <m:sup>
            <m:r>
              <m:rPr>
                <m:sty m:val="p"/>
              </m:rPr>
              <m:t>*</m:t>
            </m:r>
          </m:sup>
        </m:sSup>
        <m:r>
          <m:rPr>
            <m:sty m:val="p"/>
          </m:rPr>
          <m:t>≈</m:t>
        </m:r>
        <m:r>
          <m:t>0.38</m:t>
        </m:r>
      </m:oMath>
      <w:r>
        <w:t xml:space="preserve">, exceeded by</w:t>
      </w:r>
      <w:r>
        <w:t xml:space="preserve"> </w:t>
      </w:r>
      <m:oMath>
        <m:sSub>
          <m:e>
            <m:r>
              <m:t>σ</m:t>
            </m:r>
          </m:e>
          <m:sub>
            <m:r>
              <m:t>W</m:t>
            </m:r>
            <m:r>
              <m:t>B</m:t>
            </m:r>
          </m:sub>
        </m:sSub>
      </m:oMath>
      <w:r>
        <w:t xml:space="preserve"> </w:t>
      </w:r>
      <w: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i/>
          <w:iCs/>
        </w:rPr>
        <w:t xml:space="preserve">Per-event labor scaling</w:t>
      </w:r>
      <w:r>
        <w:t xml:space="preserve"> </w:t>
      </w:r>
      <w:r>
        <w:t xml:space="preserve">(§S17.2). The conversion factor between simulated</w:t>
      </w:r>
      <w:r>
        <w:t xml:space="preserve"> </w:t>
      </w:r>
      <w:r>
        <w:t xml:space="preserve">“investment units”</w:t>
      </w:r>
      <w:r>
        <w:t xml:space="preserve"> </w:t>
      </w:r>
      <w:r>
        <w:t xml:space="preserve">and physical m³ of fill may vary across sites with different crew sizes. (The labor-scaling exponent</w:t>
      </w:r>
      <w:r>
        <w:t xml:space="preserve"> </w:t>
      </w:r>
      <m:oMath>
        <m:r>
          <m:t>α</m:t>
        </m:r>
      </m:oMath>
      <w:r>
        <w:t xml:space="preserve"> </w:t>
      </w:r>
      <w:r>
        <w:t xml:space="preserve">used here is unrelated to the vulnerability function</w:t>
      </w:r>
      <w:r>
        <w:t xml:space="preserve"> </w:t>
      </w:r>
      <m:oMath>
        <m:r>
          <m:t>α</m:t>
        </m:r>
        <m:r>
          <m:rPr>
            <m:sty m:val="p"/>
          </m:rPr>
          <m:t>(</m:t>
        </m:r>
        <m:r>
          <m:t>k</m:t>
        </m:r>
        <m:r>
          <m:rPr>
            <m:sty m:val="p"/>
          </m:rPr>
          <m:t>)</m:t>
        </m:r>
      </m:oMath>
      <w:r>
        <w:t xml:space="preserve"> </w:t>
      </w:r>
      <w:r>
        <w:t xml:space="preserve">of §2.4.) Coordination among many laborers may be more or less productive per worker than coordination among a few. We test two assumptions. With linear scaling (</w:t>
      </w:r>
      <m:oMath>
        <m:r>
          <m:t>α</m:t>
        </m:r>
        <m:r>
          <m:rPr>
            <m:sty m:val="p"/>
          </m:rPr>
          <m:t>=</m:t>
        </m:r>
        <m:r>
          <m:t>1</m:t>
        </m:r>
      </m:oMath>
      <w:r>
        <w:t xml:space="preserve">, each laborer adds the same fill volume regardless of crew size, which Erasmus’s 1965 ethnographic measurement of 2.6 m³/person-day supports under additive labor accounting), the model predicts ~77,000 m³ at WB, a 2.8-fold overprediction of the LiDAR-derived 27,065 m³: additive labor accounting narrows the continuous-equilibrium overshoot from ~9× to ~2.8× but does not close it. With superadditive scaling (</w:t>
      </w:r>
      <m:oMath>
        <m:r>
          <m:t>α</m:t>
        </m:r>
        <m:r>
          <m:rPr>
            <m:sty m:val="p"/>
          </m:rPr>
          <m:t>=</m:t>
        </m:r>
        <m:r>
          <m:t>2</m:t>
        </m:r>
      </m:oMath>
      <w: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t xml:space="preserve"> </w:t>
      </w:r>
      <m:oMath>
        <m:r>
          <m:t>α</m:t>
        </m:r>
        <m:r>
          <m:rPr>
            <m:sty m:val="p"/>
          </m:rPr>
          <m:t>=</m:t>
        </m:r>
        <m:r>
          <m:t>2</m:t>
        </m:r>
      </m:oMath>
      <w:r>
        <w:t xml:space="preserve"> </w:t>
      </w:r>
      <w:r>
        <w:t xml:space="preserve">closes the WB gap cleanly, without requiring the regime-switching extension below.</w:t>
      </w:r>
    </w:p>
    <w:p>
      <w:pPr>
        <w:pStyle w:val="BodyText"/>
      </w:pPr>
      <w:r>
        <w:rPr>
          <w:i/>
          <w:iCs/>
        </w:rPr>
        <w:t xml:space="preserve">Regime switching</w:t>
      </w:r>
      <w:r>
        <w:t xml:space="preserve"> </w:t>
      </w:r>
      <w:r>
        <w:t xml:space="preserve">(§S17.1). The continuous-equilibrium reading treats the system as smoothly transitioning from</w:t>
      </w:r>
      <w:r>
        <w:t xml:space="preserve"> </w:t>
      </w:r>
      <w:r>
        <w:t xml:space="preserve">“no construction”</w:t>
      </w:r>
      <w:r>
        <w:t xml:space="preserve"> </w:t>
      </w:r>
      <w:r>
        <w:t xml:space="preserve">to</w:t>
      </w:r>
      <w:r>
        <w:t xml:space="preserve"> </w:t>
      </w:r>
      <w:r>
        <w:t xml:space="preserve">“full construction”</w:t>
      </w:r>
      <w:r>
        <w:t xml:space="preserve"> </w:t>
      </w:r>
      <w: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t xml:space="preserve"> </w:t>
      </w:r>
      <m:oMath>
        <m:r>
          <m:t>K</m:t>
        </m:r>
      </m:oMath>
      <w:r>
        <w:t xml:space="preserve"> </w:t>
      </w:r>
      <w:r>
        <w:t xml:space="preserve">consecutive years before the population shifts to the construction regime, capturing the realistic time needed to establish trust and coordinate across bands. With year-to-year variability in</w:t>
      </w:r>
      <w:r>
        <w:t xml:space="preserve"> </w:t>
      </w:r>
      <m:oMath>
        <m:r>
          <m:t>σ</m:t>
        </m:r>
      </m:oMath>
      <w: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w:t>
      </w:r>
      <w:r>
        <w:t xml:space="preserve">at</w:t>
      </w:r>
      <w:r>
        <w:t xml:space="preserve"> </w:t>
      </w:r>
      <m:oMath>
        <m:sSub>
          <m:e>
            <m:r>
              <m:t>σ</m:t>
            </m:r>
          </m:e>
          <m:sub>
            <m:r>
              <m:t>s</m:t>
            </m:r>
            <m:r>
              <m:t>d</m:t>
            </m:r>
          </m:sub>
        </m:sSub>
        <m:r>
          <m:rPr>
            <m:sty m:val="p"/>
          </m:rPr>
          <m:t>≈</m:t>
        </m:r>
        <m:r>
          <m:t>0.10</m:t>
        </m:r>
      </m:oMath>
      <w:r>
        <w:t xml:space="preserve">-</w:t>
      </w:r>
      <m:oMath>
        <m:r>
          <m:t>0.125</m:t>
        </m:r>
      </m:oMath>
      <w:r>
        <w:t xml:space="preserve"> </w:t>
      </w:r>
      <w:r>
        <w:t xml:space="preserve">span ~5,400 to ~75,000 m³ (with</w:t>
      </w:r>
      <w:r>
        <w:t xml:space="preserve"> </w:t>
      </w:r>
      <m:oMath>
        <m:r>
          <m:t>K</m:t>
        </m:r>
        <m:r>
          <m:rPr>
            <m:sty m:val="p"/>
          </m:rPr>
          <m:t>=</m:t>
        </m:r>
        <m:r>
          <m:t>1</m:t>
        </m:r>
      </m:oMath>
      <w:r>
        <w:t xml:space="preserve"> </w:t>
      </w:r>
      <w:r>
        <w:t xml:space="preserve">at the upper end overshooting by ~2.4 to 2.8× and</w:t>
      </w:r>
      <w:r>
        <w:t xml:space="preserve"> </w:t>
      </w:r>
      <m:oMath>
        <m:r>
          <m:t>K</m:t>
        </m:r>
        <m:r>
          <m:rPr>
            <m:sty m:val="p"/>
          </m:rPr>
          <m:t>=</m:t>
        </m:r>
        <m:r>
          <m:t>3</m:t>
        </m:r>
      </m:oMath>
      <w:r>
        <w:t xml:space="preserve"> </w:t>
      </w:r>
      <w:r>
        <w:t xml:space="preserve">at the lower end undershooting by ~3.4 to 5×). The observed 27,065 m³ sits between these and is bracketed by an intermediate</w:t>
      </w:r>
      <w:r>
        <w:t xml:space="preserve"> </w:t>
      </w:r>
      <m:oMath>
        <m:r>
          <m:t>K</m:t>
        </m:r>
        <m:r>
          <m:rPr>
            <m:sty m:val="p"/>
          </m:rPr>
          <m:t>=</m:t>
        </m:r>
        <m:r>
          <m:t>2</m:t>
        </m:r>
      </m:oMath>
      <w:r>
        <w:t xml:space="preserve"> </w:t>
      </w:r>
      <w:r>
        <w:t xml:space="preserve">value. Because the per-event labor-scaling extension above already closes the WB gap essentially exactly without invoking regime switching, the substantive role of the regime-switching mechanism is now to account for the</w:t>
      </w:r>
      <w:r>
        <w:t xml:space="preserve"> </w:t>
      </w:r>
      <w:r>
        <w:rPr>
          <w:i/>
          <w:iCs/>
        </w:rPr>
        <w:t xml:space="preserve">episodic tempo</w:t>
      </w:r>
      <w:r>
        <w:t xml:space="preserve"> </w:t>
      </w:r>
      <w:r>
        <w:t xml:space="preserve">of WB construction (matching the 200+-year inter-stage gaps documented by Saunders et al. 2005b), not to bracket the total volume.</w:t>
      </w:r>
    </w:p>
    <w:p>
      <w:pPr>
        <w:pStyle w:val="BodyText"/>
      </w:pPr>
      <w:r>
        <w:t xml:space="preserve">The closure is therefore conditional on</w:t>
      </w:r>
      <w:r>
        <w:t xml:space="preserve"> </w:t>
      </w:r>
      <m:oMath>
        <m:r>
          <m:t>α</m:t>
        </m:r>
        <m:r>
          <m:rPr>
            <m:sty m:val="p"/>
          </m:rPr>
          <m:t>=</m:t>
        </m:r>
        <m:r>
          <m:t>2</m:t>
        </m:r>
      </m:oMath>
      <w:r>
        <w:t xml:space="preserve"> </w:t>
      </w:r>
      <w:r>
        <w:t xml:space="preserve">(ethnographically unsupported) and</w:t>
      </w:r>
      <w:r>
        <w:t xml:space="preserve"> </w:t>
      </w:r>
      <m:oMath>
        <m:sSub>
          <m:e>
            <m:r>
              <m:t>σ</m:t>
            </m:r>
          </m:e>
          <m:sub>
            <m:r>
              <m:t>s</m:t>
            </m:r>
            <m:r>
              <m:t>d</m:t>
            </m:r>
          </m:sub>
        </m:sSub>
        <m:r>
          <m:rPr>
            <m:sty m:val="p"/>
          </m:rPr>
          <m:t>∈</m:t>
        </m:r>
        <m:r>
          <m:rPr>
            <m:sty m:val="p"/>
          </m:rPr>
          <m:t>[</m:t>
        </m:r>
        <m:r>
          <m:t>0.10</m:t>
        </m:r>
        <m:r>
          <m:rPr>
            <m:sty m:val="p"/>
          </m:rPr>
          <m:t>,</m:t>
        </m:r>
        <m:r>
          <m:t>0.125</m:t>
        </m:r>
        <m:r>
          <m:rPr>
            <m:sty m:val="p"/>
          </m:rPr>
          <m:t>]</m:t>
        </m:r>
      </m:oMath>
      <w:r>
        <w:t xml:space="preserve"> </w:t>
      </w:r>
      <w:r>
        <w:t xml:space="preserve">(paleoclimate-central). Regime-switching</w:t>
      </w:r>
      <w:r>
        <w:t xml:space="preserve"> </w:t>
      </w:r>
      <m:oMath>
        <m:r>
          <m:t>K</m:t>
        </m:r>
      </m:oMath>
      <w:r>
        <w:t xml:space="preserve"> </w:t>
      </w:r>
      <w:r>
        <w:t xml:space="preserve">no longer drives the volume closure (it accounts for the episodic tempo), though</w:t>
      </w:r>
      <w:r>
        <w:t xml:space="preserve"> </w:t>
      </w:r>
      <m:oMath>
        <m:r>
          <m:t>K</m:t>
        </m:r>
        <m:r>
          <m:rPr>
            <m:sty m:val="p"/>
          </m:rPr>
          <m:t>≈</m:t>
        </m:r>
        <m:r>
          <m:t>2</m:t>
        </m:r>
      </m:oMath>
      <w:r>
        <w:t xml:space="preserve"> </w:t>
      </w:r>
      <w:r>
        <w:t xml:space="preserve">would bracket the LiDAR-derived 27,065 m³ between the</w:t>
      </w:r>
      <w:r>
        <w:t xml:space="preserve"> </w:t>
      </w:r>
      <m:oMath>
        <m:r>
          <m:t>K</m:t>
        </m:r>
        <m:r>
          <m:rPr>
            <m:sty m:val="p"/>
          </m:rPr>
          <m:t>=</m:t>
        </m:r>
        <m:r>
          <m:t>1</m:t>
        </m:r>
      </m:oMath>
      <w:r>
        <w:t xml:space="preserve"> </w:t>
      </w:r>
      <w:r>
        <w:t xml:space="preserve">overshoot and</w:t>
      </w:r>
      <w:r>
        <w:t xml:space="preserve"> </w:t>
      </w:r>
      <m:oMath>
        <m:r>
          <m:t>K</m:t>
        </m:r>
        <m:r>
          <m:rPr>
            <m:sty m:val="p"/>
          </m:rPr>
          <m:t>=</m:t>
        </m:r>
        <m:r>
          <m:t>3</m:t>
        </m:r>
      </m:oMath>
      <w:r>
        <w:t xml:space="preserve"> </w:t>
      </w:r>
      <w:r>
        <w:t xml:space="preserve">undershoot. It remains a demonstration of consistency conditional on a fitted labor-scaling exponent, not a passed test. The Watson Brake observation could have failed under arbitrary parameter choices. Under the ethnographically defensible</w:t>
      </w:r>
      <w:r>
        <w:t xml:space="preserve"> </w:t>
      </w:r>
      <m:oMath>
        <m:r>
          <m:t>α</m:t>
        </m:r>
        <m:r>
          <m:rPr>
            <m:sty m:val="p"/>
          </m:rPr>
          <m:t>=</m:t>
        </m:r>
        <m:r>
          <m:t>1</m:t>
        </m:r>
      </m:oMath>
      <w:r>
        <w:t xml:space="preserve">, the closure does not hold: the framework still overpredicts Watson Brake by approximately 2.8-fold (~77,000 m³ against the observed 27,065 m³).</w:t>
      </w:r>
    </w:p>
    <w:p>
      <w:pPr>
        <w:pStyle w:val="BodyText"/>
      </w:pPr>
      <w: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2005b) match the on-again-off-again pattern predicted by the framework in the transition zone, where the system spends intervals in each regime rather than persisting in one. Third, the smaller margin between WB’s environmental</w:t>
      </w:r>
      <w:r>
        <w:t xml:space="preserve"> </w:t>
      </w:r>
      <m:oMath>
        <m:r>
          <m:t>σ</m:t>
        </m:r>
      </m:oMath>
      <w:r>
        <w:t xml:space="preserve"> </w:t>
      </w:r>
      <w:r>
        <w:t xml:space="preserve">and its</w:t>
      </w:r>
      <w:r>
        <w:t xml:space="preserve"> </w:t>
      </w:r>
      <m:oMath>
        <m:sSup>
          <m:e>
            <m:r>
              <m:t>σ</m:t>
            </m:r>
          </m:e>
          <m:sup>
            <m:r>
              <m:rPr>
                <m:sty m:val="p"/>
              </m:rPr>
              <m:t>*</m:t>
            </m:r>
          </m:sup>
        </m:sSup>
      </m:oMath>
      <w:r>
        <w:t xml:space="preserve"> </w:t>
      </w:r>
      <w: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2005b).</w:t>
      </w:r>
    </w:p>
    <w:p>
      <w:pPr>
        <w:pStyle w:val="BodyText"/>
      </w:pPr>
      <w:r>
        <w:t xml:space="preserve">We treat this as a</w:t>
      </w:r>
      <w:r>
        <w:t xml:space="preserve"> </w:t>
      </w:r>
      <w:r>
        <w:rPr>
          <w:i/>
          <w:iCs/>
        </w:rPr>
        <w:t xml:space="preserve">consistency demonstration conditional on parameter choices</w:t>
      </w:r>
      <w:r>
        <w:t xml:space="preserve"> </w:t>
      </w:r>
      <w:r>
        <w:t xml:space="preserve">rather than a passed test, because the labor-scaling exponent was not derived from independent ethnographic data:</w:t>
      </w:r>
      <w:r>
        <w:t xml:space="preserve"> </w:t>
      </w:r>
      <m:oMath>
        <m:r>
          <m:t>α</m:t>
        </m:r>
        <m:r>
          <m:rPr>
            <m:sty m:val="p"/>
          </m:rPr>
          <m:t>=</m:t>
        </m:r>
        <m:r>
          <m:t>2</m:t>
        </m:r>
      </m:oMath>
      <w:r>
        <w:t xml:space="preserve"> </w:t>
      </w:r>
      <w:r>
        <w:t xml:space="preserve">was selected to minimize log-overprediction across the eleven-site sample. Under the refined LiDAR-derived 27,065 m³,</w:t>
      </w:r>
      <w:r>
        <w:t xml:space="preserve"> </w:t>
      </w:r>
      <m:oMath>
        <m:r>
          <m:t>α</m:t>
        </m:r>
        <m:r>
          <m:rPr>
            <m:sty m:val="p"/>
          </m:rPr>
          <m:t>=</m:t>
        </m:r>
        <m:r>
          <m:t>2</m:t>
        </m:r>
      </m:oMath>
      <w:r>
        <w:t xml:space="preserve"> </w:t>
      </w:r>
      <w:r>
        <w:t xml:space="preserve">produces a near-exact match (0.91×). At</w:t>
      </w:r>
      <w:r>
        <w:t xml:space="preserve"> </w:t>
      </w:r>
      <m:oMath>
        <m:r>
          <m:t>α</m:t>
        </m:r>
        <m:r>
          <m:rPr>
            <m:sty m:val="p"/>
          </m:rPr>
          <m:t>=</m:t>
        </m:r>
        <m:r>
          <m:t>1</m:t>
        </m:r>
      </m:oMath>
      <w:r>
        <w:t xml:space="preserve"> </w:t>
      </w:r>
      <w:r>
        <w:t xml:space="preserve">(Erasmus-grounded), it overpredicts by ~2.8-fold. The regime-switching</w:t>
      </w:r>
      <w:r>
        <w:t xml:space="preserve"> </w:t>
      </w:r>
      <m:oMath>
        <m:r>
          <m:t>K</m:t>
        </m:r>
      </m:oMath>
      <w:r>
        <w:t xml:space="preserve"> </w:t>
      </w:r>
      <w:r>
        <w:t xml:space="preserve">parameter is no longer required to bracket the volume observation (the labor-scaling extension closes the gap on its own). Its substantive role is to account for the episodic tempo of WB construction (the 200+-year inter-stage gaps), which it does for any</w:t>
      </w:r>
      <w:r>
        <w:t xml:space="preserve"> </w:t>
      </w:r>
      <m:oMath>
        <m:r>
          <m:t>K</m:t>
        </m:r>
        <m:r>
          <m:rPr>
            <m:sty m:val="p"/>
          </m:rPr>
          <m:t>≥</m:t>
        </m:r>
        <m:r>
          <m:t>1</m:t>
        </m:r>
      </m:oMath>
      <w:r>
        <w:t xml:space="preserve"> </w:t>
      </w:r>
      <w:r>
        <w:t xml:space="preserve">given WB’s proximity to the threshold. The result demonstrates that the bistable framework reading is</w:t>
      </w:r>
      <w:r>
        <w:t xml:space="preserve"> </w:t>
      </w:r>
      <w:r>
        <w:rPr>
          <w:i/>
          <w:iCs/>
        </w:rPr>
        <w:t xml:space="preserve">consistent with</w:t>
      </w:r>
      <w:r>
        <w:t xml:space="preserve"> </w:t>
      </w:r>
      <w:r>
        <w:t xml:space="preserve">observed WB volume and tempo. It is not a test that the WB observation could have failed under arbitrary parameter choices.</w:t>
      </w:r>
    </w:p>
    <w:bookmarkEnd w:id="66"/>
    <w:bookmarkStart w:id="70" w:name="cross-lmv-regional-analysis"/>
    <w:p>
      <w:pPr>
        <w:pStyle w:val="Heading3"/>
      </w:pPr>
      <w:r>
        <w:t xml:space="preserve">6.4 Cross-LMV regional analysis</w:t>
      </w:r>
    </w:p>
    <w:p>
      <w:pPr>
        <w:pStyle w:val="FirstParagraph"/>
      </w:pPr>
      <w:r>
        <w:t xml:space="preserve">The framework’s necessary condition for sustained aggregation is that the buffered uncertainty at the site,</w:t>
      </w:r>
      <w: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t xml:space="preserve">, sits below the threshold</w:t>
      </w:r>
      <w:r>
        <w:t xml:space="preserve"> </w:t>
      </w:r>
      <m:oMath>
        <m:sSup>
          <m:e>
            <m:r>
              <m:t>σ</m:t>
            </m:r>
          </m:e>
          <m:sup>
            <m:r>
              <m:rPr>
                <m:sty m:val="p"/>
              </m:rPr>
              <m:t>*</m:t>
            </m:r>
          </m:sup>
        </m:sSup>
      </m:oMath>
      <w: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t xml:space="preserve"> </w:t>
      </w:r>
      <w:r>
        <w:t xml:space="preserve">band (</w:t>
      </w:r>
      <m:oMath>
        <m:r>
          <m:t>ε</m:t>
        </m:r>
        <m:r>
          <m:rPr>
            <m:sty m:val="p"/>
          </m:rPr>
          <m:t>≈</m:t>
        </m:r>
        <m:r>
          <m:t>0.40</m:t>
        </m:r>
      </m:oMath>
      <w:r>
        <w:t xml:space="preserve"> </w:t>
      </w:r>
      <w:r>
        <w:t xml:space="preserve">to</w:t>
      </w:r>
      <w:r>
        <w:t xml:space="preserve"> </w:t>
      </w:r>
      <m:oMath>
        <m:r>
          <m:t>0.49</m:t>
        </m:r>
      </m:oMath>
      <w:r>
        <w:t xml:space="preserve">), with predicted</w:t>
      </w:r>
      <w:r>
        <w:t xml:space="preserve"> </w:t>
      </w:r>
      <m:oMath>
        <m:sSup>
          <m:e>
            <m:r>
              <m:t>σ</m:t>
            </m:r>
          </m:e>
          <m:sup>
            <m:r>
              <m:rPr>
                <m:sty m:val="p"/>
              </m:rPr>
              <m:t>*</m:t>
            </m:r>
          </m:sup>
        </m:sSup>
      </m:oMath>
      <w:r>
        <w:t xml:space="preserve"> </w:t>
      </w:r>
      <w:r>
        <w:t xml:space="preserve">comfortably below the regional</w:t>
      </w:r>
      <w:r>
        <w:t xml:space="preserve"> </w:t>
      </w:r>
      <m:oMath>
        <m:sSub>
          <m:e>
            <m:r>
              <m:t>σ</m:t>
            </m:r>
          </m:e>
          <m:sub>
            <m:r>
              <m:t>L</m:t>
            </m:r>
            <m:r>
              <m:t>M</m:t>
            </m:r>
            <m:r>
              <m:t>V</m:t>
            </m:r>
          </m:sub>
        </m:sSub>
        <m:r>
          <m:rPr>
            <m:sty m:val="p"/>
          </m:rPr>
          <m:t>≈</m:t>
        </m:r>
        <m:r>
          <m:t>0.64</m:t>
        </m:r>
      </m:oMath>
      <w:r>
        <w:t xml:space="preserve">. Only the coastal Pearl River pair falls substantially lower (</w:t>
      </w:r>
      <m:oMath>
        <m:r>
          <m:t>ε</m:t>
        </m:r>
        <m:r>
          <m:rPr>
            <m:sty m:val="p"/>
          </m:rPr>
          <m:t>≈</m:t>
        </m:r>
        <m:r>
          <m:t>0.30</m:t>
        </m:r>
      </m:oMath>
      <w:r>
        <w:t xml:space="preserve"> </w:t>
      </w:r>
      <w:r>
        <w:t xml:space="preserve">under the original coding. See corrected coding discussion in the closing paragraph). The static-diversity proxy distinguishes the interior sites from the coastal pair on the threshold dimension (Table 2).</w:t>
      </w:r>
    </w:p>
    <w:p>
      <w:pPr>
        <w:pStyle w:val="BodyText"/>
      </w:pPr>
      <w: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t xml:space="preserve"> </w:t>
      </w:r>
      <m:oMath>
        <m:r>
          <m:t>ε</m:t>
        </m:r>
        <m:r>
          <m:rPr>
            <m:sty m:val="p"/>
          </m:rPr>
          <m:t>≈</m:t>
        </m:r>
        <m:r>
          <m:t>0.40</m:t>
        </m:r>
      </m:oMath>
      <w:r>
        <w:t xml:space="preserve"> </w:t>
      </w:r>
      <w:r>
        <w:t xml:space="preserve">on the corrected zone-coding scheme (intersecting coastal marsh and the Coastal Plain Upland; see closing paragraph), against the interior PP-contemporary monument-builders’</w:t>
      </w:r>
      <w:r>
        <w:t xml:space="preserve"> </w:t>
      </w:r>
      <m:oMath>
        <m:r>
          <m:t>ε</m:t>
        </m:r>
        <m:r>
          <m:rPr>
            <m:sty m:val="p"/>
          </m:rPr>
          <m:t>≈</m:t>
        </m:r>
        <m:r>
          <m:t>0.42</m:t>
        </m:r>
      </m:oMath>
      <w:r>
        <w:t xml:space="preserve">-</w:t>
      </w:r>
      <m:oMath>
        <m:r>
          <m:t>0.49</m:t>
        </m:r>
      </m:oMath>
      <w:r>
        <w:t xml:space="preserve"> </w:t>
      </w:r>
      <w: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t xml:space="preserve"> </w:t>
      </w:r>
      <w:r>
        <w:t xml:space="preserve">access, even on the corrected coding. The screening’s qualitative result is robust to the chronological correction.</w:t>
      </w:r>
    </w:p>
    <w:p>
      <w:pPr>
        <w:pStyle w:val="BodyText"/>
      </w:pPr>
      <w:r>
        <w:rPr>
          <w:b/>
          <w:bCs/>
        </w:rPr>
        <w:t xml:space="preserve">Table 2.</w:t>
      </w:r>
      <w:r>
        <w:t xml:space="preserve"> </w:t>
      </w:r>
      <w:r>
        <w:rPr>
          <w:i/>
          <w:iCs/>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t xml:space="preserve"> </w:t>
      </w:r>
      <m:oMath>
        <m:r>
          <m:t>H</m:t>
        </m:r>
        <m:r>
          <m:rPr>
            <m:sty m:val="p"/>
          </m:rPr>
          <m:t>/</m:t>
        </m:r>
        <m:sSub>
          <m:e>
            <m:r>
              <m:t>H</m:t>
            </m:r>
          </m:e>
          <m:sub>
            <m:r>
              <m:rPr>
                <m:sty m:val="p"/>
              </m:rPr>
              <m:t>max</m:t>
            </m:r>
          </m:sub>
        </m:sSub>
      </m:oMath>
      <w:r>
        <w:t xml:space="preserve"> </w:t>
      </w:r>
      <w:r>
        <w:rPr>
          <w:i/>
          <w:iCs/>
        </w:rPr>
        <w:t xml:space="preserve">normalizes by</w:t>
      </w:r>
      <w:r>
        <w:t xml:space="preserve"> </w:t>
      </w:r>
      <m:oMath>
        <m:r>
          <m:rPr>
            <m:sty m:val="p"/>
          </m:rPr>
          <m:t>ln</m:t>
        </m:r>
        <m:r>
          <m:t>5</m:t>
        </m:r>
      </m:oMath>
      <w:r>
        <w:rPr>
          <w:i/>
          <w:iCs/>
        </w:rPr>
        <w:t xml:space="preserve">.</w:t>
      </w:r>
      <w: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t xml:space="preserve"> </w:t>
      </w:r>
      <w:r>
        <w:rPr>
          <w:i/>
          <w:iCs/>
        </w:rPr>
        <w:t xml:space="preserve">maps the normalized fraction onto the model’s ecotone parameter. Predicted</w:t>
      </w:r>
      <w:r>
        <w:t xml:space="preserve"> </w:t>
      </w:r>
      <m:oMath>
        <m:sSup>
          <m:e>
            <m:r>
              <m:t>σ</m:t>
            </m:r>
          </m:e>
          <m:sup>
            <m:r>
              <m:rPr>
                <m:sty m:val="p"/>
              </m:rPr>
              <m:t>*</m:t>
            </m:r>
          </m:sup>
        </m:sSup>
      </m:oMath>
      <w:r>
        <w:t xml:space="preserve"> </w:t>
      </w:r>
      <w:r>
        <w:rPr>
          <w:i/>
          <w:iCs/>
        </w:rPr>
        <w:t xml:space="preserve">uses</w:t>
      </w:r>
      <w:r>
        <w:t xml:space="preserve"> </w:t>
      </w:r>
      <m:oMath>
        <m:sSub>
          <m:e>
            <m:r>
              <m:t>n</m:t>
            </m:r>
          </m:e>
          <m:sub>
            <m:r>
              <m:t>a</m:t>
            </m:r>
            <m:r>
              <m:t>g</m:t>
            </m:r>
            <m:r>
              <m:t>g</m:t>
            </m:r>
          </m:sub>
        </m:sSub>
        <m:r>
          <m:rPr>
            <m:sty m:val="p"/>
          </m:rPr>
          <m:t>=</m:t>
        </m:r>
        <m:r>
          <m:t>25</m:t>
        </m:r>
      </m:oMath>
      <w:r>
        <w:rPr>
          <w:i/>
          <w:iCs/>
        </w:rPr>
        <w:t xml:space="preserve">. The five zone-access weights</w:t>
      </w:r>
      <w: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t xml:space="preserve"> </w:t>
      </w:r>
      <w:r>
        <w:rPr>
          <w:i/>
          <w:iCs/>
        </w:rPr>
        <w:t xml:space="preserve">are for</w:t>
      </w:r>
      <w:r>
        <w:rPr>
          <w:i/>
          <w:iCs/>
        </w:rPr>
        <w:t xml:space="preserve"> </w:t>
      </w:r>
      <w:r>
        <w:rPr>
          <w:b/>
          <w:bCs/>
          <w:i/>
          <w:iCs/>
        </w:rPr>
        <w:t xml:space="preserve">a</w:t>
      </w:r>
      <w:r>
        <w:rPr>
          <w:i/>
          <w:iCs/>
        </w:rPr>
        <w:t xml:space="preserve">quatic,</w:t>
      </w:r>
      <w:r>
        <w:rPr>
          <w:i/>
          <w:iCs/>
        </w:rPr>
        <w:t xml:space="preserve"> </w:t>
      </w:r>
      <w:r>
        <w:rPr>
          <w:b/>
          <w:bCs/>
          <w:i/>
          <w:iCs/>
        </w:rPr>
        <w:t xml:space="preserve">u</w:t>
      </w:r>
      <w:r>
        <w:rPr>
          <w:i/>
          <w:iCs/>
        </w:rPr>
        <w:t xml:space="preserve">pland,</w:t>
      </w:r>
      <w:r>
        <w:rPr>
          <w:i/>
          <w:iCs/>
        </w:rPr>
        <w:t xml:space="preserve"> </w:t>
      </w:r>
      <w:r>
        <w:rPr>
          <w:b/>
          <w:bCs/>
          <w:i/>
          <w:iCs/>
        </w:rPr>
        <w:t xml:space="preserve">d</w:t>
      </w:r>
      <w:r>
        <w:rPr>
          <w:i/>
          <w:iCs/>
        </w:rPr>
        <w:t xml:space="preserve">rainage,</w:t>
      </w:r>
      <w:r>
        <w:rPr>
          <w:i/>
          <w:iCs/>
        </w:rPr>
        <w:t xml:space="preserve"> </w:t>
      </w:r>
      <w:r>
        <w:rPr>
          <w:b/>
          <w:bCs/>
          <w:i/>
          <w:iCs/>
        </w:rPr>
        <w:t xml:space="preserve">m</w:t>
      </w:r>
      <w:r>
        <w:rPr>
          <w:i/>
          <w:iCs/>
        </w:rPr>
        <w:t xml:space="preserve">ast, and</w:t>
      </w:r>
      <w:r>
        <w:rPr>
          <w:i/>
          <w:iCs/>
        </w:rPr>
        <w:t xml:space="preserve"> </w:t>
      </w:r>
      <w:r>
        <w:rPr>
          <w:b/>
          <w:bCs/>
          <w:i/>
          <w:iCs/>
        </w:rPr>
        <w:t xml:space="preserve">p</w:t>
      </w:r>
      <w:r>
        <w:rPr>
          <w:i/>
          <w:iCs/>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 xml:space="preserve">J.W. Copes (16MA47)</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t xml:space="preserve">A Monte Carlo perturbation of the zone weights (§S13) shows that the screening result is only partly robust against scoring uncertainty under the corrected coastal coding: Poverty Point ranks first in 86% of 1,000 perturbations, but the coastal Pearl River pair occupies the bottom two ranks in only 21% of draws (at baseline they tie Jaketown at</w:t>
      </w:r>
      <w:r>
        <w:t xml:space="preserve"> </w:t>
      </w:r>
      <m:oMath>
        <m:r>
          <m:t>ε</m:t>
        </m:r>
        <m:r>
          <m:rPr>
            <m:sty m:val="p"/>
          </m:rPr>
          <m:t>=</m:t>
        </m:r>
        <m:r>
          <m:t>0.40</m:t>
        </m:r>
      </m:oMath>
      <w:r>
        <w:t xml:space="preserve">), and the full interior rank order is never preserved. The PP-first result is what the perturbation supports robustly. The interior-versus-coastal discrimination, which was robust under the original coastal coding, rests on small margins once the corrected coding credits the coastal pair’s Coastal Plain Upland access, consistent with the qualification developed in the closing paragraph of this section.</w:t>
      </w:r>
    </w:p>
    <w:p>
      <w:pPr>
        <w:pStyle w:val="BodyText"/>
      </w:pPr>
      <w: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t xml:space="preserve"> </w:t>
      </w:r>
      <w:r>
        <w:t xml:space="preserve">filter is therefore not evidence that mound-building was confined to high-</w:t>
      </w:r>
      <m:oMath>
        <m:r>
          <m:t>ε</m:t>
        </m:r>
      </m:oMath>
      <w:r>
        <w:t xml:space="preserve"> </w:t>
      </w:r>
      <w:r>
        <w:t xml:space="preserve">locations across the LMV. It is a description of the catchment geomorphology of the LMV interior, where upland terrace, together with adjacent floodplain and backswamp settings, gives every habitable interior location a high-zone-count buffer. The two interior non-mound comparators have</w:t>
      </w:r>
      <w:r>
        <w:t xml:space="preserve"> </w:t>
      </w:r>
      <m:oMath>
        <m:r>
          <m:t>ε</m:t>
        </m:r>
      </m:oMath>
      <w:r>
        <w:t xml:space="preserve"> </w:t>
      </w:r>
      <w:r>
        <w:t xml:space="preserve">values similar to those of the mound-building sites without themselves becoming monumental, consistent with high-</w:t>
      </w:r>
      <m:oMath>
        <m:r>
          <m:t>ε</m:t>
        </m:r>
      </m:oMath>
      <w:r>
        <w:t xml:space="preserve"> </w:t>
      </w:r>
      <w: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t xml:space="preserve"> </w:t>
      </w:r>
      <m:oMath>
        <m:r>
          <m:t>ε</m:t>
        </m:r>
        <m:r>
          <m:rPr>
            <m:sty m:val="p"/>
          </m:rPr>
          <m:t>=</m:t>
        </m:r>
        <m:r>
          <m:t>0.40</m:t>
        </m:r>
      </m:oMath>
      <w:r>
        <w:t xml:space="preserve"> </w:t>
      </w:r>
      <w:r>
        <w:t xml:space="preserve">and predicted</w:t>
      </w:r>
      <w:r>
        <w:t xml:space="preserve"> </w:t>
      </w:r>
      <m:oMath>
        <m:sSup>
          <m:e>
            <m:r>
              <m:t>σ</m:t>
            </m:r>
          </m:e>
          <m:sup>
            <m:r>
              <m:rPr>
                <m:sty m:val="p"/>
              </m:rPr>
              <m:t>*</m:t>
            </m:r>
          </m:sup>
        </m:sSup>
        <m:r>
          <m:rPr>
            <m:sty m:val="p"/>
          </m:rPr>
          <m:t>≈</m:t>
        </m:r>
        <m:r>
          <m:t>0.38</m:t>
        </m:r>
      </m:oMath>
      <w:r>
        <w:t xml:space="preserve">, effectively the same threshold as Jaketown. What Table 2 still shows is that the coastal pair ranks lowest on static diversity (H = 1.29), though only marginally below the interior minimum (Jaketown, H = 1.30). The §6.5 multi-drainage analysis does not separate them more sharply either: the coastal pair integrates two independent shortfall regimes, the same count as Watson Brake, Frenchman’s Bend, Caney, Insley, and J.W. Copes, with only Poverty Point and Lower Jackson (four) and Jaketown (three) ranking higher. The coast is therefore not quantitatively set apart from the interior comparators on any single static metric. We treat it as the natural negative case on structural grounds. It is the only site in a distinct estuarine ecoregion, where a single riverine input (the Pearl) feeds covarying estuarine and marsh zones under a shared storm- and salinity-driven shortfall, rather than the separate, low-covariance river systems plus an independent mast-forest upland that the interior sites combine, and it ranks lowest on both</w:t>
      </w:r>
      <w:r>
        <w:t xml:space="preserve"> </w:t>
      </w:r>
      <m:oMath>
        <m:r>
          <m:t>ε</m:t>
        </m:r>
      </m:oMath>
      <w:r>
        <w:t xml:space="preserve"> </w:t>
      </w:r>
      <w:r>
        <w:t xml:space="preserve">and static diversity. The deeper point is that the screening is a necessity test, and the coast meets it about as well as the interior non-mound comparators (Cowpen Slough, J.W. Copes). What separates monumental Poverty Point from the coast and from those interior comparators alike is the attained aggregation size set by convergence dynamics (§6.6), not</w:t>
      </w:r>
      <w:r>
        <w:t xml:space="preserve"> </w:t>
      </w:r>
      <m:oMath>
        <m:r>
          <m:t>ε</m:t>
        </m:r>
      </m:oMath>
      <w:r>
        <w:t xml:space="preserve">. The coastal pair is thus best understood as one of several sites where the necessary condition is met but monumentality did not follow, not as a site categorically excluded by low</w:t>
      </w:r>
      <w:r>
        <w:t xml:space="preserve"> </w:t>
      </w:r>
      <m:oMath>
        <m:r>
          <m:t>ε</m:t>
        </m:r>
      </m:oMath>
      <w:r>
        <w:t xml:space="preserve">. Beyond this, Table 2 does not test the framework’s magnitude prediction. The static zone count is not the operative quantity, as we discuss in §6.6.</w:t>
      </w:r>
    </w:p>
    <w:p>
      <w:pPr>
        <w:pStyle w:val="BodyText"/>
      </w:pPr>
      <w:r>
        <w:drawing>
          <wp:inline>
            <wp:extent cx="5943600" cy="6784944"/>
            <wp:effectExtent b="0" l="0" r="0" t="0"/>
            <wp:docPr descr="" title="" id="68" name="Picture"/>
            <a:graphic>
              <a:graphicData uri="http://schemas.openxmlformats.org/drawingml/2006/picture">
                <pic:pic>
                  <pic:nvPicPr>
                    <pic:cNvPr descr="../../figures/manuscript/figure_13_gis_ecoregions.png" id="69" name="Picture"/>
                    <pic:cNvPicPr>
                      <a:picLocks noChangeArrowheads="1" noChangeAspect="1"/>
                    </pic:cNvPicPr>
                  </pic:nvPicPr>
                  <pic:blipFill>
                    <a:blip r:embed="rId67"/>
                    <a:stretch>
                      <a:fillRect/>
                    </a:stretch>
                  </pic:blipFill>
                  <pic:spPr bwMode="auto">
                    <a:xfrm>
                      <a:off x="0" y="0"/>
                      <a:ext cx="5943600" cy="6784944"/>
                    </a:xfrm>
                    <a:prstGeom prst="rect">
                      <a:avLst/>
                    </a:prstGeom>
                    <a:noFill/>
                    <a:ln w="9525">
                      <a:noFill/>
                      <a:headEnd/>
                      <a:tailEnd/>
                    </a:ln>
                  </pic:spPr>
                </pic:pic>
              </a:graphicData>
            </a:graphic>
          </wp:inline>
        </w:drawing>
      </w:r>
    </w:p>
    <w:p>
      <w:pPr>
        <w:pStyle w:val="BodyText"/>
      </w:pPr>
      <w:r>
        <w:rPr>
          <w:b/>
          <w:bCs/>
          <w:i/>
          <w:iCs/>
        </w:rPr>
        <w:t xml:space="preserve">Figure 13. Lower Mississippi Valley sites overlaid on EPA Level IV ecoregions: the static-diversity baseline.</w:t>
      </w:r>
      <w:r>
        <w:t xml:space="preserve"> </w:t>
      </w:r>
      <w:r>
        <w:rPr>
          <w:i/>
          <w:iCs/>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t xml:space="preserve"> </w:t>
      </w:r>
      <w:r>
        <w:rPr>
          <w:i/>
          <w:iCs/>
        </w:rPr>
        <w:t xml:space="preserve">Caney’s buffer</w:t>
      </w:r>
      <w:r>
        <w:t xml:space="preserve"> </w:t>
      </w:r>
      <w:r>
        <w:rPr>
          <w:i/>
          <w:iCs/>
        </w:rPr>
        <w:t xml:space="preserve">crosses the highest count of distinct Level IV polygons (9) of any LMV site, with Cowpen Slough (8) and Watson Brake (7) next.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t xml:space="preserve"> </w:t>
      </w:r>
      <m:oMath>
        <m:r>
          <m:t>ε</m:t>
        </m:r>
      </m:oMath>
      <w:r>
        <w:t xml:space="preserve"> </w:t>
      </w:r>
      <w:r>
        <w:rPr>
          <w:i/>
          <w:iCs/>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t xml:space="preserve">6.5 Multi-drainage shortfall buffering: USGS gauge analysis</w:t>
      </w:r>
    </w:p>
    <w:p>
      <w:pPr>
        <w:pStyle w:val="FirstParagraph"/>
      </w:pPr>
      <w:r>
        <w:t xml:space="preserve">The framework’s</w:t>
      </w:r>
      <w:r>
        <w:t xml:space="preserve"> </w:t>
      </w:r>
      <m:oMath>
        <m:r>
          <m:t>ε</m:t>
        </m:r>
      </m:oMath>
      <w:r>
        <w:t xml:space="preserve"> </w:t>
      </w:r>
      <w: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t xml:space="preserve">Modern USGS gauge records establish that PP’s catchment integrates</w:t>
      </w:r>
      <w:r>
        <w:t xml:space="preserve"> </w:t>
      </w:r>
      <w:r>
        <w:rPr>
          <w:b/>
          <w:bCs/>
        </w:rPr>
        <w:t xml:space="preserve">three substantively independent drainage signals</w:t>
      </w:r>
      <w:r>
        <w:t xml:space="preserve"> </w:t>
      </w:r>
      <w:r>
        <w:t xml:space="preserve">rather than four: Bayou Maçon and the Tensas River are highly correlated (</w:t>
      </w:r>
      <m:oMath>
        <m:r>
          <m:t>r</m:t>
        </m:r>
        <m:r>
          <m:rPr>
            <m:sty m:val="p"/>
          </m:rPr>
          <m:t>=</m:t>
        </m:r>
        <m:r>
          <m:t>0.90</m:t>
        </m:r>
      </m:oMath>
      <w:r>
        <w:t xml:space="preserve"> </w:t>
      </w:r>
      <w:r>
        <w:t xml:space="preserve">on log-monthly anomalies, n = 93), reflecting their shared Macon-Ridge geomorphology, and function as a single</w:t>
      </w:r>
      <w:r>
        <w:t xml:space="preserve"> </w:t>
      </w:r>
      <w:r>
        <w:t xml:space="preserve">“Macon Ridge drainage system”</w:t>
      </w:r>
      <w:r>
        <w:t xml:space="preserve"> </w:t>
      </w:r>
      <w:r>
        <w:t xml:space="preserve">from the framework’s covariance-based</w:t>
      </w:r>
      <w:r>
        <w:t xml:space="preserve"> </w:t>
      </w:r>
      <m:oMath>
        <m:r>
          <m:t>ε</m:t>
        </m:r>
      </m:oMath>
      <w:r>
        <w:t xml:space="preserve"> </w:t>
      </w:r>
      <w:r>
        <w:t xml:space="preserve">standpoint. The genuinely independent regimes are the Macon Ridge system, the Yazoo Basin (uncorrelated with the Mississippi at</w:t>
      </w:r>
      <w:r>
        <w:t xml:space="preserve"> </w:t>
      </w:r>
      <m:oMath>
        <m:r>
          <m:t>r</m:t>
        </m:r>
        <m:r>
          <m:rPr>
            <m:sty m:val="p"/>
          </m:rPr>
          <m:t>=</m:t>
        </m:r>
        <m:r>
          <m:t>0.11</m:t>
        </m:r>
      </m:oMath>
      <w:r>
        <w:t xml:space="preserve">), and the Mississippi mainstem (partly shared with the Tensas at</w:t>
      </w:r>
      <w:r>
        <w:t xml:space="preserve"> </w:t>
      </w:r>
      <m:oMath>
        <m:r>
          <m:t>r</m:t>
        </m:r>
        <m:r>
          <m:rPr>
            <m:sty m:val="p"/>
          </m:rPr>
          <m:t>=</m:t>
        </m:r>
        <m:r>
          <m:t>0.34</m:t>
        </m:r>
      </m:oMath>
      <w: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t xml:space="preserve"> </w:t>
      </w:r>
      <w:r>
        <w:t xml:space="preserve">“three vs one”</w:t>
      </w:r>
      <w:r>
        <w:t xml:space="preserve"> </w:t>
      </w:r>
      <w:r>
        <w:t xml:space="preserve">rather than</w:t>
      </w:r>
      <w:r>
        <w:t xml:space="preserve"> </w:t>
      </w:r>
      <w:r>
        <w:t xml:space="preserve">“four vs one.”</w:t>
      </w:r>
      <w:r>
        <w:t xml:space="preserve"> </w:t>
      </w:r>
      <w:r>
        <w:t xml:space="preserve">Full pairwise correlation analysis in §S15.</w:t>
      </w:r>
    </w:p>
    <w:p>
      <w:pPr>
        <w:pStyle w:val="BodyText"/>
      </w:pPr>
      <w: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t xml:space="preserve"> </w:t>
      </w:r>
      <m:oMath>
        <m:r>
          <m:t>r</m:t>
        </m:r>
        <m:r>
          <m:rPr>
            <m:sty m:val="p"/>
          </m:rPr>
          <m:t>=</m:t>
        </m:r>
        <m:r>
          <m:t>0.11</m:t>
        </m:r>
      </m:oMath>
      <w:r>
        <w:t xml:space="preserve">. How much higher is not directly measurable, but the geomorphological literature is consistent with shifts in</w:t>
      </w:r>
      <w:r>
        <w:t xml:space="preserve"> </w:t>
      </w:r>
      <m:oMath>
        <m:r>
          <m:rPr>
            <m:sty m:val="p"/>
          </m:rPr>
          <m:t>Δ</m:t>
        </m:r>
        <m:r>
          <m:t>r</m:t>
        </m:r>
      </m:oMath>
      <w:r>
        <w:t xml:space="preserve"> </w:t>
      </w:r>
      <w:r>
        <w:t xml:space="preserve">of</w:t>
      </w:r>
      <w:r>
        <w:t xml:space="preserve"> </w:t>
      </w:r>
      <m:oMath>
        <m:r>
          <m:rPr>
            <m:sty m:val="p"/>
          </m:rPr>
          <m:t>+</m:t>
        </m:r>
        <m:r>
          <m:t>0.20</m:t>
        </m:r>
      </m:oMath>
      <w:r>
        <w:t xml:space="preserve"> </w:t>
      </w:r>
      <w:r>
        <w:t xml:space="preserve">to</w:t>
      </w:r>
      <w:r>
        <w:t xml:space="preserve"> </w:t>
      </w:r>
      <m:oMath>
        <m:r>
          <m:rPr>
            <m:sty m:val="p"/>
          </m:rPr>
          <m:t>+</m:t>
        </m:r>
        <m:r>
          <m:t>0.40</m:t>
        </m:r>
      </m:oMath>
      <w:r>
        <w:t xml:space="preserve"> </w:t>
      </w:r>
      <w: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t xml:space="preserve">), Poverty Point integrates three independent regimes (Macon Ridge system, Yazoo Basin, Mississippi mainstem); (ii) a</w:t>
      </w:r>
      <w:r>
        <w:t xml:space="preserve"> </w:t>
      </w:r>
      <m:oMath>
        <m:r>
          <m:rPr>
            <m:sty m:val="p"/>
          </m:rPr>
          <m:t>Δ</m:t>
        </m:r>
        <m:r>
          <m:t>r</m:t>
        </m:r>
        <m:r>
          <m:rPr>
            <m:sty m:val="p"/>
          </m:rPr>
          <m:t>=</m:t>
        </m:r>
        <m:r>
          <m:rPr>
            <m:sty m:val="p"/>
          </m:rPr>
          <m:t>+</m:t>
        </m:r>
        <m:r>
          <m:t>0.30</m:t>
        </m:r>
      </m:oMath>
      <w:r>
        <w:t xml:space="preserve"> </w:t>
      </w:r>
      <w:r>
        <w:t xml:space="preserve">upward shift (</w:t>
      </w:r>
      <m:oMath>
        <m:r>
          <m:t>r</m:t>
        </m:r>
        <m:r>
          <m:rPr>
            <m:sty m:val="p"/>
          </m:rPr>
          <m:t>=</m:t>
        </m:r>
        <m:r>
          <m:t>0.41</m:t>
        </m:r>
      </m:oMath>
      <w:r>
        <w:t xml:space="preserve">), Yazoo and Mississippi remain substantively independent under any standard threshold (</w:t>
      </w:r>
      <m:oMath>
        <m:r>
          <m:t>r</m:t>
        </m:r>
        <m:r>
          <m:rPr>
            <m:sty m:val="p"/>
          </m:rPr>
          <m:t>&lt;</m:t>
        </m:r>
        <m:r>
          <m:t>0.50</m:t>
        </m:r>
      </m:oMath>
      <w:r>
        <w:t xml:space="preserve">), and Poverty Point’s three-regime claim survives; (iii) a</w:t>
      </w:r>
      <w:r>
        <w:t xml:space="preserve"> </w:t>
      </w:r>
      <m:oMath>
        <m:r>
          <m:rPr>
            <m:sty m:val="p"/>
          </m:rPr>
          <m:t>Δ</m:t>
        </m:r>
        <m:r>
          <m:t>r</m:t>
        </m:r>
        <m:r>
          <m:rPr>
            <m:sty m:val="p"/>
          </m:rPr>
          <m:t>=</m:t>
        </m:r>
        <m:r>
          <m:rPr>
            <m:sty m:val="p"/>
          </m:rPr>
          <m:t>+</m:t>
        </m:r>
        <m:r>
          <m:t>0.50</m:t>
        </m:r>
      </m:oMath>
      <w:r>
        <w:t xml:space="preserve"> </w:t>
      </w:r>
      <w:r>
        <w:t xml:space="preserve">upward shift (</w:t>
      </w:r>
      <m:oMath>
        <m:r>
          <m:t>r</m:t>
        </m:r>
        <m:r>
          <m:rPr>
            <m:sty m:val="p"/>
          </m:rPr>
          <m:t>=</m:t>
        </m:r>
        <m:r>
          <m:t>0.61</m:t>
        </m:r>
      </m:oMath>
      <w:r>
        <w:t xml:space="preserve">), the Yazoo collapses into the Mississippi regime as a single integrated system, reducing Poverty Point from three to two independent regimes. The</w:t>
      </w:r>
      <w:r>
        <w:t xml:space="preserve"> </w:t>
      </w:r>
      <w:r>
        <w:t xml:space="preserve">“unique multi-regime outlier”</w:t>
      </w:r>
      <w:r>
        <w:t xml:space="preserve"> </w:t>
      </w:r>
      <w:r>
        <w:t xml:space="preserve">framing among LMV mound sites (in which every other interior site accesses one regime) persists as long as PP retains at least two independent regimes. That claim, therefore, holds under shifts up to</w:t>
      </w:r>
      <w:r>
        <w:t xml:space="preserve"> </w:t>
      </w:r>
      <m:oMath>
        <m:r>
          <m:rPr>
            <m:sty m:val="p"/>
          </m:rPr>
          <m:t>Δ</m:t>
        </m:r>
        <m:r>
          <m:t>r</m:t>
        </m:r>
        <m:r>
          <m:rPr>
            <m:sty m:val="p"/>
          </m:rPr>
          <m:t>≈</m:t>
        </m:r>
        <m:r>
          <m:rPr>
            <m:sty m:val="p"/>
          </m:rPr>
          <m:t>+</m:t>
        </m:r>
        <m:r>
          <m:t>0.50</m:t>
        </m:r>
      </m:oMath>
      <w:r>
        <w:t xml:space="preserve">. Under the most adverse plausible scenario (case iii), Poverty Point’s advantage reduces from</w:t>
      </w:r>
      <w:r>
        <w:t xml:space="preserve"> </w:t>
      </w:r>
      <w:r>
        <w:t xml:space="preserve">“three-vs-one”</w:t>
      </w:r>
      <w:r>
        <w:t xml:space="preserve"> </w:t>
      </w:r>
      <w:r>
        <w:t xml:space="preserve">to</w:t>
      </w:r>
      <w:r>
        <w:t xml:space="preserve"> </w:t>
      </w:r>
      <w:r>
        <w:t xml:space="preserve">“two-vs-one,”</w:t>
      </w:r>
      <w:r>
        <w:t xml:space="preserve"> </w:t>
      </w:r>
      <w: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No USGS gauge measures upland forest productivity, so the upland regime’s correlations with the river-bottom drainages are assumed values in the catchment analysis rather than gauge estimates (</w:t>
      </w:r>
      <m:oMath>
        <m:r>
          <m:t>r</m:t>
        </m:r>
        <m:r>
          <m:rPr>
            <m:sty m:val="p"/>
          </m:rPr>
          <m:t>=</m:t>
        </m:r>
        <m:r>
          <m:t>0.45</m:t>
        </m:r>
      </m:oMath>
      <w:r>
        <w:t xml:space="preserve"> </w:t>
      </w:r>
      <w:r>
        <w:t xml:space="preserve">between Bayou Maçon and Upland;</w:t>
      </w:r>
      <w:r>
        <w:t xml:space="preserve"> </w:t>
      </w:r>
      <m:oMath>
        <m:r>
          <m:t>r</m:t>
        </m:r>
        <m:r>
          <m:rPr>
            <m:sty m:val="p"/>
          </m:rPr>
          <m:t>=</m:t>
        </m:r>
        <m:r>
          <m:t>0.30</m:t>
        </m:r>
      </m:oMath>
      <w:r>
        <w:t xml:space="preserve"> </w:t>
      </w:r>
      <w:r>
        <w:t xml:space="preserve">between Yazoo and Upland;</w:t>
      </w:r>
      <w:r>
        <w:t xml:space="preserve"> </w:t>
      </w:r>
      <m:oMath>
        <m:r>
          <m:t>r</m:t>
        </m:r>
        <m:r>
          <m:rPr>
            <m:sty m:val="p"/>
          </m:rPr>
          <m:t>=</m:t>
        </m:r>
        <m:r>
          <m:t>0.10</m:t>
        </m:r>
      </m:oMath>
      <w:r>
        <w:t xml:space="preserve"> </w:t>
      </w:r>
      <w:r>
        <w:t xml:space="preserve">between Mississippi and Upland; §S17.4 documents the assumption), all well below the</w:t>
      </w:r>
      <w:r>
        <w:t xml:space="preserve"> </w:t>
      </w:r>
      <m:oMath>
        <m:r>
          <m:t>ρ</m:t>
        </m:r>
        <m:r>
          <m:rPr>
            <m:sty m:val="p"/>
          </m:rPr>
          <m:t>≥</m:t>
        </m:r>
        <m:r>
          <m:t>0.6</m:t>
        </m:r>
      </m:oMath>
      <w:r>
        <w:t xml:space="preserve"> </w:t>
      </w:r>
      <w:r>
        <w:t xml:space="preserve">threshold for treating two regimes as the same shortfall channel. We therefore count the Macon Ridge (or other) upland as an independent regime wherever a site has direct canoe-day access at weight</w:t>
      </w:r>
      <w:r>
        <w:t xml:space="preserve"> </w:t>
      </w:r>
      <m:oMath>
        <m:r>
          <m:rPr>
            <m:sty m:val="p"/>
          </m:rPr>
          <m:t>≥</m:t>
        </m:r>
        <m:r>
          <m:t>0.5</m:t>
        </m:r>
      </m:oMath>
      <w:r>
        <w:t xml:space="preserve">. Under this count, Poverty Point and Lower Jackson each integrate four independent regimes (Bayou Maçon clustered with Tensas at</w:t>
      </w:r>
      <w:r>
        <w:t xml:space="preserve"> </w:t>
      </w:r>
      <m:oMath>
        <m:r>
          <m:t>r</m:t>
        </m:r>
        <m:r>
          <m:rPr>
            <m:sty m:val="p"/>
          </m:rPr>
          <m:t>=</m:t>
        </m:r>
        <m:r>
          <m:t>0.90</m:t>
        </m:r>
      </m:oMath>
      <w:r>
        <w:t xml:space="preserve"> </w:t>
      </w:r>
      <w:r>
        <w:t xml:space="preserve">as one Macon-Ridge-bottom regime; Mississippi mainstem; Yazoo Basin; Macon Ridge upland); Insley (Macon Ridge, Franklin Parish) and J.W. Copes (Tensas Basin, Madison Parish) integrate two each (one local interior drainage plus upland access within the foraging buffer);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with only marginal upland in its foraging buffer, coded conservatively as a single regime); the coastal Pearl River pair (Claiborne, Cedarland) integrates two (Pearl-River-estuarine/marsh system plus the Coastal Plain Upland Gulf Flatwoods, both structurally distinct from the LMV interior). Lower Jackson reaches the same four regimes as Poverty Point, although from ~3 km south of the confluence its access to the three aquatic regimes is partial rather than full (§6.7). The regime count here records only that both sites reach all four regimes, not that they reach them equally. That near-PP regime access, despite minimal construction (under the conventional chronology; see §5.1), is one of several anchors for the §6.6 point that high</w:t>
      </w:r>
      <w:r>
        <w:t xml:space="preserve"> </w:t>
      </w:r>
      <m:oMath>
        <m:r>
          <m:t>ε</m:t>
        </m:r>
      </m:oMath>
      <w:r>
        <w:t xml:space="preserve"> </w:t>
      </w:r>
      <w:r>
        <w:t xml:space="preserve">is necessary but not sufficient for large-scale monument accumulation. The same point is demonstrated at the Insley and J.W. Copes sites, whose chronological assignments are not contested. Among LMV mound sites with substantial attained</w:t>
      </w:r>
      <w:r>
        <w:t xml:space="preserve"> </w:t>
      </w:r>
      <m:oMath>
        <m:sSub>
          <m:e>
            <m:r>
              <m:t>n</m:t>
            </m:r>
          </m:e>
          <m:sub>
            <m:r>
              <m:t>a</m:t>
            </m:r>
            <m:r>
              <m:t>g</m:t>
            </m:r>
            <m:r>
              <m:t>g</m:t>
            </m:r>
          </m:sub>
        </m:sSub>
      </m:oMath>
      <w:r>
        <w:t xml:space="preserve">, Poverty Point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w:t>
      </w:r>
    </w:p>
    <w:p>
      <w:pPr>
        <w:pStyle w:val="BodyText"/>
      </w:pPr>
      <w:r>
        <w:drawing>
          <wp:inline>
            <wp:extent cx="5943600" cy="2876702"/>
            <wp:effectExtent b="0" l="0" r="0" t="0"/>
            <wp:docPr descr="" title="" id="72" name="Picture"/>
            <a:graphic>
              <a:graphicData uri="http://schemas.openxmlformats.org/drawingml/2006/picture">
                <pic:pic>
                  <pic:nvPicPr>
                    <pic:cNvPr descr="../../figures/manuscript/figure_14_multi_drainage.png" id="73" name="Picture"/>
                    <pic:cNvPicPr>
                      <a:picLocks noChangeArrowheads="1" noChangeAspect="1"/>
                    </pic:cNvPicPr>
                  </pic:nvPicPr>
                  <pic:blipFill>
                    <a:blip r:embed="rId71"/>
                    <a:stretch>
                      <a:fillRect/>
                    </a:stretch>
                  </pic:blipFill>
                  <pic:spPr bwMode="auto">
                    <a:xfrm>
                      <a:off x="0" y="0"/>
                      <a:ext cx="5943600" cy="2876702"/>
                    </a:xfrm>
                    <a:prstGeom prst="rect">
                      <a:avLst/>
                    </a:prstGeom>
                    <a:noFill/>
                    <a:ln w="9525">
                      <a:noFill/>
                      <a:headEnd/>
                      <a:tailEnd/>
                    </a:ln>
                  </pic:spPr>
                </pic:pic>
              </a:graphicData>
            </a:graphic>
          </wp:inline>
        </w:drawing>
      </w:r>
    </w:p>
    <w:p>
      <w:pPr>
        <w:pStyle w:val="BodyText"/>
      </w:pPr>
      <w:r>
        <w:rPr>
          <w:b/>
          <w:bCs/>
          <w:i/>
          <w:iCs/>
        </w:rPr>
        <w:t xml:space="preserve">Figure 14. Multi-drainage shortfall buffering across LMV mound-building sites.</w:t>
      </w:r>
      <w:r>
        <w:t xml:space="preserve"> </w:t>
      </w:r>
      <w:r>
        <w:rPr>
          <w:i/>
          <w:iCs/>
        </w:rPr>
        <w:t xml:space="preserve">(A) Shannon diversity index</w:t>
      </w:r>
      <w:r>
        <w:t xml:space="preserve"> </w:t>
      </w:r>
      <m:oMath>
        <m:r>
          <m:t>H</m:t>
        </m:r>
      </m:oMath>
      <w:r>
        <w:t xml:space="preserve"> </w:t>
      </w:r>
      <w:r>
        <w:rPr>
          <w:i/>
          <w:iCs/>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i/>
          <w:iCs/>
        </w:rPr>
        <w:t xml:space="preserve">). The interior sites span the</w:t>
      </w:r>
      <w:r>
        <w:t xml:space="preserve"> </w:t>
      </w:r>
      <m:oMath>
        <m:r>
          <m:t>H</m:t>
        </m:r>
        <m:r>
          <m:rPr>
            <m:sty m:val="p"/>
          </m:rPr>
          <m:t>≈</m:t>
        </m:r>
        <m:r>
          <m:t>1.30</m:t>
        </m:r>
        <m:r>
          <m:rPr>
            <m:nor/>
            <m:sty m:val="p"/>
          </m:rPr>
          <m:t>-</m:t>
        </m:r>
        <m:r>
          <m:t>1.58</m:t>
        </m:r>
      </m:oMath>
      <w:r>
        <w:t xml:space="preserve"> </w:t>
      </w:r>
      <w:r>
        <w:rPr>
          <w:i/>
          <w:iCs/>
        </w:rPr>
        <w:t xml:space="preserve">band (Jaketown lowest, at 1.30); the coastal Pearl River pair is only marginally lower, at 1.29. (B) Number of substantively independent shortfall regimes per site, derived from the modern USGS gauge correlation matrix (§S15) via</w:t>
      </w:r>
      <w:r>
        <w:t xml:space="preserve"> </w:t>
      </w:r>
      <m:oMath>
        <m:r>
          <m:t>ρ</m:t>
        </m:r>
        <m:r>
          <m:rPr>
            <m:sty m:val="p"/>
          </m:rPr>
          <m:t>≥</m:t>
        </m:r>
        <m:r>
          <m:t>0.6</m:t>
        </m:r>
      </m:oMath>
      <w:r>
        <w:t xml:space="preserve"> </w:t>
      </w:r>
      <w:r>
        <w:rPr>
          <w:i/>
          <w:iCs/>
        </w:rPr>
        <w:t xml:space="preserve">clustering at access</w:t>
      </w:r>
      <w:r>
        <w:t xml:space="preserve"> </w:t>
      </w:r>
      <m:oMath>
        <m:r>
          <m:rPr>
            <m:sty m:val="p"/>
          </m:rPr>
          <m:t>≥</m:t>
        </m:r>
        <m:r>
          <m:t>0.5</m:t>
        </m:r>
      </m:oMath>
      <w:r>
        <w:rPr>
          <w:i/>
          <w:iCs/>
        </w:rPr>
        <w:t xml:space="preserve">. Poverty Point and Lower Jackson each integrate four independent regimes (Bayou Maçon + Tensas at</w:t>
      </w:r>
      <w:r>
        <w:t xml:space="preserve"> </w:t>
      </w:r>
      <m:oMath>
        <m:r>
          <m:t>r</m:t>
        </m:r>
        <m:r>
          <m:rPr>
            <m:sty m:val="p"/>
          </m:rPr>
          <m:t>=</m:t>
        </m:r>
        <m:r>
          <m:t>0.90</m:t>
        </m:r>
      </m:oMath>
      <w:r>
        <w:t xml:space="preserve"> </w:t>
      </w:r>
      <w:r>
        <w:rPr>
          <w:i/>
          <w:iCs/>
        </w:rPr>
        <w:t xml:space="preserve">clustered as one Macon-Ridge-bottom regime; Mississippi mainstem; Yazoo Basin; Macon Ridge upland, where the upland mast-forest shortfall regime is ecologically distinct from the river-bottom flooding regimes). Jaketown integrates three. Watson Brake, Frenchman’s Bend, and most other interior sites integrate two, while Cowpen Slough integrates one. The coastal Pearl River pair also integrates two (a single Pearl River drainage feeding a covarying estuarine and coastal-marsh system, plus the adjacent Gulf Flatwoods upland), so the regime count alone does not set the coast apart from the interior comparators; what distinguishes it is the structurally distinct estuarine setting and its lowest Shannon diversity (Panel A), as developed in §6.4. Lower Jackson’s PP-comparable regime access, combined with single-band, single-event construction, is the case §6.6 develops. PP is the unique outlier on the joint</w:t>
      </w:r>
      <w:r>
        <w:t xml:space="preserve"> </w:t>
      </w:r>
      <m:oMath>
        <m:r>
          <m:t>ε</m:t>
        </m:r>
        <m:r>
          <m:rPr>
            <m:sty m:val="p"/>
          </m:rPr>
          <m:t>×</m:t>
        </m:r>
        <m:sSub>
          <m:e>
            <m:r>
              <m:t>n</m:t>
            </m:r>
          </m:e>
          <m:sub>
            <m:r>
              <m:t>a</m:t>
            </m:r>
            <m:r>
              <m:t>g</m:t>
            </m:r>
            <m:r>
              <m:t>g</m:t>
            </m:r>
          </m:sub>
        </m:sSub>
      </m:oMath>
      <w:r>
        <w:t xml:space="preserve"> </w:t>
      </w:r>
      <w:r>
        <w:rPr>
          <w:i/>
          <w:iCs/>
        </w:rPr>
        <w:t xml:space="preserve">surface rather than on</w:t>
      </w:r>
      <w:r>
        <w:t xml:space="preserve"> </w:t>
      </w:r>
      <m:oMath>
        <m:r>
          <m:t>ε</m:t>
        </m:r>
      </m:oMath>
      <w:r>
        <w:t xml:space="preserve"> </w:t>
      </w:r>
      <w:r>
        <w:rPr>
          <w:i/>
          <w:iCs/>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t xml:space="preserve"> </w:t>
      </w:r>
      <m:oMath>
        <m:r>
          <m:t>ε</m:t>
        </m:r>
      </m:oMath>
      <w:r>
        <w:t xml:space="preserve"> </w:t>
      </w:r>
      <w:r>
        <w:rPr>
          <w:i/>
          <w:iCs/>
        </w:rPr>
        <w:t xml:space="preserve">encodes.</w:t>
      </w:r>
    </w:p>
    <w:p>
      <w:pPr>
        <w:pStyle w:val="BodyText"/>
      </w:pPr>
      <w: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t xml:space="preserve">6.6 Convergence dynamics and the magnitude limit</w:t>
      </w:r>
    </w:p>
    <w:p>
      <w:pPr>
        <w:pStyle w:val="FirstParagraph"/>
      </w:pPr>
      <w:r>
        <w:t xml:space="preserve">The framework takes the attained crowd size</w:t>
      </w:r>
      <w:r>
        <w:t xml:space="preserve"> </w:t>
      </w:r>
      <m:oMath>
        <m:sSub>
          <m:e>
            <m:r>
              <m:t>n</m:t>
            </m:r>
          </m:e>
          <m:sub>
            <m:r>
              <m:t>a</m:t>
            </m:r>
            <m:r>
              <m:t>g</m:t>
            </m:r>
            <m:r>
              <m:t>g</m:t>
            </m:r>
          </m:sub>
        </m:sSub>
      </m:oMath>
      <w:r>
        <w:t xml:space="preserve"> </w:t>
      </w:r>
      <w:r>
        <w:t xml:space="preserve">as an external input set by regional convergence dynamics rather than deriving it from first principles. It therefore predicts</w:t>
      </w:r>
      <w:r>
        <w:t xml:space="preserve"> </w:t>
      </w:r>
      <w:r>
        <w:rPr>
          <w:i/>
          <w:iCs/>
        </w:rPr>
        <w:t xml:space="preserve">which regime</w:t>
      </w:r>
      <w:r>
        <w:t xml:space="preserve"> </w:t>
      </w:r>
      <w:r>
        <w:t xml:space="preserve">a site occupies (aggregator-dominated or not) but not the</w:t>
      </w:r>
      <w:r>
        <w:t xml:space="preserve"> </w:t>
      </w:r>
      <w:r>
        <w:rPr>
          <w:i/>
          <w:iCs/>
        </w:rPr>
        <w:t xml:space="preserve">magnitude</w:t>
      </w:r>
      <w:r>
        <w:t xml:space="preserve"> </w:t>
      </w:r>
      <w:r>
        <w:t xml:space="preserve">of monument investment a site ultimately attains. Magnitude variation among the high-</w:t>
      </w:r>
      <m:oMath>
        <m:r>
          <m:t>ε</m:t>
        </m:r>
      </m:oMath>
      <w:r>
        <w:t xml:space="preserve"> </w:t>
      </w:r>
      <w:r>
        <w:t xml:space="preserve">sites is set by two factors the static rubric does not measure: differential covariance-based</w:t>
      </w:r>
      <w:r>
        <w:t xml:space="preserve"> </w:t>
      </w:r>
      <m:oMath>
        <m:r>
          <m:t>ε</m:t>
        </m:r>
      </m:oMath>
      <w:r>
        <w:t xml:space="preserve"> </w:t>
      </w:r>
      <w:r>
        <w:t xml:space="preserve">(multi-drainage shortfall buffering, addressed in §6.5), and attained aggregation size</w:t>
      </w:r>
      <w:r>
        <w:t xml:space="preserve"> </w:t>
      </w:r>
      <m:oMath>
        <m:sSub>
          <m:e>
            <m:r>
              <m:t>n</m:t>
            </m:r>
          </m:e>
          <m:sub>
            <m:r>
              <m:t>a</m:t>
            </m:r>
            <m:r>
              <m:t>g</m:t>
            </m:r>
            <m:r>
              <m:t>g</m:t>
            </m:r>
          </m:sub>
        </m:sSub>
      </m:oMath>
      <w:r>
        <w:t xml:space="preserve"> </w:t>
      </w:r>
      <w:r>
        <w:t xml:space="preserve">via convergence dynamics. The convergence dimension is itself substantive. Lower Jackson, with the second-highest static</w:t>
      </w:r>
      <w:r>
        <w:t xml:space="preserve"> </w:t>
      </w:r>
      <m:oMath>
        <m:r>
          <m:t>H</m:t>
        </m:r>
      </m:oMath>
      <w:r>
        <w:t xml:space="preserve"> </w:t>
      </w:r>
      <w: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t xml:space="preserve"> </w:t>
      </w:r>
      <w:r>
        <w:t xml:space="preserve">band but never achieved comparable scale. Poverty Point’s primacy follows from the combination of confluence-based shortfall buffering with a uniquely large attained</w:t>
      </w:r>
      <w:r>
        <w:t xml:space="preserve"> </w:t>
      </w:r>
      <m:oMath>
        <m:sSub>
          <m:e>
            <m:r>
              <m:t>n</m:t>
            </m:r>
          </m:e>
          <m:sub>
            <m:r>
              <m:t>a</m:t>
            </m:r>
            <m:r>
              <m:t>g</m:t>
            </m:r>
            <m:r>
              <m:t>g</m:t>
            </m:r>
          </m:sub>
        </m:sSub>
      </m:oMath>
      <w:r>
        <w:t xml:space="preserve">, driven by the convergence of multiple cultural traditions documented by Grooms et al. (2023) and Kidder and Grooms (2024). Of the high-</w:t>
      </w:r>
      <m:oMath>
        <m:r>
          <m:t>ε</m:t>
        </m:r>
      </m:oMath>
      <w:r>
        <w:t xml:space="preserve"> </w:t>
      </w:r>
      <w:r>
        <w:t xml:space="preserve">LMV sites, Poverty Point is the one that drew bands from across the midcontinent. The others operated at much smaller</w:t>
      </w:r>
      <w:r>
        <w:t xml:space="preserve"> </w:t>
      </w:r>
      <m:oMath>
        <m:sSub>
          <m:e>
            <m:r>
              <m:t>n</m:t>
            </m:r>
          </m:e>
          <m:sub>
            <m:r>
              <m:t>a</m:t>
            </m:r>
            <m:r>
              <m:t>g</m:t>
            </m:r>
            <m:r>
              <m:t>g</m:t>
            </m:r>
          </m:sub>
        </m:sSub>
      </m:oMath>
      <w:r>
        <w:t xml:space="preserve">, which the framework predicts produces correspondingly smaller fitness differentials and equilibrium monument stocks.</w:t>
      </w:r>
    </w:p>
    <w:p>
      <w:pPr>
        <w:pStyle w:val="BodyText"/>
      </w:pPr>
      <w:r>
        <w:t xml:space="preserve">The framework’s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formula (§2.4) lets us compute the predicted equilibrium monument stock at each Table 2 site using each site’s</w:t>
      </w:r>
      <w:r>
        <w:t xml:space="preserve"> </w:t>
      </w:r>
      <m:oMath>
        <m:r>
          <m:t>ε</m:t>
        </m:r>
      </m:oMath>
      <w:r>
        <w:t xml:space="preserve"> </w:t>
      </w:r>
      <w:r>
        <w:t xml:space="preserve">value from the static rubric and an</w:t>
      </w:r>
      <w:r>
        <w:t xml:space="preserve"> </w:t>
      </w:r>
      <m:oMath>
        <m:sSub>
          <m:e>
            <m:r>
              <m:t>n</m:t>
            </m:r>
          </m:e>
          <m:sub>
            <m:r>
              <m:t>a</m:t>
            </m:r>
            <m:r>
              <m:t>g</m:t>
            </m:r>
            <m:r>
              <m:t>g</m:t>
            </m:r>
          </m:sub>
        </m:sSub>
      </m:oMath>
      <w:r>
        <w:t xml:space="preserve"> </w:t>
      </w:r>
      <w:r>
        <w:t xml:space="preserve">value from the convergence-model literature (the values used in the computation are PP</w:t>
      </w:r>
      <w:r>
        <w:t xml:space="preserve"> </w:t>
      </w:r>
      <m:oMath>
        <m:r>
          <m:rPr>
            <m:sty m:val="p"/>
          </m:rPr>
          <m:t>=</m:t>
        </m:r>
        <m:r>
          <m:t>25</m:t>
        </m:r>
      </m:oMath>
      <w:r>
        <w:t xml:space="preserve">; Jaketown and Watson Brake</w:t>
      </w:r>
      <w:r>
        <w:t xml:space="preserve"> </w:t>
      </w:r>
      <m:oMath>
        <m:r>
          <m:rPr>
            <m:sty m:val="p"/>
          </m:rPr>
          <m:t>=</m:t>
        </m:r>
        <m:r>
          <m:t>8</m:t>
        </m:r>
      </m:oMath>
      <w:r>
        <w:t xml:space="preserve">; Insley</w:t>
      </w:r>
      <w:r>
        <w:t xml:space="preserve"> </w:t>
      </w:r>
      <m:oMath>
        <m:r>
          <m:rPr>
            <m:sty m:val="p"/>
          </m:rPr>
          <m:t>=</m:t>
        </m:r>
        <m:r>
          <m:t>6</m:t>
        </m:r>
      </m:oMath>
      <w:r>
        <w:t xml:space="preserve">; Caney and Frenchman’s Bend</w:t>
      </w:r>
      <w:r>
        <w:t xml:space="preserve"> </w:t>
      </w:r>
      <m:oMath>
        <m:r>
          <m:rPr>
            <m:sty m:val="p"/>
          </m:rPr>
          <m:t>=</m:t>
        </m:r>
        <m:r>
          <m:t>5</m:t>
        </m:r>
      </m:oMath>
      <w:r>
        <w:t xml:space="preserve">; Pearl River pair</w:t>
      </w:r>
      <w:r>
        <w:t xml:space="preserve"> </w:t>
      </w:r>
      <m:oMath>
        <m:r>
          <m:rPr>
            <m:sty m:val="p"/>
          </m:rPr>
          <m:t>=</m:t>
        </m:r>
        <m:r>
          <m:t>4</m:t>
        </m:r>
      </m:oMath>
      <w:r>
        <w:t xml:space="preserve">; J.W. Copes and Cowpen Slough</w:t>
      </w:r>
      <w:r>
        <w:t xml:space="preserve"> </w:t>
      </w:r>
      <m:oMath>
        <m:r>
          <m:rPr>
            <m:sty m:val="p"/>
          </m:rPr>
          <m:t>=</m:t>
        </m:r>
        <m:r>
          <m:t>3</m:t>
        </m:r>
      </m:oMath>
      <w:r>
        <w:t xml:space="preserve">; Lower Jackson</w:t>
      </w:r>
      <w:r>
        <w:t xml:space="preserve"> </w:t>
      </w:r>
      <m:oMath>
        <m:r>
          <m:rPr>
            <m:sty m:val="p"/>
          </m:rPr>
          <m:t>=</m:t>
        </m:r>
        <m:r>
          <m:t>1</m:t>
        </m:r>
      </m:oMath>
      <w:r>
        <w:t xml:space="preserve">; §S17.5). The rank correlation between predicted and observed scale across the eleven sites is high, with</w:t>
      </w:r>
      <w:r>
        <w:t xml:space="preserve"> </w:t>
      </w:r>
      <m:oMath>
        <m:r>
          <m:t>ρ</m:t>
        </m:r>
      </m:oMath>
      <w:r>
        <w:t xml:space="preserve"> </w:t>
      </w:r>
      <w:r>
        <w:t xml:space="preserve">ranging from</w:t>
      </w:r>
      <w:r>
        <w:t xml:space="preserve"> </w:t>
      </w:r>
      <m:oMath>
        <m:r>
          <m:rPr>
            <m:sty m:val="p"/>
          </m:rPr>
          <m:t>+</m:t>
        </m:r>
        <m:r>
          <m:t>0.85</m:t>
        </m:r>
      </m:oMath>
      <w:r>
        <w:t xml:space="preserve"> </w:t>
      </w:r>
      <w:r>
        <w:t xml:space="preserve">to</w:t>
      </w:r>
      <w:r>
        <w:t xml:space="preserve"> </w:t>
      </w:r>
      <m:oMath>
        <m:r>
          <m:rPr>
            <m:sty m:val="p"/>
          </m:rPr>
          <m:t>+</m:t>
        </m:r>
        <m:r>
          <m:t>0.92</m:t>
        </m:r>
      </m:oMath>
      <w:r>
        <w:t xml:space="preserve"> </w:t>
      </w:r>
      <w:r>
        <w:t xml:space="preserve">(depending on the</w:t>
      </w:r>
      <w:r>
        <w:t xml:space="preserve"> </w:t>
      </w:r>
      <m:oMath>
        <m:r>
          <m:t>ε</m:t>
        </m:r>
      </m:oMath>
      <w:r>
        <w:t xml:space="preserve"> </w:t>
      </w:r>
      <w:r>
        <w:t xml:space="preserve">operationalization and on whether the observed scale is treated as an ordinal class or an absolute volume).</w:t>
      </w:r>
    </w:p>
    <w:p>
      <w:pPr>
        <w:pStyle w:val="BodyText"/>
      </w:pPr>
      <w:r>
        <w:t xml:space="preserve">While this result appears to be a strong magnitude prediction, it is not. The two predictors that go into</w:t>
      </w:r>
      <w:r>
        <w:t xml:space="preserve"> </w:t>
      </w:r>
      <m:oMath>
        <m:sSub>
          <m:e>
            <m:r>
              <m:t>M</m:t>
            </m:r>
          </m:e>
          <m:sub>
            <m:r>
              <m:t>g</m:t>
            </m:r>
          </m:sub>
        </m:sSub>
      </m:oMath>
      <w:r>
        <w:t xml:space="preserve">, the framework’s</w:t>
      </w:r>
      <w:r>
        <w:t xml:space="preserve"> </w:t>
      </w:r>
      <m:oMath>
        <m:r>
          <m:t>ε</m:t>
        </m:r>
      </m:oMath>
      <w:r>
        <w:t xml:space="preserve"> </w:t>
      </w:r>
      <w:r>
        <w:t xml:space="preserve">and the imported</w:t>
      </w:r>
      <w:r>
        <w:t xml:space="preserve"> </w:t>
      </w:r>
      <m:oMath>
        <m:sSub>
          <m:e>
            <m:r>
              <m:t>n</m:t>
            </m:r>
          </m:e>
          <m:sub>
            <m:r>
              <m:t>a</m:t>
            </m:r>
            <m:r>
              <m:t>g</m:t>
            </m:r>
            <m:r>
              <m:t>g</m:t>
            </m:r>
          </m:sub>
        </m:sSub>
      </m:oMath>
      <w:r>
        <w:t xml:space="preserve">, are not independent contributors to the joint correlation. We need to ask how much</w:t>
      </w:r>
      <w:r>
        <w:t xml:space="preserve"> </w:t>
      </w:r>
      <m:oMath>
        <m:r>
          <m:t>ε</m:t>
        </m:r>
      </m:oMath>
      <w:r>
        <w:t xml:space="preserve"> </w:t>
      </w:r>
      <w:r>
        <w:t xml:space="preserve">adds</w:t>
      </w:r>
      <w:r>
        <w:t xml:space="preserve"> </w:t>
      </w:r>
      <w:r>
        <w:rPr>
          <w:i/>
          <w:iCs/>
        </w:rPr>
        <w:t xml:space="preserve">given that we already know</w:t>
      </w:r>
      <w:r>
        <w:t xml:space="preserve"> </w:t>
      </w:r>
      <m:oMath>
        <m:sSub>
          <m:e>
            <m:r>
              <m:t>n</m:t>
            </m:r>
          </m:e>
          <m:sub>
            <m:r>
              <m:t>a</m:t>
            </m:r>
            <m:r>
              <m:t>g</m:t>
            </m:r>
            <m:r>
              <m:t>g</m:t>
            </m:r>
          </m:sub>
        </m:sSub>
      </m:oMath>
      <w:r>
        <w:t xml:space="preserve">. The standard statistical tool for this is partial correlation, which measures the association between two variables after accounting for the effect of a third variable. If</w:t>
      </w:r>
      <w:r>
        <w:t xml:space="preserve"> </w:t>
      </w:r>
      <m:oMath>
        <m:sSub>
          <m:e>
            <m:r>
              <m:t>n</m:t>
            </m:r>
          </m:e>
          <m:sub>
            <m:r>
              <m:t>a</m:t>
            </m:r>
            <m:r>
              <m:t>g</m:t>
            </m:r>
            <m:r>
              <m:t>g</m:t>
            </m:r>
          </m:sub>
        </m:sSub>
      </m:oMath>
      <w:r>
        <w:t xml:space="preserve"> </w:t>
      </w:r>
      <w:r>
        <w:t xml:space="preserve">alone is doing all the predictive work, then knowing</w:t>
      </w:r>
      <w:r>
        <w:t xml:space="preserve"> </w:t>
      </w:r>
      <m:oMath>
        <m:r>
          <m:t>ε</m:t>
        </m:r>
      </m:oMath>
      <w:r>
        <w:t xml:space="preserve"> </w:t>
      </w:r>
      <w:r>
        <w:t xml:space="preserve">on top of</w:t>
      </w:r>
      <w:r>
        <w:t xml:space="preserve"> </w:t>
      </w:r>
      <m:oMath>
        <m:sSub>
          <m:e>
            <m:r>
              <m:t>n</m:t>
            </m:r>
          </m:e>
          <m:sub>
            <m:r>
              <m:t>a</m:t>
            </m:r>
            <m:r>
              <m:t>g</m:t>
            </m:r>
            <m:r>
              <m:t>g</m:t>
            </m:r>
          </m:sub>
        </m:sSub>
      </m:oMath>
      <w:r>
        <w:t xml:space="preserve"> </w:t>
      </w:r>
      <w:r>
        <w:t xml:space="preserve">should add nothing, and the partial correlation between</w:t>
      </w:r>
      <w:r>
        <w:t xml:space="preserve"> </w:t>
      </w:r>
      <m:oMath>
        <m:r>
          <m:t>ε</m:t>
        </m:r>
      </m:oMath>
      <w:r>
        <w:t xml:space="preserve"> </w:t>
      </w:r>
      <w:r>
        <w:t xml:space="preserve">and observed scale (holding</w:t>
      </w:r>
      <w:r>
        <w:t xml:space="preserve"> </w:t>
      </w:r>
      <m:oMath>
        <m:sSub>
          <m:e>
            <m:r>
              <m:t>n</m:t>
            </m:r>
          </m:e>
          <m:sub>
            <m:r>
              <m:t>a</m:t>
            </m:r>
            <m:r>
              <m:t>g</m:t>
            </m:r>
            <m:r>
              <m:t>g</m:t>
            </m:r>
          </m:sub>
        </m:sSub>
      </m:oMath>
      <w:r>
        <w:t xml:space="preserve"> </w:t>
      </w:r>
      <w:r>
        <w:t xml:space="preserve">constant) should be near zero.</w:t>
      </w:r>
    </w:p>
    <w:p>
      <w:pPr>
        <w:pStyle w:val="BodyText"/>
      </w:pPr>
      <w:r>
        <w:t xml:space="preserve">The analysis returns two complementary answers. The partial correlations between</w:t>
      </w:r>
      <w:r>
        <w:t xml:space="preserve"> </w:t>
      </w:r>
      <m:oMath>
        <m:r>
          <m:t>ε</m:t>
        </m:r>
      </m:oMath>
      <w:r>
        <w:t xml:space="preserve"> </w:t>
      </w:r>
      <w:r>
        <w:t xml:space="preserve">and the observed outcomes given</w:t>
      </w:r>
      <w:r>
        <w:t xml:space="preserve"> </w:t>
      </w:r>
      <m:oMath>
        <m:sSub>
          <m:e>
            <m:r>
              <m:t>n</m:t>
            </m:r>
          </m:e>
          <m:sub>
            <m:r>
              <m:t>a</m:t>
            </m:r>
            <m:r>
              <m:t>g</m:t>
            </m:r>
            <m:r>
              <m:t>g</m:t>
            </m:r>
          </m:sub>
        </m:sSub>
      </m:oMath>
      <w:r>
        <w:t xml:space="preserve"> </w:t>
      </w:r>
      <w:r>
        <w:t xml:space="preserve">are moderate for the static rubric (</w:t>
      </w:r>
      <m:oMath>
        <m:r>
          <m:rPr>
            <m:sty m:val="p"/>
          </m:rPr>
          <m:t>+</m:t>
        </m:r>
        <m:r>
          <m:t>0.41</m:t>
        </m:r>
      </m:oMath>
      <w:r>
        <w:t xml:space="preserve"> </w:t>
      </w:r>
      <w:r>
        <w:t xml:space="preserve">against ordinal scale,</w:t>
      </w:r>
      <w:r>
        <w:t xml:space="preserve"> </w:t>
      </w:r>
      <m:oMath>
        <m:r>
          <m:rPr>
            <m:sty m:val="p"/>
          </m:rPr>
          <m:t>+</m:t>
        </m:r>
        <m:r>
          <m:t>0.52</m:t>
        </m:r>
      </m:oMath>
      <w:r>
        <w:t xml:space="preserve"> </w:t>
      </w:r>
      <w:r>
        <w:t xml:space="preserve">against volume) but statistically indistinguishable from zero at</w:t>
      </w:r>
      <w:r>
        <w:t xml:space="preserve"> </w:t>
      </w:r>
      <m:oMath>
        <m:r>
          <m:t>n</m:t>
        </m:r>
        <m:r>
          <m:rPr>
            <m:sty m:val="p"/>
          </m:rPr>
          <m:t>=</m:t>
        </m:r>
        <m:r>
          <m:t>11</m:t>
        </m:r>
      </m:oMath>
      <w:r>
        <w:t xml:space="preserve">, and they change sign across the three</w:t>
      </w:r>
      <w:r>
        <w:t xml:space="preserve"> </w:t>
      </w:r>
      <m:oMath>
        <m:r>
          <m:t>ε</m:t>
        </m:r>
      </m:oMath>
      <w:r>
        <w:t xml:space="preserve"> </w:t>
      </w:r>
      <w:r>
        <w:t xml:space="preserve">operationalizations (Table 3). More decisively for the joint result, substituting any of the three</w:t>
      </w:r>
      <w:r>
        <w:t xml:space="preserve"> </w:t>
      </w:r>
      <m:oMath>
        <m:r>
          <m:t>ε</m:t>
        </m:r>
      </m:oMath>
      <w:r>
        <w:t xml:space="preserve"> </w:t>
      </w:r>
      <w:r>
        <w:t xml:space="preserve">variants into the equilibrium</w:t>
      </w:r>
      <w:r>
        <w:t xml:space="preserve"> </w:t>
      </w:r>
      <m:oMath>
        <m:sSub>
          <m:e>
            <m:r>
              <m:t>M</m:t>
            </m:r>
          </m:e>
          <m:sub>
            <m:r>
              <m:t>g</m:t>
            </m:r>
          </m:sub>
        </m:sSub>
      </m:oMath>
      <w:r>
        <w:t xml:space="preserve"> </w:t>
      </w:r>
      <w:r>
        <w:t xml:space="preserve">prediction changes the joint correlation by at most</w:t>
      </w:r>
      <w:r>
        <w:t xml:space="preserve"> </w:t>
      </w:r>
      <m:oMath>
        <m:r>
          <m:rPr>
            <m:sty m:val="p"/>
          </m:rPr>
          <m:t>±</m:t>
        </m:r>
        <m:r>
          <m:t>0.02</m:t>
        </m:r>
      </m:oMath>
      <w:r>
        <w:t xml:space="preserve"> </w:t>
      </w:r>
      <w:r>
        <w:t xml:space="preserve">relative to ranking sites on</w:t>
      </w:r>
      <w:r>
        <w:t xml:space="preserve"> </w:t>
      </w:r>
      <m:oMath>
        <m:sSub>
          <m:e>
            <m:r>
              <m:t>n</m:t>
            </m:r>
          </m:e>
          <m:sub>
            <m:r>
              <m:t>a</m:t>
            </m:r>
            <m:r>
              <m:t>g</m:t>
            </m:r>
            <m:r>
              <m:t>g</m:t>
            </m:r>
          </m:sub>
        </m:sSub>
      </m:oMath>
      <w:r>
        <w:t xml:space="preserve"> </w:t>
      </w:r>
      <w:r>
        <w:t xml:space="preserve">alone. The joint correlation is driven by</w:t>
      </w:r>
      <w:r>
        <w:t xml:space="preserve"> </w:t>
      </w:r>
      <m:oMath>
        <m:sSub>
          <m:e>
            <m:r>
              <m:t>n</m:t>
            </m:r>
          </m:e>
          <m:sub>
            <m:r>
              <m:t>a</m:t>
            </m:r>
            <m:r>
              <m:t>g</m:t>
            </m:r>
            <m:r>
              <m:t>g</m:t>
            </m:r>
          </m:sub>
        </m:sSub>
      </m:oMath>
      <w:r>
        <w:t xml:space="preserve"> </w:t>
      </w:r>
      <w:r>
        <w:t xml:space="preserve">and is imported from the convergence-model literature rather than deriving from first principles. Full analysis is in</w:t>
      </w:r>
      <w:r>
        <w:t xml:space="preserve"> </w:t>
      </w:r>
      <w:r>
        <w:rPr>
          <w:rStyle w:val="VerbatimChar"/>
        </w:rPr>
        <w:t xml:space="preserve">scripts/analysis/partial_correlation_eps_nagg.py</w:t>
      </w:r>
      <w:r>
        <w:t xml:space="preserve">.</w:t>
      </w:r>
    </w:p>
    <w:p>
      <w:pPr>
        <w:pStyle w:val="BodyText"/>
      </w:pPr>
      <w:r>
        <w:rPr>
          <w:b/>
          <w:bCs/>
        </w:rPr>
        <w:t xml:space="preserve">Table 3.</w:t>
      </w:r>
      <w:r>
        <w:t xml:space="preserve"> </w:t>
      </w:r>
      <w:r>
        <w:rPr>
          <w:i/>
          <w:iCs/>
        </w:rPr>
        <w:t xml:space="preserve">Partial-correlation decomposition of the §6.6 joint magnitude result.</w:t>
      </w:r>
      <w:r>
        <w:t xml:space="preserve"> </w:t>
      </w:r>
      <w:r>
        <w:rPr>
          <w:i/>
          <w:iCs/>
        </w:rPr>
        <w:t xml:space="preserve">Zero-order correlations are computed against observed monument scale (ordinal: minimal/small/mid/very-large) and observed monument volume (m³, log scale). Partial correlations are rank-based (partial Spearman) controlling for</w:t>
      </w:r>
      <w:r>
        <w:t xml:space="preserve"> </w:t>
      </w:r>
      <m:oMath>
        <m:sSub>
          <m:e>
            <m:r>
              <m:t>n</m:t>
            </m:r>
          </m:e>
          <m:sub>
            <m:r>
              <m:t>a</m:t>
            </m:r>
            <m:r>
              <m:t>g</m:t>
            </m:r>
            <m:r>
              <m:t>g</m:t>
            </m:r>
          </m:sub>
        </m:sSub>
      </m:oMath>
      <w:r>
        <w:rPr>
          <w:i/>
          <w:iCs/>
        </w:rPr>
        <w:t xml:space="preserve">; none is statistically distinguishable from zero at</w:t>
      </w:r>
      <w:r>
        <w:t xml:space="preserve"> </w:t>
      </w:r>
      <m:oMath>
        <m:r>
          <m:t>n</m:t>
        </m:r>
        <m:r>
          <m:rPr>
            <m:sty m:val="p"/>
          </m:rPr>
          <m:t>=</m:t>
        </m:r>
        <m:r>
          <m:t>11</m:t>
        </m:r>
      </m:oMath>
      <w:r>
        <w:rPr>
          <w:i/>
          <w:iCs/>
        </w:rPr>
        <w:t xml:space="preserve">. The marginal change in the joint</w:t>
      </w:r>
      <w:r>
        <w:t xml:space="preserve"> </w:t>
      </w:r>
      <m:oMath>
        <m:sSub>
          <m:e>
            <m:r>
              <m:t>M</m:t>
            </m:r>
          </m:e>
          <m:sub>
            <m:r>
              <m:t>g</m:t>
            </m:r>
          </m:sub>
        </m:sSub>
      </m:oMath>
      <w:r>
        <w:t xml:space="preserve"> </w:t>
      </w:r>
      <w:r>
        <w:rPr>
          <w:i/>
          <w:iCs/>
        </w:rPr>
        <w:t xml:space="preserve">prediction from substituting any</w:t>
      </w:r>
      <w:r>
        <w:t xml:space="preserve"> </w:t>
      </w:r>
      <m:oMath>
        <m:r>
          <m:t>ε</m:t>
        </m:r>
      </m:oMath>
      <w:r>
        <w:t xml:space="preserve"> </w:t>
      </w:r>
      <w:r>
        <w:rPr>
          <w:i/>
          <w:iCs/>
        </w:rPr>
        <w:t xml:space="preserve">variant, relative to ranking on</w:t>
      </w:r>
      <w:r>
        <w:t xml:space="preserve"> </w:t>
      </w:r>
      <m:oMath>
        <m:sSub>
          <m:e>
            <m:r>
              <m:t>n</m:t>
            </m:r>
          </m:e>
          <m:sub>
            <m:r>
              <m:t>a</m:t>
            </m:r>
            <m:r>
              <m:t>g</m:t>
            </m:r>
            <m:r>
              <m:t>g</m:t>
            </m:r>
          </m:sub>
        </m:sSub>
      </m:oMath>
      <w:r>
        <w:t xml:space="preserve"> </w:t>
      </w:r>
      <w:r>
        <w:rPr>
          <w:i/>
          <w:iCs/>
        </w:rPr>
        <w:t xml:space="preserve">alone, is at most</w:t>
      </w:r>
      <w:r>
        <w:t xml:space="preserve"> </w:t>
      </w:r>
      <m:oMath>
        <m:r>
          <m:rPr>
            <m:sty m:val="p"/>
          </m:rPr>
          <m:t>±</m:t>
        </m:r>
        <m:r>
          <m:t>0.02</m:t>
        </m:r>
      </m:oMath>
      <w:r>
        <w:rPr>
          <w:i/>
          <w:iCs/>
        </w:rPr>
        <w:t xml:space="preserve">.</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0.91</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0.42</m:t>
                </m:r>
              </m:oMath>
            </m:oMathPara>
          </w:p>
        </w:tc>
        <w:tc>
          <w:tcPr/>
          <w:p>
            <w:pPr>
              <w:pStyle w:val="Compact"/>
              <w:jc w:val="right"/>
            </w:pPr>
            <m:oMathPara>
              <m:oMathParaPr>
                <m:jc m:val="center"/>
              </m:oMathParaPr>
              <m:oMath>
                <m:r>
                  <m:rPr>
                    <m:sty m:val="p"/>
                  </m:rPr>
                  <m:t>+</m:t>
                </m:r>
                <m:r>
                  <m:t>0.41</m:t>
                </m:r>
              </m:oMath>
            </m:oMathPara>
          </w:p>
        </w:tc>
        <w:tc>
          <w:tcPr/>
          <w:p>
            <w:pPr>
              <w:pStyle w:val="Compact"/>
              <w:jc w:val="right"/>
            </w:pPr>
            <m:oMathPara>
              <m:oMathParaPr>
                <m:jc m:val="center"/>
              </m:oMathParaPr>
              <m:oMath>
                <m:r>
                  <m:rPr>
                    <m:sty m:val="p"/>
                  </m:rPr>
                  <m:t>+</m:t>
                </m:r>
                <m:r>
                  <m:t>0.52</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0.24</m:t>
                </m:r>
              </m:oMath>
            </m:oMathPara>
          </w:p>
        </w:tc>
        <w:tc>
          <w:tcPr/>
          <w:p>
            <w:pPr>
              <w:pStyle w:val="Compact"/>
              <w:jc w:val="right"/>
            </w:pPr>
            <m:oMathPara>
              <m:oMathParaPr>
                <m:jc m:val="center"/>
              </m:oMathParaPr>
              <m:oMath>
                <m:r>
                  <m:rPr>
                    <m:sty m:val="p"/>
                  </m:rPr>
                  <m:t>+</m:t>
                </m:r>
                <m:r>
                  <m:t>0.07</m:t>
                </m:r>
              </m:oMath>
            </m:oMathPara>
          </w:p>
        </w:tc>
        <w:tc>
          <w:tcPr/>
          <w:p>
            <w:pPr>
              <w:pStyle w:val="Compact"/>
              <w:jc w:val="right"/>
            </w:pPr>
            <m:oMathPara>
              <m:oMathParaPr>
                <m:jc m:val="center"/>
              </m:oMathParaPr>
              <m:oMath>
                <m:r>
                  <m:rPr>
                    <m:sty m:val="p"/>
                  </m:rPr>
                  <m:t>+</m:t>
                </m:r>
                <m:r>
                  <m:t>0.48</m:t>
                </m:r>
              </m:oMath>
            </m:oMathPara>
          </w:p>
        </w:tc>
        <w:tc>
          <w:tcPr/>
          <w:p>
            <w:pPr>
              <w:pStyle w:val="Compact"/>
              <w:jc w:val="right"/>
            </w:pPr>
            <m:oMathPara>
              <m:oMathParaPr>
                <m:jc m:val="center"/>
              </m:oMathParaPr>
              <m:oMath>
                <m:r>
                  <m:rPr>
                    <m:sty m:val="p"/>
                  </m:rPr>
                  <m:t>+</m:t>
                </m:r>
                <m:r>
                  <m:t>0.16</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0.53</m:t>
                </m:r>
              </m:oMath>
            </m:oMathPara>
          </w:p>
        </w:tc>
        <w:tc>
          <w:tcPr/>
          <w:p>
            <w:pPr>
              <w:pStyle w:val="Compact"/>
              <w:jc w:val="right"/>
            </w:pPr>
            <m:oMathPara>
              <m:oMathParaPr>
                <m:jc m:val="center"/>
              </m:oMathParaPr>
              <m:oMath>
                <m:r>
                  <m:rPr>
                    <m:sty m:val="p"/>
                  </m:rPr>
                  <m:t>−</m:t>
                </m:r>
                <m:r>
                  <m:t>0.25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t xml:space="preserve">The framework’s</w:t>
      </w:r>
      <w:r>
        <w:t xml:space="preserve"> </w:t>
      </w:r>
      <m:oMath>
        <m:r>
          <m:t>ε</m:t>
        </m:r>
      </m:oMath>
      <w:r>
        <w:t xml:space="preserve">, therefore, does not predict cross-site magnitude in any substantive sense. The convergence-model literature is. The joint</w:t>
      </w:r>
      <w:r>
        <w:t xml:space="preserve"> </w:t>
      </w:r>
      <m:oMath>
        <m:r>
          <m:t>ρ</m:t>
        </m:r>
      </m:oMath>
      <w:r>
        <w:t xml:space="preserve"> </w:t>
      </w:r>
      <w:r>
        <w:t xml:space="preserve">result is a</w:t>
      </w:r>
      <w:r>
        <w:t xml:space="preserve"> </w:t>
      </w:r>
      <w:r>
        <w:rPr>
          <w:i/>
          <w:iCs/>
        </w:rPr>
        <w:t xml:space="preserve">within-model consistency demonstration</w:t>
      </w:r>
      <w:r>
        <w:t xml:space="preserve"> </w:t>
      </w:r>
      <w:r>
        <w:t xml:space="preserve">that the framework’s equilibrium</w:t>
      </w:r>
      <w:r>
        <w:t xml:space="preserve"> </w:t>
      </w:r>
      <m:oMath>
        <m:sSub>
          <m:e>
            <m:r>
              <m:t>M</m:t>
            </m:r>
          </m:e>
          <m:sub>
            <m:r>
              <m:t>g</m:t>
            </m:r>
          </m:sub>
        </m:sSub>
      </m:oMath>
      <w:r>
        <w:t xml:space="preserve"> </w:t>
      </w:r>
      <w:r>
        <w:t xml:space="preserve">tracks</w:t>
      </w:r>
      <w:r>
        <w:t xml:space="preserve"> </w:t>
      </w:r>
      <m:oMath>
        <m:sSub>
          <m:e>
            <m:r>
              <m:t>n</m:t>
            </m:r>
          </m:e>
          <m:sub>
            <m:r>
              <m:t>a</m:t>
            </m:r>
            <m:r>
              <m:t>g</m:t>
            </m:r>
            <m:r>
              <m:t>g</m:t>
            </m:r>
          </m:sub>
        </m:sSub>
      </m:oMath>
      <w:r>
        <w:t xml:space="preserve"> </w:t>
      </w:r>
      <w:r>
        <w:t xml:space="preserve">in the expected direction. It is not an independent prediction of cross-site magnitude by the framework.</w:t>
      </w:r>
    </w:p>
    <w:p>
      <w:pPr>
        <w:pStyle w:val="BodyText"/>
      </w:pPr>
      <w:r>
        <w:t xml:space="preserve">This finding makes a central concession: the framework predicts the necessity and tempo of threshold crossing, not cross-site magnitude. The</w:t>
      </w:r>
      <w:r>
        <w:t xml:space="preserve"> </w:t>
      </w:r>
      <m:oMath>
        <m:r>
          <m:t>ε</m:t>
        </m:r>
      </m:oMath>
      <w:r>
        <w:t xml:space="preserve"> </w:t>
      </w:r>
      <w: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t xml:space="preserve"> </w:t>
      </w:r>
      <m:oMath>
        <m:r>
          <m:t>ε</m:t>
        </m:r>
      </m:oMath>
      <w: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t xml:space="preserve"> </w:t>
      </w:r>
      <w:r>
        <w:rPr>
          <w:i/>
          <w:iCs/>
        </w:rPr>
        <w:t xml:space="preserve">weight</w:t>
      </w:r>
      <w:r>
        <w:t xml:space="preserve"> </w:t>
      </w:r>
      <w: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t xml:space="preserve">6.7 Within-year aggregation timing (plausibility check, not independent test)</w:t>
      </w:r>
    </w:p>
    <w:p>
      <w:pPr>
        <w:pStyle w:val="FirstParagraph"/>
      </w:pPr>
      <w: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Their plant-remains analysis is consistent with fall-winter occupation, possibly extending into summer, with no plant evidence for spring, based on which they inferred band dispersal during spring and possibly until late summer. Jackson did not analyze faunal material from the type-site itself. At the J.W. Copes site, his statements range from a possible mid-winter abandonment to year-round occupation (Jackson 1986). More recent macrobotanical analyses from the type site itself recover early-summer-ripening native cultigens (maygrass and little barley) alongside fall-ripening nuts and fruits, documenting plant use that extends from late spring and early summer through fall at the monumental core (Leone 2014, 2020). The early-summer cultigen counts are modest, and because the seeds are storable their presence does not by itself fix the season of deposition; but they are direct type-site evidence against the earlier inference, drawn from peripheral assemblages, of no spring or early-summer plant use. The published evidence base therefore no longer supports a clean fall-winter-only signal with spring dispersal. It indicates fall-dominated nut and fruit use with a documented late-spring and early-summer cultigen component at the monumental core, the direction the framework’s multi-peak prediction anticipates. The remaining path to direct constraint on aggregation timing runs through non-faunal seasonality proxies rather than reanalysis of bone.</w:t>
      </w:r>
    </w:p>
    <w:p>
      <w:pPr>
        <w:pStyle w:val="BodyText"/>
      </w:pPr>
      <w: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t xml:space="preserve"> </w:t>
      </w:r>
      <w:r>
        <w:rPr>
          <w:i/>
          <w:iCs/>
        </w:rPr>
        <w:t xml:space="preserve">independent</w:t>
      </w:r>
      <w:r>
        <w:t xml:space="preserve"> </w:t>
      </w:r>
      <w:r>
        <w:t xml:space="preserve">peak windows it integrates: peaks driven by different mechanisms tend not to fail in the same year, which is what produces the negative covariance the framework’s</w:t>
      </w:r>
      <w:r>
        <w:t xml:space="preserve"> </w:t>
      </w:r>
      <m:oMath>
        <m:r>
          <m:t>ε</m:t>
        </m:r>
      </m:oMath>
      <w:r>
        <w:t xml:space="preserve"> </w:t>
      </w:r>
      <w:r>
        <w:t xml:space="preserve">encodes.</w:t>
      </w:r>
    </w:p>
    <w:p>
      <w:pPr>
        <w:pStyle w:val="BodyText"/>
      </w:pPr>
      <w: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t xml:space="preserve"> </w:t>
      </w:r>
      <m:oMath>
        <m:r>
          <m:t>ε</m:t>
        </m:r>
      </m:oMath>
      <w:r>
        <w:t xml:space="preserve"> </w:t>
      </w:r>
      <w: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for a site only ~3 km from Poverty Point, comes entirely from its aquatic access. It reaches the same four resource regimes as PP (the identical §6.5 regime count), and its terrestrial access matches PP’s: full access to the Macon Ridge hardwood mast and to migratory waterfowl. The three aquatic peak windows are where the two diverge. Poverty Point sits at the multi-drainage confluence and draws the spring fish spawn, summer aquatic, and falling-water concentration peaks each from several independent channels (full access, 1.0), whereas Lower Jackson, ~3 km south of the junction, reaches them through a single, less direct drainage approach (partial access, 0.5; per-window coding in §S16). The §6.5 regime count records that both sites reach all four regimes; the phenology weighting additionally registers that Lower Jackson’s access to the aquatic peaks is partial rather than full, reflecting its slightly greater distance from the active floodplain at the confluence. Combined with its single-band, single-event construction, this reinforces the §6.6 finding that high</w:t>
      </w:r>
      <w:r>
        <w:t xml:space="preserve"> </w:t>
      </w:r>
      <m:oMath>
        <m:r>
          <m:t>ε</m:t>
        </m:r>
      </m:oMath>
      <w:r>
        <w:t xml:space="preserve"> </w:t>
      </w:r>
      <w:r>
        <w:t xml:space="preserve">access is necessary but not sufficient for sustained large-scale aggregation. PP is the unique outlier on the joint</w:t>
      </w:r>
      <w:r>
        <w:t xml:space="preserve"> </w:t>
      </w:r>
      <m:oMath>
        <m:r>
          <m:t>ε</m:t>
        </m:r>
        <m:r>
          <m:rPr>
            <m:sty m:val="p"/>
          </m:rPr>
          <m:t>×</m:t>
        </m:r>
        <m:sSub>
          <m:e>
            <m:r>
              <m:t>n</m:t>
            </m:r>
          </m:e>
          <m:sub>
            <m:r>
              <m:t>a</m:t>
            </m:r>
            <m:r>
              <m:t>g</m:t>
            </m:r>
            <m:r>
              <m:t>g</m:t>
            </m:r>
          </m:sub>
        </m:sSub>
      </m:oMath>
      <w:r>
        <w:t xml:space="preserve"> </w:t>
      </w:r>
      <w:r>
        <w:t xml:space="preserve">surface, not on</w:t>
      </w:r>
      <w:r>
        <w:t xml:space="preserve"> </w:t>
      </w:r>
      <m:oMath>
        <m:r>
          <m:t>ε</m:t>
        </m:r>
      </m:oMath>
      <w:r>
        <w:t xml:space="preserve"> </w:t>
      </w:r>
      <w:r>
        <w:t xml:space="preserve">alone. Full per-site coding and analysis are in §S16.</w:t>
      </w:r>
    </w:p>
    <w:p>
      <w:pPr>
        <w:pStyle w:val="BodyText"/>
      </w:pPr>
      <w: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t xml:space="preserve"> </w:t>
      </w:r>
      <w:r>
        <w:t xml:space="preserve">“match”</w:t>
      </w:r>
      <w:r>
        <w:t xml:space="preserve"> </w:t>
      </w:r>
      <w:r>
        <w:t xml:space="preserve">between the extension’s top-3 months (October, September, November) and the published fall-winter interpretation reflects the same calendar rather than an independent test. The minimal extension serves as a</w:t>
      </w:r>
      <w:r>
        <w:t xml:space="preserve"> </w:t>
      </w:r>
      <w:r>
        <w:rPr>
          <w:i/>
          <w:iCs/>
        </w:rPr>
        <w:t xml:space="preserve">plausibility check</w:t>
      </w:r>
      <w:r>
        <w:t xml:space="preserve"> </w:t>
      </w:r>
      <w:r>
        <w:t xml:space="preserve">on the framework’s logic rather than an independent prediction of the seasonal pattern. The macrobotanical evidence of Leone (2014, 2020) is, by contrast, independent of the Webb and Jackson sources that define the calendar: its early-summer cultigens and fall nuts and fruits come from new type-site flotation rather than from the same publications, and so provide a partly non-circular check that points in the multi-season direction.</w:t>
      </w:r>
    </w:p>
    <w:p>
      <w:pPr>
        <w:pStyle w:val="BodyText"/>
      </w:pPr>
      <w:r>
        <w:t xml:space="preserve">The seasonally resolved component (§S17.6) generates one falsifiable prediction. The framework’s broader-window output shows a substantial aggregation share in spring fish spawning (Mar-May) and summer aquatic months (Jun-Aug). This was in tension with the older peripheral-site inference of spring dispersal (Thomas and Campbell 1978), but recent type-site macrobotanical work recovering early-summer-ripening cultigens (Leone 2014, 2020) is consistent with the predicted late-spring and summer plant use.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drawing>
          <wp:inline>
            <wp:extent cx="5943600" cy="4399354"/>
            <wp:effectExtent b="0" l="0" r="0" t="0"/>
            <wp:docPr descr="" title="" id="77" name="Picture"/>
            <a:graphic>
              <a:graphicData uri="http://schemas.openxmlformats.org/drawingml/2006/picture">
                <pic:pic>
                  <pic:nvPicPr>
                    <pic:cNvPr descr="../../figures/manuscript/figure_15_seasonal_phenology.png" id="78" name="Picture"/>
                    <pic:cNvPicPr>
                      <a:picLocks noChangeArrowheads="1" noChangeAspect="1"/>
                    </pic:cNvPicPr>
                  </pic:nvPicPr>
                  <pic:blipFill>
                    <a:blip r:embed="rId76"/>
                    <a:stretch>
                      <a:fillRect/>
                    </a:stretch>
                  </pic:blipFill>
                  <pic:spPr bwMode="auto">
                    <a:xfrm>
                      <a:off x="0" y="0"/>
                      <a:ext cx="5943600" cy="4399354"/>
                    </a:xfrm>
                    <a:prstGeom prst="rect">
                      <a:avLst/>
                    </a:prstGeom>
                    <a:noFill/>
                    <a:ln w="9525">
                      <a:noFill/>
                      <a:headEnd/>
                      <a:tailEnd/>
                    </a:ln>
                  </pic:spPr>
                </pic:pic>
              </a:graphicData>
            </a:graphic>
          </wp:inline>
        </w:drawing>
      </w:r>
    </w:p>
    <w:p>
      <w:pPr>
        <w:pStyle w:val="BodyText"/>
      </w:pPr>
      <w:r>
        <w:rPr>
          <w:b/>
          <w:bCs/>
          <w:i/>
          <w:iCs/>
        </w:rPr>
        <w:t xml:space="preserve">Figure 15. Seasonal phenology of LMV resource peaks and site-level access.</w:t>
      </w:r>
      <w:r>
        <w:t xml:space="preserve"> </w:t>
      </w:r>
      <w:r>
        <w:rPr>
          <w:i/>
          <w:iCs/>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i/>
          <w:iCs/>
        </w:rPr>
        <w:t xml:space="preserve"> </w:t>
      </w:r>
      <m:oMath>
        <m:r>
          <m:rPr>
            <m:sty m:val="p"/>
          </m:rPr>
          <m:t>±</m:t>
        </m:r>
        <m:r>
          <m:t>1</m:t>
        </m:r>
      </m:oMath>
      <w:r>
        <w:rPr>
          <w:i/>
          <w:iCs/>
        </w:rPr>
        <w:t xml:space="preserve"> </w:t>
      </w:r>
      <w:r>
        <w:rPr>
          <w:i/>
          <w:iCs/>
        </w:rPr>
        <w:t xml:space="preserve">SD error bars (each of the five peak windows contributes 1.0 for full access, 0.5 for partial single-drainage access; maximum 5.0). Error bars come from 1,000 MC draws that perturb each non-zero access flag by</w:t>
      </w:r>
      <w:r>
        <w:rPr>
          <w:i/>
          <w:iCs/>
        </w:rPr>
        <w:t xml:space="preserve"> </w:t>
      </w:r>
      <m:oMath>
        <m:r>
          <m:t>N</m:t>
        </m:r>
        <m:r>
          <m:rPr>
            <m:sty m:val="p"/>
          </m:rPr>
          <m:t>(</m:t>
        </m:r>
        <m:r>
          <m:t>0</m:t>
        </m:r>
        <m:r>
          <m:rPr>
            <m:sty m:val="p"/>
          </m:rPr>
          <m:t>,</m:t>
        </m:r>
        <m:r>
          <m:t>0.10</m:t>
        </m:r>
        <m:r>
          <m:rPr>
            <m:sty m:val="p"/>
          </m:rPr>
          <m:t>)</m:t>
        </m:r>
      </m:oMath>
      <w:r>
        <w:rPr>
          <w:i/>
          <w:iCs/>
        </w:rPr>
        <w:t xml:space="preserve">, truncated to</w:t>
      </w:r>
      <w:r>
        <w:rPr>
          <w:i/>
          <w:iCs/>
        </w:rPr>
        <w:t xml:space="preserve"> </w:t>
      </w:r>
      <m:oMath>
        <m:r>
          <m:rPr>
            <m:sty m:val="p"/>
          </m:rPr>
          <m:t>[</m:t>
        </m:r>
        <m:r>
          <m:t>0</m:t>
        </m:r>
        <m:r>
          <m:rPr>
            <m:sty m:val="p"/>
          </m:rPr>
          <m:t>,</m:t>
        </m:r>
        <m:r>
          <m:t>1</m:t>
        </m:r>
        <m:r>
          <m:rPr>
            <m:sty m:val="p"/>
          </m:rPr>
          <m:t>]</m:t>
        </m:r>
      </m:oMath>
      <w:r>
        <w:rPr>
          <w:i/>
          <w:iCs/>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t xml:space="preserve"> </w:t>
      </w:r>
      <m:oMath>
        <m:r>
          <m:t>ε</m:t>
        </m:r>
      </m:oMath>
      <w:r>
        <w:t xml:space="preserve"> </w:t>
      </w:r>
      <w:r>
        <w:rPr>
          <w:i/>
          <w:iCs/>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t xml:space="preserve">6.8 Construction tempo and pulsed accumulation</w:t>
      </w:r>
    </w:p>
    <w:p>
      <w:pPr>
        <w:pStyle w:val="FirstParagraph"/>
      </w:pPr>
      <w: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t xml:space="preserve"> </w:t>
      </w:r>
      <w:r>
        <w:t xml:space="preserve">“the physical remnant of several abandoned projects”</w:t>
      </w:r>
      <w:r>
        <w:t xml:space="preserve"> </w:t>
      </w:r>
      <w: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t xml:space="preserve">Formally, the framework treats the monument stock</w:t>
      </w:r>
      <w:r>
        <w:t xml:space="preserve"> </w:t>
      </w:r>
      <m:oMath>
        <m:sSub>
          <m:e>
            <m:r>
              <m:t>M</m:t>
            </m:r>
          </m:e>
          <m:sub>
            <m:r>
              <m:t>g</m:t>
            </m:r>
          </m:sub>
        </m:sSub>
      </m:oMath>
      <w:r>
        <w:t xml:space="preserve"> </w:t>
      </w:r>
      <w:r>
        <w:t xml:space="preserve">as follows: the recurrence</w:t>
      </w:r>
      <w: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t xml:space="preserve">, where</w:t>
      </w:r>
      <w:r>
        <w:t xml:space="preserve"> </w:t>
      </w:r>
      <m:oMath>
        <m:r>
          <m:t>δ</m:t>
        </m:r>
      </m:oMath>
      <w:r>
        <w:t xml:space="preserve"> </w:t>
      </w:r>
      <w:r>
        <w:t xml:space="preserve">is the per-year decay rate of the signal value and</w:t>
      </w:r>
      <w:r>
        <w:t xml:space="preserve"> </w:t>
      </w:r>
      <m:oMath>
        <m:sSub>
          <m:e>
            <m:r>
              <m:t>I</m:t>
            </m:r>
          </m:e>
          <m:sub>
            <m:r>
              <m:t>g</m:t>
            </m:r>
          </m:sub>
        </m:sSub>
      </m:oMath>
      <w:r>
        <w:t xml:space="preserve"> </w:t>
      </w:r>
      <w:r>
        <w:t xml:space="preserve">is each year’s investment flow. Each year’s labor splits into a part that offsets decay,</w:t>
      </w:r>
      <w:r>
        <w:t xml:space="preserve"> </w:t>
      </w:r>
      <m:oMath>
        <m:r>
          <m:t>δ</m:t>
        </m:r>
        <m:sSub>
          <m:e>
            <m:r>
              <m:t>M</m:t>
            </m:r>
          </m:e>
          <m:sub>
            <m:r>
              <m:t>g</m:t>
            </m:r>
          </m:sub>
        </m:sSub>
      </m:oMath>
      <w:r>
        <w:t xml:space="preserve">, and a part that adds net new stock,</w:t>
      </w:r>
      <w:r>
        <w:t xml:space="preserve"> </w:t>
      </w:r>
      <m:oMath>
        <m:sSub>
          <m:e>
            <m:r>
              <m:t>I</m:t>
            </m:r>
          </m:e>
          <m:sub>
            <m:r>
              <m:t>g</m:t>
            </m:r>
          </m:sub>
        </m:sSub>
        <m:r>
          <m:rPr>
            <m:sty m:val="p"/>
          </m:rPr>
          <m:t>−</m:t>
        </m:r>
        <m:r>
          <m:t>δ</m:t>
        </m:r>
        <m:sSub>
          <m:e>
            <m:r>
              <m:t>M</m:t>
            </m:r>
          </m:e>
          <m:sub>
            <m:r>
              <m:t>g</m:t>
            </m:r>
          </m:sub>
        </m:sSub>
      </m:oMath>
      <w:r>
        <w:t xml:space="preserve">. Their ratio</w:t>
      </w:r>
      <w: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t xml:space="preserve"> </w:t>
      </w:r>
      <w:r>
        <w:t xml:space="preserve">starts at zero (when the system is young) and rises without bound as the stock approaches its steady state</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 </w:t>
      </w:r>
      <w:r>
        <w:t xml:space="preserve">(when the system is fully mature and every unit of labor is going to maintenance). Run at PP parameters (</w:t>
      </w:r>
      <m:oMath>
        <m:r>
          <m:t>σ</m:t>
        </m:r>
        <m:r>
          <m:rPr>
            <m:sty m:val="p"/>
          </m:rPr>
          <m:t>=</m:t>
        </m:r>
        <m:r>
          <m:t>0.64</m:t>
        </m:r>
      </m:oMath>
      <w:r>
        <w:t xml:space="preserve">,</w:t>
      </w:r>
      <w:r>
        <w:t xml:space="preserve"> </w:t>
      </w:r>
      <m:oMath>
        <m:sSub>
          <m:e>
            <m:r>
              <m:t>n</m:t>
            </m:r>
          </m:e>
          <m:sub>
            <m:r>
              <m:t>a</m:t>
            </m:r>
            <m:r>
              <m:t>g</m:t>
            </m:r>
            <m:r>
              <m:t>g</m:t>
            </m:r>
          </m:sub>
        </m:sSub>
        <m:r>
          <m:rPr>
            <m:sty m:val="p"/>
          </m:rPr>
          <m:t>=</m:t>
        </m:r>
        <m:r>
          <m:t>25</m:t>
        </m:r>
      </m:oMath>
      <w:r>
        <w:t xml:space="preserve">,</w:t>
      </w:r>
      <w:r>
        <w:t xml:space="preserve"> </w:t>
      </w:r>
      <m:oMath>
        <m:r>
          <m:t>δ</m:t>
        </m:r>
        <m:r>
          <m:rPr>
            <m:sty m:val="p"/>
          </m:rPr>
          <m:t>=</m:t>
        </m:r>
        <m:r>
          <m:t>0.08</m:t>
        </m:r>
      </m:oMath>
      <w:r>
        <w:t xml:space="preserve">), the model predicts a steady-state stock of about 130 units, reached within about 50 years (the decay timescale is</w:t>
      </w:r>
      <w:r>
        <w:t xml:space="preserve"> </w:t>
      </w:r>
      <m:oMath>
        <m:r>
          <m:t>1</m:t>
        </m:r>
        <m:r>
          <m:rPr>
            <m:sty m:val="p"/>
          </m:rPr>
          <m:t>/</m:t>
        </m:r>
        <m:r>
          <m:t>δ</m:t>
        </m:r>
        <m:r>
          <m:rPr>
            <m:sty m:val="p"/>
          </m:rPr>
          <m:t>=</m:t>
        </m:r>
        <m:r>
          <m:t>12.5</m:t>
        </m:r>
      </m:oMath>
      <w:r>
        <w:t xml:space="preserve"> </w:t>
      </w:r>
      <w: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t xml:space="preserve">,</w:t>
      </w:r>
      <w:r>
        <w:t xml:space="preserve"> </w:t>
      </w:r>
      <m:oMath>
        <m:sSub>
          <m:e>
            <m:r>
              <m:t>n</m:t>
            </m:r>
          </m:e>
          <m:sub>
            <m:r>
              <m:t>a</m:t>
            </m:r>
            <m:r>
              <m:t>g</m:t>
            </m:r>
            <m:r>
              <m:t>g</m:t>
            </m:r>
          </m:sub>
        </m:sSub>
        <m:r>
          <m:rPr>
            <m:sty m:val="p"/>
          </m:rPr>
          <m:t>≈</m:t>
        </m:r>
        <m:r>
          <m:t>8</m:t>
        </m:r>
      </m:oMath>
      <w:r>
        <w:t xml:space="preserve">) operating in the documented episodic pattern of four short construction bursts separated by 200+ year hiatuses (Saunders et al. 2005b), each new burst begins from a stock that has decayed substantially during the gap, so each burst looks more like initial construction than like maintenance.</w:t>
      </w:r>
    </w:p>
    <w:p>
      <w:pPr>
        <w:pStyle w:val="BodyText"/>
      </w:pPr>
      <w: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47-85</w:t>
      </w:r>
      <m:oMath>
        <m:r>
          <m:rPr>
            <m:sty m:val="p"/>
          </m:rPr>
          <m:t>×</m:t>
        </m:r>
      </m:oMath>
      <w:r>
        <w:t xml:space="preserve"> </w:t>
      </w:r>
      <w: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t xml:space="preserve">Several caveats are worth flagging. The model treats</w:t>
      </w:r>
      <w:r>
        <w:t xml:space="preserve"> </w:t>
      </w:r>
      <m:oMath>
        <m:sSub>
          <m:e>
            <m:r>
              <m:t>I</m:t>
            </m:r>
          </m:e>
          <m:sub>
            <m:r>
              <m:t>g</m:t>
            </m:r>
          </m:sub>
        </m:sSub>
      </m:oMath>
      <w:r>
        <w:t xml:space="preserve"> </w:t>
      </w:r>
      <w:r>
        <w:t xml:space="preserve">as constant from year to year, which does not capture the concentrated labor bursts documented for Mound A, which was raised in fewer than 90 days within the active interval rather than at a steady annual rate (Ortmann and Kidder 2013). This approximation leaves the cumulative maintenance-vs-new split unaffected, though the year-by-year ratio is approximate. Published event counts include both maintenance/renewal events and new-construction events, with no clean separator in the field record. The decay rate</w:t>
      </w:r>
      <w:r>
        <w:t xml:space="preserve"> </w:t>
      </w:r>
      <m:oMath>
        <m:r>
          <m:t>δ</m:t>
        </m:r>
        <m:r>
          <m:rPr>
            <m:sty m:val="p"/>
          </m:rPr>
          <m:t>=</m:t>
        </m:r>
        <m:r>
          <m:t>0.08</m:t>
        </m:r>
      </m:oMath>
      <w:r>
        <w:t xml:space="preserve"> </w:t>
      </w:r>
      <w:r>
        <w:t xml:space="preserve">is taken from the weathering-rate range in Table S2 rather than from a site-specific decay study.</w:t>
      </w:r>
    </w:p>
    <w:p>
      <w:pPr>
        <w:pStyle w:val="BodyText"/>
      </w:pPr>
      <w:r>
        <w:t xml:space="preserve">Most importantly, the</w:t>
      </w:r>
      <w:r>
        <w:t xml:space="preserve"> </w:t>
      </w:r>
      <w:r>
        <w:t xml:space="preserve">“event”</w:t>
      </w:r>
      <w:r>
        <w:t xml:space="preserve"> </w:t>
      </w:r>
      <w: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(2005b).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t xml:space="preserve"> </w:t>
      </w:r>
      <w:r>
        <w:t xml:space="preserve">headline ratio. The precise ratio is not robust: depending on how PP events are aggregated and how WB stages are subdivided, the headline could plausibly be re-stated in the 30-100</w:t>
      </w:r>
      <m:oMath>
        <m:r>
          <m:rPr>
            <m:sty m:val="p"/>
          </m:rPr>
          <m:t>×</m:t>
        </m:r>
      </m:oMath>
      <w:r>
        <w:t xml:space="preserve"> </w:t>
      </w:r>
      <w: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t xml:space="preserve">7. Discussion</w:t>
      </w:r>
    </w:p>
    <w:bookmarkStart w:id="82" w:name="X59f7eff7fd3aab5814fbe55a4e03a43e13667d9"/>
    <w:p>
      <w:pPr>
        <w:pStyle w:val="Heading3"/>
      </w:pPr>
      <w:r>
        <w:t xml:space="preserve">7.1 What the framework predicts and what it does not</w:t>
      </w:r>
    </w:p>
    <w:p>
      <w:pPr>
        <w:pStyle w:val="FirstParagraph"/>
      </w:pPr>
      <w: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t xml:space="preserve"> </w:t>
      </w:r>
      <m:oMath>
        <m:sSub>
          <m:e>
            <m:r>
              <m:t>n</m:t>
            </m:r>
          </m:e>
          <m:sub>
            <m:r>
              <m:t>a</m:t>
            </m:r>
            <m:r>
              <m:t>g</m:t>
            </m:r>
            <m:r>
              <m:t>g</m:t>
            </m:r>
          </m:sub>
        </m:sSub>
      </m:oMath>
      <w:r>
        <w:t xml:space="preserve">, which is taken as exogenous (set by the contingent regional convergence dynamics documented by Grooms et al. 2023 and Kidder and Grooms 2024) rather than derived from first principles. Because the framework also does not fix the form signaling takes, a site that invested less in monuments but more in other honest signals (exotic acquisition, lapidary production, feasting) is consistent with the framework rather than a counterexample to it.</w:t>
      </w:r>
    </w:p>
    <w:p>
      <w:pPr>
        <w:pStyle w:val="BodyText"/>
      </w:pPr>
      <w: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t xml:space="preserve"> </w:t>
      </w:r>
      <w:r>
        <w:t xml:space="preserve">within</w:t>
      </w:r>
      <w:r>
        <w:t xml:space="preserve"> </w:t>
      </w:r>
      <m:oMath>
        <m:r>
          <m:rPr>
            <m:sty m:val="p"/>
          </m:rPr>
          <m:t>±</m:t>
        </m:r>
        <m:r>
          <m:t>0.10</m:t>
        </m:r>
      </m:oMath>
      <w:r>
        <w:t xml:space="preserve"> </w:t>
      </w:r>
      <w:r>
        <w:t xml:space="preserve">of</w:t>
      </w:r>
      <w:r>
        <w:t xml:space="preserve"> </w:t>
      </w:r>
      <m:oMath>
        <m:sSup>
          <m:e>
            <m:r>
              <m:t>σ</m:t>
            </m:r>
          </m:e>
          <m:sup>
            <m:r>
              <m:rPr>
                <m:sty m:val="p"/>
              </m:rPr>
              <m:t>*</m:t>
            </m:r>
          </m:sup>
        </m:sSup>
      </m:oMath>
      <w:r>
        <w:t xml:space="preserve"> </w:t>
      </w:r>
      <w: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t xml:space="preserve">There are three claims the framework explicitly does not make. It does not predict the magnitude of cross-site monument volume. Three independent magnitude tests across LMV sites confirm this limit: the Table 2 Shannon-derived</w:t>
      </w:r>
      <w:r>
        <w:t xml:space="preserve"> </w:t>
      </w:r>
      <m:oMath>
        <m:r>
          <m:t>ε</m:t>
        </m:r>
      </m:oMath>
      <w:r>
        <w:t xml:space="preserve"> </w:t>
      </w:r>
      <w:r>
        <w:t xml:space="preserve">correlates only weakly with ordinal observed monument scale (Spearman</w:t>
      </w:r>
      <w:r>
        <w:t xml:space="preserve"> </w:t>
      </w:r>
      <m:oMath>
        <m:r>
          <m:t>ρ</m:t>
        </m:r>
        <m:r>
          <m:rPr>
            <m:sty m:val="p"/>
          </m:rPr>
          <m:t>=</m:t>
        </m:r>
        <m:r>
          <m:rPr>
            <m:sty m:val="p"/>
          </m:rPr>
          <m:t>+</m:t>
        </m:r>
        <m:r>
          <m:t>0.39</m:t>
        </m:r>
      </m:oMath>
      <w:r>
        <w:t xml:space="preserve">,</w:t>
      </w:r>
      <w:r>
        <w:t xml:space="preserve"> </w:t>
      </w:r>
      <m:oMath>
        <m:r>
          <m:t>p</m:t>
        </m:r>
        <m:r>
          <m:rPr>
            <m:sty m:val="p"/>
          </m:rPr>
          <m:t>=</m:t>
        </m:r>
        <m:r>
          <m:t>0.24</m:t>
        </m:r>
      </m:oMath>
      <w:r>
        <w:t xml:space="preserve">); the §S12 EPA Level IV ecoregion-derived</w:t>
      </w:r>
      <w:r>
        <w:t xml:space="preserve"> </w:t>
      </w:r>
      <m:oMath>
        <m:r>
          <m:t>ε</m:t>
        </m:r>
      </m:oMath>
      <w:r>
        <w:t xml:space="preserve"> </w:t>
      </w:r>
      <w:r>
        <w:t xml:space="preserve">correlates weakly with ordinal scale (</w:t>
      </w:r>
      <m:oMath>
        <m:r>
          <m:t>ρ</m:t>
        </m:r>
        <m:r>
          <m:rPr>
            <m:sty m:val="p"/>
          </m:rPr>
          <m:t>=</m:t>
        </m:r>
        <m:r>
          <m:rPr>
            <m:sty m:val="p"/>
          </m:rPr>
          <m:t>+</m:t>
        </m:r>
        <m:r>
          <m:t>0.24</m:t>
        </m:r>
      </m:oMath>
      <w:r>
        <w:t xml:space="preserve">,</w:t>
      </w:r>
      <w:r>
        <w:t xml:space="preserve"> </w:t>
      </w:r>
      <m:oMath>
        <m:r>
          <m:t>p</m:t>
        </m:r>
        <m:r>
          <m:rPr>
            <m:sty m:val="p"/>
          </m:rPr>
          <m:t>=</m:t>
        </m:r>
        <m:r>
          <m:t>0.47</m:t>
        </m:r>
      </m:oMath>
      <w:r>
        <w:t xml:space="preserve">) and not at all with volume (</w:t>
      </w:r>
      <m:oMath>
        <m:r>
          <m:t>ρ</m:t>
        </m:r>
        <m:r>
          <m:rPr>
            <m:sty m:val="p"/>
          </m:rPr>
          <m:t>=</m:t>
        </m:r>
        <m:r>
          <m:rPr>
            <m:sty m:val="p"/>
          </m:rPr>
          <m:t>+</m:t>
        </m:r>
        <m:r>
          <m:t>0.07</m:t>
        </m:r>
      </m:oMath>
      <w:r>
        <w:t xml:space="preserve">,</w:t>
      </w:r>
      <w:r>
        <w:t xml:space="preserve"> </w:t>
      </w:r>
      <m:oMath>
        <m:r>
          <m:t>p</m:t>
        </m:r>
        <m:r>
          <m:rPr>
            <m:sty m:val="p"/>
          </m:rPr>
          <m:t>=</m:t>
        </m:r>
        <m:r>
          <m:t>0.84</m:t>
        </m:r>
      </m:oMath>
      <w:r>
        <w:t xml:space="preserve">); and the §S16 phenology-derived</w:t>
      </w:r>
      <w:r>
        <w:t xml:space="preserve"> </w:t>
      </w:r>
      <m:oMath>
        <m:r>
          <m:t>ε</m:t>
        </m:r>
      </m:oMath>
      <w:r>
        <w:t xml:space="preserve"> </w:t>
      </w:r>
      <w:r>
        <w:t xml:space="preserve">returns</w:t>
      </w:r>
      <w:r>
        <w:t xml:space="preserve"> </w:t>
      </w:r>
      <m:oMath>
        <m:r>
          <m:t>ρ</m:t>
        </m:r>
        <m:r>
          <m:rPr>
            <m:sty m:val="p"/>
          </m:rPr>
          <m:t>=</m:t>
        </m:r>
        <m:r>
          <m:rPr>
            <m:sty m:val="p"/>
          </m:rPr>
          <m:t>−</m:t>
        </m:r>
        <m:r>
          <m:t>0.21</m:t>
        </m:r>
      </m:oMath>
      <w:r>
        <w:t xml:space="preserve"> </w:t>
      </w:r>
      <w:r>
        <w:t xml:space="preserve">(</w:t>
      </w:r>
      <m:oMath>
        <m:r>
          <m:t>p</m:t>
        </m:r>
        <m:r>
          <m:rPr>
            <m:sty m:val="p"/>
          </m:rPr>
          <m:t>=</m:t>
        </m:r>
        <m:r>
          <m:t>0.54</m:t>
        </m:r>
      </m:oMath>
      <w:r>
        <w:t xml:space="preserve">). All three are statistically null. The 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w:t>
      </w:r>
      <w:r>
        <w:t xml:space="preserve">result of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0.92</m:t>
        </m:r>
      </m:oMath>
      <w:r>
        <w:t xml:space="preserve"> </w:t>
      </w:r>
      <w:r>
        <w:t xml:space="preserve">against observed scale and volume. The partial-correlation decomposition, however, shows that this is essentially the</w:t>
      </w:r>
      <w:r>
        <w:t xml:space="preserve"> </w:t>
      </w:r>
      <m:oMath>
        <m:sSub>
          <m:e>
            <m:r>
              <m:t>n</m:t>
            </m:r>
          </m:e>
          <m:sub>
            <m:r>
              <m:t>a</m:t>
            </m:r>
            <m:r>
              <m:t>g</m:t>
            </m:r>
            <m:r>
              <m:t>g</m:t>
            </m:r>
          </m:sub>
        </m:sSub>
      </m:oMath>
      <w:r>
        <w:t xml:space="preserve"> </w:t>
      </w:r>
      <w:r>
        <w:t xml:space="preserve">ranking:</w:t>
      </w:r>
      <w:r>
        <w:t xml:space="preserve"> </w:t>
      </w:r>
      <m:oMath>
        <m:r>
          <m:t>ε</m:t>
        </m:r>
      </m:oMath>
      <w:r>
        <w:t xml:space="preserve"> </w:t>
      </w:r>
      <w:r>
        <w:t xml:space="preserve">contributes at most</w:t>
      </w:r>
      <w:r>
        <w:t xml:space="preserve"> </w:t>
      </w:r>
      <m:oMath>
        <m:r>
          <m:rPr>
            <m:sty m:val="p"/>
          </m:rPr>
          <m:t>+</m:t>
        </m:r>
        <m:r>
          <m:t>0.02</m:t>
        </m:r>
      </m:oMath>
      <w:r>
        <w:t xml:space="preserve"> </w:t>
      </w:r>
      <w:r>
        <w:t xml:space="preserve">to the joint correlation. The framework’s</w:t>
      </w:r>
      <w:r>
        <w:t xml:space="preserve"> </w:t>
      </w:r>
      <m:oMath>
        <m:r>
          <m:t>ε</m:t>
        </m:r>
      </m:oMath>
      <w:r>
        <w:t xml:space="preserve"> </w:t>
      </w:r>
      <w: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t xml:space="preserve"> </w:t>
      </w:r>
      <m:oMath>
        <m:sSub>
          <m:e>
            <m:r>
              <m:t>n</m:t>
            </m:r>
          </m:e>
          <m:sub>
            <m:r>
              <m:t>a</m:t>
            </m:r>
            <m:r>
              <m:t>g</m:t>
            </m:r>
            <m:r>
              <m:t>g</m:t>
            </m:r>
          </m:sub>
        </m:sSub>
      </m:oMath>
      <w:r>
        <w:t xml:space="preserve"> </w:t>
      </w:r>
      <w:r>
        <w:t xml:space="preserve">depends on convergence dynamics that the framework imports rather than derives.</w:t>
      </w:r>
    </w:p>
    <w:p>
      <w:pPr>
        <w:pStyle w:val="BodyText"/>
      </w:pPr>
      <w:r>
        <w:t xml:space="preserve">The Watson Brake comparison shows the same property in reverse: the equilibrium calculation overshoots the LiDAR-derived WB volume of 27,065 m³ (§5.1) by approximately 9× (§6.3), and that overshoot is closed cleanly by per-event labor scaling at</w:t>
      </w:r>
      <w:r>
        <w:t xml:space="preserve"> </w:t>
      </w:r>
      <m:oMath>
        <m:r>
          <m:t>α</m:t>
        </m:r>
        <m:r>
          <m:rPr>
            <m:sty m:val="p"/>
          </m:rPr>
          <m:t>=</m:t>
        </m:r>
        <m:r>
          <m:t>2</m:t>
        </m:r>
      </m:oMath>
      <w:r>
        <w:t xml:space="preserve"> </w:t>
      </w:r>
      <w:r>
        <w:t xml:space="preserve">(predicted ~25,000 m³ vs observed 27,065 m³, ratio 0.91×), not by adjusting</w:t>
      </w:r>
      <w:r>
        <w:t xml:space="preserve"> </w:t>
      </w:r>
      <m:oMath>
        <m:r>
          <m:t>ε</m:t>
        </m:r>
      </m:oMath>
      <w: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t xml:space="preserve">Five sources of magnitude variation the model does not track (enumerated in §S11) are spatial network topology and water-route accessibility, gathering-site carrying capacity, path dependence and first-mover advantage, temporal heterogeneity in regional</w:t>
      </w:r>
      <w:r>
        <w:t xml:space="preserve"> </w:t>
      </w:r>
      <m:oMath>
        <m:r>
          <m:t>σ</m:t>
        </m:r>
      </m:oMath>
      <w:r>
        <w:t xml:space="preserve">, and the reduction of multi-zone structure to a single Shannon number. Closing the magnitude prediction would require a regional spatially explicit ABM that endogenizes</w:t>
      </w:r>
      <w:r>
        <w:t xml:space="preserve"> </w:t>
      </w:r>
      <m:oMath>
        <m:sSub>
          <m:e>
            <m:r>
              <m:t>n</m:t>
            </m:r>
          </m:e>
          <m:sub>
            <m:r>
              <m:t>a</m:t>
            </m:r>
            <m:r>
              <m:t>g</m:t>
            </m:r>
            <m:r>
              <m:t>g</m:t>
            </m:r>
          </m:sub>
        </m:sSub>
      </m:oMath>
      <w:r>
        <w:t xml:space="preserve"> </w:t>
      </w:r>
      <w:r>
        <w:t xml:space="preserve">at each site through hydrographic routing and across-site selection.</w:t>
      </w:r>
    </w:p>
    <w:bookmarkEnd w:id="82"/>
    <w:bookmarkStart w:id="83" w:name="cultural-historical-alternatives"/>
    <w:p>
      <w:pPr>
        <w:pStyle w:val="Heading3"/>
      </w:pPr>
      <w:r>
        <w:t xml:space="preserve">7.2 Cultural-historical alternatives</w:t>
      </w:r>
    </w:p>
    <w:p>
      <w:pPr>
        <w:pStyle w:val="FirstParagraph"/>
      </w:pPr>
      <w:r>
        <w:t xml:space="preserve">The framework is not in competition with the recent culturally rich accounts of Poverty Point. It operates in a different register, and the most useful question is how the registers relate. Our account is</w:t>
      </w:r>
      <w:r>
        <w:t xml:space="preserve"> </w:t>
      </w:r>
      <w:r>
        <w:rPr>
          <w:i/>
          <w:iCs/>
        </w:rPr>
        <w:t xml:space="preserve">structural</w:t>
      </w:r>
      <w: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t xml:space="preserve"> </w:t>
      </w:r>
      <w:r>
        <w:t xml:space="preserve">band. The cultural-historical accounts are</w:t>
      </w:r>
      <w:r>
        <w:t xml:space="preserve"> </w:t>
      </w:r>
      <w:r>
        <w:rPr>
          <w:i/>
          <w:iCs/>
        </w:rPr>
        <w:t xml:space="preserve">organizational</w:t>
      </w:r>
      <w:r>
        <w:t xml:space="preserve">: they specify the institutional forms, symbolic content, and motivational logics through which the investment is actually carried out. Both registers are needed.</w:t>
      </w:r>
    </w:p>
    <w:p>
      <w:pPr>
        <w:pStyle w:val="BodyText"/>
      </w:pPr>
      <w:r>
        <w:rPr>
          <w:i/>
          <w:iCs/>
        </w:rPr>
        <w:t xml:space="preserve">Kidder and Grooms’s (2025) revitalization-movement framework</w:t>
      </w:r>
      <w:r>
        <w:t xml:space="preserve"> </w:t>
      </w:r>
      <w:r>
        <w:t xml:space="preserve">is a</w:t>
      </w:r>
      <w:r>
        <w:t xml:space="preserve"> </w:t>
      </w:r>
      <w:r>
        <w:rPr>
          <w:i/>
          <w:iCs/>
        </w:rPr>
        <w:t xml:space="preserve">reason-giving</w:t>
      </w:r>
      <w:r>
        <w:t xml:space="preserve"> </w:t>
      </w:r>
      <w: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i/>
          <w:iCs/>
        </w:rPr>
        <w:t xml:space="preserve">Grooms’s (2022) relational-performative critique</w:t>
      </w:r>
      <w:r>
        <w:t xml:space="preserve"> </w:t>
      </w:r>
      <w: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t xml:space="preserve"> </w:t>
      </w:r>
      <w:r>
        <w:t xml:space="preserve">“communal performance meant to restore balance to relations [participants] perceived to be in flux”</w:t>
      </w:r>
      <w:r>
        <w:t xml:space="preserve"> </w:t>
      </w:r>
      <w:r>
        <w:t xml:space="preserve">(Grooms 2022:108), and that signaling-intergroup-cooperation accounts reduce mound building to</w:t>
      </w:r>
      <w:r>
        <w:t xml:space="preserve"> </w:t>
      </w:r>
      <w:r>
        <w:t xml:space="preserve">“transactional epiphenomena, arguably representing universal human motives”</w:t>
      </w:r>
      <w:r>
        <w:t xml:space="preserve"> </w:t>
      </w:r>
      <w: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t xml:space="preserve">First, the framework is explicit that its predictions are structural, not interpretive. The model is silent on the symbolic content, motivational logic, and ritual form of the cultural apparatus by design (§1, §7.1). When we say the framework predicts that</w:t>
      </w:r>
      <w:r>
        <w:t xml:space="preserve"> </w:t>
      </w:r>
      <w:r>
        <w:rPr>
          <w:i/>
          <w:iCs/>
        </w:rPr>
        <w:t xml:space="preserve">some</w:t>
      </w:r>
      <w:r>
        <w:t xml:space="preserve"> </w:t>
      </w:r>
      <w: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i/>
          <w:iCs/>
        </w:rPr>
        <w:t xml:space="preserve">Sanger’s (2023, 2024) institutional-flexibility/containment framework</w:t>
      </w:r>
      <w:r>
        <w:t xml:space="preserve"> </w:t>
      </w:r>
      <w:r>
        <w:t xml:space="preserve">deserves more careful engagement because his strongest claim is in productive tension with the framework’s signaling logic rather than aligned with it. Sanger argues that the cyclical aggregate-disperse rhythm of LMV monumental sites is itself an</w:t>
      </w:r>
      <w:r>
        <w:t xml:space="preserve"> </w:t>
      </w:r>
      <w:r>
        <w:rPr>
          <w:i/>
          <w:iCs/>
        </w:rPr>
        <w:t xml:space="preserve">intentional institution of containment</w:t>
      </w:r>
      <w: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t xml:space="preserve"> </w:t>
      </w:r>
      <w:r>
        <w:rPr>
          <w:i/>
          <w:iCs/>
        </w:rPr>
        <w:t xml:space="preserve">must</w:t>
      </w:r>
      <w:r>
        <w:t xml:space="preserve"> </w:t>
      </w:r>
      <w:r>
        <w:t xml:space="preserve">develop to make a signaling-mediated cooperation system sustainable at the LMV scale,</w:t>
      </w:r>
      <w:r>
        <w:t xml:space="preserve"> </w:t>
      </w:r>
      <w:r>
        <w:rPr>
          <w:i/>
          <w:iCs/>
        </w:rPr>
        <w:t xml:space="preserve">because</w:t>
      </w:r>
      <w:r>
        <w:t xml:space="preserve"> </w:t>
      </w:r>
      <w: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i/>
          <w:iCs/>
        </w:rPr>
        <w:t xml:space="preserve">Carballo’s (2013) collective-action framework</w:t>
      </w:r>
      <w:r>
        <w:t xml:space="preserve"> </w:t>
      </w:r>
      <w:r>
        <w:t xml:space="preserve">provides institutional mechanisms (norms, monitoring, and sanctioning) that maintain cooperation once established. Signaling theory addresses how cooperation is</w:t>
      </w:r>
      <w:r>
        <w:t xml:space="preserve"> </w:t>
      </w:r>
      <w:r>
        <w:rPr>
          <w:i/>
          <w:iCs/>
        </w:rPr>
        <w:t xml:space="preserve">initially</w:t>
      </w:r>
      <w:r>
        <w:t xml:space="preserve"> </w:t>
      </w:r>
      <w:r>
        <w:t xml:space="preserve">established between unfamiliar groups, the acute problem at an aggregation drawing bands from across the midcontinent.</w:t>
      </w:r>
      <w:r>
        <w:t xml:space="preserve"> </w:t>
      </w:r>
      <w:r>
        <w:rPr>
          <w:i/>
          <w:iCs/>
        </w:rPr>
        <w:t xml:space="preserve">Cultural-transmission and credibility-enhancing-display accounts</w:t>
      </w:r>
      <w:r>
        <w:t xml:space="preserve"> </w:t>
      </w:r>
      <w: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i/>
          <w:iCs/>
        </w:rPr>
        <w:t xml:space="preserve">Discriminating index-signaling from CRED at PP.</w:t>
      </w:r>
      <w:r>
        <w:t xml:space="preserve"> </w:t>
      </w:r>
      <w: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i/>
          <w:iCs/>
        </w:rPr>
        <w:t xml:space="preserve">Is the framework strict-signaling or cooperative-display?</w:t>
      </w:r>
      <w:r>
        <w:t xml:space="preserve"> </w:t>
      </w:r>
      <w: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t xml:space="preserve"> </w:t>
      </w:r>
      <w:r>
        <w:t xml:space="preserve">“costly”</w:t>
      </w:r>
      <w:r>
        <w:t xml:space="preserve"> </w:t>
      </w:r>
      <w:r>
        <w:t xml:space="preserve">framing carries some legacy weight from Zahavi (1975) that the framework does not need. The</w:t>
      </w:r>
      <w:r>
        <w:t xml:space="preserve"> </w:t>
      </w:r>
      <w:r>
        <w:rPr>
          <w:i/>
          <w:iCs/>
        </w:rPr>
        <w:t xml:space="preserve">index</w:t>
      </w:r>
      <w:r>
        <w:t xml:space="preserve"> </w:t>
      </w:r>
      <w:r>
        <w:t xml:space="preserve">framing (Penn and Szamadó 2020; Bliege Bird and Smith 2005) is what we actually use, and unfakeability is the architectural commitment that does the work. If a future reader prefers to call this</w:t>
      </w:r>
      <w:r>
        <w:t xml:space="preserve"> </w:t>
      </w:r>
      <w:r>
        <w:t xml:space="preserve">“cooperative-display partner-choice”</w:t>
      </w:r>
      <w:r>
        <w:t xml:space="preserve"> </w:t>
      </w:r>
      <w:r>
        <w:t xml:space="preserve">rather than</w:t>
      </w:r>
      <w:r>
        <w:t xml:space="preserve"> </w:t>
      </w:r>
      <w:r>
        <w:t xml:space="preserve">“costly signaling,”</w:t>
      </w:r>
      <w:r>
        <w:t xml:space="preserve"> </w:t>
      </w:r>
      <w: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t xml:space="preserve"> </w:t>
      </w:r>
      <w:r>
        <w:rPr>
          <w:i/>
          <w:iCs/>
        </w:rPr>
        <w:t xml:space="preserve">Carballo’s (2013) collective-action framework</w:t>
      </w:r>
      <w:r>
        <w:t xml:space="preserve"> </w:t>
      </w:r>
      <w:r>
        <w:t xml:space="preserve">provides institutional mechanisms (norms, monitoring, and sanctioning) that maintain cooperation once established. Signaling theory addresses how cooperation is</w:t>
      </w:r>
      <w:r>
        <w:t xml:space="preserve"> </w:t>
      </w:r>
      <w:r>
        <w:rPr>
          <w:i/>
          <w:iCs/>
        </w:rPr>
        <w:t xml:space="preserve">initially</w:t>
      </w:r>
      <w:r>
        <w:t xml:space="preserve"> </w:t>
      </w:r>
      <w:r>
        <w:t xml:space="preserve">established between unfamiliar groups, the acute problem at an aggregation drawing bands from across the midcontinent.</w:t>
      </w:r>
      <w:r>
        <w:t xml:space="preserve"> </w:t>
      </w:r>
      <w:r>
        <w:rPr>
          <w:i/>
          <w:iCs/>
        </w:rPr>
        <w:t xml:space="preserve">Cultural-transmission and credibility-enhancing-display accounts</w:t>
      </w:r>
      <w:r>
        <w:t xml:space="preserve"> </w:t>
      </w:r>
      <w: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i/>
          <w:iCs/>
        </w:rPr>
        <w:t xml:space="preserve">The evolutionary family is one multilevel process.</w:t>
      </w:r>
      <w:r>
        <w:t xml:space="preserve"> </w:t>
      </w:r>
      <w: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t xml:space="preserve"> </w:t>
      </w:r>
      <w:r>
        <w:rPr>
          <w:i/>
          <w:iCs/>
        </w:rPr>
        <w:t xml:space="preserve">predicted</w:t>
      </w:r>
      <w:r>
        <w:t xml:space="preserve"> </w:t>
      </w:r>
      <w:r>
        <w:t xml:space="preserve">by an aggregation system at the LMV scale. The classical accounts go wrong by promoting one phenomenon to the role of explanation and treating the others as ancillary.</w:t>
      </w:r>
    </w:p>
    <w:p>
      <w:pPr>
        <w:pStyle w:val="BodyText"/>
      </w:pPr>
      <w:r>
        <w:rPr>
          <w:i/>
          <w:iCs/>
        </w:rPr>
        <w:t xml:space="preserve">Sassaman’s (2005) structure-event-process framing</w:t>
      </w:r>
      <w:r>
        <w:t xml:space="preserve">. The framework and Sassaman agree on the</w:t>
      </w:r>
      <w:r>
        <w:t xml:space="preserve"> </w:t>
      </w:r>
      <w:r>
        <w:rPr>
          <w:i/>
          <w:iCs/>
        </w:rPr>
        <w:t xml:space="preserve">decomposition</w:t>
      </w:r>
      <w:r>
        <w:t xml:space="preserve"> </w:t>
      </w:r>
      <w:r>
        <w:t xml:space="preserve">(i.e., necessary structural conditions and the contingent realized sequence; §6.6, §7.1) but disagree on the</w:t>
      </w:r>
      <w:r>
        <w:t xml:space="preserve"> </w:t>
      </w:r>
      <w:r>
        <w:rPr>
          <w:i/>
          <w:iCs/>
        </w:rPr>
        <w:t xml:space="preserve">weight</w:t>
      </w:r>
      <w: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t xml:space="preserve"> </w:t>
      </w:r>
      <w: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i/>
          <w:iCs/>
        </w:rPr>
        <w:t xml:space="preserve">Summary of which signed predictions discriminate the framework from cultural-historical alternatives.</w:t>
      </w:r>
      <w:r>
        <w:t xml:space="preserve"> </w:t>
      </w:r>
      <w: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t xml:space="preserve"> </w:t>
      </w:r>
      <w:r>
        <w:rPr>
          <w:i/>
          <w:iCs/>
        </w:rPr>
        <w:t xml:space="preserve">First</w:t>
      </w:r>
      <w:r>
        <w:t xml:space="preserve">, the framework predicts a</w:t>
      </w:r>
      <w:r>
        <w:t xml:space="preserve"> </w:t>
      </w:r>
      <w:r>
        <w:rPr>
          <w:i/>
          <w:iCs/>
        </w:rPr>
        <w:t xml:space="preserve">signed ordering</w:t>
      </w:r>
      <w:r>
        <w:t xml:space="preserve"> </w:t>
      </w:r>
      <w:r>
        <w:t xml:space="preserve">between monument abandonment and exotic-network attrition during collapse (§7.3, §7.4(d)): the</w:t>
      </w:r>
      <w:r>
        <w:t xml:space="preserve"> </w:t>
      </w:r>
      <m:oMath>
        <m:r>
          <m:t>ε</m:t>
        </m:r>
      </m:oMath>
      <w:r>
        <w:t xml:space="preserve">-pathway predicts monuments first. The</w:t>
      </w:r>
      <w:r>
        <w:t xml:space="preserve"> </w:t>
      </w:r>
      <m:oMath>
        <m:r>
          <m:t>σ</m:t>
        </m:r>
      </m:oMath>
      <w:r>
        <w:t xml:space="preserve">-pathway predicts exotics first. None of the cultural-historical accounts specifies this ordering.</w:t>
      </w:r>
      <w:r>
        <w:t xml:space="preserve"> </w:t>
      </w:r>
      <w:r>
        <w:rPr>
          <w:i/>
          <w:iCs/>
        </w:rPr>
        <w:t xml:space="preserve">Second</w:t>
      </w:r>
      <w:r>
        <w:t xml:space="preserve">, the framework predicts the PP-vs-WB</w:t>
      </w:r>
      <w:r>
        <w:t xml:space="preserve"> </w:t>
      </w:r>
      <w:r>
        <w:rPr>
          <w:i/>
          <w:iCs/>
        </w:rPr>
        <w:t xml:space="preserve">event-density ratio</w:t>
      </w:r>
      <w:r>
        <w:t xml:space="preserve"> </w:t>
      </w:r>
      <w: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t xml:space="preserve"> </w:t>
      </w:r>
      <w:r>
        <w:t xml:space="preserve">on existing data, robust to event-unit incommensurability) is in the framework-predicted direction. None of the cultural-historical accounts derives the magnitude or direction of this ratio from first principles.</w:t>
      </w:r>
      <w:r>
        <w:t xml:space="preserve"> </w:t>
      </w:r>
      <w:r>
        <w:rPr>
          <w:i/>
          <w:iCs/>
        </w:rPr>
        <w:t xml:space="preserve">Third</w:t>
      </w:r>
      <w:r>
        <w:t xml:space="preserve">, the framework predicts a quantitative</w:t>
      </w:r>
      <w:r>
        <w:t xml:space="preserve"> </w:t>
      </w:r>
      <w:r>
        <w:rPr>
          <w:i/>
          <w:iCs/>
        </w:rPr>
        <w:t xml:space="preserve">fine-grained asymmetry pattern</w:t>
      </w:r>
      <w:r>
        <w:t xml:space="preserve"> </w:t>
      </w:r>
      <w: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t xml:space="preserve">7.3 System collapse</w:t>
      </w:r>
    </w:p>
    <w:p>
      <w:pPr>
        <w:pStyle w:val="FirstParagraph"/>
      </w:pPr>
      <w:r>
        <w:t xml:space="preserve">The framework allows two pathways through which collapse can occur, and the LMV record currently supports one of them more clearly than the other. The</w:t>
      </w:r>
      <w:r>
        <w:t xml:space="preserve"> </w:t>
      </w:r>
      <m:oMath>
        <m:r>
          <m:t>ε</m:t>
        </m:r>
      </m:oMath>
      <w:r>
        <w:t xml:space="preserve">-degradation pathway operates through geomorphic change: channel migration, sedimentation, and flooding alter the mosaic of zones, reducing local ecotone access</w:t>
      </w:r>
      <w:r>
        <w:t xml:space="preserve"> </w:t>
      </w:r>
      <m:oMath>
        <m:r>
          <m:t>ε</m:t>
        </m:r>
      </m:oMath>
      <w:r>
        <w:t xml:space="preserve"> </w:t>
      </w:r>
      <w:r>
        <w:t xml:space="preserve">and, through the threshold relation</w:t>
      </w:r>
      <w:r>
        <w:t xml:space="preserve"> </w:t>
      </w:r>
      <m:oMath>
        <m:sSup>
          <m:e>
            <m:r>
              <m:t>σ</m:t>
            </m:r>
          </m:e>
          <m:sup>
            <m:r>
              <m:rPr>
                <m:sty m:val="p"/>
              </m:rPr>
              <m:t>*</m:t>
            </m:r>
          </m:sup>
        </m:sSup>
        <m:r>
          <m:rPr>
            <m:sty m:val="p"/>
          </m:rPr>
          <m:t>=</m:t>
        </m:r>
        <m:r>
          <m:t>f</m:t>
        </m:r>
        <m:r>
          <m:rPr>
            <m:sty m:val="p"/>
          </m:rPr>
          <m:t>(</m:t>
        </m:r>
        <m:r>
          <m:t>ε</m:t>
        </m:r>
        <m:r>
          <m:rPr>
            <m:sty m:val="p"/>
          </m:rPr>
          <m:t>)</m:t>
        </m:r>
      </m:oMath>
      <w:r>
        <w:t xml:space="preserve">, raising</w:t>
      </w:r>
      <w:r>
        <w:t xml:space="preserve"> </w:t>
      </w:r>
      <m:oMath>
        <m:sSup>
          <m:e>
            <m:r>
              <m:t>σ</m:t>
            </m:r>
          </m:e>
          <m:sup>
            <m:r>
              <m:rPr>
                <m:sty m:val="p"/>
              </m:rPr>
              <m:t>*</m:t>
            </m:r>
          </m:sup>
        </m:sSup>
      </m:oMath>
      <w:r>
        <w:t xml:space="preserve"> </w:t>
      </w:r>
      <w:r>
        <w:t xml:space="preserve">above the regional</w:t>
      </w:r>
      <w:r>
        <w:t xml:space="preserve"> </w:t>
      </w:r>
      <m:oMath>
        <m:r>
          <m:t>σ</m:t>
        </m:r>
      </m:oMath>
      <w:r>
        <w:t xml:space="preserve">. A drop from</w:t>
      </w:r>
      <w:r>
        <w:t xml:space="preserve"> </w:t>
      </w:r>
      <m:oMath>
        <m:r>
          <m:t>ε</m:t>
        </m:r>
        <m:r>
          <m:rPr>
            <m:sty m:val="p"/>
          </m:rPr>
          <m:t>=</m:t>
        </m:r>
        <m:r>
          <m:t>0.35</m:t>
        </m:r>
      </m:oMath>
      <w:r>
        <w:t xml:space="preserve"> </w:t>
      </w:r>
      <w:r>
        <w:t xml:space="preserve">to</w:t>
      </w:r>
      <w:r>
        <w:t xml:space="preserve"> </w:t>
      </w:r>
      <m:oMath>
        <m:r>
          <m:t>ε</m:t>
        </m:r>
        <m:r>
          <m:rPr>
            <m:sty m:val="p"/>
          </m:rPr>
          <m:t>=</m:t>
        </m:r>
        <m:r>
          <m:t>0.15</m:t>
        </m:r>
      </m:oMath>
      <w:r>
        <w:t xml:space="preserve"> </w:t>
      </w:r>
      <w:r>
        <w:t xml:space="preserve">would raise</w:t>
      </w:r>
      <w:r>
        <w:t xml:space="preserve"> </w:t>
      </w:r>
      <m:oMath>
        <m:sSup>
          <m:e>
            <m:r>
              <m:t>σ</m:t>
            </m:r>
          </m:e>
          <m:sup>
            <m:r>
              <m:rPr>
                <m:sty m:val="p"/>
              </m:rPr>
              <m:t>*</m:t>
            </m:r>
          </m:sup>
        </m:sSup>
      </m:oMath>
      <w:r>
        <w:t xml:space="preserve"> </w:t>
      </w:r>
      <w:r>
        <w:t xml:space="preserve">from ~0.40 to ~0.50, potentially pushing conditions below the viability boundary even without any change in regional environmental variance. The</w:t>
      </w:r>
      <w:r>
        <w:t xml:space="preserve"> </w:t>
      </w:r>
      <m:oMath>
        <m:r>
          <m:t>σ</m:t>
        </m:r>
      </m:oMath>
      <w:r>
        <w:t xml:space="preserve">-pathway operates through reduction in regional environmental uncertainty. If the post-3300 cal BP regime had measurably lower regional</w:t>
      </w:r>
      <w:r>
        <w:t xml:space="preserve"> </w:t>
      </w:r>
      <m:oMath>
        <m:r>
          <m:t>σ</m:t>
        </m:r>
      </m:oMath>
      <w:r>
        <w:t xml:space="preserve"> </w:t>
      </w:r>
      <w:r>
        <w:t xml:space="preserve">on the same composite uncertainty index used during the active interval, conditions would fall below the unchanged</w:t>
      </w:r>
      <w:r>
        <w:t xml:space="preserve"> </w:t>
      </w:r>
      <m:oMath>
        <m:sSup>
          <m:e>
            <m:r>
              <m:t>σ</m:t>
            </m:r>
          </m:e>
          <m:sup>
            <m:r>
              <m:rPr>
                <m:sty m:val="p"/>
              </m:rPr>
              <m:t>*</m:t>
            </m:r>
          </m:sup>
        </m:sSup>
      </m:oMath>
      <w:r>
        <w:t xml:space="preserve"> </w:t>
      </w:r>
      <w:r>
        <w:t xml:space="preserve">boundary on the</w:t>
      </w:r>
      <w:r>
        <w:t xml:space="preserve"> </w:t>
      </w:r>
      <m:oMath>
        <m:r>
          <m:t>σ</m:t>
        </m:r>
      </m:oMath>
      <w:r>
        <w:t xml:space="preserve">-axis directly.</w:t>
      </w:r>
    </w:p>
    <w:p>
      <w:pPr>
        <w:pStyle w:val="BodyText"/>
      </w:pPr>
      <w:r>
        <w:t xml:space="preserve">On the currently available LMV record, the</w:t>
      </w:r>
      <w:r>
        <w:t xml:space="preserve"> </w:t>
      </w:r>
      <m:oMath>
        <m:r>
          <m:t>ε</m:t>
        </m:r>
      </m:oMath>
      <w: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t xml:space="preserve"> </w:t>
      </w:r>
      <m:oMath>
        <m:r>
          <m:t>ε</m:t>
        </m:r>
      </m:oMath>
      <w:r>
        <w:t xml:space="preserve">-pathway, not the</w:t>
      </w:r>
      <w:r>
        <w:t xml:space="preserve"> </w:t>
      </w:r>
      <m:oMath>
        <m:r>
          <m:t>σ</m:t>
        </m:r>
      </m:oMath>
      <w:r>
        <w:t xml:space="preserve">-pathway. On the LMV-interior paleoclimate proxies currently available, we do not have direct evidence that post-3300 cal BP regional</w:t>
      </w:r>
      <w:r>
        <w:t xml:space="preserve"> </w:t>
      </w:r>
      <m:oMath>
        <m:r>
          <m:t>σ</m:t>
        </m:r>
      </m:oMath>
      <w:r>
        <w:t xml:space="preserve"> </w:t>
      </w:r>
      <w: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t xml:space="preserve"> </w:t>
      </w:r>
      <m:oMath>
        <m:r>
          <m:t>σ</m:t>
        </m:r>
      </m:oMath>
      <w:r>
        <w:t xml:space="preserve">-pathway is not falsified by the current evidence. Rather, it is unsupported. A future LMV-interior</w:t>
      </w:r>
      <w:r>
        <w:t xml:space="preserve"> </w:t>
      </w:r>
      <m:oMath>
        <m:r>
          <m:t>σ</m:t>
        </m:r>
      </m:oMath>
      <w:r>
        <w:t xml:space="preserve">-resolved proxy reconstruction (drawing on Lake Tulane pollen, Avery Island salt-dome records, Pigmy Basin Mg/Ca SSTs, or Mississippi Delta sediment-supply records) could, in principle, show that post-3300 cal BP regional</w:t>
      </w:r>
      <w:r>
        <w:t xml:space="preserve"> </w:t>
      </w:r>
      <m:oMath>
        <m:r>
          <m:t>σ</m:t>
        </m:r>
      </m:oMath>
      <w:r>
        <w:t xml:space="preserve"> </w:t>
      </w:r>
      <w:r>
        <w:t xml:space="preserve">was lower than during the active interval and revive the</w:t>
      </w:r>
      <w:r>
        <w:t xml:space="preserve"> </w:t>
      </w:r>
      <m:oMath>
        <m:r>
          <m:t>σ</m:t>
        </m:r>
      </m:oMath>
      <w:r>
        <w:t xml:space="preserve">-pathway reading. On the proxies currently engaged in §5.5 (which are dominated by extra-LMV records), the</w:t>
      </w:r>
      <w:r>
        <w:t xml:space="preserve"> </w:t>
      </w:r>
      <m:oMath>
        <m:r>
          <m:t>σ</m:t>
        </m:r>
      </m:oMath>
      <w: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t xml:space="preserve"> </w:t>
      </w:r>
      <m:oMath>
        <m:r>
          <m:t>σ</m:t>
        </m:r>
      </m:oMath>
      <w:r>
        <w:t xml:space="preserve">-pathway collapse predicts that the</w:t>
      </w:r>
      <w:r>
        <w:t xml:space="preserve"> </w:t>
      </w:r>
      <w:r>
        <w:rPr>
          <w:i/>
          <w:iCs/>
        </w:rPr>
        <w:t xml:space="preserve">signaling indicators</w:t>
      </w:r>
      <w:r>
        <w:t xml:space="preserve"> </w:t>
      </w:r>
      <w:r>
        <w:t xml:space="preserve">(long-distance exotic acquisition, lapidary production) should weaken before or simultaneously with monument abandonment, because the supporting cooperation network must thin before the signals it sustains become uneconomic. An</w:t>
      </w:r>
      <w:r>
        <w:t xml:space="preserve"> </w:t>
      </w:r>
      <m:oMath>
        <m:r>
          <m:t>ε</m:t>
        </m:r>
      </m:oMath>
      <w:r>
        <w:t xml:space="preserve">-pathway collapse predicts that monument abandonment should</w:t>
      </w:r>
      <w:r>
        <w:t xml:space="preserve"> </w:t>
      </w:r>
      <w:r>
        <w:rPr>
          <w:i/>
          <w:iCs/>
        </w:rPr>
        <w:t xml:space="preserve">precede</w:t>
      </w:r>
      <w:r>
        <w:t xml:space="preserve"> </w:t>
      </w:r>
      <w: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t xml:space="preserve">7.4 Falsifiable predictions and priority empirical work</w:t>
      </w:r>
    </w:p>
    <w:p>
      <w:pPr>
        <w:pStyle w:val="FirstParagraph"/>
      </w:pPr>
      <w:r>
        <w:t xml:space="preserve">We separate predictions into those that carry independent inferential weight against the framework and those that carry only consistency weight conditional on inputs we have not derived.</w:t>
      </w:r>
    </w:p>
    <w:p>
      <w:pPr>
        <w:pStyle w:val="BodyText"/>
      </w:pPr>
      <w:r>
        <w:rPr>
          <w:b/>
          <w:bCs/>
        </w:rPr>
        <w:t xml:space="preserve">Signed discriminating predictions against cultural-historical alternatives.</w:t>
      </w:r>
      <w:r>
        <w:t xml:space="preserve"> </w:t>
      </w:r>
      <w: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i/>
          <w:iCs/>
        </w:rPr>
        <w:t xml:space="preserve">Concentration-ratio asymmetry.</w:t>
      </w:r>
      <w:r>
        <w:t xml:space="preserve"> </w:t>
      </w:r>
      <w: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i/>
          <w:iCs/>
        </w:rPr>
        <w:t xml:space="preserve">-pathway versus</w:t>
      </w:r>
      <w:r>
        <w:rPr>
          <w:i/>
          <w:iCs/>
        </w:rPr>
        <w:t xml:space="preserve"> </w:t>
      </w:r>
      <m:oMath>
        <m:r>
          <m:t>σ</m:t>
        </m:r>
      </m:oMath>
      <w:r>
        <w:rPr>
          <w:i/>
          <w:iCs/>
        </w:rPr>
        <w:t xml:space="preserve">-pathway collapse.</w:t>
      </w:r>
      <w:r>
        <w:t xml:space="preserve"> </w:t>
      </w:r>
      <w:r>
        <w:t xml:space="preserve">The framework’s two collapse pathways (§7.3) predict opposite</w:t>
      </w:r>
      <w:r>
        <w:t xml:space="preserve"> </w:t>
      </w:r>
      <w:r>
        <w:rPr>
          <w:i/>
          <w:iCs/>
        </w:rPr>
        <w:t xml:space="preserve">orderings</w:t>
      </w:r>
      <w:r>
        <w:t xml:space="preserve"> </w:t>
      </w:r>
      <w:r>
        <w:t xml:space="preserve">between monument abandonment and exotic-network attrition. The</w:t>
      </w:r>
      <w:r>
        <w:t xml:space="preserve"> </w:t>
      </w:r>
      <m:oMath>
        <m:r>
          <m:t>ε</m:t>
        </m:r>
      </m:oMath>
      <w:r>
        <w:t xml:space="preserve">-pathway predicts monument abandonment first (because the immediate driver is loss of the gathering location). The</w:t>
      </w:r>
      <w:r>
        <w:t xml:space="preserve"> </w:t>
      </w:r>
      <m:oMath>
        <m:r>
          <m:t>σ</m:t>
        </m:r>
      </m:oMath>
      <w: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i/>
          <w:iCs/>
        </w:rPr>
        <w:t xml:space="preserve">Construction event density at PP versus WB.</w:t>
      </w:r>
      <w:r>
        <w:t xml:space="preserve"> </w:t>
      </w:r>
      <w: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t xml:space="preserve">, in the direction predicted by the framework. The</w:t>
      </w:r>
      <w:r>
        <w:t xml:space="preserve"> </w:t>
      </w:r>
      <w:r>
        <w:t xml:space="preserve">“event”</w:t>
      </w:r>
      <w:r>
        <w:t xml:space="preserve"> </w:t>
      </w:r>
      <w:r>
        <w:t xml:space="preserve">units are not directly comparable across the two sites: PP events include post-circle rebuild cycles, prepared surfaces, and ridge components recovered through magnetic gradient surveys, whereas WB events are mound stages from Saunders et al. (2005b). The order-of-magnitude contrast is robust to unit-conversion uncertainty. However, the precise 47-85</w:t>
      </w:r>
      <m:oMath>
        <m:r>
          <m:rPr>
            <m:sty m:val="p"/>
          </m:rPr>
          <m:t>×</m:t>
        </m:r>
      </m:oMath>
      <w:r>
        <w:t xml:space="preserve"> </w:t>
      </w:r>
      <w: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t xml:space="preserve"> </w:t>
      </w:r>
      <m:oMath>
        <m:r>
          <m:t>δ</m:t>
        </m:r>
      </m:oMath>
      <w:r>
        <w:t xml:space="preserve"> </w:t>
      </w:r>
      <w:r>
        <w:t xml:space="preserve">from earthwork-weathering studies.</w:t>
      </w:r>
    </w:p>
    <w:p>
      <w:pPr>
        <w:pStyle w:val="FirstParagraph"/>
      </w:pPr>
      <w:r>
        <w:rPr>
          <w:b/>
          <w:bCs/>
        </w:rPr>
        <w:t xml:space="preserve">Necessity-condition test (carries weaker falsifying weight because aggregation is known to have occurred).</w:t>
      </w:r>
    </w:p>
    <w:p>
      <w:pPr>
        <w:pStyle w:val="Compact"/>
        <w:numPr>
          <w:ilvl w:val="0"/>
          <w:numId w:val="1003"/>
        </w:numPr>
      </w:pPr>
      <w:r>
        <w:rPr>
          <w:i/>
          <w:iCs/>
        </w:rPr>
        <w:t xml:space="preserve">Paleoclimate-threshold proximity.</w:t>
      </w:r>
      <w:r>
        <w:t xml:space="preserve"> </w:t>
      </w:r>
      <w:r>
        <w:t xml:space="preserve">If a more rigorous paleo-discharge-resolved</w:t>
      </w:r>
      <w:r>
        <w:t xml:space="preserve"> </w:t>
      </w:r>
      <m:oMath>
        <m:r>
          <m:t>ε</m:t>
        </m:r>
      </m:oMath>
      <w:r>
        <w:t xml:space="preserve"> </w:t>
      </w:r>
      <w:r>
        <w:t xml:space="preserve">produced a posterior probability of above-threshold operation below 0.20, the structural-conditions claim would be substantially weakened. The current posterior under §6.2 Bayesian uncertainty propagation is</w:t>
      </w:r>
      <w: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t xml:space="preserve">-</w:t>
      </w:r>
      <m:oMath>
        <m:r>
          <m:t>0.56</m:t>
        </m:r>
      </m:oMath>
      <w:r>
        <w:t xml:space="preserve"> </w:t>
      </w:r>
      <w:r>
        <w:t xml:space="preserve">across plausible priors. We report this as a near-tie rather than a confirmed pass: the</w:t>
      </w:r>
      <w:r>
        <w:t xml:space="preserve"> </w:t>
      </w:r>
      <m:oMath>
        <m:r>
          <m:t>σ</m:t>
        </m:r>
      </m:oMath>
      <w:r>
        <w:t xml:space="preserve"> </w:t>
      </w:r>
      <w:r>
        <w:t xml:space="preserve">inputs place the active interval within the threshold zone, but the binary above-versus-below question is unresolved on the proxies currently engaged. A future LMV-interior</w:t>
      </w:r>
      <w:r>
        <w:t xml:space="preserve"> </w:t>
      </w:r>
      <m:oMath>
        <m:r>
          <m:t>σ</m:t>
        </m:r>
      </m:oMath>
      <w: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b/>
          <w:bCs/>
        </w:rPr>
        <w:t xml:space="preserve">Out-of-sample test not yet performed.</w:t>
      </w:r>
    </w:p>
    <w:p>
      <w:pPr>
        <w:pStyle w:val="Compact"/>
        <w:numPr>
          <w:ilvl w:val="0"/>
          <w:numId w:val="1004"/>
        </w:numPr>
      </w:pPr>
      <w:r>
        <w:rPr>
          <w:i/>
          <w:iCs/>
        </w:rPr>
        <w:t xml:space="preserve">Out-of-sample placement.</w:t>
      </w:r>
      <w:r>
        <w:t xml:space="preserve"> </w:t>
      </w:r>
      <w:r>
        <w:t xml:space="preserve">An out-of-sample test of additional earthwork locations, where</w:t>
      </w:r>
      <w:r>
        <w:t xml:space="preserve"> </w:t>
      </w:r>
      <m:oMath>
        <m:r>
          <m:t>ε</m:t>
        </m:r>
      </m:oMath>
      <w:r>
        <w:t xml:space="preserve"> </w:t>
      </w:r>
      <w:r>
        <w:t xml:space="preserve">and</w:t>
      </w:r>
      <w:r>
        <w:t xml:space="preserve"> </w:t>
      </w:r>
      <m:oMath>
        <m:sSub>
          <m:e>
            <m:r>
              <m:t>n</m:t>
            </m:r>
          </m:e>
          <m:sub>
            <m:r>
              <m:t>a</m:t>
            </m:r>
            <m:r>
              <m:t>g</m:t>
            </m:r>
            <m:r>
              <m:t>g</m:t>
            </m:r>
          </m:sub>
        </m:sSub>
      </m:oMath>
      <w:r>
        <w:t xml:space="preserve"> </w:t>
      </w:r>
      <w: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b/>
          <w:bCs/>
        </w:rPr>
        <w:t xml:space="preserve">Consistency demonstrations conditional on inputs.</w:t>
      </w:r>
      <w:r>
        <w:t xml:space="preserve"> </w:t>
      </w:r>
      <w: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i/>
          <w:iCs/>
        </w:rPr>
        <w:t xml:space="preserve">Binary interior-vs-coastal screening (consistency).</w:t>
      </w:r>
      <w:r>
        <w:t xml:space="preserve"> </w:t>
      </w:r>
      <w:r>
        <w:t xml:space="preserve">The screening operates on a sample drawn from known LMV monument-builders plus the Pearl River coastal pair as the natural negative case. Our conclusion that</w:t>
      </w:r>
      <w:r>
        <w:t xml:space="preserve"> </w:t>
      </w:r>
      <w:r>
        <w:t xml:space="preserve">“9 of 9 interior sites pass the high-</w:t>
      </w:r>
      <m:oMath>
        <m:r>
          <m:t>ε</m:t>
        </m:r>
      </m:oMath>
      <w:r>
        <w:t xml:space="preserve"> </w:t>
      </w:r>
      <w:r>
        <w:t xml:space="preserve">filter”</w:t>
      </w:r>
      <w:r>
        <w:t xml:space="preserve"> </w:t>
      </w:r>
      <w: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t xml:space="preserve"> </w:t>
      </w:r>
      <w: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i/>
          <w:iCs/>
        </w:rPr>
        <w:t xml:space="preserve">Distance-decay rank correlation (not passed on the full material set; would not discriminate even if passed).</w:t>
      </w:r>
      <w:r>
        <w:t xml:space="preserve"> </w:t>
      </w:r>
      <w:r>
        <w:t xml:space="preserve">The Spearman ranking of exotic-material frequency by source distance is invariant under any monotonically decreasing</w:t>
      </w:r>
      <w:r>
        <w:t xml:space="preserve"> </w:t>
      </w:r>
      <m:oMath>
        <m:r>
          <m:t>p</m:t>
        </m:r>
        <m:r>
          <m:rPr>
            <m:sty m:val="p"/>
          </m:rPr>
          <m:t>(</m:t>
        </m:r>
        <m:r>
          <m:t>d</m:t>
        </m:r>
        <m:r>
          <m:rPr>
            <m:sty m:val="p"/>
          </m:rPr>
          <m:t>)</m:t>
        </m:r>
      </m:oMath>
      <w:r>
        <w:t xml:space="preserve">, so a generic transport-cost or down-the-line exchange model makes the same ordinal prediction, and even a perfect ranking would carry no discriminating weight. On the current inventory the comparison returns</w:t>
      </w:r>
      <w:r>
        <w:t xml:space="preserve"> </w:t>
      </w:r>
      <m:oMath>
        <m:r>
          <m:t>ρ</m:t>
        </m:r>
        <m:r>
          <m:rPr>
            <m:sty m:val="p"/>
          </m:rPr>
          <m:t>=</m:t>
        </m:r>
        <m:r>
          <m:rPr>
            <m:sty m:val="p"/>
          </m:rPr>
          <m:t>−</m:t>
        </m:r>
        <m:r>
          <m:t>0.40</m:t>
        </m:r>
      </m:oMath>
      <w:r>
        <w:t xml:space="preserve"> </w:t>
      </w:r>
      <w:r>
        <w:t xml:space="preserve">across the five tracked materials (+0.50 restricted to the three far-source materials; §6.1), with the two Arkansas-source materials falling far below the decay curve. Distance decay therefore neither discriminates among mechanisms nor, at present, holds as an unconditional consistency demonstration: the ordering is recovered only with material-specific value and recovery corrections. The discriminating exchange-side test is (f) above.</w:t>
      </w:r>
    </w:p>
    <w:p>
      <w:pPr>
        <w:numPr>
          <w:ilvl w:val="0"/>
          <w:numId w:val="1005"/>
        </w:numPr>
      </w:pPr>
      <w:r>
        <w:rPr>
          <w:i/>
          <w:iCs/>
        </w:rPr>
        <w:t xml:space="preserve">Phenology test (consistency, partly circular at PP).</w:t>
      </w:r>
      <w:r>
        <w:t xml:space="preserve"> </w:t>
      </w:r>
      <w:r>
        <w:t xml:space="preserve">The available seasonality evidence does not directly constrain the type-site core: faunal bone preservation at Poverty Point is poor due to soil acidity, and the earliest macrobotanical reports came from peripheral Poverty Point-period sites (Thomas and Campbell 1978), where plant remains were read as fall-winter occupation with no clear spring signal. Macrobotanical analysis of samples from the type site itself has since recovered early-summer-ripening cultigens (maygrass and little barley) together with fall nuts and fruits (Leone 2014, 2020), a multi-season pattern consistent with the framework’s broader-window prediction (substantial aggregation share in spring fish spawning and summer aquatic months, in addition to fall-winter mast). The faunal component of that prediction still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t xml:space="preserve">The cross-site magnitude correlation (</w:t>
      </w:r>
      <m:oMath>
        <m:r>
          <m:t>ρ</m:t>
        </m:r>
        <m:r>
          <m:rPr>
            <m:sty m:val="p"/>
          </m:rPr>
          <m:t>=</m:t>
        </m:r>
        <m:r>
          <m:rPr>
            <m:sty m:val="p"/>
          </m:rPr>
          <m:t>+</m:t>
        </m:r>
        <m:r>
          <m:t>0.85</m:t>
        </m:r>
      </m:oMath>
      <w:r>
        <w:t xml:space="preserve"> </w:t>
      </w:r>
      <w:r>
        <w:t xml:space="preserve">to</w:t>
      </w:r>
      <w:r>
        <w:t xml:space="preserve"> </w:t>
      </w:r>
      <m:oMath>
        <m:r>
          <m:rPr>
            <m:sty m:val="p"/>
          </m:rPr>
          <m:t>+</m:t>
        </m:r>
        <m:r>
          <m:t>0.91</m:t>
        </m:r>
      </m:oMath>
      <w:r>
        <w:t xml:space="preserve">) is dominated by exogenous</w:t>
      </w:r>
      <w:r>
        <w:t xml:space="preserve"> </w:t>
      </w:r>
      <m:oMath>
        <m:sSub>
          <m:e>
            <m:r>
              <m:t>n</m:t>
            </m:r>
          </m:e>
          <m:sub>
            <m:r>
              <m:t>a</m:t>
            </m:r>
            <m:r>
              <m:t>g</m:t>
            </m:r>
            <m:r>
              <m:t>g</m:t>
            </m:r>
          </m:sub>
        </m:sSub>
      </m:oMath>
      <w:r>
        <w:t xml:space="preserve"> </w:t>
      </w:r>
      <w:r>
        <w:t xml:space="preserve">factors drawn from the convergence-model literature. The framework’s</w:t>
      </w:r>
      <w:r>
        <w:t xml:space="preserve"> </w:t>
      </w:r>
      <m:oMath>
        <m:r>
          <m:t>ε</m:t>
        </m:r>
      </m:oMath>
      <w:r>
        <w:t xml:space="preserve"> </w:t>
      </w:r>
      <w:r>
        <w:t xml:space="preserve">contributes at most</w:t>
      </w:r>
      <w:r>
        <w:t xml:space="preserve"> </w:t>
      </w:r>
      <m:oMath>
        <m:r>
          <m:rPr>
            <m:sty m:val="p"/>
          </m:rPr>
          <m:t>±</m:t>
        </m:r>
        <m:r>
          <m:t>0.02</m:t>
        </m:r>
      </m:oMath>
      <w:r>
        <w:t xml:space="preserve"> </w:t>
      </w:r>
      <w: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t xml:space="preserve">The Watson Brake closure (§6.3), under the refined LiDAR-derived per-mound volume of 27,065 m³ (§5.1), now rests primarily on the per-event labor-scaling extension at</w:t>
      </w:r>
      <w:r>
        <w:t xml:space="preserve"> </w:t>
      </w:r>
      <m:oMath>
        <m:r>
          <m:t>α</m:t>
        </m:r>
        <m:r>
          <m:rPr>
            <m:sty m:val="p"/>
          </m:rPr>
          <m:t>=</m:t>
        </m:r>
        <m:r>
          <m:t>2</m:t>
        </m:r>
      </m:oMath>
      <w:r>
        <w:t xml:space="preserve">, which gives a predicted WB volume of ~25,000 m³ that matches the LiDAR observation within ~9% (ratio 0.91×) without further parameter tuning. The regime-switching</w:t>
      </w:r>
      <w:r>
        <w:t xml:space="preserve"> </w:t>
      </w:r>
      <m:oMath>
        <m:r>
          <m:t>K</m:t>
        </m:r>
      </m:oMath>
      <w:r>
        <w:t xml:space="preserve"> </w:t>
      </w:r>
      <w:r>
        <w:t xml:space="preserve">parameter is no longer required to close the gap. Regime switching now plays the substantive role of accounting for episodic construction tempo rather than total volume. The remaining post-hoc element is</w:t>
      </w:r>
      <w:r>
        <w:t xml:space="preserve"> </w:t>
      </w:r>
      <m:oMath>
        <m:r>
          <m:t>α</m:t>
        </m:r>
        <m:r>
          <m:rPr>
            <m:sty m:val="p"/>
          </m:rPr>
          <m:t>=</m:t>
        </m:r>
        <m:r>
          <m:t>2.0</m:t>
        </m:r>
      </m:oMath>
      <w:r>
        <w:t xml:space="preserve"> </w:t>
      </w:r>
      <w:r>
        <w:t xml:space="preserve">itself, which exceeds the additive-labor baseline (</w:t>
      </w:r>
      <m:oMath>
        <m:r>
          <m:t>α</m:t>
        </m:r>
        <m:r>
          <m:rPr>
            <m:sty m:val="p"/>
          </m:rPr>
          <m:t>=</m:t>
        </m:r>
        <m:r>
          <m:t>1</m:t>
        </m:r>
      </m:oMath>
      <w:r>
        <w:t xml:space="preserve">) of Erasmus (1965) and is calibrated to minimize log-overprediction across the eleven-site sample rather than derived from independent ethnographic data. Restricting to</w:t>
      </w:r>
      <w:r>
        <w:t xml:space="preserve"> </w:t>
      </w:r>
      <m:oMath>
        <m:r>
          <m:t>α</m:t>
        </m:r>
        <m:r>
          <m:rPr>
            <m:sty m:val="p"/>
          </m:rPr>
          <m:t>=</m:t>
        </m:r>
        <m:r>
          <m:t>1</m:t>
        </m:r>
      </m:oMath>
      <w:r>
        <w:t xml:space="preserve"> </w:t>
      </w:r>
      <w:r>
        <w:t xml:space="preserve">produces a WB prediction of ~77,000 m³, still 2.8× above the LiDAR-derived 27,065 m³. The closure is therefore conditional on superadditive labor scaling at the WB-vs-PP crew-size contrast.</w:t>
      </w:r>
    </w:p>
    <w:p>
      <w:pPr>
        <w:pStyle w:val="FirstParagraph"/>
      </w:pPr>
      <w:r>
        <w:t xml:space="preserve">We can partially derive</w:t>
      </w:r>
      <w:r>
        <w:t xml:space="preserve"> </w:t>
      </w:r>
      <m:oMath>
        <m:r>
          <m:t>α</m:t>
        </m:r>
      </m:oMath>
      <w:r>
        <w:t xml:space="preserve"> </w:t>
      </w:r>
      <w: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t xml:space="preserve"> </w:t>
      </w:r>
      <m:oMath>
        <m:r>
          <m:t>α</m:t>
        </m:r>
        <m:r>
          <m:rPr>
            <m:sty m:val="p"/>
          </m:rPr>
          <m:t>≈</m:t>
        </m:r>
        <m:r>
          <m:t>1</m:t>
        </m:r>
      </m:oMath>
      <w:r>
        <w:t xml:space="preserve"> </w:t>
      </w:r>
      <w:r>
        <w:t xml:space="preserve">(linear scaling in crew size). The</w:t>
      </w:r>
      <w:r>
        <w:t xml:space="preserve"> </w:t>
      </w:r>
      <m:oMath>
        <m:r>
          <m:t>α</m:t>
        </m:r>
        <m:r>
          <m:rPr>
            <m:sty m:val="p"/>
          </m:rPr>
          <m:t>=</m:t>
        </m:r>
        <m:r>
          <m:t>2</m:t>
        </m:r>
      </m:oMath>
      <w:r>
        <w:t xml:space="preserve"> </w:t>
      </w:r>
      <w: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t xml:space="preserve"> </w:t>
      </w:r>
      <m:oMath>
        <m:r>
          <m:t>α</m:t>
        </m:r>
        <m:r>
          <m:rPr>
            <m:sty m:val="p"/>
          </m:rPr>
          <m:t>=</m:t>
        </m:r>
        <m:r>
          <m:t>2</m:t>
        </m:r>
      </m:oMath>
      <w:r>
        <w:t xml:space="preserve"> </w:t>
      </w:r>
      <w: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t xml:space="preserve"> </w:t>
      </w:r>
      <m:oMath>
        <m:r>
          <m:t>α</m:t>
        </m:r>
        <m:r>
          <m:rPr>
            <m:sty m:val="p"/>
          </m:rPr>
          <m:t>=</m:t>
        </m:r>
        <m:r>
          <m:t>1</m:t>
        </m:r>
      </m:oMath>
      <w:r>
        <w:t xml:space="preserve">, which would leave the framework overpredicting the 27,065 m³ by approximately 2.8-fold rather than the post-hoc-fitted 0.91× near-match achieved at</w:t>
      </w:r>
      <w:r>
        <w:t xml:space="preserve"> </w:t>
      </w:r>
      <m:oMath>
        <m:r>
          <m:t>α</m:t>
        </m:r>
        <m:r>
          <m:rPr>
            <m:sty m:val="p"/>
          </m:rPr>
          <m:t>=</m:t>
        </m:r>
        <m:r>
          <m:t>2</m:t>
        </m:r>
      </m:oMath>
      <w:r>
        <w:t xml:space="preserve">.</w:t>
      </w:r>
    </w:p>
    <w:p>
      <w:pPr>
        <w:pStyle w:val="Compact"/>
        <w:numPr>
          <w:ilvl w:val="0"/>
          <w:numId w:val="1007"/>
        </w:numPr>
      </w:pPr>
      <w: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t xml:space="preserve"> </w:t>
      </w:r>
      <m:oMath>
        <m:sSub>
          <m:e>
            <m:r>
              <m:t>n</m:t>
            </m:r>
          </m:e>
          <m:sub>
            <m:r>
              <m:t>a</m:t>
            </m:r>
            <m:r>
              <m:t>g</m:t>
            </m:r>
            <m:r>
              <m:t>g</m:t>
            </m:r>
          </m:sub>
        </m:sSub>
      </m:oMath>
      <w:r>
        <w:t xml:space="preserve">, as (i) makes explicit.</w:t>
      </w:r>
    </w:p>
    <w:p>
      <w:pPr>
        <w:pStyle w:val="BodyText"/>
      </w:pPr>
      <w: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t xml:space="preserve"> </w:t>
      </w:r>
      <m:oMath>
        <m:sSub>
          <m:e>
            <m:r>
              <m:t>n</m:t>
            </m:r>
          </m:e>
          <m:sub>
            <m:r>
              <m:t>a</m:t>
            </m:r>
            <m:r>
              <m:t>g</m:t>
            </m:r>
            <m:r>
              <m:t>g</m:t>
            </m:r>
          </m:sub>
        </m:sSub>
      </m:oMath>
      <w:r>
        <w:t xml:space="preserve"> </w:t>
      </w:r>
      <w: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a phenology calendar built from independent regional ecological data (modern fish, game, and plant phenology for the region) rather than from the archaeological seasonality interpretations the test evaluates would assess the framework’s seasonality prediction non-circularly. A paleo-discharge-resolved operationalization of</w:t>
      </w:r>
      <w:r>
        <w:t xml:space="preserve"> </w:t>
      </w:r>
      <m:oMath>
        <m:r>
          <m:t>ε</m:t>
        </m:r>
      </m:oMath>
      <w:r>
        <w:t xml:space="preserve"> </w:t>
      </w:r>
      <w:r>
        <w:t xml:space="preserve">using sediment-yield reconstructions or paleo-flood-frequency proxies per drainage at the focal-site scale would replace the modern hydrograph-as-proxy treatment used in our preliminary regional analysis.</w:t>
      </w:r>
    </w:p>
    <w:p>
      <w:pPr>
        <w:pStyle w:val="BodyText"/>
      </w:pPr>
      <w: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t xml:space="preserve">7.5 Implications for hunter-gatherer archaeology more broadly</w:t>
      </w:r>
    </w:p>
    <w:p>
      <w:pPr>
        <w:pStyle w:val="FirstParagraph"/>
      </w:pPr>
      <w: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t xml:space="preserve"> </w:t>
      </w:r>
      <m:oMath>
        <m:sSub>
          <m:e>
            <m:r>
              <m:t>n</m:t>
            </m:r>
          </m:e>
          <m:sub>
            <m:r>
              <m:t>a</m:t>
            </m:r>
            <m:r>
              <m:t>g</m:t>
            </m:r>
            <m:r>
              <m:t>g</m:t>
            </m:r>
          </m:sub>
        </m:sSub>
      </m:oMath>
      <w:r>
        <w:t xml:space="preserve"> </w:t>
      </w:r>
      <w:r>
        <w:t xml:space="preserve">to any of them. Three traditions matter most for the comparison.</w:t>
      </w:r>
    </w:p>
    <w:p>
      <w:pPr>
        <w:pStyle w:val="BodyText"/>
      </w:pPr>
      <w:r>
        <w:rPr>
          <w:i/>
          <w:iCs/>
        </w:rPr>
        <w:t xml:space="preserve">Stallings Island and the interior Stallings shell-mound tradition</w:t>
      </w:r>
      <w:r>
        <w:t xml:space="preserve"> </w:t>
      </w:r>
      <w: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t xml:space="preserve"> </w:t>
      </w:r>
      <m:oMath>
        <m:r>
          <m:t>ε</m:t>
        </m:r>
      </m:oMath>
      <w:r>
        <w:t xml:space="preserve"> </w:t>
      </w:r>
      <w:r>
        <w:t xml:space="preserve">band. The convergence-model</w:t>
      </w:r>
      <w:r>
        <w:t xml:space="preserve"> </w:t>
      </w:r>
      <m:oMath>
        <m:sSub>
          <m:e>
            <m:r>
              <m:t>n</m:t>
            </m:r>
          </m:e>
          <m:sub>
            <m:r>
              <m:t>a</m:t>
            </m:r>
            <m:r>
              <m:t>g</m:t>
            </m:r>
            <m:r>
              <m:t>g</m:t>
            </m:r>
          </m:sub>
        </m:sSub>
      </m:oMath>
      <w:r>
        <w:t xml:space="preserve"> </w:t>
      </w:r>
      <w: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i/>
          <w:iCs/>
        </w:rPr>
        <w:t xml:space="preserve">Green River shell mound complex</w:t>
      </w:r>
      <w:r>
        <w:t xml:space="preserve"> </w:t>
      </w:r>
      <w:r>
        <w:t xml:space="preserve">in Kentucky (5800-4000 cal BP; Marquardt and Watson 2005). The high-</w:t>
      </w:r>
      <m:oMath>
        <m:r>
          <m:t>ε</m:t>
        </m:r>
      </m:oMath>
      <w:r>
        <w:t xml:space="preserve"> </w:t>
      </w:r>
      <w: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t xml:space="preserve"> </w:t>
      </w:r>
      <m:oMath>
        <m:r>
          <m:t>ε</m:t>
        </m:r>
      </m:oMath>
      <w:r>
        <w:t xml:space="preserve"> </w:t>
      </w:r>
      <w:r>
        <w:t xml:space="preserve">and the documented long-distance exchange) makes it a useful test of the</w:t>
      </w:r>
      <w:r>
        <w:t xml:space="preserve"> </w:t>
      </w:r>
      <m:oMath>
        <m:r>
          <m:t>ε</m:t>
        </m:r>
        <m:r>
          <m:rPr>
            <m:sty m:val="p"/>
          </m:rPr>
          <m:t>×</m:t>
        </m:r>
        <m:sSub>
          <m:e>
            <m:r>
              <m:t>n</m:t>
            </m:r>
          </m:e>
          <m:sub>
            <m:r>
              <m:t>a</m:t>
            </m:r>
            <m:r>
              <m:t>g</m:t>
            </m:r>
            <m:r>
              <m:t>g</m:t>
            </m:r>
          </m:sub>
        </m:sSub>
      </m:oMath>
      <w:r>
        <w:t xml:space="preserve"> </w:t>
      </w:r>
      <w:r>
        <w:t xml:space="preserve">interaction: the framework predicts a sites with high</w:t>
      </w:r>
      <w:r>
        <w:t xml:space="preserve"> </w:t>
      </w:r>
      <m:oMath>
        <m:r>
          <m:t>ε</m:t>
        </m:r>
      </m:oMath>
      <w:r>
        <w:t xml:space="preserve"> </w:t>
      </w:r>
      <w:r>
        <w:t xml:space="preserve">but small attained</w:t>
      </w:r>
      <w:r>
        <w:t xml:space="preserve"> </w:t>
      </w:r>
      <m:oMath>
        <m:sSub>
          <m:e>
            <m:r>
              <m:t>n</m:t>
            </m:r>
          </m:e>
          <m:sub>
            <m:r>
              <m:t>a</m:t>
            </m:r>
            <m:r>
              <m:t>g</m:t>
            </m:r>
            <m:r>
              <m:t>g</m:t>
            </m:r>
          </m:sub>
        </m:sSub>
      </m:oMath>
      <w:r>
        <w:t xml:space="preserve"> </w:t>
      </w:r>
      <w:r>
        <w:t xml:space="preserve">should not produce monumental architecture, only the exchange-side correlates. The Green River case is consistent with this prediction.</w:t>
      </w:r>
    </w:p>
    <w:p>
      <w:pPr>
        <w:pStyle w:val="BodyText"/>
      </w:pPr>
      <w:r>
        <w:rPr>
          <w:i/>
          <w:iCs/>
        </w:rPr>
        <w:t xml:space="preserve">Mulberry Creek and the Tennessee Valley shell-mound tradition</w:t>
      </w:r>
      <w:r>
        <w:t xml:space="preserve"> </w:t>
      </w:r>
      <w: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t xml:space="preserve"> </w:t>
      </w:r>
      <m:oMath>
        <m:r>
          <m:t>ε</m:t>
        </m:r>
      </m:oMath>
      <w:r>
        <w:t xml:space="preserve"> </w:t>
      </w:r>
      <w:r>
        <w:t xml:space="preserve">access. The framework would predict shell-mound investment (which is documented) at a WB-scale magnitude rather than at a PP-scale.</w:t>
      </w:r>
    </w:p>
    <w:p>
      <w:pPr>
        <w:pStyle w:val="BodyText"/>
      </w:pPr>
      <w: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t xml:space="preserve"> </w:t>
      </w:r>
      <w:r>
        <w:t xml:space="preserve">LMV sites have. Determining whether each of these placements matches the documented record requires applying the rubric and the convergence model</w:t>
      </w:r>
      <w:r>
        <w:t xml:space="preserve"> </w:t>
      </w:r>
      <m:oMath>
        <m:sSub>
          <m:e>
            <m:r>
              <m:t>n</m:t>
            </m:r>
          </m:e>
          <m:sub>
            <m:r>
              <m:t>a</m:t>
            </m:r>
            <m:r>
              <m:t>g</m:t>
            </m:r>
            <m:r>
              <m:t>g</m:t>
            </m:r>
          </m:sub>
        </m:sSub>
      </m:oMath>
      <w:r>
        <w:t xml:space="preserve"> </w:t>
      </w:r>
      <w: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t xml:space="preserve"> </w:t>
      </w:r>
      <m:oMath>
        <m:r>
          <m:t>ε</m:t>
        </m:r>
        <m:r>
          <m:rPr>
            <m:sty m:val="p"/>
          </m:rPr>
          <m:t>×</m:t>
        </m:r>
        <m:sSub>
          <m:e>
            <m:r>
              <m:t>n</m:t>
            </m:r>
          </m:e>
          <m:sub>
            <m:r>
              <m:t>a</m:t>
            </m:r>
            <m:r>
              <m:t>g</m:t>
            </m:r>
            <m:r>
              <m:t>g</m:t>
            </m:r>
          </m:sub>
        </m:sSub>
      </m:oMath>
      <w:r>
        <w:t xml:space="preserve"> </w:t>
      </w:r>
      <w:r>
        <w:t xml:space="preserve">interaction.</w:t>
      </w:r>
    </w:p>
    <w:p>
      <w:pPr>
        <w:pStyle w:val="BodyText"/>
      </w:pPr>
      <w: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t xml:space="preserve">8. Conclusions</w:t>
      </w:r>
    </w:p>
    <w:p>
      <w:pPr>
        <w:pStyle w:val="FirstParagraph"/>
      </w:pPr>
      <w: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i/>
          <w:iCs/>
        </w:rPr>
        <w:t xml:space="preserve">Signed discriminating predictions against cultural-historical alternatives (three tests).</w:t>
      </w:r>
      <w:r>
        <w:t xml:space="preserve"> </w:t>
      </w:r>
      <w: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t xml:space="preserve"> </w:t>
      </w:r>
      <m:oMath>
        <m:r>
          <m:t>ε</m:t>
        </m:r>
      </m:oMath>
      <w:r>
        <w:t xml:space="preserve">-pathway predicts monument abandonment before exotic-network attrition, while its</w:t>
      </w:r>
      <w:r>
        <w:t xml:space="preserve"> </w:t>
      </w:r>
      <m:oMath>
        <m:r>
          <m:t>σ</m:t>
        </m:r>
      </m:oMath>
      <w: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t xml:space="preserve"> </w:t>
      </w:r>
      <w:r>
        <w:t xml:space="preserve">in the predicted direction (robust to event-unit incommensurability between the two sites), and the cultural-historical alternatives do not derive this ratio from first principles.</w:t>
      </w:r>
    </w:p>
    <w:p>
      <w:pPr>
        <w:pStyle w:val="BodyText"/>
      </w:pPr>
      <w:r>
        <w:rPr>
          <w:i/>
          <w:iCs/>
        </w:rPr>
        <w:t xml:space="preserve">Necessity-condition test (one test, near-tie on current proxies).</w:t>
      </w:r>
      <w:r>
        <w:t xml:space="preserve"> </w:t>
      </w:r>
      <w:r>
        <w:t xml:space="preserve">The paleoclimate threshold-proximity test (§6.2), conditioned on the calibrated parameter set that defines</w:t>
      </w:r>
      <w:r>
        <w:t xml:space="preserve"> </w:t>
      </w:r>
      <m:oMath>
        <m:sSup>
          <m:e>
            <m:r>
              <m:t>σ</m:t>
            </m:r>
          </m:e>
          <m:sup>
            <m:r>
              <m:rPr>
                <m:sty m:val="p"/>
              </m:rPr>
              <m:t>*</m:t>
            </m:r>
          </m:sup>
        </m:sSup>
      </m:oMath>
      <w:r>
        <w:t xml:space="preserve">, lands at posterior probability</w:t>
      </w:r>
      <w: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t xml:space="preserve">-</w:t>
      </w:r>
      <m:oMath>
        <m:r>
          <m:t>0.56</m:t>
        </m:r>
      </m:oMath>
      <w:r>
        <w:t xml:space="preserve"> </w:t>
      </w:r>
      <w:r>
        <w:t xml:space="preserve">across plausible</w:t>
      </w:r>
      <w:r>
        <w:t xml:space="preserve"> </w:t>
      </w:r>
      <m:oMath>
        <m:r>
          <m:t>ε</m:t>
        </m:r>
      </m:oMath>
      <w:r>
        <w:t xml:space="preserve"> </w:t>
      </w:r>
      <w: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i/>
          <w:iCs/>
        </w:rPr>
        <w:t xml:space="preserve">Consistency demonstrations conditional on inputs (four tests).</w:t>
      </w:r>
      <w:r>
        <w:t xml:space="preserve"> </w:t>
      </w:r>
      <w:r>
        <w:t xml:space="preserve">The volume calibration (§6.1) is, by definition, fit to the PP target. The interior-vs-coastal screening (§6.4) distinguishes the high-</w:t>
      </w:r>
      <m:oMath>
        <m:r>
          <m:t>ε</m:t>
        </m:r>
      </m:oMath>
      <w:r>
        <w:t xml:space="preserve"> </w:t>
      </w:r>
      <w:r>
        <w:t xml:space="preserve">interior monument-building sites from the low-</w:t>
      </w:r>
      <m:oMath>
        <m:r>
          <m:t>ε</m:t>
        </m:r>
      </m:oMath>
      <w:r>
        <w:t xml:space="preserve"> </w:t>
      </w:r>
      <w:r>
        <w:t xml:space="preserve">Pearl River coastal pair. Its sample is drawn from the known LMV monument-builder inventory plus the natural coastal negative case. As a consequence, the</w:t>
      </w:r>
      <w:r>
        <w:t xml:space="preserve"> </w:t>
      </w:r>
      <w:r>
        <w:t xml:space="preserve">“9 of 9 interior sites pass”</w:t>
      </w:r>
      <w:r>
        <w:t xml:space="preserve"> </w:t>
      </w:r>
      <w: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t xml:space="preserve"> </w:t>
      </w:r>
      <m:oMath>
        <m:r>
          <m:t>ρ</m:t>
        </m:r>
        <m:r>
          <m:rPr>
            <m:sty m:val="p"/>
          </m:rPr>
          <m:t>=</m:t>
        </m:r>
        <m:r>
          <m:rPr>
            <m:sty m:val="p"/>
          </m:rPr>
          <m:t>+</m:t>
        </m:r>
        <m:r>
          <m:t>0.85</m:t>
        </m:r>
      </m:oMath>
      <w:r>
        <w:t xml:space="preserve"> </w:t>
      </w:r>
      <w:r>
        <w:t xml:space="preserve">to</w:t>
      </w:r>
      <w:r>
        <w:t xml:space="preserve"> </w:t>
      </w:r>
      <m:oMath>
        <m:r>
          <m:rPr>
            <m:sty m:val="p"/>
          </m:rPr>
          <m:t>+</m:t>
        </m:r>
        <m:r>
          <m:t>0.92</m:t>
        </m:r>
      </m:oMath>
      <w:r>
        <w:t xml:space="preserve">, but the partial-correlation decomposition shows</w:t>
      </w:r>
      <w:r>
        <w:t xml:space="preserve"> </w:t>
      </w:r>
      <m:oMath>
        <m:r>
          <m:t>ε</m:t>
        </m:r>
      </m:oMath>
      <w:r>
        <w:t xml:space="preserve"> </w:t>
      </w:r>
      <w:r>
        <w:t xml:space="preserve">contributes at most</w:t>
      </w:r>
      <w:r>
        <w:t xml:space="preserve"> </w:t>
      </w:r>
      <m:oMath>
        <m:r>
          <m:rPr>
            <m:sty m:val="p"/>
          </m:rPr>
          <m:t>±</m:t>
        </m:r>
        <m:r>
          <m:t>0.02</m:t>
        </m:r>
      </m:oMath>
      <w:r>
        <w:t xml:space="preserve"> </w:t>
      </w:r>
      <w:r>
        <w:t xml:space="preserve">marginal correlation once exogenous</w:t>
      </w:r>
      <w:r>
        <w:t xml:space="preserve"> </w:t>
      </w:r>
      <m:oMath>
        <m:sSub>
          <m:e>
            <m:r>
              <m:t>n</m:t>
            </m:r>
          </m:e>
          <m:sub>
            <m:r>
              <m:t>a</m:t>
            </m:r>
            <m:r>
              <m:t>g</m:t>
            </m:r>
            <m:r>
              <m:t>g</m:t>
            </m:r>
          </m:sub>
        </m:sSub>
      </m:oMath>
      <w:r>
        <w:t xml:space="preserve"> </w:t>
      </w:r>
      <w: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comparison (§6.1) returns</w:t>
      </w:r>
      <w:r>
        <w:t xml:space="preserve"> </w:t>
      </w:r>
      <m:oMath>
        <m:r>
          <m:t>ρ</m:t>
        </m:r>
        <m:r>
          <m:rPr>
            <m:sty m:val="p"/>
          </m:rPr>
          <m:t>=</m:t>
        </m:r>
        <m:r>
          <m:rPr>
            <m:sty m:val="p"/>
          </m:rPr>
          <m:t>−</m:t>
        </m:r>
        <m:r>
          <m:t>0.40</m:t>
        </m:r>
      </m:oMath>
      <w:r>
        <w:t xml:space="preserve"> </w:t>
      </w:r>
      <w:r>
        <w:t xml:space="preserve">across the five tracked materials (+0.50 among the three far-source materials), so observed frequencies track source distance only after material-specific value and recovery corrections. Even a favorable ranking would not discriminate the signaling-mediated acquisition mechanism from a generic transport-cost or down-the-line exchange model that predicts the same monotonic ordering. We report this result here for completeness as a consistency demonstration rather than a discriminating result.</w:t>
      </w:r>
    </w:p>
    <w:p>
      <w:pPr>
        <w:pStyle w:val="BodyText"/>
      </w:pPr>
      <w: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t xml:space="preserve">Acknowledgments</w:t>
      </w:r>
    </w:p>
    <w:p>
      <w:pPr>
        <w:pStyle w:val="FirstParagraph"/>
      </w:pPr>
      <w: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t xml:space="preserve">Data Availability</w:t>
      </w:r>
    </w:p>
    <w:p>
      <w:pPr>
        <w:pStyle w:val="FirstParagraph"/>
      </w:pPr>
      <w: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Makefile targets (deterministic analyses, stochastic simulation suite, figures, manuscript build) plus REPRODUCE.md that walk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t xml:space="preserve">References Cited</w:t>
      </w:r>
    </w:p>
    <w:p>
      <w:pPr>
        <w:pStyle w:val="FirstParagraph"/>
      </w:pPr>
      <w:r>
        <w:t xml:space="preserve">Aslan, Andres, Whitney J. Autin, and Michael D. Blum. 2005. Causes of River Avulsion: Insights from the Late Holocene Avulsion History of the Mississippi River, U.S.A.</w:t>
      </w:r>
      <w:r>
        <w:t xml:space="preserve"> </w:t>
      </w:r>
      <w:r>
        <w:rPr>
          <w:i/>
          <w:iCs/>
        </w:rPr>
        <w:t xml:space="preserve">Journal of Sedimentary Research</w:t>
      </w:r>
      <w:r>
        <w:t xml:space="preserve"> </w:t>
      </w:r>
      <w:r>
        <w:t xml:space="preserve">75:650-664.</w:t>
      </w:r>
    </w:p>
    <w:p>
      <w:pPr>
        <w:pStyle w:val="BodyText"/>
      </w:pPr>
      <w:r>
        <w:t xml:space="preserve">Baumgartel, Olivia C. 2024.</w:t>
      </w:r>
      <w:r>
        <w:t xml:space="preserve"> </w:t>
      </w:r>
      <w:r>
        <w:rPr>
          <w:i/>
          <w:iCs/>
        </w:rPr>
        <w:t xml:space="preserve">Creating a Chronology of Claiborne (22HA501): Revisiting and Revising Radiocarbon Assays of a Poverty Point Site</w:t>
      </w:r>
      <w:r>
        <w:t xml:space="preserve">. M.A. thesis, Department of Anthropology and Middle Eastern Cultures, Mississippi State University, Mississippi State, Mississippi.</w:t>
      </w:r>
    </w:p>
    <w:p>
      <w:pPr>
        <w:pStyle w:val="BodyText"/>
      </w:pPr>
      <w:r>
        <w:t xml:space="preserve">Bliege Bird, Rebecca, and Eric A. Smith. 2005. Signaling Theory, Strategic Interaction, and Symbolic Capital.</w:t>
      </w:r>
      <w:r>
        <w:t xml:space="preserve"> </w:t>
      </w:r>
      <w:r>
        <w:rPr>
          <w:i/>
          <w:iCs/>
        </w:rPr>
        <w:t xml:space="preserve">Current Anthropology</w:t>
      </w:r>
      <w:r>
        <w:t xml:space="preserve"> </w:t>
      </w:r>
      <w:r>
        <w:t xml:space="preserve">46:221-248.</w:t>
      </w:r>
    </w:p>
    <w:p>
      <w:pPr>
        <w:pStyle w:val="BodyText"/>
      </w:pPr>
      <w:r>
        <w:t xml:space="preserve">Blurton Jones, Nicholas G., Kristen Hawkes, and James F. O’Connell. 1997. Why Do Hadza Children Forage? In</w:t>
      </w:r>
      <w:r>
        <w:t xml:space="preserve"> </w:t>
      </w:r>
      <w:r>
        <w:rPr>
          <w:i/>
          <w:iCs/>
        </w:rPr>
        <w:t xml:space="preserve">Uniting Psychology and Biology: Integrative Perspectives on Human Development</w:t>
      </w:r>
      <w:r>
        <w:t xml:space="preserve">, edited by Nancy L. Segal, Glenn E. Weisfeld, and Carol C. Weisfeld, pp. 279-313. American Psychological Association, Washington, D.C.</w:t>
      </w:r>
    </w:p>
    <w:p>
      <w:pPr>
        <w:pStyle w:val="BodyText"/>
      </w:pPr>
      <w:r>
        <w:t xml:space="preserve">Boudreaux, Edmond A., III. 2015.</w:t>
      </w:r>
      <w:r>
        <w:t xml:space="preserve"> </w:t>
      </w:r>
      <w:r>
        <w:rPr>
          <w:i/>
          <w:iCs/>
        </w:rPr>
        <w:t xml:space="preserve">Archaeological Investigations at Jackson Landing: An Early Late Woodland Mound and Earthwork Site in Coastal Mississippi</w:t>
      </w:r>
      <w:r>
        <w:t xml:space="preserve">. Archaeological Report No. 36. Mississippi Department of Archives and History, Jackson.</w:t>
      </w:r>
    </w:p>
    <w:p>
      <w:pPr>
        <w:pStyle w:val="BodyText"/>
      </w:pPr>
      <w:r>
        <w:t xml:space="preserve">Brent, Richard P. 1973.</w:t>
      </w:r>
      <w:r>
        <w:t xml:space="preserve"> </w:t>
      </w:r>
      <w:r>
        <w:rPr>
          <w:i/>
          <w:iCs/>
        </w:rPr>
        <w:t xml:space="preserve">Algorithms for Minimization without Derivatives</w:t>
      </w:r>
      <w:r>
        <w:t xml:space="preserve">. Prentice-Hall, Englewood Cliffs, New Jersey.</w:t>
      </w:r>
    </w:p>
    <w:p>
      <w:pPr>
        <w:pStyle w:val="BodyText"/>
      </w:pPr>
      <w:r>
        <w:t xml:space="preserve">Brusse, Carl, Toby Handfield, and Kevin J. S. Zollman. 2022. Explaining Costly Religious Practices: Credibility Enhancing Displays and Signaling Theories.</w:t>
      </w:r>
      <w:r>
        <w:t xml:space="preserve"> </w:t>
      </w:r>
      <w:r>
        <w:rPr>
          <w:i/>
          <w:iCs/>
        </w:rPr>
        <w:t xml:space="preserve">Synthese</w:t>
      </w:r>
      <w:r>
        <w:t xml:space="preserve"> </w:t>
      </w:r>
      <w:r>
        <w:t xml:space="preserve">200(3):249. https://doi.org/10.1007/s11229-022-03742-7</w:t>
      </w:r>
    </w:p>
    <w:p>
      <w:pPr>
        <w:pStyle w:val="BodyText"/>
      </w:pPr>
      <w:r>
        <w:t xml:space="preserve">Cajete, Gregory. 2000.</w:t>
      </w:r>
      <w:r>
        <w:t xml:space="preserve"> </w:t>
      </w:r>
      <w:r>
        <w:rPr>
          <w:i/>
          <w:iCs/>
        </w:rPr>
        <w:t xml:space="preserve">Native Science: Natural Laws of Interdependence</w:t>
      </w:r>
      <w:r>
        <w:t xml:space="preserve">. Clear Light Publishers, Santa Fe.</w:t>
      </w:r>
    </w:p>
    <w:p>
      <w:pPr>
        <w:pStyle w:val="BodyText"/>
      </w:pPr>
      <w:r>
        <w:t xml:space="preserve">Carballo, David M. (editor). 2013.</w:t>
      </w:r>
      <w:r>
        <w:t xml:space="preserve"> </w:t>
      </w:r>
      <w:r>
        <w:rPr>
          <w:i/>
          <w:iCs/>
        </w:rPr>
        <w:t xml:space="preserve">Cooperation and Collective Action: Archaeological Perspectives</w:t>
      </w:r>
      <w:r>
        <w:t xml:space="preserve">. University Press of Colorado, Boulder.</w:t>
      </w:r>
    </w:p>
    <w:p>
      <w:pPr>
        <w:pStyle w:val="BodyText"/>
      </w:pPr>
      <w:r>
        <w:t xml:space="preserve">Carleton, W. Christopher, Brea McCauley, André Costopoulos, and Mark Collard. 2019. Agent-Based Model Experiments Cast Doubt on Dunnell’s Adaptive Waste Explanation for Cultural Elaboration.</w:t>
      </w:r>
      <w:r>
        <w:t xml:space="preserve"> </w:t>
      </w:r>
      <w:r>
        <w:rPr>
          <w:i/>
          <w:iCs/>
        </w:rPr>
        <w:t xml:space="preserve">STAR: Science &amp; Technology of Archaeological Research</w:t>
      </w:r>
      <w:r>
        <w:t xml:space="preserve"> </w:t>
      </w:r>
      <w:r>
        <w:t xml:space="preserve">5(1):1-17. https://doi.org/10.1080/20548923.2019.1647648</w:t>
      </w:r>
    </w:p>
    <w:p>
      <w:pPr>
        <w:pStyle w:val="BodyText"/>
      </w:pPr>
      <w:r>
        <w:t xml:space="preserve">Clay, R. Berle. 2023. Two Types of Ritual Space at the Poverty Point Site 16WC5.</w:t>
      </w:r>
      <w:r>
        <w:t xml:space="preserve"> </w:t>
      </w:r>
      <w:r>
        <w:rPr>
          <w:i/>
          <w:iCs/>
        </w:rPr>
        <w:t xml:space="preserve">American Antiquity</w:t>
      </w:r>
      <w:r>
        <w:t xml:space="preserve"> </w:t>
      </w:r>
      <w:r>
        <w:t xml:space="preserve">88:187-206.</w:t>
      </w:r>
    </w:p>
    <w:p>
      <w:pPr>
        <w:pStyle w:val="BodyText"/>
      </w:pPr>
      <w:r>
        <w:t xml:space="preserve">Codding, Brian F., and Terry L. Jones. 2007. Man the Showoff? Or the Ascendance of a Just-So Story: A Comment on Recent Applications of Costly Signaling Theory in American Archaeology.</w:t>
      </w:r>
      <w:r>
        <w:t xml:space="preserve"> </w:t>
      </w:r>
      <w:r>
        <w:rPr>
          <w:i/>
          <w:iCs/>
        </w:rPr>
        <w:t xml:space="preserve">American Antiquity</w:t>
      </w:r>
      <w:r>
        <w:t xml:space="preserve"> </w:t>
      </w:r>
      <w:r>
        <w:t xml:space="preserve">72:349-357.</w:t>
      </w:r>
    </w:p>
    <w:p>
      <w:pPr>
        <w:pStyle w:val="BodyText"/>
      </w:pPr>
      <w:r>
        <w:t xml:space="preserve">Cordova, V. F. 2007.</w:t>
      </w:r>
      <w:r>
        <w:t xml:space="preserve"> </w:t>
      </w:r>
      <w:r>
        <w:rPr>
          <w:i/>
          <w:iCs/>
        </w:rPr>
        <w:t xml:space="preserve">How It Is: The Native American Philosophy of V. F. Cordova</w:t>
      </w:r>
      <w:r>
        <w:t xml:space="preserve">, edited by Kathleen Dean Moore, Kurt Peters, Ted Jojola, and Amber Lacy. University of Arizona Press, Tucson.</w:t>
      </w:r>
    </w:p>
    <w:p>
      <w:pPr>
        <w:pStyle w:val="BodyText"/>
      </w:pPr>
      <w:r>
        <w:t xml:space="preserve">Deloria, Vine, Jr. 2003.</w:t>
      </w:r>
      <w:r>
        <w:t xml:space="preserve"> </w:t>
      </w:r>
      <w:r>
        <w:rPr>
          <w:i/>
          <w:iCs/>
        </w:rPr>
        <w:t xml:space="preserve">God Is Red: A Native View of Religion</w:t>
      </w:r>
      <w:r>
        <w:t xml:space="preserve">, 30th anniversary edition. Fulcrum Publishing, Golden, Colorado.</w:t>
      </w:r>
    </w:p>
    <w:p>
      <w:pPr>
        <w:pStyle w:val="BodyText"/>
      </w:pPr>
      <w:r>
        <w:t xml:space="preserve">Dunnell, Robert C. 1989. Aspects of the Application of Evolutionary Theory in Archaeology. In</w:t>
      </w:r>
      <w:r>
        <w:t xml:space="preserve"> </w:t>
      </w:r>
      <w:r>
        <w:rPr>
          <w:i/>
          <w:iCs/>
        </w:rPr>
        <w:t xml:space="preserve">Archaeological Thought in America</w:t>
      </w:r>
      <w:r>
        <w:t xml:space="preserve">, edited by C. C. Lamberg-Karlovsky, pp. 35-49. Cambridge University Press, Cambridge.</w:t>
      </w:r>
    </w:p>
    <w:p>
      <w:pPr>
        <w:pStyle w:val="BodyText"/>
      </w:pPr>
      <w:r>
        <w:t xml:space="preserve">Dunnell, Robert C., and Diana M. Greenlee. 1999. Late Woodland Period</w:t>
      </w:r>
      <w:r>
        <w:t xml:space="preserve"> </w:t>
      </w:r>
      <w:r>
        <w:t xml:space="preserve">“Waste”</w:t>
      </w:r>
      <w:r>
        <w:t xml:space="preserve"> </w:t>
      </w:r>
      <w:r>
        <w:t xml:space="preserve">Reduction in the Ohio River Valley.</w:t>
      </w:r>
      <w:r>
        <w:t xml:space="preserve"> </w:t>
      </w:r>
      <w:r>
        <w:rPr>
          <w:i/>
          <w:iCs/>
        </w:rPr>
        <w:t xml:space="preserve">Journal of Anthropological Archaeology</w:t>
      </w:r>
      <w:r>
        <w:t xml:space="preserve"> </w:t>
      </w:r>
      <w:r>
        <w:t xml:space="preserve">18:376-395.</w:t>
      </w:r>
    </w:p>
    <w:p>
      <w:pPr>
        <w:pStyle w:val="BodyText"/>
      </w:pPr>
      <w:r>
        <w:t xml:space="preserve">Earle, Timothy. 1997.</w:t>
      </w:r>
      <w:r>
        <w:t xml:space="preserve"> </w:t>
      </w:r>
      <w:r>
        <w:rPr>
          <w:i/>
          <w:iCs/>
        </w:rPr>
        <w:t xml:space="preserve">How Chiefs Come to Power: The Political Economy in Prehistory</w:t>
      </w:r>
      <w:r>
        <w:t xml:space="preserve">. Stanford University Press, Stanford.</w:t>
      </w:r>
    </w:p>
    <w:p>
      <w:pPr>
        <w:pStyle w:val="BodyText"/>
      </w:pPr>
      <w:r>
        <w:t xml:space="preserve">Enquist, M., and O. Leimar. 1983. Evolution of Fighting Behavior: Decision Rules and Assessment of Relative Strength.</w:t>
      </w:r>
      <w:r>
        <w:t xml:space="preserve"> </w:t>
      </w:r>
      <w:r>
        <w:rPr>
          <w:i/>
          <w:iCs/>
        </w:rPr>
        <w:t xml:space="preserve">Journal of Theoretical Biology</w:t>
      </w:r>
      <w:r>
        <w:t xml:space="preserve"> </w:t>
      </w:r>
      <w:r>
        <w:t xml:space="preserve">102:387-410.</w:t>
      </w:r>
    </w:p>
    <w:p>
      <w:pPr>
        <w:pStyle w:val="BodyText"/>
      </w:pPr>
      <w:r>
        <w:t xml:space="preserve">Erasmus, Charles J. 1965. Monument Building: Some Field Experiments.</w:t>
      </w:r>
      <w:r>
        <w:t xml:space="preserve"> </w:t>
      </w:r>
      <w:r>
        <w:rPr>
          <w:i/>
          <w:iCs/>
        </w:rPr>
        <w:t xml:space="preserve">Southwestern Journal of Anthropology</w:t>
      </w:r>
      <w:r>
        <w:t xml:space="preserve"> </w:t>
      </w:r>
      <w:r>
        <w:t xml:space="preserve">21:277-301.</w:t>
      </w:r>
    </w:p>
    <w:p>
      <w:pPr>
        <w:pStyle w:val="BodyText"/>
      </w:pPr>
      <w:r>
        <w:t xml:space="preserve">Ford, James A. 1955. The Puzzle of Poverty Point.</w:t>
      </w:r>
      <w:r>
        <w:t xml:space="preserve"> </w:t>
      </w:r>
      <w:r>
        <w:rPr>
          <w:i/>
          <w:iCs/>
        </w:rPr>
        <w:t xml:space="preserve">Natural History</w:t>
      </w:r>
      <w:r>
        <w:t xml:space="preserve"> </w:t>
      </w:r>
      <w:r>
        <w:t xml:space="preserve">64:466-472.</w:t>
      </w:r>
    </w:p>
    <w:p>
      <w:pPr>
        <w:pStyle w:val="BodyText"/>
      </w:pPr>
      <w:r>
        <w:t xml:space="preserve">Ford, James A., and Clarence H. Webb. 1956.</w:t>
      </w:r>
      <w:r>
        <w:t xml:space="preserve"> </w:t>
      </w:r>
      <w:r>
        <w:rPr>
          <w:i/>
          <w:iCs/>
        </w:rPr>
        <w:t xml:space="preserve">Poverty Point: A Late Archaic Site in Louisiana</w:t>
      </w:r>
      <w:r>
        <w:t xml:space="preserve">. Anthropological Papers Vol. 46(1). American Museum of Natural History, New York.</w:t>
      </w:r>
    </w:p>
    <w:p>
      <w:pPr>
        <w:pStyle w:val="BodyText"/>
      </w:pPr>
      <w:r>
        <w:t xml:space="preserve">Gagliano, Sherwood M., and Clarence H. Webb. 1975. Archaic-Poverty Point Transition at the Pearl River Mouth. In</w:t>
      </w:r>
      <w:r>
        <w:t xml:space="preserve"> </w:t>
      </w:r>
      <w:r>
        <w:rPr>
          <w:i/>
          <w:iCs/>
        </w:rPr>
        <w:t xml:space="preserve">The Poverty Point Culture</w:t>
      </w:r>
      <w:r>
        <w:t xml:space="preserve">, edited by Bettye J. Broyles and Clarence H. Webb, pp. 47-72. Bulletin No. 12, Southeastern Archaeological Conference, Morgantown, West Virginia.</w:t>
      </w:r>
    </w:p>
    <w:p>
      <w:pPr>
        <w:pStyle w:val="BodyText"/>
      </w:pPr>
      <w:r>
        <w:t xml:space="preserve">Gibson, Jon L. 1973.</w:t>
      </w:r>
      <w:r>
        <w:t xml:space="preserve"> </w:t>
      </w:r>
      <w:r>
        <w:rPr>
          <w:i/>
          <w:iCs/>
        </w:rPr>
        <w:t xml:space="preserve">Social Systems at Poverty Point: An Analysis of Intersite and Intrasite Variability</w:t>
      </w:r>
      <w:r>
        <w:t xml:space="preserve">. Ph.D. dissertation, Southern Methodist University, Dallas.</w:t>
      </w:r>
    </w:p>
    <w:p>
      <w:pPr>
        <w:pStyle w:val="BodyText"/>
      </w:pPr>
      <w:r>
        <w:t xml:space="preserve">Gibson, Jon L. 1984. Empirical Characterization of Exchange Systems in Lower Mississippi Valley Prehistory. In</w:t>
      </w:r>
      <w:r>
        <w:t xml:space="preserve"> </w:t>
      </w:r>
      <w:r>
        <w:rPr>
          <w:i/>
          <w:iCs/>
        </w:rPr>
        <w:t xml:space="preserve">Prehistoric Exchange Systems in North America</w:t>
      </w:r>
      <w:r>
        <w:t xml:space="preserve">, edited by Timothy G. Baugh and Jonathon E. Ericson, pp. 127-175. Plenum, New York.</w:t>
      </w:r>
    </w:p>
    <w:p>
      <w:pPr>
        <w:pStyle w:val="BodyText"/>
      </w:pPr>
      <w:r>
        <w:t xml:space="preserve">Gibson, Jon L. 1994. Before Their Time? Early Mounds in the Lower Mississippi Valley.</w:t>
      </w:r>
      <w:r>
        <w:t xml:space="preserve"> </w:t>
      </w:r>
      <w:r>
        <w:rPr>
          <w:i/>
          <w:iCs/>
        </w:rPr>
        <w:t xml:space="preserve">Southeastern Archaeology</w:t>
      </w:r>
      <w:r>
        <w:t xml:space="preserve"> </w:t>
      </w:r>
      <w:r>
        <w:t xml:space="preserve">13(2):162-186.</w:t>
      </w:r>
    </w:p>
    <w:p>
      <w:pPr>
        <w:pStyle w:val="BodyText"/>
      </w:pPr>
      <w:r>
        <w:t xml:space="preserve">Gibson, Jon L. 1998. Elements and Organization of Poverty Point Political Economy: High-Water Fish, Exotic Rocks, and Sacred Earth.</w:t>
      </w:r>
      <w:r>
        <w:t xml:space="preserve"> </w:t>
      </w:r>
      <w:r>
        <w:rPr>
          <w:i/>
          <w:iCs/>
        </w:rPr>
        <w:t xml:space="preserve">Research in Economic Anthropology</w:t>
      </w:r>
      <w:r>
        <w:t xml:space="preserve"> </w:t>
      </w:r>
      <w:r>
        <w:t xml:space="preserve">19:291-340.</w:t>
      </w:r>
    </w:p>
    <w:p>
      <w:pPr>
        <w:pStyle w:val="BodyText"/>
      </w:pPr>
      <w:r>
        <w:t xml:space="preserve">Gibson, Jon L. 1999. Swamp Exchange and the Walled Mart: Poverty Point’s Rock Business. In</w:t>
      </w:r>
      <w:r>
        <w:t xml:space="preserve"> </w:t>
      </w:r>
      <w:r>
        <w:rPr>
          <w:i/>
          <w:iCs/>
        </w:rPr>
        <w:t xml:space="preserve">Raw Materials and Exchange in the Mid-South</w:t>
      </w:r>
      <w:r>
        <w:t xml:space="preserve">, edited by Evan Peacock and Samuel O. Brookes, pp. 57-64. Archaeological Report 29. Mississippi Department of Archives and History, Jackson.</w:t>
      </w:r>
    </w:p>
    <w:p>
      <w:pPr>
        <w:pStyle w:val="BodyText"/>
      </w:pPr>
      <w:r>
        <w:t xml:space="preserve">Gibson, Jon L. 2000.</w:t>
      </w:r>
      <w:r>
        <w:t xml:space="preserve"> </w:t>
      </w:r>
      <w:r>
        <w:rPr>
          <w:i/>
          <w:iCs/>
        </w:rPr>
        <w:t xml:space="preserve">The Ancient Mounds of Poverty Point: Place of Rings</w:t>
      </w:r>
      <w:r>
        <w:t xml:space="preserve">. University Press of Florida, Gainesville.</w:t>
      </w:r>
    </w:p>
    <w:p>
      <w:pPr>
        <w:pStyle w:val="BodyText"/>
      </w:pPr>
      <w:r>
        <w:t xml:space="preserve">Gibson, Jon L., and David L. Griffing. 1994. Only a Stone’s Throw Away: Exchange in the Poverty Point Hinterland.</w:t>
      </w:r>
      <w:r>
        <w:t xml:space="preserve"> </w:t>
      </w:r>
      <w:r>
        <w:rPr>
          <w:i/>
          <w:iCs/>
        </w:rPr>
        <w:t xml:space="preserve">Louisiana Archaeology</w:t>
      </w:r>
      <w:r>
        <w:t xml:space="preserve"> </w:t>
      </w:r>
      <w:r>
        <w:t xml:space="preserve">17(1990):207-250.</w:t>
      </w:r>
    </w:p>
    <w:p>
      <w:pPr>
        <w:pStyle w:val="BodyText"/>
      </w:pPr>
      <w:r>
        <w:t xml:space="preserve">Graeber, David, and David Wengrow. 2021.</w:t>
      </w:r>
      <w:r>
        <w:t xml:space="preserve"> </w:t>
      </w:r>
      <w:r>
        <w:rPr>
          <w:i/>
          <w:iCs/>
        </w:rPr>
        <w:t xml:space="preserve">The Dawn of Everything: A New History of Humanity</w:t>
      </w:r>
      <w:r>
        <w:t xml:space="preserve">. Farrar, Straus and Giroux, New York.</w:t>
      </w:r>
    </w:p>
    <w:p>
      <w:pPr>
        <w:pStyle w:val="BodyText"/>
      </w:pPr>
      <w:r>
        <w:t xml:space="preserve">Griffing, David L. 1990. Surface Surveys of the Insley Site, Franklin Parish, Louisiana.</w:t>
      </w:r>
      <w:r>
        <w:t xml:space="preserve"> </w:t>
      </w:r>
      <w:r>
        <w:rPr>
          <w:i/>
          <w:iCs/>
        </w:rPr>
        <w:t xml:space="preserve">Louisiana Archaeology</w:t>
      </w:r>
      <w:r>
        <w:t xml:space="preserve"> </w:t>
      </w:r>
      <w:r>
        <w:t xml:space="preserve">12(1985):219-240</w:t>
      </w:r>
    </w:p>
    <w:p>
      <w:pPr>
        <w:pStyle w:val="BodyText"/>
      </w:pPr>
      <w:r>
        <w:t xml:space="preserve">Grimm, Volker, Uta Berger, Donald L. DeAngelis, J. Gary Polhill, Jarl Giske, and Steven F. Railsback. 2010. The ODD Protocol: A Review and First Update.</w:t>
      </w:r>
      <w:r>
        <w:t xml:space="preserve"> </w:t>
      </w:r>
      <w:r>
        <w:rPr>
          <w:i/>
          <w:iCs/>
        </w:rPr>
        <w:t xml:space="preserve">Ecological Modelling</w:t>
      </w:r>
      <w:r>
        <w:t xml:space="preserve"> </w:t>
      </w:r>
      <w:r>
        <w:t xml:space="preserve">221:2760-2768.</w:t>
      </w:r>
    </w:p>
    <w:p>
      <w:pPr>
        <w:pStyle w:val="BodyText"/>
      </w:pPr>
      <w:r>
        <w:t xml:space="preserve">Grooms, Seth B. 2022.</w:t>
      </w:r>
      <w:r>
        <w:t xml:space="preserve"> </w:t>
      </w:r>
      <w:r>
        <w:rPr>
          <w:i/>
          <w:iCs/>
        </w:rPr>
        <w:t xml:space="preserve">Reassessing the History of the Poverty Point Phenomenon: A Case Study from the Jaketown Site, Mississippi, USA</w:t>
      </w:r>
      <w:r>
        <w:t xml:space="preserve">. PhD dissertation, Department of Anthropology, Washington University in St. Louis, St. Louis.</w:t>
      </w:r>
    </w:p>
    <w:p>
      <w:pPr>
        <w:pStyle w:val="BodyText"/>
      </w:pPr>
      <w:r>
        <w:t xml:space="preserve">Grooms, Seth B., Grace M. V. Ward, and Tristram R. Kidder. 2023. Convergence at Poverty Point: A Revised Chronology of the Late Archaic Lower Mississippi Valley.</w:t>
      </w:r>
      <w:r>
        <w:t xml:space="preserve"> </w:t>
      </w:r>
      <w:r>
        <w:rPr>
          <w:i/>
          <w:iCs/>
        </w:rPr>
        <w:t xml:space="preserve">Antiquity</w:t>
      </w:r>
      <w:r>
        <w:t xml:space="preserve"> </w:t>
      </w:r>
      <w:r>
        <w:t xml:space="preserve">97:1453-1469.</w:t>
      </w:r>
    </w:p>
    <w:p>
      <w:pPr>
        <w:pStyle w:val="BodyText"/>
      </w:pPr>
      <w:r>
        <w:t xml:space="preserve">Halstead, Paul, and John O’Shea (editors). 1989.</w:t>
      </w:r>
      <w:r>
        <w:t xml:space="preserve"> </w:t>
      </w:r>
      <w:r>
        <w:rPr>
          <w:i/>
          <w:iCs/>
        </w:rPr>
        <w:t xml:space="preserve">Bad Year Economics: Cultural Responses to Risk and Uncertainty</w:t>
      </w:r>
      <w:r>
        <w:t xml:space="preserve">. Cambridge University Press, Cambridge.</w:t>
      </w:r>
    </w:p>
    <w:p>
      <w:pPr>
        <w:pStyle w:val="BodyText"/>
      </w:pPr>
      <w:r>
        <w:t xml:space="preserve">Hamilton, Fran E. 1999. Southeastern Archaic Mounds: Examples of Elaboration in a Temporally Fluctuating Environment?</w:t>
      </w:r>
      <w:r>
        <w:t xml:space="preserve"> </w:t>
      </w:r>
      <w:r>
        <w:rPr>
          <w:i/>
          <w:iCs/>
        </w:rPr>
        <w:t xml:space="preserve">Journal of Anthropological Archaeology</w:t>
      </w:r>
      <w:r>
        <w:t xml:space="preserve"> </w:t>
      </w:r>
      <w:r>
        <w:t xml:space="preserve">18:344-355.</w:t>
      </w:r>
    </w:p>
    <w:p>
      <w:pPr>
        <w:pStyle w:val="BodyText"/>
      </w:pPr>
      <w:r>
        <w:t xml:space="preserve">Hargrave, Michael L., R. Berle Clay, Rinita A. Dalan, and Diana M. Greenlee. 2021. The Complex Construction History of Poverty Point’s Timber Circles and Concentric Ridges.</w:t>
      </w:r>
      <w:r>
        <w:t xml:space="preserve"> </w:t>
      </w:r>
      <w:r>
        <w:rPr>
          <w:i/>
          <w:iCs/>
        </w:rPr>
        <w:t xml:space="preserve">Southeastern Archaeology</w:t>
      </w:r>
      <w:r>
        <w:t xml:space="preserve"> </w:t>
      </w:r>
      <w:r>
        <w:t xml:space="preserve">40:192-211.</w:t>
      </w:r>
    </w:p>
    <w:p>
      <w:pPr>
        <w:pStyle w:val="BodyText"/>
      </w:pPr>
      <w:r>
        <w:t xml:space="preserve">Hawkes, Kristen. 2000. Hunting and the Evolution of Egalitarian Societies: Lessons from the Hadza. In</w:t>
      </w:r>
      <w:r>
        <w:t xml:space="preserve"> </w:t>
      </w:r>
      <w:r>
        <w:rPr>
          <w:i/>
          <w:iCs/>
        </w:rPr>
        <w:t xml:space="preserve">Hierarchies in Action: Cui Bono?</w:t>
      </w:r>
      <w:r>
        <w:t xml:space="preserve">, edited by Michael W. Diehl, pp. 59-83. Center for Archaeological Investigations Occasional Paper No. 27. Southern Illinois University, Carbondale.</w:t>
      </w:r>
    </w:p>
    <w:p>
      <w:pPr>
        <w:pStyle w:val="BodyText"/>
      </w:pPr>
      <w:r>
        <w:t xml:space="preserve">Hawkes, Kristen, and Rebecca Bliege Bird. 2002. Showing Off, Handicap Signaling, and the Evolution of Men’s Work.</w:t>
      </w:r>
      <w:r>
        <w:t xml:space="preserve"> </w:t>
      </w:r>
      <w:r>
        <w:rPr>
          <w:i/>
          <w:iCs/>
        </w:rPr>
        <w:t xml:space="preserve">Evolutionary Anthropology</w:t>
      </w:r>
      <w:r>
        <w:t xml:space="preserve"> </w:t>
      </w:r>
      <w:r>
        <w:t xml:space="preserve">11:58-67.</w:t>
      </w:r>
    </w:p>
    <w:p>
      <w:pPr>
        <w:pStyle w:val="BodyText"/>
      </w:pPr>
      <w:r>
        <w:t xml:space="preserve">Hays, Christopher T. 2019. Feasting at Poverty Point with Poverty Point Objects.</w:t>
      </w:r>
      <w:r>
        <w:t xml:space="preserve"> </w:t>
      </w:r>
      <w:r>
        <w:rPr>
          <w:i/>
          <w:iCs/>
        </w:rPr>
        <w:t xml:space="preserve">Southeastern Archaeology</w:t>
      </w:r>
      <w:r>
        <w:t xml:space="preserve"> </w:t>
      </w:r>
      <w:r>
        <w:t xml:space="preserve">38:193-207.</w:t>
      </w:r>
    </w:p>
    <w:p>
      <w:pPr>
        <w:pStyle w:val="BodyText"/>
      </w:pPr>
      <w:r>
        <w:t xml:space="preserve">Henrich, Joseph. 2009. The Evolution of Costly Displays, Cooperation and Religion: Credibility Enhancing Displays and Their Implications for Cultural Evolution.</w:t>
      </w:r>
      <w:r>
        <w:t xml:space="preserve"> </w:t>
      </w:r>
      <w:r>
        <w:rPr>
          <w:i/>
          <w:iCs/>
        </w:rPr>
        <w:t xml:space="preserve">Evolution and Human Behavior</w:t>
      </w:r>
      <w:r>
        <w:t xml:space="preserve"> </w:t>
      </w:r>
      <w:r>
        <w:t xml:space="preserve">30(4):244-260. https://doi.org/10.1016/j.evolhumbehav.2009.03.005</w:t>
      </w:r>
    </w:p>
    <w:p>
      <w:pPr>
        <w:pStyle w:val="BodyText"/>
      </w:pPr>
      <w:r>
        <w:t xml:space="preserve">Hill, Mark A., Diana M. Greenlee, and Hector Neff. 2016. Assessing the Provenance of Poverty Point Copper through LA-ICP-MS Compositional Analysis.</w:t>
      </w:r>
      <w:r>
        <w:t xml:space="preserve"> </w:t>
      </w:r>
      <w:r>
        <w:rPr>
          <w:i/>
          <w:iCs/>
        </w:rPr>
        <w:t xml:space="preserve">Journal of Archaeological Science: Reports</w:t>
      </w:r>
      <w:r>
        <w:t xml:space="preserve"> </w:t>
      </w:r>
      <w:r>
        <w:t xml:space="preserve">6:351-360.</w:t>
      </w:r>
    </w:p>
    <w:p>
      <w:pPr>
        <w:pStyle w:val="BodyText"/>
      </w:pPr>
      <w:r>
        <w:t xml:space="preserve">Jackson, H. Edwin. 1982. Recent Research on Poverty Point Period Subsistence and Settlement Systems: Test Excavations at the J.W. Copes Site in Northeast Louisiana.</w:t>
      </w:r>
      <w:r>
        <w:t xml:space="preserve"> </w:t>
      </w:r>
      <w:r>
        <w:rPr>
          <w:i/>
          <w:iCs/>
        </w:rPr>
        <w:t xml:space="preserve">Louisiana Archaeology</w:t>
      </w:r>
      <w:r>
        <w:t xml:space="preserve"> </w:t>
      </w:r>
      <w:r>
        <w:t xml:space="preserve">8:73-86.</w:t>
      </w:r>
    </w:p>
    <w:p>
      <w:pPr>
        <w:pStyle w:val="BodyText"/>
      </w:pPr>
      <w:r>
        <w:t xml:space="preserve">Jackson, H. Edwin. 1986.</w:t>
      </w:r>
      <w:r>
        <w:t xml:space="preserve"> </w:t>
      </w:r>
      <w:r>
        <w:rPr>
          <w:i/>
          <w:iCs/>
        </w:rPr>
        <w:t xml:space="preserve">Sedentism and Hunter-Gatherer Adaptations in the Lower Mississippi Valley: Subsistence Strategies During the Poverty Point Period</w:t>
      </w:r>
      <w:r>
        <w:t xml:space="preserve">. PhD dissertation, University of Michigan. University Microfilms, Ann Arbor.</w:t>
      </w:r>
    </w:p>
    <w:p>
      <w:pPr>
        <w:pStyle w:val="BodyText"/>
      </w:pPr>
      <w:r>
        <w:t xml:space="preserve">Jackson, H. Edwin. 1989. Poverty Point Adaptive Systems in the Lower Mississippi Valley: Subsistence Remains from the J.W. Copes Site.</w:t>
      </w:r>
      <w:r>
        <w:t xml:space="preserve"> </w:t>
      </w:r>
      <w:r>
        <w:rPr>
          <w:i/>
          <w:iCs/>
        </w:rPr>
        <w:t xml:space="preserve">North American Archaeologist</w:t>
      </w:r>
      <w:r>
        <w:t xml:space="preserve"> </w:t>
      </w:r>
      <w:r>
        <w:t xml:space="preserve">10:173-204.</w:t>
      </w:r>
    </w:p>
    <w:p>
      <w:pPr>
        <w:pStyle w:val="BodyText"/>
      </w:pPr>
      <w:r>
        <w:t xml:space="preserve">Jackson, H. Edwin. 1991. The Trade Fair in Hunter-Gatherer Interaction: The Role of Intersocietal Trade in the Evolution of Poverty Point Culture. In</w:t>
      </w:r>
      <w:r>
        <w:t xml:space="preserve"> </w:t>
      </w:r>
      <w:r>
        <w:rPr>
          <w:i/>
          <w:iCs/>
        </w:rPr>
        <w:t xml:space="preserve">Between Bands and States</w:t>
      </w:r>
      <w:r>
        <w:t xml:space="preserve">, edited by Susan A. Gregg, pp. 265-286. Center for Archaeological Investigations Occasional Paper No. 9. Southern Illinois University, Carbondale.</w:t>
      </w:r>
    </w:p>
    <w:p>
      <w:pPr>
        <w:pStyle w:val="BodyText"/>
      </w:pPr>
      <w:r>
        <w:t xml:space="preserve">Johnson, Gregory A. 1982. Organizational Structure and Scalar Stress. In</w:t>
      </w:r>
      <w:r>
        <w:t xml:space="preserve"> </w:t>
      </w:r>
      <w:r>
        <w:rPr>
          <w:i/>
          <w:iCs/>
        </w:rPr>
        <w:t xml:space="preserve">Theory and Explanation in Archaeology</w:t>
      </w:r>
      <w:r>
        <w:t xml:space="preserve">, edited by Colin Renfrew, Michael J. Rowlands, and Barbara A. Segraves, pp. 389-421. Academic Press, New York.</w:t>
      </w:r>
    </w:p>
    <w:p>
      <w:pPr>
        <w:pStyle w:val="BodyText"/>
      </w:pPr>
      <w:r>
        <w:t xml:space="preserve">Jones, Dennis, and Samuel O. Brookes. 2019. Gone But Surely Not Forgotten: Implications of the Monte Sano Site (16EBR17).</w:t>
      </w:r>
      <w:r>
        <w:t xml:space="preserve"> </w:t>
      </w:r>
      <w:r>
        <w:rPr>
          <w:i/>
          <w:iCs/>
        </w:rPr>
        <w:t xml:space="preserve">Louisiana Archaeology</w:t>
      </w:r>
      <w:r>
        <w:t xml:space="preserve"> </w:t>
      </w:r>
      <w:r>
        <w:t xml:space="preserve">44(2017):105-120.</w:t>
      </w:r>
    </w:p>
    <w:p>
      <w:pPr>
        <w:pStyle w:val="BodyText"/>
      </w:pPr>
      <w:r>
        <w:t xml:space="preserve">Kaufman, Darrell, Nicholas McKay, Cody Routson, Michael Erb, Christoph Datwyler, Philipp S. Sommer, Oliver Heiri, and Basil Davis. 2020. A Global Database of Holocene Paleotemperature Records.</w:t>
      </w:r>
      <w:r>
        <w:t xml:space="preserve"> </w:t>
      </w:r>
      <w:r>
        <w:rPr>
          <w:i/>
          <w:iCs/>
        </w:rPr>
        <w:t xml:space="preserve">Scientific Data</w:t>
      </w:r>
      <w:r>
        <w:t xml:space="preserve"> </w:t>
      </w:r>
      <w:r>
        <w:t xml:space="preserve">7:115.</w:t>
      </w:r>
    </w:p>
    <w:p>
      <w:pPr>
        <w:pStyle w:val="BodyText"/>
      </w:pPr>
      <w:r>
        <w:t xml:space="preserve">Kelly, Robert L. 2013.</w:t>
      </w:r>
      <w:r>
        <w:t xml:space="preserve"> </w:t>
      </w:r>
      <w:r>
        <w:rPr>
          <w:i/>
          <w:iCs/>
        </w:rPr>
        <w:t xml:space="preserve">The Lifeways of Hunter-Gatherers: The Foraging Spectrum</w:t>
      </w:r>
      <w:r>
        <w:t xml:space="preserve">. Cambridge University Press, Cambridge.</w:t>
      </w:r>
    </w:p>
    <w:p>
      <w:pPr>
        <w:pStyle w:val="BodyText"/>
      </w:pPr>
      <w:r>
        <w:t xml:space="preserve">Kidder, Tristram R. 2002. Mapping Poverty Point.</w:t>
      </w:r>
      <w:r>
        <w:t xml:space="preserve"> </w:t>
      </w:r>
      <w:r>
        <w:rPr>
          <w:i/>
          <w:iCs/>
        </w:rPr>
        <w:t xml:space="preserve">American Antiquity</w:t>
      </w:r>
      <w:r>
        <w:t xml:space="preserve"> </w:t>
      </w:r>
      <w:r>
        <w:t xml:space="preserve">67:89-101.</w:t>
      </w:r>
    </w:p>
    <w:p>
      <w:pPr>
        <w:pStyle w:val="BodyText"/>
      </w:pPr>
      <w:r>
        <w:t xml:space="preserve">Kidder, Tristram R. 2006. Climate Change and the Archaic to Woodland Transition (3000-2500 cal B.P.) in the Mississippi River Basin.</w:t>
      </w:r>
      <w:r>
        <w:t xml:space="preserve"> </w:t>
      </w:r>
      <w:r>
        <w:rPr>
          <w:i/>
          <w:iCs/>
        </w:rPr>
        <w:t xml:space="preserve">American Antiquity</w:t>
      </w:r>
      <w:r>
        <w:t xml:space="preserve"> </w:t>
      </w:r>
      <w:r>
        <w:t xml:space="preserve">71:195-231.</w:t>
      </w:r>
    </w:p>
    <w:p>
      <w:pPr>
        <w:pStyle w:val="BodyText"/>
      </w:pPr>
      <w:r>
        <w:t xml:space="preserve">Kidder, Tristram R., Olivia C. Baumgartel, and James E. Bruseth. 2025. High-resolution Dating of Legacy Collections from the Cedarland and Claiborne Sites, Southwest Mississippi.</w:t>
      </w:r>
      <w:r>
        <w:t xml:space="preserve"> </w:t>
      </w:r>
      <w:r>
        <w:rPr>
          <w:i/>
          <w:iCs/>
        </w:rPr>
        <w:t xml:space="preserve">Southeastern Archaeology</w:t>
      </w:r>
      <w:r>
        <w:t xml:space="preserve"> </w:t>
      </w:r>
      <w:r>
        <w:t xml:space="preserve">44:1-20.</w:t>
      </w:r>
    </w:p>
    <w:p>
      <w:pPr>
        <w:pStyle w:val="BodyText"/>
      </w:pPr>
      <w:r>
        <w:t xml:space="preserve">Kidder, Tristram R., and Kelly M. Ervin. 2018. Hunter-Gatherer Surplus Accumulation and Monumental Construction at Poverty Point, Mississippi Valley. In</w:t>
      </w:r>
      <w:r>
        <w:t xml:space="preserve"> </w:t>
      </w:r>
      <w:r>
        <w:rPr>
          <w:i/>
          <w:iCs/>
        </w:rPr>
        <w:t xml:space="preserve">Surplus without the State: Political Forms in Prehistory</w:t>
      </w:r>
      <w:r>
        <w:t xml:space="preserve">, edited by Harald Meller, Detlef Gronenborn, and Roberto Risch, pp. 517-531. Landesamt für Denkmalpflege und Archäologie Sachsen-Anhalt, Halle (Saale).</w:t>
      </w:r>
    </w:p>
    <w:p>
      <w:pPr>
        <w:pStyle w:val="BodyText"/>
      </w:pPr>
      <w:r>
        <w:t xml:space="preserve">Kidder, Tristram R., and Seth B. Grooms. 2024. Chronological Hygiene and Bayesian Modeling of Poverty Point Sites in the Lower Mississippi Valley, Circa 4200 to 3200 cal BP.</w:t>
      </w:r>
      <w:r>
        <w:t xml:space="preserve"> </w:t>
      </w:r>
      <w:r>
        <w:rPr>
          <w:i/>
          <w:iCs/>
        </w:rPr>
        <w:t xml:space="preserve">American Antiquity</w:t>
      </w:r>
      <w:r>
        <w:t xml:space="preserve"> </w:t>
      </w:r>
      <w:r>
        <w:t xml:space="preserve">89:98-118.</w:t>
      </w:r>
    </w:p>
    <w:p>
      <w:pPr>
        <w:pStyle w:val="BodyText"/>
      </w:pPr>
      <w:r>
        <w:t xml:space="preserve">Kidder, Tristram R., and Seth B. Grooms. 2025. Performance, Ritual, and Revitalization at Poverty Point.</w:t>
      </w:r>
      <w:r>
        <w:t xml:space="preserve"> </w:t>
      </w:r>
      <w:r>
        <w:rPr>
          <w:i/>
          <w:iCs/>
        </w:rPr>
        <w:t xml:space="preserve">Southeastern Archaeology</w:t>
      </w:r>
      <w:r>
        <w:t xml:space="preserve">, 44:171-186.</w:t>
      </w:r>
    </w:p>
    <w:p>
      <w:pPr>
        <w:pStyle w:val="BodyText"/>
      </w:pPr>
      <w:r>
        <w:t xml:space="preserve">Kidder, Tristram R., Edward R. Henry, and Lee J. Arco. 2018. Rapid Climate Change-Induced Collapse of Hunter-Gatherer Societies in the Lower Mississippi River Valley between ca. 3300 and 2780 cal yr BP.</w:t>
      </w:r>
      <w:r>
        <w:t xml:space="preserve"> </w:t>
      </w:r>
      <w:r>
        <w:rPr>
          <w:i/>
          <w:iCs/>
        </w:rPr>
        <w:t xml:space="preserve">Science China Earth Sciences</w:t>
      </w:r>
      <w:r>
        <w:t xml:space="preserve"> </w:t>
      </w:r>
      <w:r>
        <w:t xml:space="preserve">61:178-189.</w:t>
      </w:r>
    </w:p>
    <w:p>
      <w:pPr>
        <w:pStyle w:val="BodyText"/>
      </w:pPr>
      <w:r>
        <w:t xml:space="preserve">Kidder, Tristram R., Su Kai, Edward R. Henry, Seth B. Grooms, and Kelly M. Ervin. 2021. Multi-Method Geoarchaeological Analyses Demonstrate Exceptionally Rapid Construction of Ridge West 3 at Poverty Point.</w:t>
      </w:r>
      <w:r>
        <w:t xml:space="preserve"> </w:t>
      </w:r>
      <w:r>
        <w:rPr>
          <w:i/>
          <w:iCs/>
        </w:rPr>
        <w:t xml:space="preserve">Southeastern Archaeology</w:t>
      </w:r>
      <w:r>
        <w:t xml:space="preserve"> </w:t>
      </w:r>
      <w:r>
        <w:t xml:space="preserve">40:212-227.</w:t>
      </w:r>
    </w:p>
    <w:p>
      <w:pPr>
        <w:pStyle w:val="BodyText"/>
      </w:pPr>
      <w:r>
        <w:t xml:space="preserve">Kidder, Tristram R., Lee J. Arco, Anthony L. Ortmann, Timothy Schilling, Caroline Boeke, Rachel Beilitz, and Katherine A. Adelsberger. 2009.</w:t>
      </w:r>
      <w:r>
        <w:t xml:space="preserve"> </w:t>
      </w:r>
      <w:r>
        <w:rPr>
          <w:i/>
          <w:iCs/>
        </w:rPr>
        <w:t xml:space="preserve">Poverty Point Mound A: Final Report of the 2005 and 2006 Field Seasons</w:t>
      </w:r>
      <w:r>
        <w:t xml:space="preserve">. Report submitted to the Louisiana Archaeological Survey and Antiquities Commission, Baton Rouge.</w:t>
      </w:r>
    </w:p>
    <w:p>
      <w:pPr>
        <w:pStyle w:val="BodyText"/>
      </w:pPr>
      <w: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t xml:space="preserve"> </w:t>
      </w:r>
      <w:r>
        <w:rPr>
          <w:i/>
          <w:iCs/>
        </w:rPr>
        <w:t xml:space="preserve">Journal of Archaeological Science: Reports</w:t>
      </w:r>
      <w:r>
        <w:t xml:space="preserve"> </w:t>
      </w:r>
      <w:r>
        <w:t xml:space="preserve">https://doi.org/10.1016/j.jasrep.2023.104366</w:t>
      </w:r>
    </w:p>
    <w:p>
      <w:pPr>
        <w:pStyle w:val="BodyText"/>
      </w:pPr>
      <w:r>
        <w:t xml:space="preserve">Lanman, Jonathan A., and Michael D. Buhrmester. 2017. Religious Actions Speak Louder than Words: Exposure to Credibility-Enhancing Displays Predicts Theism.</w:t>
      </w:r>
      <w:r>
        <w:t xml:space="preserve"> </w:t>
      </w:r>
      <w:r>
        <w:rPr>
          <w:i/>
          <w:iCs/>
        </w:rPr>
        <w:t xml:space="preserve">Religion, Brain &amp; Behavior</w:t>
      </w:r>
      <w:r>
        <w:t xml:space="preserve"> </w:t>
      </w:r>
      <w:r>
        <w:t xml:space="preserve">7(1):3-16. https://doi.org/10.1080/2153599X.2015.1117011</w:t>
      </w:r>
    </w:p>
    <w:p>
      <w:pPr>
        <w:pStyle w:val="BodyText"/>
      </w:pPr>
      <w:r>
        <w:t xml:space="preserve">Lehmann, Geoffrey R. 1982.</w:t>
      </w:r>
      <w:r>
        <w:t xml:space="preserve"> </w:t>
      </w:r>
      <w:r>
        <w:rPr>
          <w:i/>
          <w:iCs/>
        </w:rPr>
        <w:t xml:space="preserve">The Jaketown Site: Surface Collections from a Poverty Point Regional Center in the Yazoo Basin</w:t>
      </w:r>
      <w:r>
        <w:t xml:space="preserve">. Archaeological Report No. 9, Mississippi Department of Archives and History, Jackson.</w:t>
      </w:r>
    </w:p>
    <w:p>
      <w:pPr>
        <w:pStyle w:val="BodyText"/>
      </w:pPr>
      <w:r>
        <w:t xml:space="preserve">Leone, Karen L. 2014.</w:t>
      </w:r>
      <w:r>
        <w:t xml:space="preserve"> </w:t>
      </w:r>
      <w:r>
        <w:rPr>
          <w:i/>
          <w:iCs/>
        </w:rPr>
        <w:t xml:space="preserve">Paleoethnobotanical Analysis of Samples from Poverty Point (16WC5), Project 1/09, in West Carroll Parish, Louisiana</w:t>
      </w:r>
      <w:r>
        <w:t xml:space="preserve">. Report prepared for the Poverty Point Station Archaeology Program, Poverty Point State Historic Site, Pioneer, Louisiana. Gray &amp; Pape, Inc., Cincinnati, Ohio.</w:t>
      </w:r>
    </w:p>
    <w:p>
      <w:pPr>
        <w:pStyle w:val="BodyText"/>
      </w:pPr>
      <w:r>
        <w:t xml:space="preserve">Leone, Karen L. 2020.</w:t>
      </w:r>
      <w:r>
        <w:t xml:space="preserve"> </w:t>
      </w:r>
      <w:r>
        <w:rPr>
          <w:i/>
          <w:iCs/>
        </w:rPr>
        <w:t xml:space="preserve">Macrobotanical Analysis, Project 1/19, Poverty Point (16WC5), West Carroll Parish, Louisiana</w:t>
      </w:r>
      <w:r>
        <w:t xml:space="preserve">. Report prepared for the Poverty Point Station Archaeology Program, Poverty Point State Historic Site, Pioneer, Louisiana.</w:t>
      </w:r>
    </w:p>
    <w:p>
      <w:pPr>
        <w:pStyle w:val="BodyText"/>
      </w:pPr>
      <w:r>
        <w:t xml:space="preserve">Lewontin, Richard C. 1974.</w:t>
      </w:r>
      <w:r>
        <w:t xml:space="preserve"> </w:t>
      </w:r>
      <w:r>
        <w:rPr>
          <w:i/>
          <w:iCs/>
        </w:rPr>
        <w:t xml:space="preserve">The Genetic Basis of Evolutionary Change</w:t>
      </w:r>
      <w:r>
        <w:t xml:space="preserve">. Columbia University Press, New York.</w:t>
      </w:r>
    </w:p>
    <w:p>
      <w:pPr>
        <w:pStyle w:val="BodyText"/>
      </w:pPr>
      <w:r>
        <w:t xml:space="preserve">Liu, Kam-biu, and Miriam L. Fearn. 1993. Lake-Sediment Record of Late Holocene Hurricane Activities from Coastal Alabama.</w:t>
      </w:r>
      <w:r>
        <w:t xml:space="preserve"> </w:t>
      </w:r>
      <w:r>
        <w:rPr>
          <w:i/>
          <w:iCs/>
        </w:rPr>
        <w:t xml:space="preserve">Geology</w:t>
      </w:r>
      <w:r>
        <w:t xml:space="preserve"> </w:t>
      </w:r>
      <w:r>
        <w:t xml:space="preserve">21:793-796.</w:t>
      </w:r>
    </w:p>
    <w:p>
      <w:pPr>
        <w:pStyle w:val="BodyText"/>
      </w:pPr>
      <w:r>
        <w:t xml:space="preserve">Liu, Kam-biu, and Miriam L. Fearn. 2000. Reconstruction of Prehistoric Landfall Frequencies of Catastrophic Hurricanes in Northwestern Florida from Lake Sediment Records.</w:t>
      </w:r>
      <w:r>
        <w:t xml:space="preserve"> </w:t>
      </w:r>
      <w:r>
        <w:rPr>
          <w:i/>
          <w:iCs/>
        </w:rPr>
        <w:t xml:space="preserve">Quaternary Research</w:t>
      </w:r>
      <w:r>
        <w:t xml:space="preserve"> </w:t>
      </w:r>
      <w:r>
        <w:t xml:space="preserve">54:238-245.</w:t>
      </w:r>
    </w:p>
    <w:p>
      <w:pPr>
        <w:pStyle w:val="BodyText"/>
      </w:pPr>
      <w:r>
        <w:t xml:space="preserve">Madsen, Mark, Carl P. Lipo, and Michael Cannon. 1999. Fitness and Reproductive Trade-Offs in Uncertain Environments: Explaining the Evolution of Cultural Elaboration.</w:t>
      </w:r>
      <w:r>
        <w:t xml:space="preserve"> </w:t>
      </w:r>
      <w:r>
        <w:rPr>
          <w:i/>
          <w:iCs/>
        </w:rPr>
        <w:t xml:space="preserve">Journal of Anthropological Archaeology</w:t>
      </w:r>
      <w:r>
        <w:t xml:space="preserve"> </w:t>
      </w:r>
      <w:r>
        <w:t xml:space="preserve">18:251-281.</w:t>
      </w:r>
    </w:p>
    <w:p>
      <w:pPr>
        <w:pStyle w:val="BodyText"/>
      </w:pPr>
      <w:r>
        <w:t xml:space="preserve">Mariano, Melissa M. 2011.</w:t>
      </w:r>
      <w:r>
        <w:t xml:space="preserve"> </w:t>
      </w:r>
      <w:r>
        <w:rPr>
          <w:i/>
          <w:iCs/>
        </w:rPr>
        <w:t xml:space="preserve">Final Report on the Copper Objects Preservation Project</w:t>
      </w:r>
      <w:r>
        <w:t xml:space="preserve">. Report submitted to the Poverty Point Station Archaeology Program, Pioneer, LA.</w:t>
      </w:r>
    </w:p>
    <w:p>
      <w:pPr>
        <w:pStyle w:val="BodyText"/>
      </w:pPr>
      <w:r>
        <w:t xml:space="preserve">Marquardt, William H., and Patty Jo Watson (editors). 2005.</w:t>
      </w:r>
      <w:r>
        <w:t xml:space="preserve"> </w:t>
      </w:r>
      <w:r>
        <w:rPr>
          <w:i/>
          <w:iCs/>
        </w:rPr>
        <w:t xml:space="preserve">Archaeology of the Middle Green River Region, Kentucky</w:t>
      </w:r>
      <w:r>
        <w:t xml:space="preserve">. Monograph 5, Institute of Archaeology and Paleoenvironmental Studies, University of Florida, Gainesville.</w:t>
      </w:r>
    </w:p>
    <w:p>
      <w:pPr>
        <w:pStyle w:val="BodyText"/>
      </w:pPr>
      <w:r>
        <w:t xml:space="preserve">Mitch, William A. 2023. An Evaluation of the Distribution of Imported Lithics within the Yazoo-Mississippi Delta during the Poverty Point Period.</w:t>
      </w:r>
      <w:r>
        <w:t xml:space="preserve"> </w:t>
      </w:r>
      <w:r>
        <w:rPr>
          <w:i/>
          <w:iCs/>
        </w:rPr>
        <w:t xml:space="preserve">Southeastern Archaeology</w:t>
      </w:r>
      <w:r>
        <w:t xml:space="preserve"> </w:t>
      </w:r>
      <w:r>
        <w:t xml:space="preserve">42:136-154.</w:t>
      </w:r>
    </w:p>
    <w:p>
      <w:pPr>
        <w:pStyle w:val="BodyText"/>
      </w:pPr>
      <w:r>
        <w:t xml:space="preserve">Neiman, Fraser D. 1997. Conspicuous Consumption as Wasteful Advertising: A Darwinian Perspective on Spatial Patterns in Classic Maya Terminal Monument Dates. In</w:t>
      </w:r>
      <w:r>
        <w:t xml:space="preserve"> </w:t>
      </w:r>
      <w:r>
        <w:rPr>
          <w:i/>
          <w:iCs/>
        </w:rPr>
        <w:t xml:space="preserve">Rediscovering Darwin: Evolutionary Theory and Archeological Explanation</w:t>
      </w:r>
      <w:r>
        <w:t xml:space="preserve">, edited by C. Michael Barton and Geoffrey A. Clark, pp. 267-290. Archeological Papers of the American Anthropological Association No. 7. American Anthropological Association, Arlington, Virginia.</w:t>
      </w:r>
    </w:p>
    <w:p>
      <w:pPr>
        <w:pStyle w:val="BodyText"/>
      </w:pPr>
      <w:r>
        <w:t xml:space="preserve">Norton-Smith, Thomas M. 2010.</w:t>
      </w:r>
      <w:r>
        <w:t xml:space="preserve"> </w:t>
      </w:r>
      <w:r>
        <w:rPr>
          <w:i/>
          <w:iCs/>
        </w:rPr>
        <w:t xml:space="preserve">The Dance of Person and Place: One Interpretation of American Indian Philosophy</w:t>
      </w:r>
      <w:r>
        <w:t xml:space="preserve">. State University of New York Press, Albany.</w:t>
      </w:r>
    </w:p>
    <w:p>
      <w:pPr>
        <w:pStyle w:val="BodyText"/>
      </w:pPr>
      <w:r>
        <w:t xml:space="preserve">Omernik, James M., and Glenn E. Griffith. 2014. Ecoregions of the Conterminous United States: Evolution of a Hierarchical Spatial Framework.</w:t>
      </w:r>
      <w:r>
        <w:t xml:space="preserve"> </w:t>
      </w:r>
      <w:r>
        <w:rPr>
          <w:i/>
          <w:iCs/>
        </w:rPr>
        <w:t xml:space="preserve">Environmental Management</w:t>
      </w:r>
      <w:r>
        <w:t xml:space="preserve"> </w:t>
      </w:r>
      <w:r>
        <w:t xml:space="preserve">54:1249-1266.</w:t>
      </w:r>
    </w:p>
    <w:p>
      <w:pPr>
        <w:pStyle w:val="BodyText"/>
      </w:pPr>
      <w:r>
        <w:t xml:space="preserve">Ortmann, Anthony L. 2010. Placing the Poverty Point Mounds in Their Temporal Context.</w:t>
      </w:r>
      <w:r>
        <w:t xml:space="preserve"> </w:t>
      </w:r>
      <w:r>
        <w:rPr>
          <w:i/>
          <w:iCs/>
        </w:rPr>
        <w:t xml:space="preserve">American Antiquity</w:t>
      </w:r>
      <w:r>
        <w:t xml:space="preserve"> </w:t>
      </w:r>
      <w:r>
        <w:t xml:space="preserve">75:657-678.</w:t>
      </w:r>
    </w:p>
    <w:p>
      <w:pPr>
        <w:pStyle w:val="BodyText"/>
      </w:pPr>
      <w:r>
        <w:t xml:space="preserve">Ortmann, Anthony L., and Tristram R. Kidder. 2013. Building Mound A at Poverty Point, Louisiana: Monumental Public Architecture, Ritual Practice, and Implications for Hunter-Gatherer Complexity.</w:t>
      </w:r>
      <w:r>
        <w:t xml:space="preserve"> </w:t>
      </w:r>
      <w:r>
        <w:rPr>
          <w:i/>
          <w:iCs/>
        </w:rPr>
        <w:t xml:space="preserve">Geoarchaeology</w:t>
      </w:r>
      <w:r>
        <w:t xml:space="preserve"> </w:t>
      </w:r>
      <w:r>
        <w:t xml:space="preserve">28:66-86.</w:t>
      </w:r>
    </w:p>
    <w:p>
      <w:pPr>
        <w:pStyle w:val="BodyText"/>
      </w:pPr>
      <w:r>
        <w:t xml:space="preserve">Peacock, Evan, and Janet Rafferty. 2013. The Bet-Hedging Model as an Explanatory Framework for the Evolution of Mound Building in the Southeastern United States. In</w:t>
      </w:r>
      <w:r>
        <w:t xml:space="preserve"> </w:t>
      </w:r>
      <w:r>
        <w:rPr>
          <w:i/>
          <w:iCs/>
        </w:rPr>
        <w:t xml:space="preserve">Beyond Barrows</w:t>
      </w:r>
      <w:r>
        <w:t xml:space="preserve">, edited by David Fontijn, Arjan J. Louwen, Sasja van der Vaart, and Karsten Wentink, pp. 253-279. Sidestone Press, Leiden.</w:t>
      </w:r>
    </w:p>
    <w:p>
      <w:pPr>
        <w:pStyle w:val="BodyText"/>
      </w:pPr>
      <w:r>
        <w:t xml:space="preserve">Penn, Dustin J., and Szabolcs Szamadó. 2020. The Handicap Principle: How an Erroneous Hypothesis Became a Scientific Principle.</w:t>
      </w:r>
      <w:r>
        <w:t xml:space="preserve"> </w:t>
      </w:r>
      <w:r>
        <w:rPr>
          <w:i/>
          <w:iCs/>
        </w:rPr>
        <w:t xml:space="preserve">Biological Reviews</w:t>
      </w:r>
      <w:r>
        <w:t xml:space="preserve"> </w:t>
      </w:r>
      <w:r>
        <w:t xml:space="preserve">95:267-290.</w:t>
      </w:r>
    </w:p>
    <w:p>
      <w:pPr>
        <w:pStyle w:val="BodyText"/>
      </w:pPr>
      <w:r>
        <w:t xml:space="preserve">Perreault, Charles. 2019.</w:t>
      </w:r>
      <w:r>
        <w:t xml:space="preserve"> </w:t>
      </w:r>
      <w:r>
        <w:rPr>
          <w:i/>
          <w:iCs/>
        </w:rPr>
        <w:t xml:space="preserve">The Quality of the Archaeological Record</w:t>
      </w:r>
      <w:r>
        <w:t xml:space="preserve">. University of Chicago Press, Chicago.</w:t>
      </w:r>
    </w:p>
    <w:p>
      <w:pPr>
        <w:pStyle w:val="BodyText"/>
      </w:pPr>
      <w:r>
        <w:t xml:space="preserve">Pierce, Christopher. 1998. Theory, Measurement, and Explanation: Variable Shapes in Poverty Point Objects. In</w:t>
      </w:r>
      <w:r>
        <w:t xml:space="preserve"> </w:t>
      </w:r>
      <w:r>
        <w:rPr>
          <w:i/>
          <w:iCs/>
        </w:rPr>
        <w:t xml:space="preserve">Unit Issues in Archaeology: Measuring Time, Space, and Material</w:t>
      </w:r>
      <w:r>
        <w:t xml:space="preserve">, edited by Ann F. Ramenofsky and Anastasia Steffen, pp. 163-189. University of Utah Press, Salt Lake City.</w:t>
      </w:r>
    </w:p>
    <w:p>
      <w:pPr>
        <w:pStyle w:val="BodyText"/>
      </w:pPr>
      <w:r>
        <w:t xml:space="preserve">Price, George R. 1970. Selection and Covariance.</w:t>
      </w:r>
      <w:r>
        <w:t xml:space="preserve"> </w:t>
      </w:r>
      <w:r>
        <w:rPr>
          <w:i/>
          <w:iCs/>
        </w:rPr>
        <w:t xml:space="preserve">Nature</w:t>
      </w:r>
      <w:r>
        <w:t xml:space="preserve"> </w:t>
      </w:r>
      <w:r>
        <w:t xml:space="preserve">227:520-521.</w:t>
      </w:r>
    </w:p>
    <w:p>
      <w:pPr>
        <w:pStyle w:val="BodyText"/>
      </w:pPr>
      <w:r>
        <w:t xml:space="preserve">Quinn, Colin P. 2019. Costly Signaling Theory in Archaeology. In</w:t>
      </w:r>
      <w:r>
        <w:t xml:space="preserve"> </w:t>
      </w:r>
      <w:r>
        <w:rPr>
          <w:i/>
          <w:iCs/>
        </w:rPr>
        <w:t xml:space="preserve">Handbook of Evolutionary Research in Archaeology</w:t>
      </w:r>
      <w:r>
        <w:t xml:space="preserve">, edited by Anna Marie Prentiss, pp. 275-294. Springer, Cham.</w:t>
      </w:r>
    </w:p>
    <w:p>
      <w:pPr>
        <w:pStyle w:val="BodyText"/>
      </w:pPr>
      <w:r>
        <w:t xml:space="preserve">Ramenofsky, Ann F. 1986. The Persistence of Late Archaic Subsistence-Settlement in Louisiana. In</w:t>
      </w:r>
      <w:r>
        <w:t xml:space="preserve"> </w:t>
      </w:r>
      <w:r>
        <w:rPr>
          <w:i/>
          <w:iCs/>
        </w:rPr>
        <w:t xml:space="preserve">Foraging, Collecting, and Harvesting: Archaic Period Subsistence and Settlement in the Eastern Woodlands</w:t>
      </w:r>
      <w:r>
        <w:t xml:space="preserve">, edited by Sarah W. Neusius, pp. 289-312. Occasional Paper No. 6, Center for Archaeological Investigations, Southern Illinois University at Carbondale, Carbondale.</w:t>
      </w:r>
    </w:p>
    <w:p>
      <w:pPr>
        <w:pStyle w:val="BodyText"/>
      </w:pPr>
      <w:r>
        <w:t xml:space="preserve">Ramenofsky, A. F. 1991. Investigating Settlement Strategies at Cowpen Slough, a Late Archaic-Poverty Point Site in Louisiana. In</w:t>
      </w:r>
      <w:r>
        <w:t xml:space="preserve"> </w:t>
      </w:r>
      <w:r>
        <w:rPr>
          <w:i/>
          <w:iCs/>
        </w:rPr>
        <w:t xml:space="preserve">The Poverty Point Culture: Local Manifestations, Subsistence Practices, and Trade Networks</w:t>
      </w:r>
      <w:r>
        <w:t xml:space="preserve">, edited by Kathleen M. Byrd, pp. 159-172. Geoscience and Man 29. Louisiana State University, Baton Rouge.</w:t>
      </w:r>
    </w:p>
    <w:p>
      <w:pPr>
        <w:pStyle w:val="BodyText"/>
      </w:pPr>
      <w:r>
        <w:t xml:space="preserve">Salonen, J. Sakari, Frederik Schenk, John W. Williams, Bryan Shuman, Anna L. Lindroth Dauner, Sebastian Wagner, Johann Jungclaus, Qiong Zhang, and Miska Luoto. 2025. Patterns and Drivers of Holocene Moisture Variability in Mid-Latitude Eastern North America.</w:t>
      </w:r>
      <w:r>
        <w:t xml:space="preserve"> </w:t>
      </w:r>
      <w:r>
        <w:rPr>
          <w:i/>
          <w:iCs/>
        </w:rPr>
        <w:t xml:space="preserve">Nature Communications</w:t>
      </w:r>
      <w:r>
        <w:t xml:space="preserve"> </w:t>
      </w:r>
      <w:r>
        <w:t xml:space="preserve">16:3582.</w:t>
      </w:r>
    </w:p>
    <w:p>
      <w:pPr>
        <w:pStyle w:val="BodyText"/>
      </w:pPr>
      <w:r>
        <w:t xml:space="preserve">Sanger, Matthew C. 2023. Anarchy, Institutional Flexibility, and Containment of Authority at Poverty Point (USA).</w:t>
      </w:r>
      <w:r>
        <w:t xml:space="preserve"> </w:t>
      </w:r>
      <w:r>
        <w:rPr>
          <w:i/>
          <w:iCs/>
        </w:rPr>
        <w:t xml:space="preserve">World Archaeology</w:t>
      </w:r>
      <w:r>
        <w:t xml:space="preserve"> </w:t>
      </w:r>
      <w:r>
        <w:t xml:space="preserve">54:555-571.</w:t>
      </w:r>
    </w:p>
    <w:p>
      <w:pPr>
        <w:pStyle w:val="BodyText"/>
      </w:pPr>
      <w:r>
        <w:t xml:space="preserve">Sanger, Matthew C. 2024. The Archaeology of Awe: Monumental Architecture, Communal Ritual, and Community Formation at Poverty Point, USA.</w:t>
      </w:r>
      <w:r>
        <w:t xml:space="preserve"> </w:t>
      </w:r>
      <w:r>
        <w:rPr>
          <w:i/>
          <w:iCs/>
        </w:rPr>
        <w:t xml:space="preserve">Journal of Archaeological Method and Theory</w:t>
      </w:r>
      <w:r>
        <w:t xml:space="preserve"> </w:t>
      </w:r>
      <w:r>
        <w:t xml:space="preserve">31:1462-1484.</w:t>
      </w:r>
    </w:p>
    <w:p>
      <w:pPr>
        <w:pStyle w:val="BodyText"/>
      </w:pPr>
      <w:r>
        <w:t xml:space="preserve">Sassaman, Kenneth E. 2005. Poverty Point as Structure, Event, Process.</w:t>
      </w:r>
      <w:r>
        <w:t xml:space="preserve"> </w:t>
      </w:r>
      <w:r>
        <w:rPr>
          <w:i/>
          <w:iCs/>
        </w:rPr>
        <w:t xml:space="preserve">Journal of Archaeological Method and Theory</w:t>
      </w:r>
      <w:r>
        <w:t xml:space="preserve"> </w:t>
      </w:r>
      <w:r>
        <w:t xml:space="preserve">12:335-364.</w:t>
      </w:r>
    </w:p>
    <w:p>
      <w:pPr>
        <w:pStyle w:val="BodyText"/>
      </w:pPr>
      <w:r>
        <w:t xml:space="preserve">Sassaman, Kenneth E. 2006.</w:t>
      </w:r>
      <w:r>
        <w:t xml:space="preserve"> </w:t>
      </w:r>
      <w:r>
        <w:rPr>
          <w:i/>
          <w:iCs/>
        </w:rPr>
        <w:t xml:space="preserve">People of the Shoals: Stallings Culture of the Savannah River Valley</w:t>
      </w:r>
      <w:r>
        <w:t xml:space="preserve">. University Press of Florida, Gainesville.</w:t>
      </w:r>
    </w:p>
    <w:p>
      <w:pPr>
        <w:pStyle w:val="BodyText"/>
      </w:pPr>
      <w:r>
        <w:t xml:space="preserve">Sassaman, Kenneth E. 2010.</w:t>
      </w:r>
      <w:r>
        <w:t xml:space="preserve"> </w:t>
      </w:r>
      <w:r>
        <w:rPr>
          <w:i/>
          <w:iCs/>
        </w:rPr>
        <w:t xml:space="preserve">The Eastern Archaic, Historicized</w:t>
      </w:r>
      <w:r>
        <w:t xml:space="preserve">. AltaMira Press, Lanham.</w:t>
      </w:r>
    </w:p>
    <w:p>
      <w:pPr>
        <w:pStyle w:val="BodyText"/>
      </w:pPr>
      <w:r>
        <w:t xml:space="preserve">Sassaman, Kenneth E., and Samuel O. Brookes. 2017. Situating the Claiborne Soapstone Vessel Cache in the History of Poverty Point.</w:t>
      </w:r>
      <w:r>
        <w:t xml:space="preserve"> </w:t>
      </w:r>
      <w:r>
        <w:rPr>
          <w:i/>
          <w:iCs/>
        </w:rPr>
        <w:t xml:space="preserve">American Antiquity</w:t>
      </w:r>
      <w:r>
        <w:t xml:space="preserve"> </w:t>
      </w:r>
      <w:r>
        <w:t xml:space="preserve">82(4):781-797.</w:t>
      </w:r>
    </w:p>
    <w:p>
      <w:pPr>
        <w:pStyle w:val="BodyText"/>
      </w:pPr>
      <w:r>
        <w:t xml:space="preserve">Sassaman, Kenneth E., and Michael J. Heckenberger. 2004. Crossing the Symbolic Rubicon in the Southeast. In</w:t>
      </w:r>
      <w:r>
        <w:t xml:space="preserve"> </w:t>
      </w:r>
      <w:r>
        <w:rPr>
          <w:i/>
          <w:iCs/>
        </w:rPr>
        <w:t xml:space="preserve">Signs of Power: The Rise of Cultural Complexity in the Southeast</w:t>
      </w:r>
      <w:r>
        <w:t xml:space="preserve">, edited by Jon L. Gibson and Philip J. Carr, pp. 214-233. University of Alabama Press, Tuscaloosa.</w:t>
      </w:r>
    </w:p>
    <w:p>
      <w:pPr>
        <w:pStyle w:val="BodyText"/>
      </w:pPr>
      <w:r>
        <w:t xml:space="preserve">Saucier, Roger T. 1981. Current Thinking on Riverine Processes and Geologic History as Related to Human Settlement in the Southeast.</w:t>
      </w:r>
      <w:r>
        <w:t xml:space="preserve"> </w:t>
      </w:r>
      <w:r>
        <w:rPr>
          <w:i/>
          <w:iCs/>
        </w:rPr>
        <w:t xml:space="preserve">Geoscience and Man</w:t>
      </w:r>
      <w:r>
        <w:t xml:space="preserve"> </w:t>
      </w:r>
      <w:r>
        <w:t xml:space="preserve">22:7-18.</w:t>
      </w:r>
    </w:p>
    <w:p>
      <w:pPr>
        <w:pStyle w:val="BodyText"/>
      </w:pPr>
      <w:r>
        <w:t xml:space="preserve">Saucier, Roger T. 1994.</w:t>
      </w:r>
      <w:r>
        <w:t xml:space="preserve"> </w:t>
      </w:r>
      <w:r>
        <w:rPr>
          <w:i/>
          <w:iCs/>
        </w:rPr>
        <w:t xml:space="preserve">Geomorphology and Quaternary Geologic History of the Lower Mississippi Valley</w:t>
      </w:r>
      <w:r>
        <w:t xml:space="preserve">, 2 vols. U.S. Army Engineer Waterways Experiment Station, Vicksburg, Mississippi.</w:t>
      </w:r>
    </w:p>
    <w:p>
      <w:pPr>
        <w:pStyle w:val="BodyText"/>
      </w:pPr>
      <w:r>
        <w:t xml:space="preserve">Saunders, Joe W., Thurman Allen, and Roger T. Saucier. 1994. Four Archaic? Mound Complexes in Northeast Louisiana.</w:t>
      </w:r>
      <w:r>
        <w:t xml:space="preserve"> </w:t>
      </w:r>
      <w:r>
        <w:rPr>
          <w:i/>
          <w:iCs/>
        </w:rPr>
        <w:t xml:space="preserve">Southeastern Archaeology</w:t>
      </w:r>
      <w:r>
        <w:t xml:space="preserve"> </w:t>
      </w:r>
      <w:r>
        <w:t xml:space="preserve">13:134-153.</w:t>
      </w:r>
    </w:p>
    <w:p>
      <w:pPr>
        <w:pStyle w:val="BodyText"/>
      </w:pPr>
      <w:r>
        <w:t xml:space="preserve">Saunders, Joe W., E. Thurman Allen, Reca Jones, and Gloria Swoveland. 2000. Caney Mounds (16CT5).</w:t>
      </w:r>
      <w:r>
        <w:t xml:space="preserve"> </w:t>
      </w:r>
      <w:r>
        <w:rPr>
          <w:i/>
          <w:iCs/>
        </w:rPr>
        <w:t xml:space="preserve">Louisiana Archaeological Society Newsletter</w:t>
      </w:r>
      <w:r>
        <w:t xml:space="preserve"> </w:t>
      </w:r>
      <w:r>
        <w:t xml:space="preserve">27:14-21.</w:t>
      </w:r>
    </w:p>
    <w:p>
      <w:pPr>
        <w:pStyle w:val="BodyText"/>
      </w:pPr>
      <w:r>
        <w:t xml:space="preserve">Saunders, Joe W., Reca Bamburg Jones, and Thurman Allen. 2005a.</w:t>
      </w:r>
      <w:r>
        <w:t xml:space="preserve"> </w:t>
      </w:r>
      <w:r>
        <w:rPr>
          <w:i/>
          <w:iCs/>
        </w:rPr>
        <w:t xml:space="preserve">2005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Reca Bamburg Jones, and Thurman Allen. 2009.</w:t>
      </w:r>
      <w:r>
        <w:t xml:space="preserve"> </w:t>
      </w:r>
      <w:r>
        <w:rPr>
          <w:i/>
          <w:iCs/>
        </w:rPr>
        <w:t xml:space="preserve">2009 Annual Report for Management Unit 2</w:t>
      </w:r>
      <w:r>
        <w:t xml:space="preserve">. Regional Archaeology Program, Department of Geosciences, University of Louisiana at Monroe. Submitted to the Louisiana Division of Archaeology, Baton Rouge.</w:t>
      </w:r>
    </w:p>
    <w:p>
      <w:pPr>
        <w:pStyle w:val="BodyText"/>
      </w:pPr>
      <w:r>
        <w:t xml:space="preserve">Saunders, Joe W., Rolfe D. Mandel, C. Garth Sampson, Charles M. Allen, E. Thurman Allen, Daniel A. Bush, James K. Feathers, Kristen J. Gremillion, C. T. Hallmark, H. Edwin Jackson, Jay K. Johnson, Reca Jones, Roger T. Saucier, Gary L. Stringer, and Malcolm F. Vidrine. 2005b. Watson Brake, a Middle Archaic Mound Complex in Northeast Louisiana.</w:t>
      </w:r>
      <w:r>
        <w:t xml:space="preserve"> </w:t>
      </w:r>
      <w:r>
        <w:rPr>
          <w:i/>
          <w:iCs/>
        </w:rPr>
        <w:t xml:space="preserve">American Antiquity</w:t>
      </w:r>
      <w:r>
        <w:t xml:space="preserve"> </w:t>
      </w:r>
      <w:r>
        <w:t xml:space="preserve">70:631-668.</w:t>
      </w:r>
    </w:p>
    <w:p>
      <w:pPr>
        <w:pStyle w:val="BodyText"/>
      </w:pPr>
      <w:r>
        <w:t xml:space="preserve">Saunders, Joe W., Thurman Allen, Dennis Labatt, Reca Jones, and David Griffing. 2001. An Assessment of the Antiquity of the Lower Jackson Mound.</w:t>
      </w:r>
      <w:r>
        <w:t xml:space="preserve"> </w:t>
      </w:r>
      <w:r>
        <w:rPr>
          <w:i/>
          <w:iCs/>
        </w:rPr>
        <w:t xml:space="preserve">Southeastern Archaeology</w:t>
      </w:r>
      <w:r>
        <w:t xml:space="preserve"> </w:t>
      </w:r>
      <w:r>
        <w:t xml:space="preserve">20:67-77.</w:t>
      </w:r>
    </w:p>
    <w:p>
      <w:pPr>
        <w:pStyle w:val="BodyText"/>
      </w:pPr>
      <w:r>
        <w:t xml:space="preserve">Sherwood, Sarah C., and Tristram R. Kidder. 2011. The DaVincis of Dirt: Geoarchaeological Perspectives on Native American Mound Building in the Mississippi River Basin.</w:t>
      </w:r>
      <w:r>
        <w:t xml:space="preserve"> </w:t>
      </w:r>
      <w:r>
        <w:rPr>
          <w:i/>
          <w:iCs/>
        </w:rPr>
        <w:t xml:space="preserve">Journal of Anthropological Archaeology</w:t>
      </w:r>
      <w:r>
        <w:t xml:space="preserve"> </w:t>
      </w:r>
      <w:r>
        <w:t xml:space="preserve">30:69-87.</w:t>
      </w:r>
    </w:p>
    <w:p>
      <w:pPr>
        <w:pStyle w:val="BodyText"/>
      </w:pPr>
      <w:r>
        <w:t xml:space="preserve">Singh, Manvir, and Joseph Henrich. 2020. Why Do Religious Leaders Observe Costly Prohibitions? Examining Taboos on Mentawai Shamans.</w:t>
      </w:r>
      <w:r>
        <w:t xml:space="preserve"> </w:t>
      </w:r>
      <w:r>
        <w:rPr>
          <w:i/>
          <w:iCs/>
        </w:rPr>
        <w:t xml:space="preserve">Evolutionary Human Sciences</w:t>
      </w:r>
      <w:r>
        <w:t xml:space="preserve"> </w:t>
      </w:r>
      <w:r>
        <w:t xml:space="preserve">2:e32. https://doi.org/10.1017/ehs.2020.32</w:t>
      </w:r>
    </w:p>
    <w:p>
      <w:pPr>
        <w:pStyle w:val="BodyText"/>
      </w:pPr>
      <w:r>
        <w:t xml:space="preserve">Shuman, Bryan N., and Jeremiah Marsicek. 2016. The Structure of Holocene Climate Change in Mid-Latitude North America.</w:t>
      </w:r>
      <w:r>
        <w:t xml:space="preserve"> </w:t>
      </w:r>
      <w:r>
        <w:rPr>
          <w:i/>
          <w:iCs/>
        </w:rPr>
        <w:t xml:space="preserve">Quaternary Science Reviews</w:t>
      </w:r>
      <w:r>
        <w:t xml:space="preserve"> </w:t>
      </w:r>
      <w:r>
        <w:t xml:space="preserve">141:38-51.</w:t>
      </w:r>
    </w:p>
    <w:p>
      <w:pPr>
        <w:pStyle w:val="BodyText"/>
      </w:pPr>
      <w:r>
        <w:t xml:space="preserve">Smith, Brent W. 1991. The Late Archaic-Poverty Point Trade Network. In</w:t>
      </w:r>
      <w:r>
        <w:t xml:space="preserve"> </w:t>
      </w:r>
      <w:r>
        <w:rPr>
          <w:i/>
          <w:iCs/>
        </w:rPr>
        <w:t xml:space="preserve">The Poverty Point Culture: Local Manifestations, Subsistence Practices, and Trade Networks</w:t>
      </w:r>
      <w:r>
        <w:t xml:space="preserve">, edited by Kathleen M. Byrd, pp. 173-180. Geoscience and Man 29. Louisiana State University, Baton Rouge.</w:t>
      </w:r>
    </w:p>
    <w:p>
      <w:pPr>
        <w:pStyle w:val="BodyText"/>
      </w:pPr>
      <w:r>
        <w:t xml:space="preserve">Sober, Elliott, and David Sloan Wilson. 1998.</w:t>
      </w:r>
      <w:r>
        <w:t xml:space="preserve"> </w:t>
      </w:r>
      <w:r>
        <w:rPr>
          <w:i/>
          <w:iCs/>
        </w:rPr>
        <w:t xml:space="preserve">Unto Others: The Evolution and Psychology of Unselfish Behavior</w:t>
      </w:r>
      <w:r>
        <w:t xml:space="preserve">. Harvard University Press, Cambridge, Massachusetts.</w:t>
      </w:r>
    </w:p>
    <w:p>
      <w:pPr>
        <w:pStyle w:val="BodyText"/>
      </w:pPr>
      <w:r>
        <w:t xml:space="preserve">Spivey, S. Margaret, Tristram R. Kidder, Anthony L. Ortmann, and Lee J. Arco. 2015. Pilgrimage to Poverty Point? In</w:t>
      </w:r>
      <w:r>
        <w:t xml:space="preserve"> </w:t>
      </w:r>
      <w:r>
        <w:rPr>
          <w:i/>
          <w:iCs/>
        </w:rPr>
        <w:t xml:space="preserve">The Enigma of the Event: Moments of Consequence in the Ancient Southeast</w:t>
      </w:r>
      <w:r>
        <w:t xml:space="preserve">, edited by Zackary Gilmore and Jason O’Donoughue, pp. 230-267. University of Alabama Press, Tuscaloosa.</w:t>
      </w:r>
    </w:p>
    <w:p>
      <w:pPr>
        <w:pStyle w:val="BodyText"/>
      </w:pPr>
      <w:r>
        <w:t xml:space="preserve">Thomas, Prentice M., Jr., and L. Janice Campbell. 1978.</w:t>
      </w:r>
      <w:r>
        <w:t xml:space="preserve"> </w:t>
      </w:r>
      <w:r>
        <w:rPr>
          <w:i/>
          <w:iCs/>
        </w:rPr>
        <w:t xml:space="preserve">The Peripheries of Poverty Point</w:t>
      </w:r>
      <w:r>
        <w:t xml:space="preserve">. Report of Investigations No. 12. New World Research, Pollock, Louisiana.</w:t>
      </w:r>
    </w:p>
    <w:p>
      <w:pPr>
        <w:pStyle w:val="BodyText"/>
      </w:pPr>
      <w:r>
        <w:t xml:space="preserve">Walthall, John A., Clarence H. Webb, Stephen H. Stow, and Sharon I. Goad. 1982. Galena Analysis and Poverty Point Trade.</w:t>
      </w:r>
      <w:r>
        <w:t xml:space="preserve"> </w:t>
      </w:r>
      <w:r>
        <w:rPr>
          <w:i/>
          <w:iCs/>
        </w:rPr>
        <w:t xml:space="preserve">Mid-Continental Journal of Archaeology</w:t>
      </w:r>
      <w:r>
        <w:t xml:space="preserve"> </w:t>
      </w:r>
      <w:r>
        <w:t xml:space="preserve">7:133-148.</w:t>
      </w:r>
    </w:p>
    <w:p>
      <w:pPr>
        <w:pStyle w:val="BodyText"/>
      </w:pPr>
      <w:r>
        <w:t xml:space="preserve">Ward, Grace M. V., Seth B. Grooms, Andrew G. Schroll, and Tristram R. Kidder. 2022. The View from Jaketown: Considering Variation in the Poverty Point Culture of the Lower Mississippi Valley.</w:t>
      </w:r>
      <w:r>
        <w:t xml:space="preserve"> </w:t>
      </w:r>
      <w:r>
        <w:rPr>
          <w:i/>
          <w:iCs/>
        </w:rPr>
        <w:t xml:space="preserve">American Antiquity</w:t>
      </w:r>
      <w:r>
        <w:t xml:space="preserve"> </w:t>
      </w:r>
      <w:r>
        <w:t xml:space="preserve">87:758-775.</w:t>
      </w:r>
    </w:p>
    <w:p>
      <w:pPr>
        <w:pStyle w:val="BodyText"/>
      </w:pPr>
      <w:r>
        <w:t xml:space="preserve">Ward, Heather D. 1998. The Paleoethnobotanical Record of the Poverty Point Culture: Implications of Past and Current Research.</w:t>
      </w:r>
      <w:r>
        <w:t xml:space="preserve"> </w:t>
      </w:r>
      <w:r>
        <w:rPr>
          <w:i/>
          <w:iCs/>
        </w:rPr>
        <w:t xml:space="preserve">Southeastern Archaeology</w:t>
      </w:r>
      <w:r>
        <w:t xml:space="preserve"> </w:t>
      </w:r>
      <w:r>
        <w:t xml:space="preserve">17:166-174.</w:t>
      </w:r>
    </w:p>
    <w:p>
      <w:pPr>
        <w:pStyle w:val="BodyText"/>
      </w:pPr>
      <w:r>
        <w:t xml:space="preserve">Webb, Clarence H. 1968. The Extent and Content of Poverty Point Culture.</w:t>
      </w:r>
      <w:r>
        <w:t xml:space="preserve"> </w:t>
      </w:r>
      <w:r>
        <w:rPr>
          <w:i/>
          <w:iCs/>
        </w:rPr>
        <w:t xml:space="preserve">American Antiquity</w:t>
      </w:r>
      <w:r>
        <w:t xml:space="preserve"> </w:t>
      </w:r>
      <w:r>
        <w:t xml:space="preserve">33:297-321.</w:t>
      </w:r>
    </w:p>
    <w:p>
      <w:pPr>
        <w:pStyle w:val="BodyText"/>
      </w:pPr>
      <w:r>
        <w:t xml:space="preserve">Webb, Clarence H. 1982.</w:t>
      </w:r>
      <w:r>
        <w:t xml:space="preserve"> </w:t>
      </w:r>
      <w:r>
        <w:rPr>
          <w:i/>
          <w:iCs/>
        </w:rPr>
        <w:t xml:space="preserve">The Poverty Point Culture</w:t>
      </w:r>
      <w:r>
        <w:t xml:space="preserve">. 2nd ed., revised. Geoscience and Man 17. Louisiana State University, Baton Rouge.</w:t>
      </w:r>
    </w:p>
    <w:p>
      <w:pPr>
        <w:pStyle w:val="BodyText"/>
      </w:pPr>
      <w:r>
        <w:t xml:space="preserve">Webb, William S. 1939.</w:t>
      </w:r>
      <w:r>
        <w:t xml:space="preserve"> </w:t>
      </w:r>
      <w:r>
        <w:rPr>
          <w:i/>
          <w:iCs/>
        </w:rPr>
        <w:t xml:space="preserve">An Archaeological Survey of Wheeler Basin on the Tennessee River in Northern Alabama</w:t>
      </w:r>
      <w:r>
        <w:t xml:space="preserve">. Bureau of American Ethnology Bulletin 122. Smithsonian Institution, Washington, D.C.</w:t>
      </w:r>
    </w:p>
    <w:p>
      <w:pPr>
        <w:pStyle w:val="BodyText"/>
      </w:pPr>
      <w:r>
        <w:t xml:space="preserve">West, Stuart A., Ashleigh S. Griffin, and Andy Gardner. 2008. Social Semantics: How Useful Has Group Selection Been?</w:t>
      </w:r>
      <w:r>
        <w:t xml:space="preserve"> </w:t>
      </w:r>
      <w:r>
        <w:rPr>
          <w:i/>
          <w:iCs/>
        </w:rPr>
        <w:t xml:space="preserve">Journal of Evolutionary Biology</w:t>
      </w:r>
      <w:r>
        <w:t xml:space="preserve"> </w:t>
      </w:r>
      <w:r>
        <w:t xml:space="preserve">21:374-385.</w:t>
      </w:r>
    </w:p>
    <w:p>
      <w:pPr>
        <w:pStyle w:val="BodyText"/>
      </w:pPr>
      <w:r>
        <w:t xml:space="preserve">Wiessner, Polly. 2002. Hunting, Healing, and Hxaro Exchange: A Long-Term Perspective on !Kung (Ju/’hoansi) Large-Game Hunting.</w:t>
      </w:r>
      <w:r>
        <w:t xml:space="preserve"> </w:t>
      </w:r>
      <w:r>
        <w:rPr>
          <w:i/>
          <w:iCs/>
        </w:rPr>
        <w:t xml:space="preserve">Evolution and Human Behavior</w:t>
      </w:r>
      <w:r>
        <w:t xml:space="preserve"> </w:t>
      </w:r>
      <w:r>
        <w:t xml:space="preserve">23:407-436.</w:t>
      </w:r>
    </w:p>
    <w:p>
      <w:pPr>
        <w:pStyle w:val="BodyText"/>
      </w:pPr>
      <w:r>
        <w:t xml:space="preserve">Winterhalder, Bruce. 1986. Diet Choice, Risk, and Food Sharing in a Stochastic Environment.</w:t>
      </w:r>
      <w:r>
        <w:t xml:space="preserve"> </w:t>
      </w:r>
      <w:r>
        <w:rPr>
          <w:i/>
          <w:iCs/>
        </w:rPr>
        <w:t xml:space="preserve">Journal of Anthropological Archaeology</w:t>
      </w:r>
      <w:r>
        <w:t xml:space="preserve"> </w:t>
      </w:r>
      <w:r>
        <w:t xml:space="preserve">5:369-392.</w:t>
      </w:r>
    </w:p>
    <w:p>
      <w:pPr>
        <w:pStyle w:val="BodyText"/>
      </w:pPr>
      <w:r>
        <w:t xml:space="preserve">Yates, William B. 2009. A Sourcing Study of Soapstone Vessel Fragments from the Poverty Point Archaeological Site (16WC5), West Carroll Parish, Louisiana.</w:t>
      </w:r>
      <w:r>
        <w:t xml:space="preserve"> </w:t>
      </w:r>
      <w:r>
        <w:rPr>
          <w:i/>
          <w:iCs/>
        </w:rPr>
        <w:t xml:space="preserve">Louisiana Archaeology</w:t>
      </w:r>
      <w:r>
        <w:t xml:space="preserve"> </w:t>
      </w:r>
      <w:r>
        <w:t xml:space="preserve">28:25-35.</w:t>
      </w:r>
    </w:p>
    <w:p>
      <w:pPr>
        <w:pStyle w:val="BodyText"/>
      </w:pPr>
      <w:r>
        <w:t xml:space="preserve">Zahavi, Amotz. 1975. Mate Selection: A Selection for a Handicap.</w:t>
      </w:r>
      <w:r>
        <w:t xml:space="preserve"> </w:t>
      </w:r>
      <w:r>
        <w:rPr>
          <w:i/>
          <w:iCs/>
        </w:rPr>
        <w:t xml:space="preserve">Journal of Theoretical Biology</w:t>
      </w:r>
      <w:r>
        <w:t xml:space="preserve"> </w:t>
      </w:r>
      <w:r>
        <w:t xml:space="preserve">53:205-214.</w:t>
      </w:r>
    </w:p>
    <w:bookmarkEnd w:id="91"/>
    <w:bookmarkStart w:id="92" w:name="supplemental-material"/>
    <w:p>
      <w:pPr>
        <w:pStyle w:val="Heading2"/>
      </w:pPr>
      <w:r>
        <w:t xml:space="preserve">Supplemental Material</w:t>
      </w:r>
    </w:p>
    <w:p>
      <w:pPr>
        <w:pStyle w:val="FirstParagraph"/>
      </w:pPr>
      <w: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9×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t xml:space="preserve"> </w:t>
      </w:r>
      <m:oMath>
        <m:sSub>
          <m:e>
            <m:r>
              <m:t>n</m:t>
            </m:r>
          </m:e>
          <m:sub>
            <m:r>
              <m:t>a</m:t>
            </m:r>
            <m:r>
              <m:t>g</m:t>
            </m:r>
            <m:r>
              <m:t>g</m:t>
            </m:r>
          </m:sub>
        </m:sSub>
      </m:oMath>
      <w:r>
        <w:t xml:space="preserve"> </w:t>
      </w:r>
      <w: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2026-08-20T20:31:04Z</dcterms:created>
  <dcterms:modified xsi:type="dcterms:W3CDTF">2026-08-20T20:31:04Z</dcterms:modified>
</cp:coreProperties>
</file>

<file path=docProps/custom.xml><?xml version="1.0" encoding="utf-8"?>
<Properties xmlns="http://schemas.openxmlformats.org/officeDocument/2006/custom-properties" xmlns:vt="http://schemas.openxmlformats.org/officeDocument/2006/docPropsVTypes"/>
</file>