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7.png" ContentType="image/png"/>
  <Override PartName="/word/media/rId40.png" ContentType="image/png"/>
  <Override PartName="/word/media/rId43.png" ContentType="image/png"/>
  <Override PartName="/word/media/rId49.png" ContentType="image/png"/>
  <Override PartName="/word/media/rId53.png" ContentType="image/png"/>
  <Override PartName="/word/media/rId60.png" ContentType="image/png"/>
  <Override PartName="/word/media/rId66.png" ContentType="image/png"/>
  <Override PartName="/word/media/rId6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a6004f5551c2b0e3a47e9a02ffe5d96c935eddd"/>
    <w:p>
      <w:pPr>
        <w:pStyle w:val="Heading1"/>
      </w:pPr>
      <w:r>
        <w:t xml:space="preserve">Supplemental Material for</w:t>
      </w:r>
      <w:r>
        <w:t xml:space="preserve"> </w:t>
      </w:r>
      <w:r>
        <w:rPr>
          <w:i/>
          <w:iCs/>
        </w:rPr>
        <w:t xml:space="preserve">Signaling under environmental uncertainty: A multilevel-selection threshold model for Poverty Point</w:t>
      </w:r>
    </w:p>
    <w:p>
      <w:pPr>
        <w:pStyle w:val="FirstParagraph"/>
      </w:pPr>
      <w: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p>
      <w:r>
        <w:pict>
          <v:rect style="width:0;height:1.5pt" o:hralign="center" o:hrstd="t" o:hr="t"/>
        </w:pict>
      </w:r>
    </w:p>
    <w:bookmarkStart w:id="15" w:name="Xf5b680c1329f9f1d755046d9b6764fc8f262881"/>
    <w:p>
      <w:pPr>
        <w:pStyle w:val="Heading2"/>
      </w:pPr>
      <w:r>
        <w:t xml:space="preserve">S1. ODD Protocol: Complete Model Specification</w:t>
      </w:r>
    </w:p>
    <w:p>
      <w:pPr>
        <w:pStyle w:val="FirstParagraph"/>
      </w:pPr>
      <w:r>
        <w:t xml:space="preserve">The model is documented under the</w:t>
      </w:r>
      <w:r>
        <w:t xml:space="preserve"> </w:t>
      </w:r>
      <w:r>
        <w:rPr>
          <w:b/>
          <w:bCs/>
        </w:rPr>
        <w:t xml:space="preserve">ODD protocol</w:t>
      </w:r>
      <w:r>
        <w:t xml:space="preserve"> </w:t>
      </w:r>
      <w: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t xml:space="preserve">The model is specified following the ODD (Overview, Design concepts, Details) protocol (Grimm et al. 2010). Source code is available at https://github.com/clipo/poverty-point.</w:t>
      </w:r>
    </w:p>
    <w:bookmarkStart w:id="9" w:name="s1.1-purpose-and-patterns"/>
    <w:p>
      <w:pPr>
        <w:pStyle w:val="Heading3"/>
      </w:pPr>
      <w:r>
        <w:t xml:space="preserve">S1.1 Purpose and patterns</w:t>
      </w:r>
    </w:p>
    <w:p>
      <w:pPr>
        <w:pStyle w:val="FirstParagraph"/>
      </w:pPr>
      <w:r>
        <w:rPr>
          <w:b/>
          <w:bCs/>
        </w:rPr>
        <w:t xml:space="preserve">Purpose.</w:t>
      </w:r>
      <w:r>
        <w:t xml:space="preserve"> </w:t>
      </w:r>
      <w: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b/>
          <w:bCs/>
        </w:rPr>
        <w:t xml:space="preserve">Patterns to reproduce.</w:t>
      </w:r>
      <w:r>
        <w:t xml:space="preserve"> </w:t>
      </w:r>
      <w: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t xml:space="preserve">S1.2 Entities, state variables, scales</w:t>
      </w:r>
    </w:p>
    <w:p>
      <w:pPr>
        <w:pStyle w:val="FirstParagraph"/>
      </w:pPr>
      <w:r>
        <w:t xml:space="preserve">The principal entity is the</w:t>
      </w:r>
      <w:r>
        <w:t xml:space="preserve"> </w:t>
      </w:r>
      <w:r>
        <w:rPr>
          <w:b/>
          <w:bCs/>
        </w:rPr>
        <w:t xml:space="preserve">band</w:t>
      </w:r>
      <w:r>
        <w:t xml:space="preserve">, a small cooperative unit of 15-30 individuals. Each band</w:t>
      </w:r>
      <w:r>
        <w:t xml:space="preserve"> </w:t>
      </w:r>
      <m:oMath>
        <m:r>
          <m:t>i</m:t>
        </m:r>
      </m:oMath>
      <w:r>
        <w:t xml:space="preserve"> </w:t>
      </w:r>
      <w:r>
        <w:t xml:space="preserve">at time</w:t>
      </w:r>
      <w:r>
        <w:t xml:space="preserve"> </w:t>
      </w:r>
      <m:oMath>
        <m:r>
          <m:t>t</m:t>
        </m:r>
      </m:oMath>
      <w:r>
        <w:t xml:space="preserve"> </w:t>
      </w:r>
      <w:r>
        <w:t xml:space="preserve">has state variables: location</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(spatial); resources</w:t>
      </w:r>
      <w:r>
        <w:t xml:space="preserve"> </w:t>
      </w:r>
      <m:oMath>
        <m:sSub>
          <m:e>
            <m:r>
              <m:t>R</m:t>
            </m:r>
          </m:e>
          <m:sub>
            <m:r>
              <m:t>i</m:t>
            </m:r>
          </m:sub>
        </m:sSub>
      </m:oMath>
      <w:r>
        <w:t xml:space="preserve"> </w:t>
      </w:r>
      <w:r>
        <w:t xml:space="preserve">(normalized to 0-1); strategy</w:t>
      </w:r>
      <w:r>
        <w:t xml:space="preserve"> </w:t>
      </w:r>
      <m:oMath>
        <m:sSub>
          <m:e>
            <m:r>
              <m:t>s</m:t>
            </m:r>
          </m:e>
          <m:sub>
            <m:r>
              <m:t>i</m:t>
            </m:r>
          </m:sub>
        </m:sSub>
        <m:r>
          <m:rPr>
            <m:sty m:val="p"/>
          </m:rPr>
          <m:t>∈</m:t>
        </m:r>
        <m:r>
          <m:rPr>
            <m:sty m:val="p"/>
          </m:rPr>
          <m:t>{</m:t>
        </m:r>
      </m:oMath>
      <w:r>
        <w:t xml:space="preserve">aggregator, independent</w:t>
      </w:r>
      <m:oMath>
        <m:r>
          <m:rPr>
            <m:sty m:val="p"/>
          </m:rPr>
          <m:t>}</m:t>
        </m:r>
      </m:oMath>
      <w:r>
        <w:t xml:space="preserve">; quality</w:t>
      </w:r>
      <w:r>
        <w:t xml:space="preserve"> </w:t>
      </w:r>
      <m:oMath>
        <m:sSub>
          <m:e>
            <m:r>
              <m:t>q</m:t>
            </m:r>
          </m:e>
          <m:sub>
            <m:r>
              <m:t>i</m:t>
            </m:r>
          </m:sub>
        </m:sSub>
      </m:oMath>
      <w:r>
        <w:t xml:space="preserve"> </w:t>
      </w:r>
      <w:r>
        <w:t xml:space="preserve">(productive capacity, drawn from a uniform distribution on</w:t>
      </w:r>
      <w: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t xml:space="preserve"> </w:t>
      </w:r>
      <m:oMath>
        <m:sSub>
          <m:e>
            <m:r>
              <m:t>I</m:t>
            </m:r>
          </m:e>
          <m:sub>
            <m:r>
              <m:t>i</m:t>
            </m:r>
          </m:sub>
        </m:sSub>
      </m:oMath>
      <w:r>
        <w:t xml:space="preserve">; exotic holdings vector</w:t>
      </w:r>
      <w:r>
        <w:t xml:space="preserve"> </w:t>
      </w:r>
      <m:oMath>
        <m:sSub>
          <m:e>
            <m:r>
              <m:t>E</m:t>
            </m:r>
          </m:e>
          <m:sub>
            <m:r>
              <m:t>i</m:t>
            </m:r>
          </m:sub>
        </m:sSub>
      </m:oMath>
      <w:r>
        <w:t xml:space="preserve"> </w:t>
      </w:r>
      <w:r>
        <w:t xml:space="preserve">by source; obligation network edges</w:t>
      </w:r>
      <w:r>
        <w:t xml:space="preserve"> </w:t>
      </w:r>
      <m:oMath>
        <m:sSub>
          <m:e>
            <m:r>
              <m:t>O</m:t>
            </m:r>
          </m:e>
          <m:sub>
            <m:r>
              <m:t>i</m:t>
            </m:r>
            <m:r>
              <m:t>j</m:t>
            </m:r>
          </m:sub>
        </m:sSub>
      </m:oMath>
      <w:r>
        <w:t xml:space="preserve"> </w:t>
      </w:r>
      <w:r>
        <w:t xml:space="preserve">to other bands; prestige</w:t>
      </w:r>
      <w:r>
        <w:t xml:space="preserve"> </w:t>
      </w:r>
      <m:oMath>
        <m:sSub>
          <m:e>
            <m:r>
              <m:t>P</m:t>
            </m:r>
          </m:e>
          <m:sub>
            <m:r>
              <m:t>i</m:t>
            </m:r>
          </m:sub>
        </m:sSub>
      </m:oMath>
      <w:r>
        <w:t xml:space="preserve">. The aggregation site has cumulative monument stock</w:t>
      </w:r>
      <w:r>
        <w:t xml:space="preserve"> </w:t>
      </w:r>
      <m:oMath>
        <m:sSub>
          <m:e>
            <m:r>
              <m:t>M</m:t>
            </m:r>
          </m:e>
          <m:sub>
            <m:r>
              <m:t>g</m:t>
            </m:r>
          </m:sub>
        </m:sSub>
      </m:oMath>
      <w:r>
        <w:t xml:space="preserve">, aggregation history, and ecotone advantage</w:t>
      </w:r>
      <w:r>
        <w:t xml:space="preserve"> </w:t>
      </w:r>
      <m:oMath>
        <m:r>
          <m:t>ε</m:t>
        </m:r>
      </m:oMath>
      <w: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t xml:space="preserve">S1.3 Process overview and scheduling</w:t>
      </w:r>
    </w:p>
    <w:p>
      <w:pPr>
        <w:pStyle w:val="FirstParagraph"/>
      </w:pPr>
      <w:r>
        <w:t xml:space="preserve">Each year, each process executes exactly once, in this order:</w:t>
      </w:r>
      <w:r>
        <w:t xml:space="preserve"> </w:t>
      </w:r>
      <w:r>
        <w:t xml:space="preserve">1.</w:t>
      </w:r>
      <w:r>
        <w:t xml:space="preserve"> </w:t>
      </w:r>
      <w:r>
        <w:rPr>
          <w:b/>
          <w:bCs/>
        </w:rPr>
        <w:t xml:space="preserve">Environmental update:</w:t>
      </w:r>
      <w:r>
        <w:t xml:space="preserve"> </w:t>
      </w:r>
      <w:r>
        <w:t xml:space="preserve">advance annual zone shocks. Shortfall onset is Bernoulli with per-year probability</w:t>
      </w:r>
      <w:r>
        <w:t xml:space="preserve"> </w:t>
      </w:r>
      <m:oMath>
        <m:r>
          <m:t>1</m:t>
        </m:r>
        <m:r>
          <m:rPr>
            <m:sty m:val="p"/>
          </m:rPr>
          <m:t>/</m:t>
        </m:r>
        <m:r>
          <m:t>T</m:t>
        </m:r>
      </m:oMath>
      <w:r>
        <w:t xml:space="preserve">; event magnitude is drawn from</w:t>
      </w:r>
      <w:r>
        <w:t xml:space="preserve"> </w:t>
      </w:r>
      <m:oMath>
        <m:r>
          <m:rPr>
            <m:scr m:val="script"/>
            <m:sty m:val="p"/>
          </m:rPr>
          <m:t>N</m:t>
        </m:r>
        <m:r>
          <m:rPr>
            <m:sty m:val="p"/>
          </m:rPr>
          <m:t>(</m:t>
        </m:r>
        <m:r>
          <m:t>m</m:t>
        </m:r>
        <m:r>
          <m:rPr>
            <m:sty m:val="p"/>
          </m:rPr>
          <m:t>,</m:t>
        </m:r>
        <m:r>
          <m:t>0.15</m:t>
        </m:r>
        <m:r>
          <m:rPr>
            <m:sty m:val="p"/>
          </m:rPr>
          <m:t>)</m:t>
        </m:r>
      </m:oMath>
      <w:r>
        <w:t xml:space="preserve"> </w:t>
      </w:r>
      <w:r>
        <w:t xml:space="preserve">clipped to</w:t>
      </w:r>
      <w:r>
        <w:t xml:space="preserve"> </w:t>
      </w:r>
      <m:oMath>
        <m:r>
          <m:rPr>
            <m:sty m:val="p"/>
          </m:rPr>
          <m:t>[</m:t>
        </m:r>
        <m:r>
          <m:t>0.1</m:t>
        </m:r>
        <m:r>
          <m:rPr>
            <m:sty m:val="p"/>
          </m:rPr>
          <m:t>,</m:t>
        </m:r>
        <m:r>
          <m:t>0.9</m:t>
        </m:r>
        <m:r>
          <m:rPr>
            <m:sty m:val="p"/>
          </m:rPr>
          <m:t>]</m:t>
        </m:r>
      </m:oMath>
      <w:r>
        <w:t xml:space="preserve">, and each event persists</w:t>
      </w:r>
      <w:r>
        <w:t xml:space="preserve"> </w:t>
      </w:r>
      <m:oMath>
        <m:r>
          <m:rPr>
            <m:sty m:val="p"/>
          </m:rPr>
          <m:t>max</m:t>
        </m:r>
        <m:r>
          <m:rPr>
            <m:sty m:val="p"/>
          </m:rPr>
          <m:t>(</m:t>
        </m:r>
        <m:r>
          <m:t>1</m:t>
        </m:r>
        <m:r>
          <m:rPr>
            <m:sty m:val="p"/>
          </m:rPr>
          <m:t>,</m:t>
        </m:r>
        <m:r>
          <m:rPr>
            <m:sty m:val="p"/>
          </m:rPr>
          <m:t>⌊</m:t>
        </m:r>
        <m:r>
          <m:t>1</m:t>
        </m:r>
        <m:r>
          <m:rPr>
            <m:sty m:val="p"/>
          </m:rPr>
          <m:t>+</m:t>
        </m:r>
        <m:r>
          <m:rPr>
            <m:nor/>
            <m:sty m:val="p"/>
          </m:rPr>
          <m:t>magnitude</m:t>
        </m:r>
        <m:r>
          <m:rPr>
            <m:sty m:val="p"/>
          </m:rPr>
          <m:t>×</m:t>
        </m:r>
        <m:r>
          <m:rPr>
            <m:nor/>
            <m:sty m:val="p"/>
          </m:rPr>
          <m:t>duration_scale</m:t>
        </m:r>
        <m:r>
          <m:rPr>
            <m:sty m:val="p"/>
          </m:rPr>
          <m:t>⌋</m:t>
        </m:r>
        <m:r>
          <m:rPr>
            <m:sty m:val="p"/>
          </m:rPr>
          <m:t>)</m:t>
        </m:r>
      </m:oMath>
      <w:r>
        <w:t xml:space="preserve"> </w:t>
      </w:r>
      <w:r>
        <w:t xml:space="preserve">years (duration_scale 2.0-2.5 by scenario). In shortfall years every harvest draw is reduced by the event severity, propagating the shortfall through realized productivity. Harvests are also density-dependent: the per-band share scales inversely with the current band count (normalized to the initial 50), representing finite regional productivity. The composite</w:t>
      </w:r>
      <w:r>
        <w:t xml:space="preserve"> </w:t>
      </w:r>
      <m:oMath>
        <m:r>
          <m:t>σ</m:t>
        </m:r>
      </m:oMath>
      <w:r>
        <w:t xml:space="preserve"> </w:t>
      </w:r>
      <w:r>
        <w:t xml:space="preserve">is computed from the canonical formula</w:t>
      </w:r>
      <w:r>
        <w:t xml:space="preserve"> </w:t>
      </w:r>
      <m:oMath>
        <m:r>
          <m:t>m</m:t>
        </m:r>
        <m:rad>
          <m:radPr>
            <m:degHide m:val="on"/>
          </m:radPr>
          <m:deg/>
          <m:e>
            <m:r>
              <m:t>20</m:t>
            </m:r>
            <m:r>
              <m:rPr>
                <m:sty m:val="p"/>
              </m:rPr>
              <m:t>/</m:t>
            </m:r>
            <m:r>
              <m:t>T</m:t>
            </m:r>
          </m:e>
        </m:rad>
      </m:oMath>
      <w:r>
        <w:t xml:space="preserve"> </w:t>
      </w:r>
      <w:r>
        <w:t xml:space="preserve">with a small realized-variance (CV) adjustment.</w:t>
      </w:r>
      <w:r>
        <w:t xml:space="preserve"> </w:t>
      </w:r>
      <w:r>
        <w:t xml:space="preserve">2.</w:t>
      </w:r>
      <w:r>
        <w:t xml:space="preserve"> </w:t>
      </w:r>
      <w:r>
        <w:rPr>
          <w:b/>
          <w:bCs/>
        </w:rPr>
        <w:t xml:space="preserve">Strategy decision (synchronous):</w:t>
      </w:r>
      <w:r>
        <w:t xml:space="preserve"> </w:t>
      </w:r>
      <w:r>
        <w:t xml:space="preserve">every band evaluates</w:t>
      </w:r>
      <w:r>
        <w:t xml:space="preserve"> </w:t>
      </w:r>
      <m:oMath>
        <m:sSub>
          <m:e>
            <m:r>
              <m:t>W</m:t>
            </m:r>
          </m:e>
          <m:sub>
            <m:r>
              <m:t>a</m:t>
            </m:r>
            <m:r>
              <m:t>g</m:t>
            </m:r>
            <m:r>
              <m:t>g</m:t>
            </m:r>
          </m:sub>
        </m:sSub>
      </m:oMath>
      <w:r>
        <w:t xml:space="preserve"> </w:t>
      </w:r>
      <w:r>
        <w:t xml:space="preserve">and</w:t>
      </w:r>
      <w:r>
        <w:t xml:space="preserve"> </w:t>
      </w:r>
      <m:oMath>
        <m:sSub>
          <m:e>
            <m:r>
              <m:t>W</m:t>
            </m:r>
          </m:e>
          <m:sub>
            <m:r>
              <m:t>i</m:t>
            </m:r>
            <m:r>
              <m:t>n</m:t>
            </m:r>
            <m:r>
              <m:t>d</m:t>
            </m:r>
          </m:sub>
        </m:sSub>
      </m:oMath>
      <w:r>
        <w:t xml:space="preserve"> </w:t>
      </w:r>
      <w:r>
        <w:t xml:space="preserve">against the same start-of-year population state: the previous year’s realized attendance, the site’s depreciated monument signal stock</w:t>
      </w:r>
      <w:r>
        <w:t xml:space="preserve"> </w:t>
      </w:r>
      <m:oMath>
        <m:sSub>
          <m:e>
            <m:r>
              <m:t>M</m:t>
            </m:r>
          </m:e>
          <m:sub>
            <m:r>
              <m:t>g</m:t>
            </m:r>
          </m:sub>
        </m:sSub>
      </m:oMath>
      <w:r>
        <w:t xml:space="preserve">, and the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M</m:t>
            </m:r>
          </m:e>
          <m:sub>
            <m:r>
              <m:t>g</m:t>
            </m:r>
          </m:sub>
        </m:sSub>
        <m:r>
          <m:rPr>
            <m:sty m:val="p"/>
          </m:rPr>
          <m:t>)</m:t>
        </m:r>
        <m:r>
          <m:rPr>
            <m:sty m:val="p"/>
          </m:rPr>
          <m:t>+</m:t>
        </m:r>
        <m:sSub>
          <m:e>
            <m:r>
              <m:t>λ</m:t>
            </m:r>
          </m:e>
          <m:sub>
            <m:r>
              <m:t>X</m:t>
            </m:r>
          </m:sub>
        </m:sSub>
        <m:r>
          <m:rPr>
            <m:sty m:val="p"/>
          </m:rPr>
          <m:t>(</m:t>
        </m:r>
        <m:sSub>
          <m:e>
            <m:r>
              <m:t>M</m:t>
            </m:r>
          </m:e>
          <m:sub>
            <m:r>
              <m:t>g</m:t>
            </m:r>
          </m:sub>
        </m:sSub>
        <m:r>
          <m:rPr>
            <m:sty m:val="p"/>
          </m:rPr>
          <m:t>,</m:t>
        </m:r>
        <m:r>
          <m:t>σ</m:t>
        </m:r>
        <m:r>
          <m:rPr>
            <m:sty m:val="p"/>
          </m:rPr>
          <m:t>)</m:t>
        </m:r>
      </m:oMath>
      <w:r>
        <w:t xml:space="preserve"> </w:t>
      </w:r>
      <w:r>
        <w:t xml:space="preserve">implied by that stock. The choice is a softmax on the fitness difference (temperature</w:t>
      </w:r>
      <w:r>
        <w:t xml:space="preserve"> </w:t>
      </w:r>
      <m:oMath>
        <m:r>
          <m:t>τ</m:t>
        </m:r>
        <m:r>
          <m:rPr>
            <m:sty m:val="p"/>
          </m:rPr>
          <m:t>=</m:t>
        </m:r>
        <m:r>
          <m:t>0.1</m:t>
        </m:r>
      </m:oMath>
      <w:r>
        <w:t xml:space="preserve">) with the</w:t>
      </w:r>
      <w:r>
        <w:t xml:space="preserve"> </w:t>
      </w:r>
      <m:oMath>
        <m:r>
          <m:rPr>
            <m:sty m:val="p"/>
          </m:rPr>
          <m:t>±</m:t>
        </m:r>
        <m:r>
          <m:t>0.05</m:t>
        </m:r>
      </m:oMath>
      <w:r>
        <w:t xml:space="preserve"> </w:t>
      </w:r>
      <w:r>
        <w:t xml:space="preserve">recent-experience memory adjustment (main §3).</w:t>
      </w:r>
      <w:r>
        <w:t xml:space="preserve"> </w:t>
      </w:r>
      <w:r>
        <w:t xml:space="preserve">3.</w:t>
      </w:r>
      <w:r>
        <w:t xml:space="preserve"> </w:t>
      </w:r>
      <w:r>
        <w:rPr>
          <w:b/>
          <w:bCs/>
        </w:rPr>
        <w:t xml:space="preserve">Travel and aggregation:</w:t>
      </w:r>
      <w:r>
        <w:t xml:space="preserve"> </w:t>
      </w:r>
      <w:r>
        <w:t xml:space="preserve">aggregators incur travel cost</w:t>
      </w:r>
      <w:r>
        <w:t xml:space="preserve"> </w:t>
      </w:r>
      <m:oMath>
        <m:sSub>
          <m:e>
            <m:r>
              <m:t>C</m:t>
            </m:r>
          </m:e>
          <m:sub>
            <m:r>
              <m:t>t</m:t>
            </m:r>
            <m:r>
              <m:t>r</m:t>
            </m:r>
            <m:r>
              <m:t>a</m:t>
            </m:r>
            <m:r>
              <m:t>v</m:t>
            </m:r>
            <m:r>
              <m:t>e</m:t>
            </m:r>
            <m:r>
              <m:t>l</m:t>
            </m:r>
          </m:sub>
        </m:sSub>
        <m:r>
          <m:rPr>
            <m:sty m:val="p"/>
          </m:rPr>
          <m:t>=</m:t>
        </m:r>
        <m:r>
          <m:t>0.0004</m:t>
        </m:r>
        <m:r>
          <m:t>d</m:t>
        </m:r>
      </m:oMath>
      <w:r>
        <w:t xml:space="preserve"> </w:t>
      </w:r>
      <w:r>
        <w:t xml:space="preserve">to the actual site location (capped at 30% of current resources), arrive at the site, and harvest ecotone resources.</w:t>
      </w:r>
      <w:r>
        <w:t xml:space="preserve"> </w:t>
      </w:r>
      <w:r>
        <w:t xml:space="preserve">4.</w:t>
      </w:r>
      <w:r>
        <w:t xml:space="preserve"> </w:t>
      </w:r>
      <w:r>
        <w:rPr>
          <w:b/>
          <w:bCs/>
        </w:rPr>
        <w:t xml:space="preserve">Monument investment:</w:t>
      </w:r>
      <w:r>
        <w:t xml:space="preserve"> </w:t>
      </w:r>
      <w:r>
        <w:t xml:space="preserve">attending bands with</w:t>
      </w:r>
      <w:r>
        <w:t xml:space="preserve"> </w:t>
      </w:r>
      <m:oMath>
        <m:sSub>
          <m:e>
            <m:r>
              <m:t>R</m:t>
            </m:r>
          </m:e>
          <m:sub>
            <m:r>
              <m:t>i</m:t>
            </m:r>
          </m:sub>
        </m:sSub>
        <m:r>
          <m:rPr>
            <m:sty m:val="p"/>
          </m:rPr>
          <m:t>&gt;</m:t>
        </m:r>
        <m:r>
          <m:t>0.3</m:t>
        </m:r>
      </m:oMath>
      <w:r>
        <w:t xml:space="preserve"> </w:t>
      </w:r>
      <w:r>
        <w:t xml:space="preserve">contribute at the signaling-equilibrium level</w:t>
      </w:r>
      <w:r>
        <w:t xml:space="preserve"> </w:t>
      </w:r>
      <m:oMath>
        <m:sSup>
          <m:e>
            <m:r>
              <m:t>x</m:t>
            </m:r>
          </m:e>
          <m:sup>
            <m:r>
              <m:rPr>
                <m:sty m:val="p"/>
              </m:rPr>
              <m:t>*</m:t>
            </m:r>
          </m:sup>
        </m:sSup>
        <m:r>
          <m:rPr>
            <m:sty m:val="p"/>
          </m:rPr>
          <m:t>(</m:t>
        </m:r>
        <m:sSub>
          <m:e>
            <m:r>
              <m:t>q</m:t>
            </m:r>
          </m:e>
          <m:sub>
            <m:r>
              <m:t>i</m:t>
            </m:r>
          </m:sub>
        </m:sSub>
        <m:r>
          <m:rPr>
            <m:sty m:val="p"/>
          </m:rPr>
          <m:t>)</m:t>
        </m:r>
        <m:r>
          <m:rPr>
            <m:sty m:val="p"/>
          </m:rPr>
          <m:t>=</m:t>
        </m:r>
        <m:rad>
          <m:radPr>
            <m:degHide m:val="on"/>
          </m:radPr>
          <m:deg/>
          <m:e>
            <m:r>
              <m:t>λ</m:t>
            </m:r>
            <m:r>
              <m:rPr>
                <m:sty m:val="p"/>
              </m:rPr>
              <m:t>(</m:t>
            </m:r>
            <m:sSubSup>
              <m:e>
                <m:r>
                  <m:t>q</m:t>
                </m:r>
              </m:e>
              <m:sub>
                <m:r>
                  <m:t>i</m:t>
                </m:r>
              </m:sub>
              <m:sup>
                <m:r>
                  <m:t>2</m:t>
                </m:r>
              </m:sup>
            </m:sSubSup>
            <m:r>
              <m:rPr>
                <m:sty m:val="p"/>
              </m:rPr>
              <m:t>−</m:t>
            </m:r>
            <m:sSubSup>
              <m:e>
                <m:r>
                  <m:t>q</m:t>
                </m:r>
              </m:e>
              <m:sub>
                <m:r>
                  <m:t>m</m:t>
                </m:r>
                <m:r>
                  <m:t>i</m:t>
                </m:r>
                <m:r>
                  <m:t>n</m:t>
                </m:r>
              </m:sub>
              <m:sup>
                <m:r>
                  <m:t>2</m:t>
                </m:r>
              </m:sup>
            </m:sSubSup>
            <m:r>
              <m:rPr>
                <m:sty m:val="p"/>
              </m:rPr>
              <m:t>)</m:t>
            </m:r>
          </m:e>
        </m:rad>
      </m:oMath>
      <w:r>
        <w:t xml:space="preserve">, multiplied by uniform noise on</w:t>
      </w:r>
      <w:r>
        <w:t xml:space="preserve"> </w:t>
      </w:r>
      <m:oMath>
        <m:r>
          <m:rPr>
            <m:sty m:val="p"/>
          </m:rPr>
          <m:t>[</m:t>
        </m:r>
        <m:r>
          <m:t>0.7</m:t>
        </m:r>
        <m:r>
          <m:rPr>
            <m:sty m:val="p"/>
          </m:rPr>
          <m:t>,</m:t>
        </m:r>
        <m:r>
          <m:t>1.3</m:t>
        </m:r>
        <m:r>
          <m:rPr>
            <m:sty m:val="p"/>
          </m:rPr>
          <m:t>]</m:t>
        </m:r>
      </m:oMath>
      <w:r>
        <w:t xml:space="preserve"> </w:t>
      </w:r>
      <w:r>
        <w:t xml:space="preserve">and capped at</w:t>
      </w:r>
      <w:r>
        <w:t xml:space="preserve"> </w:t>
      </w:r>
      <m:oMath>
        <m:sSub>
          <m:e>
            <m:r>
              <m:t>R</m:t>
            </m:r>
          </m:e>
          <m:sub>
            <m:r>
              <m:t>i</m:t>
            </m:r>
          </m:sub>
        </m:sSub>
        <m:r>
          <m:rPr>
            <m:sty m:val="p"/>
          </m:rPr>
          <m:t>×</m:t>
        </m:r>
        <m:sSub>
          <m:e>
            <m:r>
              <m:rPr>
                <m:nor/>
                <m:sty m:val="p"/>
              </m:rPr>
              <m:t>band_size</m:t>
            </m:r>
          </m:e>
          <m:sub>
            <m:r>
              <m:t>i</m:t>
            </m:r>
          </m:sub>
        </m:sSub>
        <m:r>
          <m:rPr>
            <m:sty m:val="p"/>
          </m:rPr>
          <m:t>×</m:t>
        </m:r>
        <m:r>
          <m:t>0.5</m:t>
        </m:r>
      </m:oMath>
      <w:r>
        <w:t xml:space="preserve">. Both individual prestige (</w:t>
      </w:r>
      <m:oMath>
        <m:r>
          <m:rPr>
            <m:sty m:val="p"/>
          </m:rPr>
          <m:t>+</m:t>
        </m:r>
        <m:r>
          <m:t>0.1</m:t>
        </m:r>
        <m:r>
          <m:rPr>
            <m:sty m:val="p"/>
          </m:rPr>
          <m:t>×</m:t>
        </m:r>
      </m:oMath>
      <w:r>
        <w:t xml:space="preserve"> </w:t>
      </w:r>
      <w:r>
        <w:t xml:space="preserve">investment) and site-level</w:t>
      </w:r>
      <w:r>
        <w:t xml:space="preserve"> </w:t>
      </w:r>
      <m:oMath>
        <m:sSub>
          <m:e>
            <m:r>
              <m:t>M</m:t>
            </m:r>
          </m:e>
          <m:sub>
            <m:r>
              <m:t>g</m:t>
            </m:r>
          </m:sub>
        </m:sSub>
      </m:oMath>
      <w:r>
        <w:t xml:space="preserve"> </w:t>
      </w:r>
      <w:r>
        <w:t xml:space="preserve">increment.</w:t>
      </w:r>
      <w:r>
        <w:t xml:space="preserve"> </w:t>
      </w:r>
      <w:r>
        <w:t xml:space="preserve">5.</w:t>
      </w:r>
      <w:r>
        <w:t xml:space="preserve"> </w:t>
      </w:r>
      <w:r>
        <w:rPr>
          <w:b/>
          <w:bCs/>
        </w:rPr>
        <w:t xml:space="preserve">Obligation formation (second pass, full cohort):</w:t>
      </w:r>
      <w:r>
        <w:t xml:space="preserve"> </w:t>
      </w:r>
      <w:r>
        <w:t xml:space="preserve">each attending band forms a new tie with probability</w:t>
      </w:r>
      <w:r>
        <w:t xml:space="preserve"> </w:t>
      </w:r>
      <m:oMath>
        <m:r>
          <m:t>0.20</m:t>
        </m:r>
        <m:r>
          <m:rPr>
            <m:sty m:val="p"/>
          </m:rPr>
          <m:t>+</m:t>
        </m:r>
        <m:r>
          <m:t>0.20</m:t>
        </m:r>
        <m:r>
          <m:t> </m:t>
        </m:r>
        <m:sSub>
          <m:e>
            <m:acc>
              <m:accPr>
                <m:chr m:val="̂"/>
              </m:accPr>
              <m:e>
                <m:r>
                  <m:t>d</m:t>
                </m:r>
              </m:e>
            </m:acc>
          </m:e>
          <m:sub>
            <m:r>
              <m:t>i</m:t>
            </m:r>
          </m:sub>
        </m:sSub>
      </m:oMath>
      <w:r>
        <w:t xml:space="preserve">, where</w:t>
      </w:r>
      <w:r>
        <w:t xml:space="preserve"> </w:t>
      </w:r>
      <m:oMath>
        <m:sSub>
          <m:e>
            <m:acc>
              <m:accPr>
                <m:chr m:val="̂"/>
              </m:accPr>
              <m:e>
                <m:r>
                  <m:t>d</m:t>
                </m:r>
              </m:e>
            </m:acc>
          </m:e>
          <m:sub>
            <m:r>
              <m:t>i</m:t>
            </m:r>
          </m:sub>
        </m:sSub>
      </m:oMath>
      <w:r>
        <w:t xml:space="preserve"> </w:t>
      </w:r>
      <w:r>
        <w:t xml:space="preserve">is its cohort-normalized display (§S1.6); the partner is drawn with weights</w:t>
      </w:r>
      <w:r>
        <w:t xml:space="preserve"> </w:t>
      </w:r>
      <m:oMath>
        <m:r>
          <m:t>0.5</m:t>
        </m:r>
        <m:r>
          <m:rPr>
            <m:sty m:val="p"/>
          </m:rPr>
          <m:t>+</m:t>
        </m:r>
        <m:sSub>
          <m:e>
            <m:acc>
              <m:accPr>
                <m:chr m:val="̂"/>
              </m:accPr>
              <m:e>
                <m:r>
                  <m:t>d</m:t>
                </m:r>
              </m:e>
            </m:acc>
          </m:e>
          <m:sub>
            <m:r>
              <m:t>j</m:t>
            </m:r>
          </m:sub>
        </m:sSub>
      </m:oMath>
      <w:r>
        <w:t xml:space="preserve">. Ties are reciprocal: both bands record the obligation.</w:t>
      </w:r>
      <w:r>
        <w:t xml:space="preserve"> </w:t>
      </w:r>
      <w:r>
        <w:t xml:space="preserve">6.</w:t>
      </w:r>
      <w:r>
        <w:t xml:space="preserve"> </w:t>
      </w:r>
      <w:r>
        <w:rPr>
          <w:b/>
          <w:bCs/>
        </w:rPr>
        <w:t xml:space="preserve">Exotic acquisition:</w:t>
      </w:r>
      <w:r>
        <w:t xml:space="preserve"> </w:t>
      </w:r>
      <w:r>
        <w:t xml:space="preserve">per-material acquisition probability follows the §S1.6 specification (</w:t>
      </w:r>
      <m:oMath>
        <m:sSub>
          <m:e>
            <m:r>
              <m:t>b</m:t>
            </m:r>
          </m:e>
          <m:sub>
            <m:r>
              <m:t>b</m:t>
            </m:r>
            <m:r>
              <m:t>a</m:t>
            </m:r>
            <m:r>
              <m:t>s</m:t>
            </m:r>
            <m:r>
              <m:t>e</m:t>
            </m:r>
          </m:sub>
        </m:sSub>
        <m:r>
          <m:rPr>
            <m:sty m:val="p"/>
          </m:rPr>
          <m:t>=</m:t>
        </m:r>
        <m:r>
          <m:t>0.25</m:t>
        </m:r>
        <m:r>
          <m:rPr>
            <m:sty m:val="p"/>
          </m:rPr>
          <m:t>(</m:t>
        </m:r>
        <m:r>
          <m:t>1</m:t>
        </m:r>
        <m:r>
          <m:rPr>
            <m:sty m:val="p"/>
          </m:rPr>
          <m:t>+</m:t>
        </m:r>
        <m:sSub>
          <m:e>
            <m:r>
              <m:t>q</m:t>
            </m:r>
          </m:e>
          <m:sub>
            <m:r>
              <m:t>i</m:t>
            </m:r>
          </m:sub>
        </m:sSub>
        <m:r>
          <m:rPr>
            <m:sty m:val="p"/>
          </m:rPr>
          <m:t>/</m:t>
        </m:r>
        <m:r>
          <m:rPr>
            <m:sty m:val="p"/>
          </m:rPr>
          <m:t>(</m:t>
        </m:r>
        <m:r>
          <m:t>1</m:t>
        </m:r>
        <m:r>
          <m:rPr>
            <m:sty m:val="p"/>
          </m:rPr>
          <m:t>+</m:t>
        </m:r>
        <m:sSub>
          <m:e>
            <m:r>
              <m:t>q</m:t>
            </m:r>
          </m:e>
          <m:sub>
            <m:r>
              <m:t>i</m:t>
            </m:r>
          </m:sub>
        </m:sSub>
        <m:r>
          <m:rPr>
            <m:sty m:val="p"/>
          </m:rPr>
          <m:t>)</m:t>
        </m:r>
        <m:r>
          <m:rPr>
            <m:sty m:val="p"/>
          </m:rPr>
          <m:t>)</m:t>
        </m:r>
      </m:oMath>
      <w:r>
        <w:t xml:space="preserve">, distance decay</w:t>
      </w:r>
      <w:r>
        <w:t xml:space="preserve"> </w:t>
      </w:r>
      <m:oMath>
        <m:sSup>
          <m:e>
            <m:r>
              <m:t>e</m:t>
            </m:r>
          </m:e>
          <m:sup>
            <m:r>
              <m:rPr>
                <m:sty m:val="p"/>
              </m:rPr>
              <m:t>−</m:t>
            </m:r>
            <m:r>
              <m:t>d</m:t>
            </m:r>
            <m:r>
              <m:rPr>
                <m:sty m:val="p"/>
              </m:rPr>
              <m:t>/</m:t>
            </m:r>
            <m:r>
              <m:t>500</m:t>
            </m:r>
          </m:sup>
        </m:sSup>
      </m:oMath>
      <w:r>
        <w:t xml:space="preserve">, value/cost ratio capped at 2.0, total capped at 0.5), with at most one material acquired per band per year.</w:t>
      </w:r>
      <w:r>
        <w:t xml:space="preserve"> </w:t>
      </w:r>
      <w:r>
        <w:t xml:space="preserve">7.</w:t>
      </w:r>
      <w:r>
        <w:t xml:space="preserve"> </w:t>
      </w:r>
      <w:r>
        <w:rPr>
          <w:b/>
          <w:bCs/>
        </w:rPr>
        <w:t xml:space="preserve">Shortfall impact:</w:t>
      </w:r>
      <w:r>
        <w:t xml:space="preserve"> </w:t>
      </w:r>
      <w:r>
        <w:t xml:space="preserve">in shortfall years, bands lose members at rate</w:t>
      </w:r>
      <w:r>
        <w:t xml:space="preserve"> </w:t>
      </w:r>
      <m:oMath>
        <m:r>
          <m:t>1</m:t>
        </m:r>
        <m:r>
          <m:rPr>
            <m:sty m:val="p"/>
          </m:rPr>
          <m:t>−</m:t>
        </m:r>
        <m:r>
          <m:rPr>
            <m:sty m:val="p"/>
          </m:rPr>
          <m:t>exp</m:t>
        </m:r>
        <m:r>
          <m:rPr>
            <m:sty m:val="p"/>
          </m:rPr>
          <m:t>(</m:t>
        </m:r>
        <m:r>
          <m:rPr>
            <m:sty m:val="p"/>
          </m:rPr>
          <m:t>−</m:t>
        </m:r>
        <m:r>
          <m:t>0.2</m:t>
        </m:r>
        <m:r>
          <m:t> </m:t>
        </m:r>
        <m:r>
          <m:t>α</m:t>
        </m:r>
        <m:r>
          <m:rPr>
            <m:sty m:val="p"/>
          </m:rPr>
          <m:t>(</m:t>
        </m:r>
        <m:sSub>
          <m:e>
            <m:r>
              <m:t>k</m:t>
            </m:r>
          </m:e>
          <m:sub>
            <m:r>
              <m:t>i</m:t>
            </m:r>
          </m:sub>
        </m:sSub>
        <m:r>
          <m:rPr>
            <m:sty m:val="p"/>
          </m:rPr>
          <m:t>)</m:t>
        </m:r>
        <m:r>
          <m:rPr>
            <m:sty m:val="p"/>
          </m:rPr>
          <m:t>×</m:t>
        </m:r>
        <m:r>
          <m:rPr>
            <m:nor/>
            <m:sty m:val="p"/>
          </m:rPr>
          <m:t>severity</m:t>
        </m:r>
        <m:r>
          <m:rPr>
            <m:sty m:val="p"/>
          </m:rPr>
          <m:t>)</m:t>
        </m:r>
      </m:oMath>
      <w:r>
        <w:t xml:space="preserve">, where</w:t>
      </w:r>
      <w:r>
        <w:t xml:space="preserve"> </w:t>
      </w:r>
      <m:oMath>
        <m:r>
          <m:t>α</m:t>
        </m:r>
        <m:r>
          <m:rPr>
            <m:sty m:val="p"/>
          </m:rPr>
          <m:t>(</m:t>
        </m:r>
        <m:sSub>
          <m:e>
            <m:r>
              <m:t>k</m:t>
            </m:r>
          </m:e>
          <m:sub>
            <m:r>
              <m:t>i</m:t>
            </m:r>
          </m:sub>
        </m:sSub>
        <m:r>
          <m:rPr>
            <m:sty m:val="p"/>
          </m:rPr>
          <m:t>)</m:t>
        </m:r>
      </m:oMath>
      <w:r>
        <w:t xml:space="preserve"> </w:t>
      </w:r>
      <w:r>
        <w:t xml:space="preserve">uses the band’s realized seasonal network degree (</w:t>
      </w:r>
      <m:oMath>
        <m:sSub>
          <m:e>
            <m:r>
              <m:t>k</m:t>
            </m:r>
          </m:e>
          <m:sub>
            <m:r>
              <m:t>i</m:t>
            </m:r>
          </m:sub>
        </m:sSub>
        <m:r>
          <m:rPr>
            <m:sty m:val="p"/>
          </m:rPr>
          <m:t>=</m:t>
        </m:r>
        <m:sSub>
          <m:e>
            <m:r>
              <m:t>k</m:t>
            </m:r>
          </m:e>
          <m:sub>
            <m:r>
              <m:t>0</m:t>
            </m:r>
          </m:sub>
        </m:sSub>
        <m:r>
          <m:rPr>
            <m:sty m:val="p"/>
          </m:rPr>
          <m:t>+</m:t>
        </m:r>
        <m:nary>
          <m:naryPr>
            <m:chr m:val="∑"/>
            <m:limLoc m:val="undOvr"/>
            <m:subHide m:val="off"/>
            <m:supHide m:val="on"/>
          </m:naryPr>
          <m:sub>
            <m:r>
              <m:t>j</m:t>
            </m:r>
          </m:sub>
          <m:sup>
            <m:r>
              <m:t>​</m:t>
            </m:r>
          </m:sup>
          <m:e>
            <m:sSub>
              <m:e>
                <m:r>
                  <m:t>O</m:t>
                </m:r>
              </m:e>
              <m:sub>
                <m:r>
                  <m:t>i</m:t>
                </m:r>
                <m:r>
                  <m:t>j</m:t>
                </m:r>
              </m:sub>
            </m:sSub>
          </m:e>
        </m:nary>
      </m:oMath>
      <w:r>
        <w:t xml:space="preserve">, capped at</w:t>
      </w:r>
      <w:r>
        <w:t xml:space="preserve"> </w:t>
      </w:r>
      <m:oMath>
        <m:sSub>
          <m:e>
            <m:r>
              <m:t>k</m:t>
            </m:r>
          </m:e>
          <m:sub>
            <m:r>
              <m:t>0</m:t>
            </m:r>
          </m:sub>
        </m:sSub>
        <m:r>
          <m:rPr>
            <m:sty m:val="p"/>
          </m:rPr>
          <m:t>+</m:t>
        </m:r>
        <m:sSub>
          <m:e>
            <m:r>
              <m:t>k</m:t>
            </m:r>
          </m:e>
          <m:sub>
            <m:r>
              <m:t>m</m:t>
            </m:r>
            <m:r>
              <m:t>a</m:t>
            </m:r>
            <m:r>
              <m:t>x</m:t>
            </m:r>
          </m:sub>
        </m:sSub>
      </m:oMath>
      <w:r>
        <w:t xml:space="preserve"> </w:t>
      </w:r>
      <w:r>
        <w:t xml:space="preserve">and seasonally averaged) for aggregators and</w:t>
      </w:r>
      <w:r>
        <w:t xml:space="preserve"> </w:t>
      </w:r>
      <m:oMath>
        <m:sSub>
          <m:e>
            <m:r>
              <m:t>k</m:t>
            </m:r>
          </m:e>
          <m:sub>
            <m:r>
              <m:t>0</m:t>
            </m:r>
          </m:sub>
        </m:sSub>
      </m:oMath>
      <w:r>
        <w:t xml:space="preserve"> </w:t>
      </w:r>
      <w:r>
        <w:t xml:space="preserve">for independents; the 0.2 scale calibrates an unbuffered band’s loss to ~9-10% per event-year at PP-scenario severity. Aggregators first call obligations in descending strength order (total need 0.15); help is a resource transfer debited from the called partner.</w:t>
      </w:r>
      <w:r>
        <w:t xml:space="preserve"> </w:t>
      </w:r>
      <w:r>
        <w:t xml:space="preserve">8.</w:t>
      </w:r>
      <w:r>
        <w:t xml:space="preserve"> </w:t>
      </w:r>
      <w:r>
        <w:rPr>
          <w:b/>
          <w:bCs/>
        </w:rPr>
        <w:t xml:space="preserve">Reproduction and demography:</w:t>
      </w:r>
      <w:r>
        <w:t xml:space="preserve"> </w:t>
      </w:r>
      <w:r>
        <w:t xml:space="preserve">births are Binomial(size,</w:t>
      </w:r>
      <w:r>
        <w:t xml:space="preserve"> </w:t>
      </w:r>
      <m:oMath>
        <m:r>
          <m:t>0.03</m:t>
        </m:r>
        <m:r>
          <m:rPr>
            <m:sty m:val="p"/>
          </m:rPr>
          <m:t>×</m:t>
        </m:r>
        <m:r>
          <m:rPr>
            <m:nor/>
            <m:sty m:val="p"/>
          </m:rPr>
          <m:t>fitness</m:t>
        </m:r>
        <m:r>
          <m:rPr>
            <m:sty m:val="p"/>
          </m:rPr>
          <m:t>×</m:t>
        </m:r>
        <m:r>
          <m:rPr>
            <m:sty m:val="p"/>
          </m:rPr>
          <m:t>(</m:t>
        </m:r>
        <m:r>
          <m:t>0.5</m:t>
        </m:r>
        <m:r>
          <m:rPr>
            <m:sty m:val="p"/>
          </m:rPr>
          <m:t>+</m:t>
        </m:r>
        <m:sSub>
          <m:e>
            <m:r>
              <m:t>R</m:t>
            </m:r>
          </m:e>
          <m:sub>
            <m:r>
              <m:t>i</m:t>
            </m:r>
          </m:sub>
        </m:sSub>
        <m:r>
          <m:rPr>
            <m:sty m:val="p"/>
          </m:rPr>
          <m:t>)</m:t>
        </m:r>
      </m:oMath>
      <w:r>
        <w:t xml:space="preserve">); deaths are Binomial(size,</w:t>
      </w:r>
      <w:r>
        <w:t xml:space="preserve"> </w:t>
      </w:r>
      <m:oMath>
        <m:r>
          <m:t>0.02</m:t>
        </m:r>
        <m:r>
          <m:rPr>
            <m:sty m:val="p"/>
          </m:rPr>
          <m:t>×</m:t>
        </m:r>
        <m:r>
          <m:rPr>
            <m:nor/>
            <m:sty m:val="p"/>
          </m:rPr>
          <m:t>clip</m:t>
        </m:r>
        <m:r>
          <m:rPr>
            <m:sty m:val="p"/>
          </m:rPr>
          <m:t>(</m:t>
        </m:r>
        <m:r>
          <m:t>2</m:t>
        </m:r>
        <m:r>
          <m:rPr>
            <m:sty m:val="p"/>
          </m:rPr>
          <m:t>−</m:t>
        </m:r>
        <m:r>
          <m:rPr>
            <m:nor/>
            <m:sty m:val="p"/>
          </m:rPr>
          <m:t>fitness</m:t>
        </m:r>
        <m:r>
          <m:rPr>
            <m:sty m:val="p"/>
          </m:rPr>
          <m:t>,</m:t>
        </m:r>
        <m:r>
          <m:t>0.5</m:t>
        </m:r>
        <m:r>
          <m:rPr>
            <m:sty m:val="p"/>
          </m:rPr>
          <m:t>,</m:t>
        </m:r>
        <m:r>
          <m:t>2</m:t>
        </m:r>
        <m:r>
          <m:rPr>
            <m:sty m:val="p"/>
          </m:rPr>
          <m:t>)</m:t>
        </m:r>
      </m:oMath>
      <w:r>
        <w:t xml:space="preserve">), so both are fitness-weighted. Resources above 1.0 decay by 5% (storage loss). The site’s signal stock depreciates once per year,</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r>
          <m:rPr>
            <m:sty m:val="p"/>
          </m:rPr>
          <m:t>(</m:t>
        </m:r>
        <m:r>
          <m:t>t</m:t>
        </m:r>
        <m:r>
          <m:rPr>
            <m:sty m:val="p"/>
          </m:rPr>
          <m:t>)</m:t>
        </m:r>
      </m:oMath>
      <w:r>
        <w:t xml:space="preserve"> </w:t>
      </w:r>
      <w:r>
        <w:t xml:space="preserve">(cumulative physical fill is tracked separately and does not depreciate). Bands above 30 members fission deterministically: a daughter band takes half the members and resources and inherits the parent’s monument-contribution history, prestige, and obligation network at half weight. Bands below 5 members dissolve.</w:t>
      </w:r>
    </w:p>
    <w:bookmarkEnd w:id="11"/>
    <w:bookmarkStart w:id="12" w:name="s1.4-design-concepts"/>
    <w:p>
      <w:pPr>
        <w:pStyle w:val="Heading3"/>
      </w:pPr>
      <w:r>
        <w:t xml:space="preserve">S1.4 Design concepts</w:t>
      </w:r>
    </w:p>
    <w:p>
      <w:pPr>
        <w:pStyle w:val="FirstParagraph"/>
      </w:pPr>
      <w:r>
        <w:rPr>
          <w:b/>
          <w:bCs/>
        </w:rPr>
        <w:t xml:space="preserve">Emergence.</w:t>
      </w:r>
      <w:r>
        <w:t xml:space="preserve"> </w:t>
      </w:r>
      <w:r>
        <w:t xml:space="preserve">Phase transitions in strategy frequency, monument accumulation, and network structure emerge from individual fitness comparisons. They are not built in.</w:t>
      </w:r>
    </w:p>
    <w:p>
      <w:pPr>
        <w:pStyle w:val="BodyText"/>
      </w:pPr>
      <w:r>
        <w:rPr>
          <w:b/>
          <w:bCs/>
        </w:rPr>
        <w:t xml:space="preserve">Adaptation.</w:t>
      </w:r>
      <w:r>
        <w:t xml:space="preserve"> </w:t>
      </w:r>
      <w:r>
        <w:t xml:space="preserve">Bands adapt by choosing the higher-fitness strategy, with switching frequency dampened to reflect ethnographic inertia in lifeway change.</w:t>
      </w:r>
    </w:p>
    <w:p>
      <w:pPr>
        <w:pStyle w:val="BodyText"/>
      </w:pPr>
      <w:r>
        <w:rPr>
          <w:b/>
          <w:bCs/>
        </w:rPr>
        <w:t xml:space="preserve">Sensing.</w:t>
      </w:r>
      <w:r>
        <w:t xml:space="preserve"> </w:t>
      </w:r>
      <w:r>
        <w:t xml:space="preserve">Bands sense local resource conditions, their own state, and (for aggregators) the visible monument stock and obligation network at the aggregation site.</w:t>
      </w:r>
    </w:p>
    <w:p>
      <w:pPr>
        <w:pStyle w:val="BodyText"/>
      </w:pPr>
      <w:r>
        <w:rPr>
          <w:b/>
          <w:bCs/>
        </w:rPr>
        <w:t xml:space="preserve">Stochasticity.</w:t>
      </w:r>
      <w:r>
        <w:t xml:space="preserve"> </w:t>
      </w:r>
      <w:r>
        <w:t xml:space="preserve">Shortfall years, productivity sampling, partner formation, and exotic acquisition all incorporate stochasticity, producing replicate-to-replicate variation.</w:t>
      </w:r>
    </w:p>
    <w:p>
      <w:pPr>
        <w:pStyle w:val="BodyText"/>
      </w:pPr>
      <w:r>
        <w:rPr>
          <w:b/>
          <w:bCs/>
        </w:rPr>
        <w:t xml:space="preserve">Observation.</w:t>
      </w:r>
      <w:r>
        <w:t xml:space="preserve"> </w:t>
      </w:r>
      <w:r>
        <w:t xml:space="preserve">At each year we record strategy frequencies, monument totals, exotic counts by source, network density, and population size.</w:t>
      </w:r>
    </w:p>
    <w:p>
      <w:pPr>
        <w:pStyle w:val="BodyText"/>
      </w:pPr>
      <m:oMath>
        <m:r>
          <m:t>σ</m:t>
        </m:r>
      </m:oMath>
      <w:r>
        <w:rPr>
          <w:b/>
          <w:bCs/>
        </w:rPr>
        <w:t xml:space="preserve"> </w:t>
      </w:r>
      <w:r>
        <w:rPr>
          <w:b/>
          <w:bCs/>
        </w:rPr>
        <w:t xml:space="preserve">versus</w:t>
      </w:r>
      <w:r>
        <w:rPr>
          <w:b/>
          <w:bCs/>
        </w:rPr>
        <w:t xml:space="preserve"> </w:t>
      </w:r>
      <m:oMath>
        <m:sSub>
          <m:e>
            <m:r>
              <m:t>σ</m:t>
            </m:r>
          </m:e>
          <m:sub>
            <m:r>
              <m:t>e</m:t>
            </m:r>
            <m:r>
              <m:t>f</m:t>
            </m:r>
            <m:r>
              <m:t>f</m:t>
            </m:r>
          </m:sub>
        </m:sSub>
      </m:oMath>
      <w:r>
        <w:rPr>
          <w:b/>
          <w:bCs/>
        </w:rPr>
        <w:t xml:space="preserve"> </w:t>
      </w:r>
      <w:r>
        <w:rPr>
          <w:b/>
          <w:bCs/>
        </w:rPr>
        <w:t xml:space="preserve">naming convention.</w:t>
      </w:r>
      <w:r>
        <w:t xml:space="preserve"> </w:t>
      </w:r>
      <w:r>
        <w:t xml:space="preserve">Three closely related quantities appear throughout this article and the code, and we are explicit about each here because the convention is otherwise easy to confuse. (1)</w:t>
      </w:r>
      <w:r>
        <w:t xml:space="preserve"> </w:t>
      </w:r>
      <m:oMath>
        <m:r>
          <m:t>σ</m:t>
        </m:r>
      </m:oMath>
      <w:r>
        <w:t xml:space="preserve"> </w:t>
      </w:r>
      <w:r>
        <w:t xml:space="preserve">is the regional composite uncertainty, defined below as</w:t>
      </w:r>
      <w:r>
        <w:t xml:space="preserve"> </w:t>
      </w:r>
      <m:oMath>
        <m:r>
          <m:t>m</m:t>
        </m:r>
        <m:r>
          <m:rPr>
            <m:sty m:val="p"/>
          </m:rPr>
          <m:t>⋅</m:t>
        </m:r>
        <m:rad>
          <m:radPr>
            <m:degHide m:val="on"/>
          </m:radPr>
          <m:deg/>
          <m:e>
            <m:r>
              <m:t>20</m:t>
            </m:r>
            <m:r>
              <m:rPr>
                <m:sty m:val="p"/>
              </m:rPr>
              <m:t>/</m:t>
            </m:r>
            <m:r>
              <m:t>T</m:t>
            </m:r>
          </m:e>
        </m:rad>
      </m:oMath>
      <w:r>
        <w:t xml:space="preserve">. It is the quantity that depends only on shortfall recurrence and magnitude, not on site geography. (2)</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w:t>
      </w:r>
      <w:r>
        <w:t xml:space="preserve">is the analytical</w:t>
      </w:r>
      <w:r>
        <w:t xml:space="preserve"> </w:t>
      </w:r>
      <w:r>
        <w:rPr>
          <w:i/>
          <w:iCs/>
        </w:rPr>
        <w:t xml:space="preserve">effective</w:t>
      </w:r>
      <w:r>
        <w:t xml:space="preserve"> </w:t>
      </w:r>
      <w:r>
        <w:t xml:space="preserve">uncertainty experienced by aggregator bands at a high-</w:t>
      </w:r>
      <m:oMath>
        <m:r>
          <m:t>ε</m:t>
        </m:r>
      </m:oMath>
      <w:r>
        <w:t xml:space="preserve"> </w:t>
      </w:r>
      <w:r>
        <w:t xml:space="preserve">gathering site. It is what enters the survival term in</w:t>
      </w:r>
      <w:r>
        <w:t xml:space="preserve"> </w:t>
      </w:r>
      <w:r>
        <w:rPr>
          <w:rStyle w:val="VerbatimChar"/>
        </w:rPr>
        <w:t xml:space="preserve">aggregation_expected_fitness</w:t>
      </w:r>
      <w:r>
        <w:t xml:space="preserve"> </w:t>
      </w:r>
      <w:r>
        <w:t xml:space="preserve">(signaling_core.py) and the analytical threshold-proximity computation. (3) The sweep variable in the §4.3 ablation and §S7.1 tables, labeled either</w:t>
      </w:r>
      <w:r>
        <w:t xml:space="preserve"> </w:t>
      </w:r>
      <w:r>
        <w:t xml:space="preserve">“</w:t>
      </w:r>
      <m:oMath>
        <m:sSub>
          <m:e>
            <m:r>
              <m:t>σ</m:t>
            </m:r>
          </m:e>
          <m:sub>
            <m:r>
              <m:t>e</m:t>
            </m:r>
            <m:r>
              <m:t>f</m:t>
            </m:r>
            <m:r>
              <m:t>f</m:t>
            </m:r>
          </m:sub>
        </m:sSub>
      </m:oMath>
      <w:r>
        <w:t xml:space="preserve"> </w:t>
      </w:r>
      <w:r>
        <w:t xml:space="preserve">target”</w:t>
      </w:r>
      <w:r>
        <w:t xml:space="preserve"> </w:t>
      </w:r>
      <w:r>
        <w:t xml:space="preserve">or</w:t>
      </w:r>
      <w:r>
        <w:t xml:space="preserve"> </w:t>
      </w:r>
      <w:r>
        <w:t xml:space="preserve">“realized</w:t>
      </w:r>
      <w:r>
        <w:t xml:space="preserve"> </w:t>
      </w:r>
      <m:oMath>
        <m:sSub>
          <m:e>
            <m:r>
              <m:t>σ</m:t>
            </m:r>
          </m:e>
          <m:sub>
            <m:r>
              <m:t>e</m:t>
            </m:r>
            <m:r>
              <m:t>f</m:t>
            </m:r>
            <m:r>
              <m:t>f</m:t>
            </m:r>
          </m:sub>
        </m:sSub>
      </m:oMath>
      <w:r>
        <w:t xml:space="preserve">”</w:t>
      </w:r>
      <w:r>
        <w:t xml:space="preserve"> </w:t>
      </w:r>
      <w:r>
        <w:t xml:space="preserve">depending on context, is on the same numerical scale as</w:t>
      </w:r>
      <w:r>
        <w:t xml:space="preserve"> </w:t>
      </w:r>
      <m:oMath>
        <m:r>
          <m:t>σ</m:t>
        </m:r>
      </m:oMath>
      <w:r>
        <w:t xml:space="preserve"> </w:t>
      </w:r>
      <w:r>
        <w:t xml:space="preserve">rather than</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the script</w:t>
      </w:r>
      <w:r>
        <w:t xml:space="preserve"> </w:t>
      </w:r>
      <w:r>
        <w:rPr>
          <w:rStyle w:val="VerbatimChar"/>
        </w:rPr>
        <w:t xml:space="preserve">signal_conditional_ablation_sweep.py</w:t>
      </w:r>
      <w:r>
        <w:t xml:space="preserve"> </w:t>
      </w:r>
      <w:r>
        <w:t xml:space="preserve">inverts the relation</w:t>
      </w:r>
      <w:r>
        <w:t xml:space="preserve"> </w:t>
      </w:r>
      <m:oMath>
        <m:sSub>
          <m:e>
            <m:r>
              <m:t>σ</m:t>
            </m:r>
          </m:e>
          <m:sub>
            <m:r>
              <m:t>e</m:t>
            </m:r>
            <m:r>
              <m:t>f</m:t>
            </m:r>
            <m:r>
              <m:t>f</m:t>
            </m:r>
            <m:r>
              <m:rPr>
                <m:sty m:val="p"/>
              </m:rPr>
              <m:t>,</m:t>
            </m:r>
            <m:r>
              <m:rPr>
                <m:nor/>
                <m:sty m:val="p"/>
              </m:rPr>
              <m:t>target</m:t>
            </m:r>
          </m:sub>
        </m:sSub>
        <m:r>
          <m:rPr>
            <m:sty m:val="p"/>
          </m:rPr>
          <m:t>=</m:t>
        </m:r>
        <m:r>
          <m:t>m</m:t>
        </m:r>
        <m:rad>
          <m:radPr>
            <m:degHide m:val="on"/>
          </m:radPr>
          <m:deg/>
          <m:e>
            <m:r>
              <m:t>20</m:t>
            </m:r>
            <m:r>
              <m:rPr>
                <m:sty m:val="p"/>
              </m:rPr>
              <m:t>/</m:t>
            </m:r>
            <m:r>
              <m:t>T</m:t>
            </m:r>
          </m:e>
        </m:rad>
        <m:r>
          <m:rPr>
            <m:sty m:val="p"/>
          </m:rPr>
          <m:t>(</m:t>
        </m:r>
        <m:r>
          <m:t>1</m:t>
        </m:r>
        <m:r>
          <m:rPr>
            <m:sty m:val="p"/>
          </m:rPr>
          <m:t>−</m:t>
        </m:r>
        <m:r>
          <m:t>ε</m:t>
        </m:r>
        <m:r>
          <m:rPr>
            <m:sty m:val="p"/>
          </m:rPr>
          <m:t>)</m:t>
        </m:r>
      </m:oMath>
      <w:r>
        <w:t xml:space="preserve"> </w:t>
      </w:r>
      <w:r>
        <w:t xml:space="preserve">for the recurrence</w:t>
      </w:r>
      <w:r>
        <w:t xml:space="preserve"> </w:t>
      </w:r>
      <m:oMath>
        <m:r>
          <m:t>T</m:t>
        </m:r>
      </m:oMath>
      <w:r>
        <w:t xml:space="preserve"> </w:t>
      </w:r>
      <w:r>
        <w:t xml:space="preserve">that achieves the target, runs the simulation at that</w:t>
      </w:r>
      <w:r>
        <w:t xml:space="preserve"> </w:t>
      </w:r>
      <m:oMath>
        <m:r>
          <m:t>T</m:t>
        </m:r>
      </m:oMath>
      <w:r>
        <w:t xml:space="preserve">, and reports</w:t>
      </w:r>
      <w:r>
        <w:t xml:space="preserve"> </w:t>
      </w:r>
      <w:r>
        <w:rPr>
          <w:rStyle w:val="VerbatimChar"/>
        </w:rPr>
        <w:t xml:space="preserve">mean_effective_sigma</w:t>
      </w:r>
      <w:r>
        <w:t xml:space="preserve"> </w:t>
      </w:r>
      <w:r>
        <w:t xml:space="preserve">from</w:t>
      </w:r>
      <w:r>
        <w:t xml:space="preserve"> </w:t>
      </w:r>
      <w:r>
        <w:rPr>
          <w:rStyle w:val="VerbatimChar"/>
        </w:rPr>
        <w:t xml:space="preserve">IntegratedSimulation._calculate_effective_sigma</w:t>
      </w:r>
      <w:r>
        <w:t xml:space="preserve">, which returns the raw</w:t>
      </w:r>
      <w:r>
        <w:t xml:space="preserve"> </w:t>
      </w:r>
      <m:oMath>
        <m:r>
          <m:t>σ</m:t>
        </m:r>
      </m:oMath>
      <w:r>
        <w:t xml:space="preserve"> </w:t>
      </w:r>
      <w:r>
        <w:t xml:space="preserve">(with a small CV adjustment) rather than</w:t>
      </w:r>
      <w:r>
        <w:t xml:space="preserve"> </w:t>
      </w:r>
      <m:oMath>
        <m:r>
          <m:t>σ</m:t>
        </m:r>
        <m:r>
          <m:rPr>
            <m:sty m:val="p"/>
          </m:rPr>
          <m:t>(</m:t>
        </m:r>
        <m:r>
          <m:t>1</m:t>
        </m:r>
        <m:r>
          <m:rPr>
            <m:sty m:val="p"/>
          </m:rPr>
          <m:t>−</m:t>
        </m:r>
        <m:r>
          <m:t>ε</m:t>
        </m:r>
        <m:r>
          <m:rPr>
            <m:sty m:val="p"/>
          </m:rPr>
          <m:t>)</m:t>
        </m:r>
      </m:oMath>
      <w:r>
        <w:t xml:space="preserve">. The discount</w:t>
      </w:r>
      <w:r>
        <w:t xml:space="preserve"> </w:t>
      </w:r>
      <m:oMath>
        <m:r>
          <m:rPr>
            <m:sty m:val="p"/>
          </m:rPr>
          <m:t>(</m:t>
        </m:r>
        <m:r>
          <m:t>1</m:t>
        </m:r>
        <m:r>
          <m:rPr>
            <m:sty m:val="p"/>
          </m:rPr>
          <m:t>−</m:t>
        </m:r>
        <m:r>
          <m:t>ε</m:t>
        </m:r>
        <m:r>
          <m:rPr>
            <m:sty m:val="p"/>
          </m:rPr>
          <m:t>)</m:t>
        </m:r>
      </m:oMath>
      <w:r>
        <w:t xml:space="preserve"> </w:t>
      </w:r>
      <w:r>
        <w:t xml:space="preserve">is then applied inside the analytical fitness call. The §S7.1 table labels and Figure 7 x-axis therefore report a quantity that is on the raw-</w:t>
      </w:r>
      <m:oMath>
        <m:r>
          <m:t>σ</m:t>
        </m:r>
      </m:oMath>
      <w:r>
        <w:t xml:space="preserve"> </w:t>
      </w:r>
      <w:r>
        <w:t xml:space="preserve">scale even though they use the</w:t>
      </w:r>
      <w:r>
        <w:t xml:space="preserve"> </w:t>
      </w:r>
      <w:r>
        <w:t xml:space="preserve">“</w:t>
      </w:r>
      <m:oMath>
        <m:sSub>
          <m:e>
            <m:r>
              <m:t>σ</m:t>
            </m:r>
          </m:e>
          <m:sub>
            <m:r>
              <m:t>e</m:t>
            </m:r>
            <m:r>
              <m:t>f</m:t>
            </m:r>
            <m:r>
              <m:t>f</m:t>
            </m:r>
          </m:sub>
        </m:sSub>
      </m:oMath>
      <w:r>
        <w:t xml:space="preserve">”</w:t>
      </w:r>
      <w:r>
        <w:t xml:space="preserve"> </w:t>
      </w:r>
      <w:r>
        <w:t xml:space="preserve">label. The analytical threshold</w:t>
      </w:r>
      <w:r>
        <w:t xml:space="preserve"> </w:t>
      </w:r>
      <m:oMath>
        <m:sSup>
          <m:e>
            <m:r>
              <m:t>σ</m:t>
            </m:r>
          </m:e>
          <m:sup>
            <m:r>
              <m:rPr>
                <m:sty m:val="p"/>
              </m:rPr>
              <m:t>*</m:t>
            </m:r>
          </m:sup>
        </m:sSup>
        <m:r>
          <m:rPr>
            <m:sty m:val="p"/>
          </m:rPr>
          <m:t>=</m:t>
        </m:r>
        <m:r>
          <m:t>0.40</m:t>
        </m:r>
      </m:oMath>
      <w:r>
        <w:t xml:space="preserve"> </w:t>
      </w:r>
      <w:r>
        <w:t xml:space="preserve">for</w:t>
      </w:r>
      <w:r>
        <w:t xml:space="preserve"> </w:t>
      </w:r>
      <m:oMath>
        <m:r>
          <m:t>ε</m:t>
        </m:r>
        <m:r>
          <m:rPr>
            <m:sty m:val="p"/>
          </m:rPr>
          <m:t>=</m:t>
        </m:r>
        <m:r>
          <m:t>0.35</m:t>
        </m:r>
      </m:oMath>
      <w:r>
        <w:t xml:space="preserve"> </w:t>
      </w:r>
      <w:r>
        <w:t xml:space="preserve">is also on the raw-</w:t>
      </w:r>
      <m:oMath>
        <m:r>
          <m:t>σ</m:t>
        </m:r>
      </m:oMath>
      <w:r>
        <w:t xml:space="preserve"> </w:t>
      </w:r>
      <w:r>
        <w:t xml:space="preserve">scale (because</w:t>
      </w:r>
      <w:r>
        <w:t xml:space="preserve"> </w:t>
      </w:r>
      <w:r>
        <w:rPr>
          <w:rStyle w:val="VerbatimChar"/>
        </w:rPr>
        <w:t xml:space="preserve">critical_threshold(epsilon=0.35)</w:t>
      </w:r>
      <w:r>
        <w:t xml:space="preserve"> </w:t>
      </w:r>
      <w:r>
        <w:t xml:space="preserve">returns the analytical</w:t>
      </w:r>
      <w:r>
        <w:t xml:space="preserve"> </w:t>
      </w:r>
      <m:oMath>
        <m:sSup>
          <m:e>
            <m:r>
              <m:t>σ</m:t>
            </m:r>
          </m:e>
          <m:sup>
            <m:r>
              <m:rPr>
                <m:sty m:val="p"/>
              </m:rPr>
              <m:t>*</m:t>
            </m:r>
          </m:sup>
        </m:sSup>
      </m:oMath>
      <w:r>
        <w:t xml:space="preserve"> </w:t>
      </w:r>
      <w:r>
        <w:t xml:space="preserve">at which the survival differential vanishes, evaluated against raw</w:t>
      </w:r>
      <w:r>
        <w:t xml:space="preserve"> </w:t>
      </w:r>
      <m:oMath>
        <m:r>
          <m:t>σ</m:t>
        </m:r>
      </m:oMath>
      <w:r>
        <w:t xml:space="preserve"> </w:t>
      </w:r>
      <w:r>
        <w:t xml:space="preserve">entering the discount). Within the §S7.1 / Figure 7 analysis, the convention is therefore internally consistent: the sweep variable, the threshold, and the realized values are all on the raw-</w:t>
      </w:r>
      <m:oMath>
        <m:r>
          <m:t>σ</m:t>
        </m:r>
      </m:oMath>
      <w:r>
        <w:t xml:space="preserve"> </w:t>
      </w:r>
      <w:r>
        <w:t xml:space="preserve">scale, and the label</w:t>
      </w:r>
      <w:r>
        <w:t xml:space="preserve"> </w:t>
      </w:r>
      <w:r>
        <w:t xml:space="preserve">“</w:t>
      </w:r>
      <m:oMath>
        <m:sSub>
          <m:e>
            <m:r>
              <m:t>σ</m:t>
            </m:r>
          </m:e>
          <m:sub>
            <m:r>
              <m:t>e</m:t>
            </m:r>
            <m:r>
              <m:t>f</m:t>
            </m:r>
            <m:r>
              <m:t>f</m:t>
            </m:r>
          </m:sub>
        </m:sSub>
      </m:oMath>
      <w:r>
        <w:t xml:space="preserve">”</w:t>
      </w:r>
      <w:r>
        <w:t xml:space="preserve"> </w:t>
      </w:r>
      <w:r>
        <w:t xml:space="preserve">is shorthand for</w:t>
      </w:r>
      <w:r>
        <w:t xml:space="preserve"> </w:t>
      </w:r>
      <w:r>
        <w:t xml:space="preserve">“the raw-</w:t>
      </w:r>
      <m:oMath>
        <m:r>
          <m:t>σ</m:t>
        </m:r>
      </m:oMath>
      <w:r>
        <w:t xml:space="preserve"> </w:t>
      </w:r>
      <w:r>
        <w:t xml:space="preserve">value at which the discount-adjusted survival term would correspond to ecotone advantage</w:t>
      </w:r>
      <w:r>
        <w:t xml:space="preserve"> </w:t>
      </w:r>
      <m:oMath>
        <m:r>
          <m:t>ε</m:t>
        </m:r>
        <m:r>
          <m:rPr>
            <m:sty m:val="p"/>
          </m:rPr>
          <m:t>=</m:t>
        </m:r>
        <m:r>
          <m:t>0.35</m:t>
        </m:r>
      </m:oMath>
      <w:r>
        <w:t xml:space="preserve">.”</w:t>
      </w:r>
      <w:r>
        <w:t xml:space="preserve"> </w:t>
      </w:r>
      <w:r>
        <w:t xml:space="preserve">Outside of §S7.1 / Figure 7, when we write</w:t>
      </w:r>
      <w:r>
        <w:t xml:space="preserve"> </w:t>
      </w:r>
      <m:oMath>
        <m:sSub>
          <m:e>
            <m:r>
              <m:t>σ</m:t>
            </m:r>
          </m:e>
          <m:sub>
            <m:r>
              <m:t>e</m:t>
            </m:r>
            <m:r>
              <m:t>f</m:t>
            </m:r>
            <m:r>
              <m:t>f</m:t>
            </m:r>
          </m:sub>
        </m:sSub>
      </m:oMath>
      <w:r>
        <w:t xml:space="preserve"> </w:t>
      </w:r>
      <w:r>
        <w:t xml:space="preserve">in the main text we mean the analytical</w:t>
      </w:r>
      <w:r>
        <w:t xml:space="preserve"> </w:t>
      </w:r>
      <m:oMath>
        <m:r>
          <m:t>σ</m:t>
        </m:r>
        <m:r>
          <m:rPr>
            <m:sty m:val="p"/>
          </m:rPr>
          <m:t>(</m:t>
        </m:r>
        <m:r>
          <m:t>1</m:t>
        </m:r>
        <m:r>
          <m:rPr>
            <m:sty m:val="p"/>
          </m:rPr>
          <m:t>−</m:t>
        </m:r>
        <m:r>
          <m:t>ε</m:t>
        </m:r>
        <m:r>
          <m:rPr>
            <m:sty m:val="p"/>
          </m:rPr>
          <m:t>)</m:t>
        </m:r>
      </m:oMath>
      <w:r>
        <w:t xml:space="preserve"> </w:t>
      </w:r>
      <w:r>
        <w:t xml:space="preserve">quantity proper. The contexts are clearly separated by which table or figure is being referenced.</w:t>
      </w:r>
    </w:p>
    <w:p>
      <w:pPr>
        <w:pStyle w:val="BodyText"/>
      </w:pPr>
      <w:r>
        <w:rPr>
          <w:b/>
          <w:bCs/>
        </w:rPr>
        <w:t xml:space="preserve">Composite uncertainty derivation.</w:t>
      </w:r>
      <w:r>
        <w:t xml:space="preserve"> </w:t>
      </w:r>
      <w:r>
        <w:t xml:space="preserve">In plain terms:</w:t>
      </w:r>
      <w:r>
        <w:t xml:space="preserve"> </w:t>
      </w:r>
      <m:oMath>
        <m:r>
          <m:t>σ</m:t>
        </m:r>
      </m:oMath>
      <w:r>
        <w:t xml:space="preserve"> </w:t>
      </w:r>
      <w:r>
        <w:t xml:space="preserve">summarizes how much annual productivity bounces around year to year, combining how often shortfalls occur (mean recurrence</w:t>
      </w:r>
      <w:r>
        <w:t xml:space="preserve"> </w:t>
      </w:r>
      <m:oMath>
        <m:r>
          <m:t>T</m:t>
        </m:r>
      </m:oMath>
      <w:r>
        <w:t xml:space="preserve">) with how severe each one is (magnitude</w:t>
      </w:r>
      <w:r>
        <w:t xml:space="preserve"> </w:t>
      </w:r>
      <m:oMath>
        <m:r>
          <m:t>m</m:t>
        </m:r>
      </m:oMath>
      <w:r>
        <w:t xml:space="preserve">). The derivation: shortfalls arrive at random with mean spacing</w:t>
      </w:r>
      <w:r>
        <w:t xml:space="preserve"> </w:t>
      </w:r>
      <m:oMath>
        <m:r>
          <m:t>T</m:t>
        </m:r>
      </m:oMath>
      <w:r>
        <w:t xml:space="preserve"> </w:t>
      </w:r>
      <w:r>
        <w:t xml:space="preserve">years (a Poisson process with rate</w:t>
      </w:r>
      <w:r>
        <w:t xml:space="preserve"> </w:t>
      </w:r>
      <m:oMath>
        <m:sSub>
          <m:e>
            <m:r>
              <m:t>λ</m:t>
            </m:r>
          </m:e>
          <m:sub>
            <m:r>
              <m:t>s</m:t>
            </m:r>
          </m:sub>
        </m:sSub>
        <m:r>
          <m:rPr>
            <m:sty m:val="p"/>
          </m:rPr>
          <m:t>=</m:t>
        </m:r>
        <m:r>
          <m:t>1</m:t>
        </m:r>
        <m:r>
          <m:rPr>
            <m:sty m:val="p"/>
          </m:rPr>
          <m:t>/</m:t>
        </m:r>
        <m:r>
          <m:t>T</m:t>
        </m:r>
      </m:oMath>
      <w:r>
        <w:t xml:space="preserve">), and each shortfall reduces annual productivity by a multiplicative factor</w:t>
      </w:r>
      <w:r>
        <w:t xml:space="preserve"> </w:t>
      </w:r>
      <m:oMath>
        <m:r>
          <m:t>m</m:t>
        </m:r>
        <m:r>
          <m:rPr>
            <m:sty m:val="p"/>
          </m:rPr>
          <m:t>∈</m:t>
        </m:r>
        <m:r>
          <m:rPr>
            <m:sty m:val="p"/>
          </m:rPr>
          <m:t>(</m:t>
        </m:r>
        <m:r>
          <m:t>0</m:t>
        </m:r>
        <m:r>
          <m:rPr>
            <m:sty m:val="p"/>
          </m:rPr>
          <m:t>,</m:t>
        </m:r>
        <m:r>
          <m:t>1</m:t>
        </m:r>
        <m:r>
          <m:rPr>
            <m:sty m:val="p"/>
          </m:rPr>
          <m:t>)</m:t>
        </m:r>
      </m:oMath>
      <w:r>
        <w:t xml:space="preserve"> </w:t>
      </w:r>
      <w:r>
        <w:t xml:space="preserve">(so a</w:t>
      </w:r>
      <w:r>
        <w:t xml:space="preserve"> </w:t>
      </w:r>
      <w:r>
        <w:t xml:space="preserve">“magnitude 0.45”</w:t>
      </w:r>
      <w:r>
        <w:t xml:space="preserve"> </w:t>
      </w:r>
      <w:r>
        <w:t xml:space="preserve">shortfall produces 55% of normal productivity in that year). The expected number of shortfalls in any year is</w:t>
      </w:r>
      <w:r>
        <w:t xml:space="preserve"> </w:t>
      </w:r>
      <m:oMath>
        <m:r>
          <m:t>1</m:t>
        </m:r>
        <m:r>
          <m:rPr>
            <m:sty m:val="p"/>
          </m:rPr>
          <m:t>/</m:t>
        </m:r>
        <m:r>
          <m:t>T</m:t>
        </m:r>
      </m:oMath>
      <w:r>
        <w:t xml:space="preserve">, and the variance of annual productivity loss across many years is</w:t>
      </w:r>
      <w: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t xml:space="preserve"> </w:t>
      </w:r>
      <w:r>
        <w:t xml:space="preserve">(to leading order, treating shortfalls as independent annual events). The standard deviation of annual loss is therefore</w:t>
      </w:r>
      <w:r>
        <w:t xml:space="preserve"> </w:t>
      </w:r>
      <m:oMath>
        <m:sSub>
          <m:e>
            <m:r>
              <m:t>σ</m:t>
            </m:r>
          </m:e>
          <m:sub>
            <m:r>
              <m:rPr>
                <m:nor/>
                <m:sty m:val="p"/>
              </m:rPr>
              <m:t>annual</m:t>
            </m:r>
          </m:sub>
        </m:sSub>
        <m:r>
          <m:rPr>
            <m:sty m:val="p"/>
          </m:rPr>
          <m:t>=</m:t>
        </m:r>
        <m:r>
          <m:t>m</m:t>
        </m:r>
        <m:r>
          <m:rPr>
            <m:sty m:val="p"/>
          </m:rPr>
          <m:t>/</m:t>
        </m:r>
        <m:rad>
          <m:radPr>
            <m:degHide m:val="on"/>
          </m:radPr>
          <m:deg/>
          <m:e>
            <m:r>
              <m:t>T</m:t>
            </m:r>
          </m:e>
        </m:rad>
      </m:oMath>
      <w:r>
        <w:t xml:space="preserve">.</w:t>
      </w:r>
    </w:p>
    <w:p>
      <w:pPr>
        <w:pStyle w:val="BodyText"/>
      </w:pPr>
      <w:r>
        <w:t xml:space="preserve">For interpretive convenience we work in units anchored at a 20-year reference recurrence:</w:t>
      </w:r>
      <w: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t xml:space="preserve">. This rescaling makes</w:t>
      </w:r>
      <w:r>
        <w:t xml:space="preserve"> </w:t>
      </w:r>
      <m:oMath>
        <m:r>
          <m:t>σ</m:t>
        </m:r>
      </m:oMath>
      <w:r>
        <w:t xml:space="preserve"> </w:t>
      </w:r>
      <w:r>
        <w:t xml:space="preserve">equal to</w:t>
      </w:r>
      <w:r>
        <w:t xml:space="preserve"> </w:t>
      </w:r>
      <m:oMath>
        <m:r>
          <m:t>m</m:t>
        </m:r>
      </m:oMath>
      <w:r>
        <w:t xml:space="preserve"> </w:t>
      </w:r>
      <w:r>
        <w:t xml:space="preserve">when</w:t>
      </w:r>
      <w:r>
        <w:t xml:space="preserve"> </w:t>
      </w:r>
      <m:oMath>
        <m:r>
          <m:t>T</m:t>
        </m:r>
        <m:r>
          <m:rPr>
            <m:sty m:val="p"/>
          </m:rPr>
          <m:t>=</m:t>
        </m:r>
        <m:r>
          <m:t>20</m:t>
        </m:r>
      </m:oMath>
      <w:r>
        <w:t xml:space="preserve"> </w:t>
      </w:r>
      <w:r>
        <w:t xml:space="preserve">years (a typical Late Archaic shortfall interval inferred from paleotempestology and drought reconstructions), so that a magnitude-0.45 shortfall recurring every 20 years produces</w:t>
      </w:r>
      <w:r>
        <w:t xml:space="preserve"> </w:t>
      </w:r>
      <m:oMath>
        <m:r>
          <m:t>σ</m:t>
        </m:r>
        <m:r>
          <m:rPr>
            <m:sty m:val="p"/>
          </m:rPr>
          <m:t>=</m:t>
        </m:r>
        <m:r>
          <m:t>0.45</m:t>
        </m:r>
      </m:oMath>
      <w:r>
        <w:t xml:space="preserve">. The choice of 20 years as the reference is a convention. It does not affect the</w:t>
      </w:r>
      <w:r>
        <w:t xml:space="preserve"> </w:t>
      </w:r>
      <w:r>
        <w:rPr>
          <w:i/>
          <w:iCs/>
        </w:rPr>
        <w:t xml:space="preserve">ratio</w:t>
      </w:r>
      <w:r>
        <w:t xml:space="preserve"> </w:t>
      </w:r>
      <w:r>
        <w:t xml:space="preserve">of</w:t>
      </w:r>
      <w:r>
        <w:t xml:space="preserve"> </w:t>
      </w:r>
      <m:oMath>
        <m:r>
          <m:t>σ</m:t>
        </m:r>
      </m:oMath>
      <w:r>
        <w:t xml:space="preserve"> </w:t>
      </w:r>
      <w:r>
        <w:t xml:space="preserve">values across cases or the location of the critical threshold</w:t>
      </w:r>
      <w:r>
        <w:t xml:space="preserve"> </w:t>
      </w:r>
      <m:oMath>
        <m:sSup>
          <m:e>
            <m:r>
              <m:t>σ</m:t>
            </m:r>
          </m:e>
          <m:sup>
            <m:r>
              <m:rPr>
                <m:sty m:val="p"/>
              </m:rPr>
              <m:t>*</m:t>
            </m:r>
          </m:sup>
        </m:sSup>
      </m:oMath>
      <w:r>
        <w:t xml:space="preserve"> </w:t>
      </w:r>
      <w:r>
        <w:t xml:space="preserve">when both are computed in the same units.</w:t>
      </w:r>
    </w:p>
    <w:p>
      <w:pPr>
        <w:pStyle w:val="BodyText"/>
      </w:pPr>
      <w:r>
        <w:t xml:space="preserve">For Poverty Point, frequency</w:t>
      </w:r>
      <w:r>
        <w:t xml:space="preserve"> </w:t>
      </w:r>
      <m:oMath>
        <m:r>
          <m:rPr>
            <m:sty m:val="p"/>
          </m:rPr>
          <m:t>≈</m:t>
        </m:r>
        <m:r>
          <m:t>10</m:t>
        </m:r>
      </m:oMath>
      <w:r>
        <w:t xml:space="preserve"> </w:t>
      </w:r>
      <w:r>
        <w:t xml:space="preserve">years (combining drought and hurricane cycles) and magnitude</w:t>
      </w:r>
      <w:r>
        <w:t xml:space="preserve"> </w:t>
      </w:r>
      <m:oMath>
        <m:r>
          <m:rPr>
            <m:sty m:val="p"/>
          </m:rPr>
          <m:t>≈</m:t>
        </m:r>
        <m:r>
          <m:t>0.45</m:t>
        </m:r>
      </m:oMath>
      <w:r>
        <w:t xml:space="preserve"> </w:t>
      </w:r>
      <w:r>
        <w:t xml:space="preserve">yield</w:t>
      </w:r>
      <w:r>
        <w:t xml:space="preserve"> </w:t>
      </w:r>
      <m:oMath>
        <m:r>
          <m:t>σ</m:t>
        </m:r>
        <m:r>
          <m:rPr>
            <m:sty m:val="p"/>
          </m:rPr>
          <m:t>=</m:t>
        </m:r>
        <m:r>
          <m:t>0.45</m:t>
        </m:r>
        <m:r>
          <m:rPr>
            <m:sty m:val="p"/>
          </m:rPr>
          <m:t>⋅</m:t>
        </m:r>
        <m:rad>
          <m:radPr>
            <m:degHide m:val="on"/>
          </m:radPr>
          <m:deg/>
          <m:e>
            <m:r>
              <m:t>2</m:t>
            </m:r>
          </m:e>
        </m:rad>
        <m:r>
          <m:rPr>
            <m:sty m:val="p"/>
          </m:rPr>
          <m:t>≈</m:t>
        </m:r>
        <m:r>
          <m:t>0.64</m:t>
        </m:r>
      </m:oMath>
      <w:r>
        <w:t xml:space="preserve">.</w:t>
      </w:r>
    </w:p>
    <w:p>
      <w:pPr>
        <w:pStyle w:val="BodyText"/>
      </w:pPr>
      <w:r>
        <w:rPr>
          <w:b/>
          <w:bCs/>
        </w:rPr>
        <w:t xml:space="preserve">Normalization invariance.</w:t>
      </w:r>
      <w:r>
        <w:t xml:space="preserve"> </w:t>
      </w:r>
      <w:r>
        <w:t xml:space="preserve">The 20-year reference window is a unit choice, not a substantive parameter. Different reference choices rescale both</w:t>
      </w:r>
      <w:r>
        <w:t xml:space="preserve"> </w:t>
      </w:r>
      <m:oMath>
        <m:sSub>
          <m:e>
            <m:r>
              <m:t>σ</m:t>
            </m:r>
          </m:e>
          <m:sub>
            <m:r>
              <m:t>L</m:t>
            </m:r>
            <m:r>
              <m:t>M</m:t>
            </m:r>
            <m:r>
              <m:t>V</m:t>
            </m:r>
          </m:sub>
        </m:sSub>
      </m:oMath>
      <w:r>
        <w:t xml:space="preserve"> </w:t>
      </w:r>
      <w:r>
        <w:t xml:space="preserve">and</w:t>
      </w:r>
      <w:r>
        <w:t xml:space="preserve"> </w:t>
      </w:r>
      <m:oMath>
        <m:sSup>
          <m:e>
            <m:r>
              <m:t>σ</m:t>
            </m:r>
          </m:e>
          <m:sup>
            <m:r>
              <m:rPr>
                <m:sty m:val="p"/>
              </m:rPr>
              <m:t>*</m:t>
            </m:r>
          </m:sup>
        </m:sSup>
      </m:oMath>
      <w:r>
        <w:t xml:space="preserve"> </w:t>
      </w:r>
      <w:r>
        <w:t xml:space="preserve">by the same factor, so the comparison</w:t>
      </w:r>
      <w:r>
        <w:t xml:space="preserve"> </w:t>
      </w:r>
      <m:oMath>
        <m:sSub>
          <m:e>
            <m:r>
              <m:t>σ</m:t>
            </m:r>
          </m:e>
          <m:sub>
            <m:r>
              <m:t>L</m:t>
            </m:r>
            <m:r>
              <m:t>M</m:t>
            </m:r>
            <m:r>
              <m:t>V</m:t>
            </m:r>
          </m:sub>
        </m:sSub>
      </m:oMath>
      <w:r>
        <w:t xml:space="preserve"> </w:t>
      </w:r>
      <w:r>
        <w:t xml:space="preserve">vs</w:t>
      </w:r>
      <w:r>
        <w:t xml:space="preserve"> </w:t>
      </w:r>
      <m:oMath>
        <m:sSup>
          <m:e>
            <m:r>
              <m:t>σ</m:t>
            </m:r>
          </m:e>
          <m:sup>
            <m:r>
              <m:rPr>
                <m:sty m:val="p"/>
              </m:rPr>
              <m:t>*</m:t>
            </m:r>
          </m:sup>
        </m:sSup>
      </m:oMath>
      <w:r>
        <w:t xml:space="preserve"> </w:t>
      </w:r>
      <w:r>
        <w:t xml:space="preserve">that the §6.2 threshold-proximity test depends on is preserved. Formally: under any alternative reference</w:t>
      </w:r>
      <w:r>
        <w:t xml:space="preserve"> </w:t>
      </w:r>
      <m:oMath>
        <m:sSubSup>
          <m:e>
            <m:r>
              <m:t>T</m:t>
            </m:r>
          </m:e>
          <m:sub>
            <m:r>
              <m:t>0</m:t>
            </m:r>
          </m:sub>
          <m:sup>
            <m:r>
              <m:rPr>
                <m:sty m:val="p"/>
              </m:rPr>
              <m:t>′</m:t>
            </m:r>
          </m:sup>
        </m:sSubSup>
      </m:oMath>
      <w:r>
        <w:t xml:space="preserve">, both quantities rescale by</w:t>
      </w:r>
      <w: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t xml:space="preserve">, so the ratio</w:t>
      </w:r>
      <w:r>
        <w:t xml:space="preserve"> </w:t>
      </w:r>
      <m:oMath>
        <m:sSub>
          <m:e>
            <m:r>
              <m:t>σ</m:t>
            </m:r>
          </m:e>
          <m:sub>
            <m:r>
              <m:t>L</m:t>
            </m:r>
            <m:r>
              <m:t>M</m:t>
            </m:r>
            <m:r>
              <m:t>V</m:t>
            </m:r>
          </m:sub>
        </m:sSub>
        <m:r>
          <m:rPr>
            <m:sty m:val="p"/>
          </m:rPr>
          <m:t>/</m:t>
        </m:r>
        <m:sSup>
          <m:e>
            <m:r>
              <m:t>σ</m:t>
            </m:r>
          </m:e>
          <m:sup>
            <m:r>
              <m:rPr>
                <m:sty m:val="p"/>
              </m:rPr>
              <m:t>*</m:t>
            </m:r>
          </m:sup>
        </m:sSup>
      </m:oMath>
      <w:r>
        <w:t xml:space="preserve"> </w:t>
      </w:r>
      <w:r>
        <w:t xml:space="preserve">is invariant.</w:t>
      </w:r>
    </w:p>
    <w:p>
      <w:pPr>
        <w:pStyle w:val="BodyText"/>
      </w:pPr>
      <w: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w:t>
            </w:r>
          </w:p>
        </w:tc>
      </w:tr>
    </w:tbl>
    <w:p>
      <w:pPr>
        <w:pStyle w:val="BodyText"/>
      </w:pPr>
      <w:r>
        <w:t xml:space="preserve">The case classification (Poverty Point above threshold) and the ratio are preserved exactly across the reference-window choices. Because the §6.2 Bayesian threshold-proximity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depends only on the ratio (both</w:t>
      </w:r>
      <w:r>
        <w:t xml:space="preserve"> </w:t>
      </w:r>
      <m:oMath>
        <m:sSub>
          <m:e>
            <m:r>
              <m:t>σ</m:t>
            </m:r>
          </m:e>
          <m:sub>
            <m:r>
              <m:t>e</m:t>
            </m:r>
            <m:r>
              <m:t>f</m:t>
            </m:r>
            <m:r>
              <m:t>f</m:t>
            </m:r>
          </m:sub>
        </m:sSub>
      </m:oMath>
      <w:r>
        <w:t xml:space="preserve"> </w:t>
      </w:r>
      <w:r>
        <w:t xml:space="preserve">and</w:t>
      </w:r>
      <w:r>
        <w:t xml:space="preserve"> </w:t>
      </w:r>
      <m:oMath>
        <m:sSup>
          <m:e>
            <m:r>
              <m:t>σ</m:t>
            </m:r>
          </m:e>
          <m:sup>
            <m:r>
              <m:rPr>
                <m:sty m:val="p"/>
              </m:rPr>
              <m:t>*</m:t>
            </m:r>
          </m:sup>
        </m:sSup>
      </m:oMath>
      <w:r>
        <w:t xml:space="preserve"> </w:t>
      </w:r>
      <w:r>
        <w:t xml:space="preserve">rescale by the same factor under any consistent normalization), the posterior probability</w:t>
      </w:r>
      <w:r>
        <w:t xml:space="preserve"> </w:t>
      </w:r>
      <m:oMath>
        <m:r>
          <m:t>P</m:t>
        </m:r>
        <m:r>
          <m:rPr>
            <m:sty m:val="p"/>
          </m:rPr>
          <m:t>=</m:t>
        </m:r>
        <m:r>
          <m:t>0.36</m:t>
        </m:r>
      </m:oMath>
      <w:r>
        <w:t xml:space="preserve">-</w:t>
      </w:r>
      <m:oMath>
        <m:r>
          <m:t>0.56</m:t>
        </m:r>
      </m:oMath>
      <w:r>
        <w:t xml:space="preserve"> </w:t>
      </w:r>
      <w:r>
        <w:t xml:space="preserve">is invariant under the choice of reference window. The 20-year reference is a parameterization convention for interpretability (</w:t>
      </w:r>
      <m:oMath>
        <m:r>
          <m:t>σ</m:t>
        </m:r>
        <m:r>
          <m:rPr>
            <m:sty m:val="p"/>
          </m:rPr>
          <m:t>=</m:t>
        </m:r>
        <m:r>
          <m:t>m</m:t>
        </m:r>
      </m:oMath>
      <w:r>
        <w:t xml:space="preserve"> </w:t>
      </w:r>
      <w:r>
        <w:t xml:space="preserve">when</w:t>
      </w:r>
      <w:r>
        <w:t xml:space="preserve"> </w:t>
      </w:r>
      <m:oMath>
        <m:r>
          <m:t>T</m:t>
        </m:r>
        <m:r>
          <m:rPr>
            <m:sty m:val="p"/>
          </m:rPr>
          <m:t>=</m:t>
        </m:r>
        <m:r>
          <m:t>20</m:t>
        </m:r>
      </m:oMath>
      <w:r>
        <w:t xml:space="preserve">). The substantive comparison is preserved.</w:t>
      </w:r>
    </w:p>
    <w:bookmarkEnd w:id="12"/>
    <w:bookmarkStart w:id="13" w:name="s1.5-initialization"/>
    <w:p>
      <w:pPr>
        <w:pStyle w:val="Heading3"/>
      </w:pPr>
      <w:r>
        <w:t xml:space="preserve">S1.5 Initialization</w:t>
      </w:r>
    </w:p>
    <w:p>
      <w:pPr>
        <w:pStyle w:val="FirstParagraph"/>
      </w:pPr>
      <w:r>
        <w:t xml:space="preserve">Simulation begins with 50 bands distributed uniformly across the regional landscape. Each band’s initial strategy is Bernoulli(0.5) aggregator/independent, its quality is drawn from</w:t>
      </w:r>
      <w:r>
        <w:t xml:space="preserve"> </w:t>
      </w:r>
      <m:oMath>
        <m:r>
          <m:t>U</m:t>
        </m:r>
        <m:r>
          <m:rPr>
            <m:sty m:val="p"/>
          </m:rPr>
          <m:t>[</m:t>
        </m:r>
        <m:sSub>
          <m:e>
            <m:r>
              <m:t>q</m:t>
            </m:r>
          </m:e>
          <m:sub>
            <m:r>
              <m:t>m</m:t>
            </m:r>
            <m:r>
              <m:t>i</m:t>
            </m:r>
            <m:r>
              <m:t>n</m:t>
            </m:r>
          </m:sub>
        </m:sSub>
        <m:r>
          <m:rPr>
            <m:sty m:val="p"/>
          </m:rPr>
          <m:t>,</m:t>
        </m:r>
        <m:sSub>
          <m:e>
            <m:r>
              <m:t>q</m:t>
            </m:r>
          </m:e>
          <m:sub>
            <m:r>
              <m:t>m</m:t>
            </m:r>
            <m:r>
              <m:t>a</m:t>
            </m:r>
            <m:r>
              <m:t>x</m:t>
            </m:r>
          </m:sub>
        </m:sSub>
        <m:r>
          <m:rPr>
            <m:sty m:val="p"/>
          </m:rPr>
          <m:t>]</m:t>
        </m:r>
      </m:oMath>
      <w:r>
        <w:t xml:space="preserve">, its size from</w:t>
      </w:r>
      <w:r>
        <w:t xml:space="preserve"> </w:t>
      </w:r>
      <m:oMath>
        <m:r>
          <m:t>25</m:t>
        </m:r>
        <m:r>
          <m:rPr>
            <m:sty m:val="p"/>
          </m:rPr>
          <m:t>±</m:t>
        </m:r>
        <m:r>
          <m:t>5</m:t>
        </m:r>
      </m:oMath>
      <w:r>
        <w:t xml:space="preserve"> </w:t>
      </w:r>
      <w:r>
        <w:t xml:space="preserve">members, and its resources from</w:t>
      </w:r>
      <w:r>
        <w:t xml:space="preserve"> </w:t>
      </w:r>
      <m:oMath>
        <m:r>
          <m:t>U</m:t>
        </m:r>
        <m:r>
          <m:rPr>
            <m:sty m:val="p"/>
          </m:rPr>
          <m:t>[</m:t>
        </m:r>
        <m:r>
          <m:t>0.4</m:t>
        </m:r>
        <m:r>
          <m:rPr>
            <m:sty m:val="p"/>
          </m:rPr>
          <m:t>,</m:t>
        </m:r>
        <m:r>
          <m:t>0.6</m:t>
        </m:r>
        <m:r>
          <m:rPr>
            <m:sty m:val="p"/>
          </m:rPr>
          <m:t>]</m:t>
        </m:r>
      </m:oMath>
      <w:r>
        <w:t xml:space="preserve">. Each band is seeded with 0-2 weak reciprocal obligations (strength 0.1) to randomly chosen partners; monument stock starts at zero. Spin-up of 50 years is discarded before metric collection.</w:t>
      </w:r>
    </w:p>
    <w:bookmarkEnd w:id="13"/>
    <w:bookmarkStart w:id="14" w:name="s1.6-submodels"/>
    <w:p>
      <w:pPr>
        <w:pStyle w:val="Heading3"/>
      </w:pPr>
      <w:r>
        <w:t xml:space="preserve">S1.6 Submodels</w:t>
      </w:r>
    </w:p>
    <w:p>
      <w:pPr>
        <w:pStyle w:val="FirstParagraph"/>
      </w:pPr>
      <w: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i/>
          <w:iCs/>
        </w:rPr>
        <w:t xml:space="preserve">Signal-conditional partner formation.</w:t>
      </w:r>
      <w:r>
        <w:t xml:space="preserve"> </w:t>
      </w:r>
      <w:r>
        <w:t xml:space="preserve">For each band</w:t>
      </w:r>
      <w:r>
        <w:t xml:space="preserve"> </w:t>
      </w:r>
      <m:oMath>
        <m:r>
          <m:t>i</m:t>
        </m:r>
      </m:oMath>
      <w:r>
        <w:t xml:space="preserve"> </w:t>
      </w:r>
      <w:r>
        <w:t xml:space="preserve">attending the aggregation, a display level</w:t>
      </w:r>
      <w:r>
        <w:t xml:space="preserve"> </w:t>
      </w:r>
      <m:oMath>
        <m:sSub>
          <m:e>
            <m:r>
              <m:t>d</m:t>
            </m:r>
          </m:e>
          <m:sub>
            <m:r>
              <m:t>i</m:t>
            </m:r>
          </m:sub>
        </m:sSub>
      </m:oMath>
      <w:r>
        <w:t xml:space="preserve"> </w:t>
      </w:r>
      <w:r>
        <w:t xml:space="preserve">is computed by summing two quantities on different native scales:</w:t>
      </w:r>
      <w:r>
        <w:t xml:space="preserve"> </w:t>
      </w:r>
      <m:oMath>
        <m:sSub>
          <m:e>
            <m:r>
              <m:rPr>
                <m:nor/>
                <m:sty m:val="p"/>
              </m:rPr>
              <m:t>display</m:t>
            </m:r>
          </m:e>
          <m:sub>
            <m:r>
              <m:t>i</m:t>
            </m:r>
          </m:sub>
        </m:sSub>
        <m:r>
          <m:rPr>
            <m:sty m:val="p"/>
          </m:rPr>
          <m:t>=</m:t>
        </m:r>
        <m:sSub>
          <m:e>
            <m:r>
              <m:t>M</m:t>
            </m:r>
          </m:e>
          <m:sub>
            <m:r>
              <m:t>i</m:t>
            </m:r>
          </m:sub>
        </m:sSub>
        <m:r>
          <m:rPr>
            <m:sty m:val="p"/>
          </m:rPr>
          <m:t>+</m:t>
        </m:r>
        <m:sSub>
          <m:e>
            <m:r>
              <m:t>E</m:t>
            </m:r>
          </m:e>
          <m:sub>
            <m:r>
              <m:t>i</m:t>
            </m:r>
          </m:sub>
        </m:sSub>
      </m:oMath>
      <w:r>
        <w:t xml:space="preserve">, where</w:t>
      </w:r>
      <w:r>
        <w:t xml:space="preserve"> </w:t>
      </w:r>
      <m:oMath>
        <m:sSub>
          <m:e>
            <m:r>
              <m:t>M</m:t>
            </m:r>
          </m:e>
          <m:sub>
            <m:r>
              <m:t>i</m:t>
            </m:r>
          </m:sub>
        </m:sSub>
      </m:oMath>
      <w:r>
        <w:t xml:space="preserve"> </w:t>
      </w:r>
      <w:r>
        <w:t xml:space="preserve">is the band’s cumulative monument-contribution score (continuous fitness-fraction units; on the order of</w:t>
      </w:r>
      <w:r>
        <w:t xml:space="preserve"> </w:t>
      </w:r>
      <m:oMath>
        <m:sSup>
          <m:e>
            <m:r>
              <m:t>10</m:t>
            </m:r>
          </m:e>
          <m:sup>
            <m:r>
              <m:t>0</m:t>
            </m:r>
          </m:sup>
        </m:sSup>
      </m:oMath>
      <w:r>
        <w:t xml:space="preserve"> </w:t>
      </w:r>
      <w:r>
        <w:t xml:space="preserve">to</w:t>
      </w:r>
      <w:r>
        <w:t xml:space="preserve"> </w:t>
      </w:r>
      <m:oMath>
        <m:sSup>
          <m:e>
            <m:r>
              <m:t>10</m:t>
            </m:r>
          </m:e>
          <m:sup>
            <m:r>
              <m:t>1</m:t>
            </m:r>
          </m:sup>
        </m:sSup>
      </m:oMath>
      <w:r>
        <w:t xml:space="preserve"> </w:t>
      </w:r>
      <w:r>
        <w:t xml:space="preserve">at PP scale) and</w:t>
      </w:r>
      <w:r>
        <w:t xml:space="preserve"> </w:t>
      </w:r>
      <m:oMath>
        <m:sSub>
          <m:e>
            <m:r>
              <m:t>E</m:t>
            </m:r>
          </m:e>
          <m:sub>
            <m:r>
              <m:t>i</m:t>
            </m:r>
          </m:sub>
        </m:sSub>
      </m:oMath>
      <w:r>
        <w:t xml:space="preserve"> </w:t>
      </w:r>
      <w:r>
        <w:t xml:space="preserve">is the band’s total exotic-item count (integer count; on the order of</w:t>
      </w:r>
      <w:r>
        <w:t xml:space="preserve"> </w:t>
      </w:r>
      <m:oMath>
        <m:sSup>
          <m:e>
            <m:r>
              <m:t>10</m:t>
            </m:r>
          </m:e>
          <m:sup>
            <m:r>
              <m:t>1</m:t>
            </m:r>
          </m:sup>
        </m:sSup>
      </m:oMath>
      <w:r>
        <w:t xml:space="preserve"> </w:t>
      </w:r>
      <w:r>
        <w:t xml:space="preserve">to</w:t>
      </w:r>
      <w:r>
        <w:t xml:space="preserve"> </w:t>
      </w:r>
      <m:oMath>
        <m:sSup>
          <m:e>
            <m:r>
              <m:t>10</m:t>
            </m:r>
          </m:e>
          <m:sup>
            <m:r>
              <m:t>3</m:t>
            </m:r>
          </m:sup>
        </m:sSup>
      </m:oMath>
      <w:r>
        <w:t xml:space="preserve"> </w:t>
      </w:r>
      <w:r>
        <w:t xml:space="preserve">at PP scale). The additive combination places these on the same axis without scale-matching, which we acknowledge as a model-implementation choice rather than a derivation. The combined display is then normalized within the attending cohort,</w:t>
      </w:r>
      <w:r>
        <w:t xml:space="preserve"> </w:t>
      </w:r>
      <m:oMath>
        <m:sSub>
          <m:e>
            <m:r>
              <m:t>d</m:t>
            </m:r>
          </m:e>
          <m:sub>
            <m:r>
              <m:t>i</m:t>
            </m:r>
          </m:sub>
        </m:sSub>
        <m:r>
          <m:rPr>
            <m:sty m:val="p"/>
          </m:rPr>
          <m:t>/</m:t>
        </m:r>
        <m:sSub>
          <m:e>
            <m:r>
              <m:rPr>
                <m:sty m:val="p"/>
              </m:rPr>
              <m:t>max</m:t>
            </m:r>
          </m:e>
          <m:sub>
            <m:r>
              <m:t>j</m:t>
            </m:r>
          </m:sub>
        </m:sSub>
        <m:sSub>
          <m:e>
            <m:r>
              <m:t>d</m:t>
            </m:r>
          </m:e>
          <m:sub>
            <m:r>
              <m:t>j</m:t>
            </m:r>
          </m:sub>
        </m:sSub>
      </m:oMath>
      <w:r>
        <w:t xml:space="preserve">, and the per-band tie-formation probability is</w:t>
      </w:r>
      <w:r>
        <w:t xml:space="preserve"> </w:t>
      </w:r>
      <m:oMath>
        <m:r>
          <m:t>0.20</m:t>
        </m:r>
        <m:r>
          <m:rPr>
            <m:sty m:val="p"/>
          </m:rPr>
          <m:t>+</m:t>
        </m:r>
        <m:r>
          <m:t>0.20</m:t>
        </m:r>
        <m:r>
          <m:rPr>
            <m:sty m:val="p"/>
          </m:rPr>
          <m:t>⋅</m:t>
        </m:r>
        <m:sSub>
          <m:e>
            <m:r>
              <m:t>d</m:t>
            </m:r>
          </m:e>
          <m:sub>
            <m:r>
              <m:t>i</m:t>
            </m:r>
          </m:sub>
        </m:sSub>
        <m:r>
          <m:rPr>
            <m:sty m:val="p"/>
          </m:rPr>
          <m:t>/</m:t>
        </m:r>
        <m:sSub>
          <m:e>
            <m:r>
              <m:rPr>
                <m:sty m:val="p"/>
              </m:rPr>
              <m:t>max</m:t>
            </m:r>
          </m:e>
          <m:sub>
            <m:r>
              <m:t>j</m:t>
            </m:r>
          </m:sub>
        </m:sSub>
        <m:sSub>
          <m:e>
            <m:r>
              <m:t>d</m:t>
            </m:r>
          </m:e>
          <m:sub>
            <m:r>
              <m:t>j</m:t>
            </m:r>
          </m:sub>
        </m:sSub>
      </m:oMath>
      <w:r>
        <w:t xml:space="preserve"> </w:t>
      </w:r>
      <w:r>
        <w:t xml:space="preserve">(so high-display bands form ties at</w:t>
      </w:r>
      <w:r>
        <w:t xml:space="preserve"> </w:t>
      </w:r>
      <m:oMath>
        <m:r>
          <m:rPr>
            <m:sty m:val="p"/>
          </m:rPr>
          <m:t>∼</m:t>
        </m:r>
        <m:r>
          <m:t>40</m:t>
        </m:r>
        <m:r>
          <m:rPr>
            <m:sty m:val="p"/>
          </m:rPr>
          <m:t>%</m:t>
        </m:r>
      </m:oMath>
      <w:r>
        <w:t xml:space="preserve"> </w:t>
      </w:r>
      <w:r>
        <w:t xml:space="preserve">per aggregation versus</w:t>
      </w:r>
      <w:r>
        <w:t xml:space="preserve"> </w:t>
      </w:r>
      <m:oMath>
        <m:r>
          <m:rPr>
            <m:sty m:val="p"/>
          </m:rPr>
          <m:t>∼</m:t>
        </m:r>
        <m:r>
          <m:t>20</m:t>
        </m:r>
        <m:r>
          <m:rPr>
            <m:sty m:val="p"/>
          </m:rPr>
          <m:t>%</m:t>
        </m:r>
      </m:oMath>
      <w:r>
        <w:t xml:space="preserve"> </w:t>
      </w:r>
      <w:r>
        <w:t xml:space="preserve">for the lowest-display attendees). When a tie forms, the partner is drawn from co-attending bands with weights</w:t>
      </w:r>
      <w:r>
        <w:t xml:space="preserve"> </w:t>
      </w:r>
      <m:oMath>
        <m:r>
          <m:t>0.5</m:t>
        </m:r>
        <m:r>
          <m:rPr>
            <m:sty m:val="p"/>
          </m:rPr>
          <m:t>+</m:t>
        </m:r>
        <m:sSub>
          <m:e>
            <m:r>
              <m:t>d</m:t>
            </m:r>
          </m:e>
          <m:sub>
            <m:r>
              <m:t>j</m:t>
            </m:r>
          </m:sub>
        </m:sSub>
        <m:r>
          <m:rPr>
            <m:sty m:val="p"/>
          </m:rPr>
          <m:t>/</m:t>
        </m:r>
        <m:sSub>
          <m:e>
            <m:r>
              <m:rPr>
                <m:sty m:val="p"/>
              </m:rPr>
              <m:t>max</m:t>
            </m:r>
          </m:e>
          <m:sub>
            <m:r>
              <m:t>k</m:t>
            </m:r>
          </m:sub>
        </m:sSub>
        <m:sSub>
          <m:e>
            <m:r>
              <m:t>d</m:t>
            </m:r>
          </m:e>
          <m:sub>
            <m:r>
              <m:t>k</m:t>
            </m:r>
          </m:sub>
        </m:sSub>
      </m:oMath>
      <w:r>
        <w:t xml:space="preserve">, so candidates’ displays scale partner-choice weight from</w:t>
      </w:r>
      <w:r>
        <w:t xml:space="preserve"> </w:t>
      </w:r>
      <m:oMath>
        <m:r>
          <m:t>0.5</m:t>
        </m:r>
        <m:r>
          <m:rPr>
            <m:sty m:val="p"/>
          </m:rPr>
          <m:t>×</m:t>
        </m:r>
      </m:oMath>
      <w:r>
        <w:t xml:space="preserve"> </w:t>
      </w:r>
      <w:r>
        <w:t xml:space="preserve">for low-display partners to</w:t>
      </w:r>
      <w:r>
        <w:t xml:space="preserve"> </w:t>
      </w:r>
      <m:oMath>
        <m:r>
          <m:t>1.5</m:t>
        </m:r>
        <m:r>
          <m:rPr>
            <m:sty m:val="p"/>
          </m:rPr>
          <m:t>×</m:t>
        </m:r>
      </m:oMath>
      <w:r>
        <w:t xml:space="preserve"> </w:t>
      </w:r>
      <w:r>
        <w:t xml:space="preserve">for max-display partners. The additive</w:t>
      </w:r>
      <w:r>
        <w:t xml:space="preserve"> </w:t>
      </w:r>
      <m:oMath>
        <m:r>
          <m:t>M</m:t>
        </m:r>
        <m:r>
          <m:rPr>
            <m:sty m:val="p"/>
          </m:rPr>
          <m:t>+</m:t>
        </m:r>
        <m:r>
          <m:t>E</m:t>
        </m:r>
      </m:oMath>
      <w:r>
        <w:t xml:space="preserve"> </w:t>
      </w:r>
      <w:r>
        <w:t xml:space="preserve">combination matters quantitatively because at high-exotic-count bands the integer exotic count can numerically dominate the monument contribution. This is partially offset by the per-cohort normalization (each cohort has its own scale). A sensitivity probe in §S3.1 reports the threshold-location robustness to an alternative formulation where</w:t>
      </w:r>
      <w:r>
        <w:t xml:space="preserve"> </w:t>
      </w:r>
      <m:oMath>
        <m:r>
          <m:t>M</m:t>
        </m:r>
      </m:oMath>
      <w:r>
        <w:t xml:space="preserve"> </w:t>
      </w:r>
      <w:r>
        <w:t xml:space="preserve">and</w:t>
      </w:r>
      <w:r>
        <w:t xml:space="preserve"> </w:t>
      </w:r>
      <m:oMath>
        <m:r>
          <m:t>E</m:t>
        </m:r>
      </m:oMath>
      <w:r>
        <w:t xml:space="preserve"> </w:t>
      </w:r>
      <w:r>
        <w:t xml:space="preserve">are separately z-scored before summing.</w:t>
      </w:r>
    </w:p>
    <w:p>
      <w:pPr>
        <w:pStyle w:val="BodyText"/>
      </w:pPr>
      <w:r>
        <w:rPr>
          <w:i/>
          <w:iCs/>
        </w:rPr>
        <w:t xml:space="preserve">Tie-strength-weighted shortfall help.</w:t>
      </w:r>
      <w:r>
        <w:t xml:space="preserve"> </w:t>
      </w:r>
      <w: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w:t>
      </w:r>
      <w:r>
        <w:t xml:space="preserve"> </w:t>
      </w:r>
      <m:oMath>
        <m:r>
          <m:rPr>
            <m:sty m:val="p"/>
          </m:rPr>
          <m:t>×</m:t>
        </m:r>
        <m:r>
          <m:t>0.7</m:t>
        </m:r>
      </m:oMath>
      <w:r>
        <w:t xml:space="preserve"> </w:t>
      </w:r>
      <w:r>
        <w:t xml:space="preserve">and removes it if strength falls below 0.05 (existing</w:t>
      </w:r>
      <w:r>
        <w:t xml:space="preserve"> </w:t>
      </w:r>
      <w:r>
        <w:rPr>
          <w:rStyle w:val="VerbatimChar"/>
        </w:rPr>
        <w:t xml:space="preserve">call_obligation</w:t>
      </w:r>
      <w:r>
        <w:t xml:space="preserve"> </w:t>
      </w:r>
      <w:r>
        <w:t xml:space="preserve">behavior; help_received =</w:t>
      </w:r>
      <w:r>
        <w:t xml:space="preserve"> </w:t>
      </w:r>
      <m:oMath>
        <m:r>
          <m:rPr>
            <m:sty m:val="p"/>
          </m:rPr>
          <m:t>min</m:t>
        </m:r>
      </m:oMath>
      <w:r>
        <w:t xml:space="preserve">(remaining_need, strength</w:t>
      </w:r>
      <w:r>
        <w:t xml:space="preserve"> </w:t>
      </w:r>
      <m:oMath>
        <m:r>
          <m:rPr>
            <m:sty m:val="p"/>
          </m:rPr>
          <m:t>×</m:t>
        </m:r>
        <m:r>
          <m:t>0.5</m:t>
        </m:r>
      </m:oMath>
      <w:r>
        <w:t xml:space="preserve">)).</w:t>
      </w:r>
    </w:p>
    <w:p>
      <w:pPr>
        <w:pStyle w:val="BodyText"/>
      </w:pPr>
      <w:r>
        <w:rPr>
          <w:i/>
          <w:iCs/>
        </w:rPr>
        <w:t xml:space="preserve">Network-density coupling to</w:t>
      </w:r>
      <w:r>
        <w:t xml:space="preserve"> </w:t>
      </w:r>
      <m:oMath>
        <m:sSub>
          <m:e>
            <m:r>
              <m:t>σ</m:t>
            </m:r>
          </m:e>
          <m:sub>
            <m:r>
              <m:t>e</m:t>
            </m:r>
            <m:r>
              <m:t>f</m:t>
            </m:r>
            <m:r>
              <m:t>f</m:t>
            </m:r>
          </m:sub>
        </m:sSub>
      </m:oMath>
      <w: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t xml:space="preserve">where</w:t>
      </w:r>
      <w:r>
        <w:t xml:space="preserve"> </w:t>
      </w:r>
      <m:oMath>
        <m:r>
          <m:rPr>
            <m:sty m:val="p"/>
          </m:rPr>
          <m:t>|</m:t>
        </m:r>
        <m:sSub>
          <m:e>
            <m:r>
              <m:t>O</m:t>
            </m:r>
          </m:e>
          <m:sub>
            <m:r>
              <m:t>i</m:t>
            </m:r>
          </m:sub>
        </m:sSub>
        <m:r>
          <m:rPr>
            <m:sty m:val="p"/>
          </m:rPr>
          <m:t>|</m:t>
        </m:r>
      </m:oMath>
      <w:r>
        <w:t xml:space="preserve"> </w:t>
      </w:r>
      <w:r>
        <w:t xml:space="preserve">is the band’s obligation count,</w:t>
      </w:r>
      <w:r>
        <w:t xml:space="preserve"> </w:t>
      </w:r>
      <m:oMath>
        <m:r>
          <m:t>ρ</m:t>
        </m:r>
      </m:oMath>
      <w:r>
        <w:t xml:space="preserve"> </w:t>
      </w:r>
      <w:r>
        <w:t xml:space="preserve">is the fraction of potential ties realized,</w:t>
      </w:r>
      <w:r>
        <w:t xml:space="preserve"> </w:t>
      </w:r>
      <m:oMath>
        <m:sSub>
          <m:e>
            <m:r>
              <m:t>β</m:t>
            </m:r>
          </m:e>
          <m:sub>
            <m:r>
              <m:rPr>
                <m:nor/>
                <m:sty m:val="p"/>
              </m:rPr>
              <m:t>net</m:t>
            </m:r>
          </m:sub>
        </m:sSub>
        <m:r>
          <m:rPr>
            <m:sty m:val="p"/>
          </m:rPr>
          <m:t>=</m:t>
        </m:r>
        <m:r>
          <m:t>0.5</m:t>
        </m:r>
      </m:oMath>
      <w:r>
        <w:t xml:space="preserve"> </w:t>
      </w:r>
      <w:r>
        <w:t xml:space="preserve">is the network-buffering coupling strength, and</w:t>
      </w:r>
      <w:r>
        <w:t xml:space="preserve"> </w:t>
      </w:r>
      <m:oMath>
        <m:sSub>
          <m:e>
            <m:r>
              <m:t>ε</m:t>
            </m:r>
          </m:e>
          <m:sub>
            <m:r>
              <m:t>e</m:t>
            </m:r>
            <m:r>
              <m:t>f</m:t>
            </m:r>
            <m:r>
              <m:t>f</m:t>
            </m:r>
          </m:sub>
        </m:sSub>
      </m:oMath>
      <w:r>
        <w:t xml:space="preserve"> </w:t>
      </w:r>
      <w:r>
        <w:t xml:space="preserve">is capped at 0.95 to prevent</w:t>
      </w:r>
      <w:r>
        <w:t xml:space="preserve"> </w:t>
      </w:r>
      <m:oMath>
        <m:sSub>
          <m:e>
            <m:r>
              <m:t>σ</m:t>
            </m:r>
          </m:e>
          <m:sub>
            <m:r>
              <m:t>e</m:t>
            </m:r>
            <m:r>
              <m:t>f</m:t>
            </m:r>
            <m:r>
              <m:t>f</m:t>
            </m:r>
          </m:sub>
        </m:sSub>
        <m:r>
          <m:rPr>
            <m:sty m:val="p"/>
          </m:rPr>
          <m:t>→</m:t>
        </m:r>
        <m:r>
          <m:t>0</m:t>
        </m:r>
      </m:oMath>
      <w:r>
        <w:t xml:space="preserve">. At canonical PP-scenario parameters (</w:t>
      </w:r>
      <m:oMath>
        <m:r>
          <m:t>ε</m:t>
        </m:r>
        <m:r>
          <m:rPr>
            <m:sty m:val="p"/>
          </m:rPr>
          <m:t>=</m:t>
        </m:r>
        <m:r>
          <m:t>0.35</m:t>
        </m:r>
      </m:oMath>
      <w:r>
        <w:t xml:space="preserve">), bands with high realized</w:t>
      </w:r>
      <w:r>
        <w:t xml:space="preserve"> </w:t>
      </w:r>
      <m:oMath>
        <m:r>
          <m:t>ρ</m:t>
        </m:r>
      </m:oMath>
      <w:r>
        <w:t xml:space="preserve"> </w:t>
      </w:r>
      <w:r>
        <w:t xml:space="preserve">achieve</w:t>
      </w:r>
      <w:r>
        <w:t xml:space="preserve"> </w:t>
      </w:r>
      <m:oMath>
        <m:sSub>
          <m:e>
            <m:r>
              <m:t>ε</m:t>
            </m:r>
          </m:e>
          <m:sub>
            <m:r>
              <m:t>e</m:t>
            </m:r>
            <m:r>
              <m:t>f</m:t>
            </m:r>
            <m:r>
              <m:t>f</m:t>
            </m:r>
          </m:sub>
        </m:sSub>
      </m:oMath>
      <w:r>
        <w:t xml:space="preserve"> </w:t>
      </w:r>
      <w:r>
        <w:t xml:space="preserve">up to</w:t>
      </w:r>
      <w:r>
        <w:t xml:space="preserve"> </w:t>
      </w:r>
      <m:oMath>
        <m:r>
          <m:rPr>
            <m:sty m:val="p"/>
          </m:rPr>
          <m:t>∼</m:t>
        </m:r>
        <m:r>
          <m:t>0.675</m:t>
        </m:r>
      </m:oMath>
      <w:r>
        <w:t xml:space="preserve">, a substantial increase from the base</w:t>
      </w:r>
      <w:r>
        <w:t xml:space="preserve"> </w:t>
      </w:r>
      <m:oMath>
        <m:r>
          <m:t>ε</m:t>
        </m:r>
      </m:oMath>
      <w:r>
        <w:t xml:space="preserve"> </w:t>
      </w:r>
      <w:r>
        <w:t xml:space="preserve">that the</w:t>
      </w:r>
      <w:r>
        <w:t xml:space="preserve"> </w:t>
      </w:r>
      <m:oMath>
        <m:sSub>
          <m:e>
            <m:r>
              <m:t>β</m:t>
            </m:r>
          </m:e>
          <m:sub>
            <m:r>
              <m:rPr>
                <m:nor/>
                <m:sty m:val="p"/>
              </m:rPr>
              <m:t>net</m:t>
            </m:r>
          </m:sub>
        </m:sSub>
      </m:oMath>
      <w:r>
        <w:t xml:space="preserve"> </w:t>
      </w:r>
      <w:r>
        <w:t xml:space="preserve">parameter drives. The</w:t>
      </w:r>
      <w:r>
        <w:t xml:space="preserve"> </w:t>
      </w:r>
      <m:oMath>
        <m:sSub>
          <m:e>
            <m:r>
              <m:t>β</m:t>
            </m:r>
          </m:e>
          <m:sub>
            <m:r>
              <m:rPr>
                <m:nor/>
                <m:sty m:val="p"/>
              </m:rPr>
              <m:t>net</m:t>
            </m:r>
          </m:sub>
        </m:sSub>
        <m:r>
          <m:rPr>
            <m:sty m:val="p"/>
          </m:rPr>
          <m:t>=</m:t>
        </m:r>
        <m:r>
          <m:t>0.5</m:t>
        </m:r>
      </m:oMath>
      <w:r>
        <w:t xml:space="preserve"> </w:t>
      </w:r>
      <w:r>
        <w:t xml:space="preserve">choice is canonical for these runs. §S3.1 reports an analytical sensitivity computation across</w:t>
      </w:r>
      <w:r>
        <w:t xml:space="preserve"> </w:t>
      </w:r>
      <m:oMath>
        <m:sSub>
          <m:e>
            <m:r>
              <m:t>β</m:t>
            </m:r>
          </m:e>
          <m:sub>
            <m:r>
              <m:rPr>
                <m:nor/>
                <m:sty m:val="p"/>
              </m:rPr>
              <m:t>net</m:t>
            </m:r>
          </m:sub>
        </m:sSub>
        <m:r>
          <m:rPr>
            <m:sty m:val="p"/>
          </m:rPr>
          <m:t>∈</m:t>
        </m:r>
        <m:r>
          <m:rPr>
            <m:sty m:val="p"/>
          </m:rPr>
          <m:t>[</m:t>
        </m:r>
        <m:r>
          <m:t>0</m:t>
        </m:r>
        <m:r>
          <m:rPr>
            <m:sty m:val="p"/>
          </m:rPr>
          <m:t>,</m:t>
        </m:r>
        <m:r>
          <m:t>1</m:t>
        </m:r>
        <m:r>
          <m:rPr>
            <m:sty m:val="p"/>
          </m:rPr>
          <m:t>]</m:t>
        </m:r>
      </m:oMath>
      <w:r>
        <w:t xml:space="preserve"> </w:t>
      </w:r>
      <w:r>
        <w:t xml:space="preserve">(worst-case fully connected</w:t>
      </w:r>
      <w:r>
        <w:t xml:space="preserve"> </w:t>
      </w:r>
      <m:oMath>
        <m:r>
          <m:t>ρ</m:t>
        </m:r>
      </m:oMath>
      <w:r>
        <w:t xml:space="preserve">;</w:t>
      </w:r>
      <w:r>
        <w:t xml:space="preserve"> </w:t>
      </w:r>
      <m:oMath>
        <m:sSup>
          <m:e>
            <m:r>
              <m:t>σ</m:t>
            </m:r>
          </m:e>
          <m:sup>
            <m:r>
              <m:rPr>
                <m:sty m:val="p"/>
              </m:rPr>
              <m:t>*</m:t>
            </m:r>
          </m:sup>
        </m:sSup>
      </m:oMath>
      <w:r>
        <w:t xml:space="preserve"> </w:t>
      </w:r>
      <w:r>
        <w:t xml:space="preserve">ranges from 0.40 to 0.26) showing that no choice of</w:t>
      </w:r>
      <w:r>
        <w:t xml:space="preserve"> </w:t>
      </w:r>
      <m:oMath>
        <m:sSub>
          <m:e>
            <m:r>
              <m:t>β</m:t>
            </m:r>
          </m:e>
          <m:sub>
            <m:r>
              <m:rPr>
                <m:nor/>
                <m:sty m:val="p"/>
              </m:rPr>
              <m:t>net</m:t>
            </m:r>
          </m:sub>
        </m:sSub>
      </m:oMath>
      <w:r>
        <w:t xml:space="preserve"> </w:t>
      </w:r>
      <w:r>
        <w:t xml:space="preserve">reverses the qualitative phase-transition signature.</w:t>
      </w:r>
    </w:p>
    <w:p>
      <w:pPr>
        <w:pStyle w:val="BodyText"/>
      </w:pPr>
      <w:r>
        <w:rPr>
          <w:i/>
          <w:iCs/>
        </w:rPr>
        <w:t xml:space="preserve">Exotic acquisition.</w:t>
      </w:r>
      <w:r>
        <w:t xml:space="preserve"> </w:t>
      </w:r>
      <w:r>
        <w:t xml:space="preserve">During each aggregation year, each aggregator band iterates through the available exotic material classes (copper, steatite, galena, novaculite, crystal quartz) and computes a per-material acquisition probability:</w:t>
      </w:r>
    </w:p>
    <w:p>
      <w:pPr>
        <w:pStyle w:val="BodyText"/>
      </w:pPr>
      <m:oMathPara>
        <m:oMathParaPr>
          <m:jc m:val="center"/>
        </m:oMathParaPr>
        <m:oMath>
          <m:sSub>
            <m:e>
              <m:r>
                <m:t>p</m:t>
              </m:r>
            </m:e>
            <m:sub>
              <m:r>
                <m:rPr>
                  <m:nor/>
                  <m:sty m:val="p"/>
                </m:rPr>
                <m:t>acq</m:t>
              </m:r>
              <m:r>
                <m:rPr>
                  <m:sty m:val="p"/>
                </m:rPr>
                <m:t>,</m:t>
              </m:r>
              <m:r>
                <m:t>m</m:t>
              </m:r>
            </m:sub>
          </m:sSub>
          <m:r>
            <m:rPr>
              <m:sty m:val="p"/>
            </m:rPr>
            <m:t>=</m:t>
          </m:r>
          <m:sSub>
            <m:e>
              <m:r>
                <m:t>b</m:t>
              </m:r>
            </m:e>
            <m:sub>
              <m:r>
                <m:rPr>
                  <m:nor/>
                  <m:sty m:val="p"/>
                </m:rPr>
                <m:t>base</m:t>
              </m:r>
            </m:sub>
          </m:sSub>
          <m:r>
            <m:rPr>
              <m:sty m:val="p"/>
            </m:rPr>
            <m:t>⋅</m:t>
          </m:r>
          <m:r>
            <m:rPr>
              <m:sty m:val="p"/>
            </m:rPr>
            <m:t>exp</m:t>
          </m:r>
          <m:r>
            <m:t>​</m:t>
          </m:r>
          <m:d>
            <m:dPr>
              <m:begChr m:val="("/>
              <m:sepChr m:val=""/>
              <m:endChr m:val=")"/>
              <m:grow/>
            </m:dPr>
            <m:e>
              <m:r>
                <m:rPr>
                  <m:sty m:val="p"/>
                </m:rPr>
                <m:t>−</m:t>
              </m:r>
              <m:f>
                <m:fPr>
                  <m:type m:val="bar"/>
                </m:fPr>
                <m:num>
                  <m:sSub>
                    <m:e>
                      <m:r>
                        <m:t>d</m:t>
                      </m:r>
                    </m:e>
                    <m:sub>
                      <m:r>
                        <m:t>m</m:t>
                      </m:r>
                    </m:sub>
                  </m:sSub>
                </m:num>
                <m:den>
                  <m:sSub>
                    <m:e>
                      <m:r>
                        <m:t>λ</m:t>
                      </m:r>
                    </m:e>
                    <m:sub>
                      <m:r>
                        <m:t>d</m:t>
                      </m:r>
                    </m:sub>
                  </m:sSub>
                </m:den>
              </m:f>
            </m:e>
          </m:d>
          <m:r>
            <m:rPr>
              <m:sty m:val="p"/>
            </m:rPr>
            <m:t>⋅</m:t>
          </m:r>
          <m:r>
            <m:rPr>
              <m:sty m:val="p"/>
            </m:rPr>
            <m:t>min</m:t>
          </m:r>
          <m:r>
            <m:t>​</m:t>
          </m:r>
          <m:d>
            <m:dPr>
              <m:begChr m:val="("/>
              <m:sepChr m:val=""/>
              <m:endChr m:val=")"/>
              <m:grow/>
            </m:dPr>
            <m:e>
              <m:f>
                <m:fPr>
                  <m:type m:val="bar"/>
                </m:fPr>
                <m:num>
                  <m:sSub>
                    <m:e>
                      <m:r>
                        <m:t>v</m:t>
                      </m:r>
                    </m:e>
                    <m:sub>
                      <m:r>
                        <m:t>m</m:t>
                      </m:r>
                    </m:sub>
                  </m:sSub>
                </m:num>
                <m:den>
                  <m:sSub>
                    <m:e>
                      <m:r>
                        <m:t>c</m:t>
                      </m:r>
                    </m:e>
                    <m:sub>
                      <m:r>
                        <m:t>m</m:t>
                      </m:r>
                    </m:sub>
                  </m:sSub>
                  <m:r>
                    <m:rPr>
                      <m:sty m:val="p"/>
                    </m:rPr>
                    <m:t>+</m:t>
                  </m:r>
                  <m:r>
                    <m:t>0.01</m:t>
                  </m:r>
                </m:den>
              </m:f>
              <m:r>
                <m:rPr>
                  <m:sty m:val="p"/>
                </m:rPr>
                <m:t>,</m:t>
              </m:r>
              <m:r>
                <m:t> </m:t>
              </m:r>
              <m:r>
                <m:t>2.0</m:t>
              </m:r>
            </m:e>
          </m:d>
        </m:oMath>
      </m:oMathPara>
    </w:p>
    <w:p>
      <w:pPr>
        <w:pStyle w:val="FirstParagraph"/>
      </w:pPr>
      <w:r>
        <w:t xml:space="preserve">where</w:t>
      </w:r>
      <w:r>
        <w:t xml:space="preserve"> </w:t>
      </w:r>
      <m:oMath>
        <m:sSub>
          <m:e>
            <m:r>
              <m:t>b</m:t>
            </m:r>
          </m:e>
          <m:sub>
            <m:r>
              <m:rPr>
                <m:nor/>
                <m:sty m:val="p"/>
              </m:rPr>
              <m:t>base</m:t>
            </m:r>
          </m:sub>
        </m:sSub>
        <m:r>
          <m:rPr>
            <m:sty m:val="p"/>
          </m:rPr>
          <m:t>=</m:t>
        </m:r>
        <m:r>
          <m:t>0.25</m:t>
        </m:r>
        <m:r>
          <m:rPr>
            <m:sty m:val="p"/>
          </m:rPr>
          <m:t>⋅</m:t>
        </m:r>
        <m:r>
          <m:rPr>
            <m:sty m:val="p"/>
          </m:rPr>
          <m:t>(</m:t>
        </m:r>
        <m:r>
          <m:t>1</m:t>
        </m:r>
        <m:r>
          <m:rPr>
            <m:sty m:val="p"/>
          </m:rPr>
          <m:t>+</m:t>
        </m:r>
        <m:r>
          <m:t>q</m:t>
        </m:r>
        <m:r>
          <m:rPr>
            <m:sty m:val="p"/>
          </m:rPr>
          <m:t>/</m:t>
        </m:r>
        <m:r>
          <m:rPr>
            <m:sty m:val="p"/>
          </m:rPr>
          <m:t>(</m:t>
        </m:r>
        <m:r>
          <m:t>1</m:t>
        </m:r>
        <m:r>
          <m:rPr>
            <m:sty m:val="p"/>
          </m:rPr>
          <m:t>+</m:t>
        </m:r>
        <m:r>
          <m:t>q</m:t>
        </m:r>
        <m:r>
          <m:rPr>
            <m:sty m:val="p"/>
          </m:rPr>
          <m:t>)</m:t>
        </m:r>
        <m:r>
          <m:rPr>
            <m:sty m:val="p"/>
          </m:rPr>
          <m:t>)</m:t>
        </m:r>
      </m:oMath>
      <w:r>
        <w:t xml:space="preserve"> </w:t>
      </w:r>
      <w:r>
        <w:t xml:space="preserve">with</w:t>
      </w:r>
      <w:r>
        <w:t xml:space="preserve"> </w:t>
      </w:r>
      <m:oMath>
        <m:r>
          <m:t>q</m:t>
        </m:r>
      </m:oMath>
      <w:r>
        <w:t xml:space="preserve"> </w:t>
      </w:r>
      <w:r>
        <w:t xml:space="preserve">the band’s quality (so</w:t>
      </w:r>
      <w:r>
        <w:t xml:space="preserve"> </w:t>
      </w:r>
      <m:oMath>
        <m:sSub>
          <m:e>
            <m:r>
              <m:t>b</m:t>
            </m:r>
          </m:e>
          <m:sub>
            <m:r>
              <m:rPr>
                <m:nor/>
                <m:sty m:val="p"/>
              </m:rPr>
              <m:t>base</m:t>
            </m:r>
          </m:sub>
        </m:sSub>
        <m:r>
          <m:rPr>
            <m:sty m:val="p"/>
          </m:rPr>
          <m:t>∈</m:t>
        </m:r>
        <m:r>
          <m:rPr>
            <m:sty m:val="p"/>
          </m:rPr>
          <m:t>[</m:t>
        </m:r>
        <m:r>
          <m:t>0.25</m:t>
        </m:r>
        <m:r>
          <m:rPr>
            <m:sty m:val="p"/>
          </m:rPr>
          <m:t>,</m:t>
        </m:r>
        <m:r>
          <m:t>0.50</m:t>
        </m:r>
        <m:r>
          <m:rPr>
            <m:sty m:val="p"/>
          </m:rPr>
          <m:t>]</m:t>
        </m:r>
      </m:oMath>
      <w:r>
        <w:t xml:space="preserve">),</w:t>
      </w:r>
      <w:r>
        <w:t xml:space="preserve"> </w:t>
      </w:r>
      <m:oMath>
        <m:sSub>
          <m:e>
            <m:r>
              <m:t>d</m:t>
            </m:r>
          </m:e>
          <m:sub>
            <m:r>
              <m:t>m</m:t>
            </m:r>
          </m:sub>
        </m:sSub>
      </m:oMath>
      <w:r>
        <w:t xml:space="preserve"> </w:t>
      </w:r>
      <w:r>
        <w:t xml:space="preserve">is the distance from the source,</w:t>
      </w:r>
      <w:r>
        <w:t xml:space="preserve"> </w:t>
      </w:r>
      <m:oMath>
        <m:sSub>
          <m:e>
            <m:r>
              <m:t>λ</m:t>
            </m:r>
          </m:e>
          <m:sub>
            <m:r>
              <m:t>d</m:t>
            </m:r>
          </m:sub>
        </m:sSub>
        <m:r>
          <m:rPr>
            <m:sty m:val="p"/>
          </m:rPr>
          <m:t>=</m:t>
        </m:r>
        <m:r>
          <m:t>500</m:t>
        </m:r>
      </m:oMath>
      <w:r>
        <w:t xml:space="preserve"> </w:t>
      </w:r>
      <w:r>
        <w:t xml:space="preserve">km is the distance-decay scale,</w:t>
      </w:r>
      <w:r>
        <w:t xml:space="preserve"> </w:t>
      </w:r>
      <m:oMath>
        <m:sSub>
          <m:e>
            <m:r>
              <m:t>v</m:t>
            </m:r>
          </m:e>
          <m:sub>
            <m:r>
              <m:t>m</m:t>
            </m:r>
          </m:sub>
        </m:sSub>
      </m:oMath>
      <w:r>
        <w:t xml:space="preserve"> </w:t>
      </w:r>
      <w:r>
        <w:t xml:space="preserve">is the per-material signal value computed from source distance (</w:t>
      </w:r>
      <m:oMath>
        <m:sSub>
          <m:e>
            <m:r>
              <m:t>v</m:t>
            </m:r>
          </m:e>
          <m:sub>
            <m:r>
              <m:t>m</m:t>
            </m:r>
          </m:sub>
        </m:sSub>
        <m:r>
          <m:rPr>
            <m:sty m:val="p"/>
          </m:rPr>
          <m:t>=</m:t>
        </m:r>
        <m:sSub>
          <m:e>
            <m:r>
              <m:t>ρ</m:t>
            </m:r>
          </m:e>
          <m:sub>
            <m:r>
              <m:t>e</m:t>
            </m:r>
            <m:r>
              <m:t>x</m:t>
            </m:r>
            <m:r>
              <m:t>o</m:t>
            </m:r>
            <m:r>
              <m:t>t</m:t>
            </m:r>
            <m:r>
              <m:t>i</m:t>
            </m:r>
            <m:r>
              <m:t>c</m:t>
            </m:r>
          </m:sub>
        </m:sSub>
        <m:r>
          <m:rPr>
            <m:sty m:val="p"/>
          </m:rPr>
          <m:t>ln</m:t>
        </m:r>
        <m:r>
          <m:rPr>
            <m:sty m:val="p"/>
          </m:rPr>
          <m:t>(</m:t>
        </m:r>
        <m:r>
          <m:t>1</m:t>
        </m:r>
        <m:r>
          <m:rPr>
            <m:sty m:val="p"/>
          </m:rPr>
          <m:t>+</m:t>
        </m:r>
        <m:sSub>
          <m:e>
            <m:r>
              <m:t>d</m:t>
            </m:r>
          </m:e>
          <m:sub>
            <m:r>
              <m:t>m</m:t>
            </m:r>
          </m:sub>
        </m:sSub>
        <m:r>
          <m:rPr>
            <m:sty m:val="p"/>
          </m:rPr>
          <m:t>/</m:t>
        </m:r>
        <m:r>
          <m:t>100</m:t>
        </m:r>
        <m:r>
          <m:rPr>
            <m:sty m:val="p"/>
          </m:rPr>
          <m:t>)</m:t>
        </m:r>
      </m:oMath>
      <w:r>
        <w:t xml:space="preserve">;</w:t>
      </w:r>
      <w:r>
        <w:t xml:space="preserve"> </w:t>
      </w:r>
      <w:r>
        <w:rPr>
          <w:rStyle w:val="VerbatimChar"/>
        </w:rPr>
        <w:t xml:space="preserve">exotic_signal_value</w:t>
      </w:r>
      <w:r>
        <w:t xml:space="preserve">), and</w:t>
      </w:r>
      <w:r>
        <w:t xml:space="preserve"> </w:t>
      </w:r>
      <m:oMath>
        <m:sSub>
          <m:e>
            <m:r>
              <m:t>c</m:t>
            </m:r>
          </m:e>
          <m:sub>
            <m:r>
              <m:t>m</m:t>
            </m:r>
          </m:sub>
        </m:sSub>
      </m:oMath>
      <w:r>
        <w:t xml:space="preserve"> </w:t>
      </w:r>
      <w:r>
        <w:t xml:space="preserve">is the per-material acquisition cost (</w:t>
      </w:r>
      <m:oMath>
        <m:sSub>
          <m:e>
            <m:r>
              <m:t>c</m:t>
            </m:r>
          </m:e>
          <m:sub>
            <m:r>
              <m:t>m</m:t>
            </m:r>
          </m:sub>
        </m:sSub>
        <m:r>
          <m:rPr>
            <m:sty m:val="p"/>
          </m:rPr>
          <m:t>=</m:t>
        </m:r>
        <m:r>
          <m:t>0.05</m:t>
        </m:r>
        <m:rad>
          <m:radPr>
            <m:degHide m:val="on"/>
          </m:radPr>
          <m:deg/>
          <m:e>
            <m:sSub>
              <m:e>
                <m:r>
                  <m:t>d</m:t>
                </m:r>
              </m:e>
              <m:sub>
                <m:r>
                  <m:t>m</m:t>
                </m:r>
              </m:sub>
            </m:sSub>
            <m:r>
              <m:rPr>
                <m:sty m:val="p"/>
              </m:rPr>
              <m:t>/</m:t>
            </m:r>
            <m:r>
              <m:t>250</m:t>
            </m:r>
          </m:e>
        </m:rad>
      </m:oMath>
      <w:r>
        <w:t xml:space="preserve">;</w:t>
      </w:r>
      <w:r>
        <w:t xml:space="preserve"> </w:t>
      </w:r>
      <w:r>
        <w:rPr>
          <w:rStyle w:val="VerbatimChar"/>
        </w:rPr>
        <w:t xml:space="preserve">exotic_signaling_cost</w:t>
      </w:r>
      <w:r>
        <w:t xml:space="preserve">). The value/cost ratio is capped at</w:t>
      </w:r>
      <w:r>
        <w:t xml:space="preserve"> </w:t>
      </w:r>
      <m:oMath>
        <m:r>
          <m:t>2.0</m:t>
        </m:r>
      </m:oMath>
      <w:r>
        <w:t xml:space="preserve"> </w:t>
      </w:r>
      <w:r>
        <w:t xml:space="preserve">to prevent any single low-cost material from saturating the per-band acquisition budget. The total</w:t>
      </w:r>
      <w:r>
        <w:t xml:space="preserve"> </w:t>
      </w:r>
      <m:oMath>
        <m:sSub>
          <m:e>
            <m:r>
              <m:t>p</m:t>
            </m:r>
          </m:e>
          <m:sub>
            <m:r>
              <m:rPr>
                <m:nor/>
                <m:sty m:val="p"/>
              </m:rPr>
              <m:t>acq</m:t>
            </m:r>
            <m:r>
              <m:rPr>
                <m:sty m:val="p"/>
              </m:rPr>
              <m:t>,</m:t>
            </m:r>
            <m:r>
              <m:t>m</m:t>
            </m:r>
          </m:sub>
        </m:sSub>
      </m:oMath>
      <w:r>
        <w:t xml:space="preserve"> </w:t>
      </w:r>
      <w:r>
        <w:t xml:space="preserve">is then capped at</w:t>
      </w:r>
      <w:r>
        <w:t xml:space="preserve"> </w:t>
      </w:r>
      <m:oMath>
        <m:r>
          <m:t>0.5</m:t>
        </m:r>
      </m:oMath>
      <w:r>
        <w:t xml:space="preserve">, and after the first successful acquisition in a given material the loop breaks (one material per aggregation year per band). This per-call cap is a model-implementation choice rather than a parameter. It bounds the per-year acquisition rate to one material acquisition event regardless of how strongly the per-material probabilities multiply. Per-band cumulative exotic counts at the end of the simulation reflect the integral of these per-year per-material acquisition events.</w:t>
      </w:r>
    </w:p>
    <w:p>
      <w:pPr>
        <w:pStyle w:val="BodyText"/>
      </w:pPr>
      <w:r>
        <w:t xml:space="preserve">The signal-blind alternative remains available in the code via the</w:t>
      </w:r>
      <w:r>
        <w:t xml:space="preserve"> </w:t>
      </w:r>
      <w:r>
        <w:rPr>
          <w:rStyle w:val="VerbatimChar"/>
        </w:rPr>
        <w:t xml:space="preserve">signal_conditional_partners</w:t>
      </w:r>
      <w:r>
        <w:t xml:space="preserve"> </w:t>
      </w:r>
      <w:r>
        <w:t xml:space="preserve">flag for ablation comparisons: the same expected number of ties forms per pass (a uniform tie probability equal to the cohort mean of the conditional probabilities), but who pairs with whom is uniform random; shortfall help is a single random obligation call; and the</w:t>
      </w:r>
      <w:r>
        <w:t xml:space="preserve"> </w:t>
      </w:r>
      <m:oMath>
        <m:sSub>
          <m:e>
            <m:r>
              <m:t>σ</m:t>
            </m:r>
          </m:e>
          <m:sub>
            <m:r>
              <m:t>e</m:t>
            </m:r>
            <m:r>
              <m:t>f</m:t>
            </m:r>
            <m:r>
              <m:t>f</m:t>
            </m:r>
          </m:sub>
        </m:sSub>
      </m:oMath>
      <w:r>
        <w:t xml:space="preserve"> </w:t>
      </w:r>
      <w:r>
        <w:t xml:space="preserve">network-density coupling is disabled. The default in current calibration runs is signal-conditional mode.</w:t>
      </w:r>
    </w:p>
    <w:p>
      <w:r>
        <w:pict>
          <v:rect style="width:0;height:1.5pt" o:hralign="center" o:hrstd="t" o:hr="t"/>
        </w:pict>
      </w:r>
    </w:p>
    <w:bookmarkEnd w:id="14"/>
    <w:bookmarkEnd w:id="15"/>
    <w:bookmarkStart w:id="23" w:name="X5da86dd822f4b8656cb6ddfa7e05813dd4f053e"/>
    <w:p>
      <w:pPr>
        <w:pStyle w:val="Heading2"/>
      </w:pPr>
      <w:r>
        <w:t xml:space="preserve">S2. Parameter Estimation and Justification</w:t>
      </w:r>
    </w:p>
    <w:p>
      <w:pPr>
        <w:pStyle w:val="FirstParagraph"/>
      </w:pPr>
      <w: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Per-year monument investment flow</w:t>
            </w:r>
          </w:p>
        </w:tc>
        <w:tc>
          <w:tcPr/>
          <w:p>
            <w:pPr>
              <w:pStyle w:val="Compact"/>
            </w:pPr>
            <w:r>
              <w:t xml:space="preserve">investment units / yr</w:t>
            </w:r>
          </w:p>
        </w:tc>
        <w:tc>
          <w:tcPr/>
          <w:p>
            <w:pPr>
              <w:pStyle w:val="Compact"/>
            </w:pPr>
            <m:oMath>
              <m:nary>
                <m:naryPr>
                  <m:chr m:val="∑"/>
                  <m:limLoc m:val="undOvr"/>
                  <m:subHide m:val="off"/>
                  <m:supHide m:val="on"/>
                </m:naryPr>
                <m:sub>
                  <m:r>
                    <m:t>i</m:t>
                  </m:r>
                </m:sub>
                <m:sup>
                  <m:r>
                    <m:t>​</m:t>
                  </m:r>
                </m:sup>
                <m:e>
                  <m:sSub>
                    <m:e>
                      <m:r>
                        <m:rPr>
                          <m:nor/>
                          <m:sty m:val="p"/>
                        </m:rPr>
                        <m:t>invest</m:t>
                      </m:r>
                    </m:e>
                    <m:sub>
                      <m:r>
                        <m:t>i</m:t>
                      </m:r>
                      <m:r>
                        <m:rPr>
                          <m:sty m:val="p"/>
                        </m:rPr>
                        <m:t>,</m:t>
                      </m:r>
                      <m:r>
                        <m:t>t</m:t>
                      </m:r>
                    </m:sub>
                  </m:sSub>
                </m:e>
              </m:nary>
            </m:oMath>
            <w:r>
              <w:t xml:space="preserve"> </w:t>
            </w:r>
            <w:r>
              <w:t xml:space="preserve">(summed over bands in year</w:t>
            </w:r>
            <w:r>
              <w:t xml:space="preserve"> </w:t>
            </w:r>
            <m:oMath>
              <m:r>
                <m:t>t</m:t>
              </m:r>
            </m:oMath>
            <w:r>
              <w:t xml:space="preserve">)</w:t>
            </w:r>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r>
                <m:rPr>
                  <m:sty m:val="p"/>
                </m:rPr>
                <m:t>+</m:t>
              </m:r>
              <m:r>
                <m:t>λ</m:t>
              </m:r>
              <m:sSubSup>
                <m:e>
                  <m:r>
                    <m:t>q</m:t>
                  </m:r>
                </m:e>
                <m:sub>
                  <m:r>
                    <m:t>m</m:t>
                  </m:r>
                  <m:r>
                    <m:t>i</m:t>
                  </m:r>
                  <m:r>
                    <m:t>n</m:t>
                  </m:r>
                </m:sub>
                <m:sup>
                  <m:r>
                    <m:t>2</m:t>
                  </m:r>
                </m:sup>
              </m:sSubSup>
              <m:r>
                <m:rPr>
                  <m:sty m:val="p"/>
                </m:rPr>
                <m:t>ln</m:t>
              </m:r>
              <m:r>
                <m:rPr>
                  <m:sty m:val="p"/>
                </m:rPr>
                <m:t>(</m:t>
              </m:r>
              <m:sSub>
                <m:e>
                  <m:r>
                    <m:t>q</m:t>
                  </m:r>
                </m:e>
                <m:sub>
                  <m:r>
                    <m:t>m</m:t>
                  </m:r>
                  <m:r>
                    <m:t>a</m:t>
                  </m:r>
                  <m:r>
                    <m:t>x</m:t>
                  </m:r>
                </m:sub>
              </m:sSub>
              <m:r>
                <m:rPr>
                  <m:sty m:val="p"/>
                </m:rPr>
                <m:t>/</m:t>
              </m:r>
              <m:sSub>
                <m:e>
                  <m:r>
                    <m:t>q</m:t>
                  </m:r>
                </m:e>
                <m:sub>
                  <m:r>
                    <m:t>m</m:t>
                  </m:r>
                  <m:r>
                    <m:t>i</m:t>
                  </m:r>
                  <m:r>
                    <m:t>n</m:t>
                  </m:r>
                </m:sub>
              </m:sSub>
              <m:r>
                <m:rPr>
                  <m:sty m:val="p"/>
                </m:rPr>
                <m:t>)</m:t>
              </m:r>
              <m:r>
                <m:rPr>
                  <m:sty m:val="p"/>
                </m:rPr>
                <m:t>/</m:t>
              </m:r>
              <m:r>
                <m:rPr>
                  <m:sty m:val="p"/>
                </m:rPr>
                <m:t>(</m:t>
              </m:r>
              <m:r>
                <m:t>2</m:t>
              </m:r>
              <m:r>
                <m:rPr>
                  <m:sty m:val="p"/>
                </m:rPr>
                <m:t>(</m:t>
              </m:r>
              <m:sSub>
                <m:e>
                  <m:r>
                    <m:t>q</m:t>
                  </m:r>
                </m:e>
                <m:sub>
                  <m:r>
                    <m:t>m</m:t>
                  </m:r>
                  <m:r>
                    <m:t>a</m:t>
                  </m:r>
                  <m:r>
                    <m:t>x</m:t>
                  </m:r>
                </m:sub>
              </m:sSub>
              <m:r>
                <m:rPr>
                  <m:sty m:val="p"/>
                </m:rPr>
                <m:t>−</m:t>
              </m:r>
              <m:sSub>
                <m:e>
                  <m:r>
                    <m:t>q</m:t>
                  </m:r>
                </m:e>
                <m:sub>
                  <m:r>
                    <m:t>m</m:t>
                  </m:r>
                  <m:r>
                    <m:t>i</m:t>
                  </m:r>
                  <m:r>
                    <m:t>n</m:t>
                  </m:r>
                </m:sub>
              </m:sSub>
              <m:r>
                <m:rPr>
                  <m:sty m:val="p"/>
                </m:rPr>
                <m:t>)</m:t>
              </m:r>
              <m:r>
                <m:rPr>
                  <m:sty m:val="p"/>
                </m:rPr>
                <m:t>)</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sSub>
                <m:e>
                  <m:r>
                    <m:t>μ</m:t>
                  </m:r>
                </m:e>
                <m:sub>
                  <m:r>
                    <m:t>c</m:t>
                  </m:r>
                </m:sub>
              </m:sSub>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t xml:space="preserve">Cost parameters</w:t>
      </w:r>
    </w:p>
    <w:p>
      <w:pPr>
        <w:pStyle w:val="FirstParagraph"/>
      </w:pPr>
      <w:r>
        <w:rPr>
          <w:b/>
          <w:bCs/>
        </w:rPr>
        <w:t xml:space="preserve">Travel.</w:t>
      </w:r>
      <w:r>
        <w:t xml:space="preserve"> </w:t>
      </w:r>
      <m:oMath>
        <m:sSub>
          <m:e>
            <m:r>
              <m:t>C</m:t>
            </m:r>
          </m:e>
          <m:sub>
            <m:r>
              <m:t>t</m:t>
            </m:r>
            <m:r>
              <m:t>r</m:t>
            </m:r>
            <m:r>
              <m:t>a</m:t>
            </m:r>
            <m:r>
              <m:t>v</m:t>
            </m:r>
            <m:r>
              <m:t>e</m:t>
            </m:r>
            <m:r>
              <m:t>l</m:t>
            </m:r>
          </m:sub>
        </m:sSub>
        <m:r>
          <m:rPr>
            <m:sty m:val="p"/>
          </m:rPr>
          <m:t>=</m:t>
        </m:r>
        <m:r>
          <m:t>0.0004</m:t>
        </m:r>
        <m:r>
          <m:t>d</m:t>
        </m:r>
      </m:oMath>
      <w:r>
        <w:t xml:space="preserve">, where</w:t>
      </w:r>
      <w:r>
        <w:t xml:space="preserve"> </w:t>
      </w:r>
      <m:oMath>
        <m:r>
          <m:t>d</m:t>
        </m:r>
      </m:oMath>
      <w:r>
        <w:t xml:space="preserve"> </w:t>
      </w:r>
      <w: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b/>
          <w:bCs/>
        </w:rPr>
        <w:t xml:space="preserve">Signaling.</w:t>
      </w:r>
      <w:r>
        <w:t xml:space="preserve"> </w:t>
      </w:r>
      <m:oMath>
        <m:sSub>
          <m:e>
            <m:r>
              <m:t>C</m:t>
            </m:r>
          </m:e>
          <m:sub>
            <m:r>
              <m:t>s</m:t>
            </m:r>
            <m:r>
              <m:t>i</m:t>
            </m:r>
            <m:r>
              <m:t>g</m:t>
            </m:r>
            <m:r>
              <m:t>n</m:t>
            </m:r>
            <m:r>
              <m:t>a</m:t>
            </m:r>
            <m:r>
              <m:t>l</m:t>
            </m:r>
          </m:sub>
        </m:sSub>
        <m:r>
          <m:rPr>
            <m:sty m:val="p"/>
          </m:rPr>
          <m:t>≈</m:t>
        </m:r>
        <m:r>
          <m:t>0.18</m:t>
        </m:r>
      </m:oMath>
      <w: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b/>
          <w:bCs/>
        </w:rPr>
        <w:t xml:space="preserve">Opportunity.</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Ethnographic seasonal aggregations typically sacrifice 10-15% of annual foraging efficiency by concentrating activities at a single location rather than optimizing seasonal rounds (Conkey 1980).</w:t>
      </w:r>
    </w:p>
    <w:p>
      <w:pPr>
        <w:pStyle w:val="BodyText"/>
      </w:pPr>
      <w:r>
        <w:rPr>
          <w:b/>
          <w:bCs/>
        </w:rPr>
        <w:t xml:space="preserve">Total.</w:t>
      </w:r>
      <w:r>
        <w:t xml:space="preserve"> </w:t>
      </w:r>
      <w:r>
        <w:t xml:space="preserve">For a band 100 km from the site:</w:t>
      </w:r>
      <w:r>
        <w:t xml:space="preserve"> </w:t>
      </w:r>
      <m:oMath>
        <m:sSub>
          <m:e>
            <m:r>
              <m:t>C</m:t>
            </m:r>
          </m:e>
          <m:sub>
            <m:r>
              <m:t>t</m:t>
            </m:r>
            <m:r>
              <m:t>o</m:t>
            </m:r>
            <m:r>
              <m:t>t</m:t>
            </m:r>
            <m:r>
              <m:t>a</m:t>
            </m:r>
            <m:r>
              <m:t>l</m:t>
            </m:r>
          </m:sub>
        </m:sSub>
        <m:r>
          <m:rPr>
            <m:sty m:val="p"/>
          </m:rPr>
          <m:t>≈</m:t>
        </m:r>
        <m:r>
          <m:t>0.34</m:t>
        </m:r>
      </m:oMath>
      <w:r>
        <w:t xml:space="preserve">.</w:t>
      </w:r>
    </w:p>
    <w:bookmarkEnd w:id="17"/>
    <w:bookmarkStart w:id="18" w:name="network-and-vulnerability-parameters"/>
    <w:p>
      <w:pPr>
        <w:pStyle w:val="Heading3"/>
      </w:pPr>
      <w:r>
        <w:t xml:space="preserve">Network and vulnerability parameters</w:t>
      </w:r>
    </w:p>
    <w:p>
      <w:pPr>
        <w:pStyle w:val="FirstParagraph"/>
      </w:pPr>
      <w:r>
        <w:t xml:space="preserve">The model derives vulnerability endogenously rather than fixing</w:t>
      </w:r>
      <w:r>
        <w:t xml:space="preserve"> </w:t>
      </w:r>
      <m:oMath>
        <m:r>
          <m:t>α</m:t>
        </m:r>
      </m:oMath>
      <w:r>
        <w:t xml:space="preserve"> </w:t>
      </w:r>
      <w:r>
        <w:t xml:space="preserve">and</w:t>
      </w:r>
      <w:r>
        <w:t xml:space="preserve"> </w:t>
      </w:r>
      <m:oMath>
        <m:r>
          <m:t>β</m:t>
        </m:r>
      </m:oMath>
      <w:r>
        <w:t xml:space="preserve"> </w:t>
      </w:r>
      <w: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t xml:space="preserve"> </w:t>
      </w:r>
      <w:r>
        <w:t xml:space="preserve">(buffering efficiency per network partner) is consistent with the modest-but-real per-partner buffering effect documented in !Kung sharing networks (Wiessner 2002).</w:t>
      </w:r>
      <w:r>
        <w:t xml:space="preserve"> </w:t>
      </w:r>
      <m:oMath>
        <m:sSub>
          <m:e>
            <m:r>
              <m:t>k</m:t>
            </m:r>
          </m:e>
          <m:sub>
            <m:r>
              <m:t>0</m:t>
            </m:r>
          </m:sub>
        </m:sSub>
        <m:r>
          <m:rPr>
            <m:sty m:val="p"/>
          </m:rPr>
          <m:t>=</m:t>
        </m:r>
        <m:r>
          <m:t>0.3</m:t>
        </m:r>
      </m:oMath>
      <w:r>
        <w:t xml:space="preserve"> </w:t>
      </w:r>
      <w:r>
        <w:t xml:space="preserve">(baseline kin connections without aggregation),</w:t>
      </w:r>
      <w:r>
        <w:t xml:space="preserve"> </w:t>
      </w:r>
      <m:oMath>
        <m:sSub>
          <m:e>
            <m:r>
              <m:t>k</m:t>
            </m:r>
          </m:e>
          <m:sub>
            <m:r>
              <m:t>m</m:t>
            </m:r>
            <m:r>
              <m:t>a</m:t>
            </m:r>
            <m:r>
              <m:t>x</m:t>
            </m:r>
          </m:sub>
        </m:sSub>
        <m:r>
          <m:rPr>
            <m:sty m:val="p"/>
          </m:rPr>
          <m:t>=</m:t>
        </m:r>
        <m:r>
          <m:t>6.0</m:t>
        </m:r>
      </m:oMath>
      <w:r>
        <w:t xml:space="preserve"> </w:t>
      </w:r>
      <w:r>
        <w:t xml:space="preserve">(maximum additional degree), and</w:t>
      </w:r>
      <w:r>
        <w:t xml:space="preserve"> </w:t>
      </w:r>
      <m:oMath>
        <m:sSub>
          <m:e>
            <m:r>
              <m:t>M</m:t>
            </m:r>
          </m:e>
          <m:sub>
            <m:r>
              <m:t>h</m:t>
            </m:r>
            <m:r>
              <m:t>a</m:t>
            </m:r>
            <m:r>
              <m:t>l</m:t>
            </m:r>
            <m:r>
              <m:t>f</m:t>
            </m:r>
          </m:sub>
        </m:sSub>
        <m:r>
          <m:rPr>
            <m:sty m:val="p"/>
          </m:rPr>
          <m:t>=</m:t>
        </m:r>
        <m:r>
          <m:t>2.5</m:t>
        </m:r>
      </m:oMath>
      <w:r>
        <w:t xml:space="preserve"> </w:t>
      </w:r>
      <w: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t xml:space="preserve">Independent vulnerability emerges as</w:t>
      </w:r>
      <w: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t xml:space="preserve">. Within-aggregation aggregator vulnerability for a band with mature network (</w:t>
      </w:r>
      <m:oMath>
        <m:sSub>
          <m:e>
            <m:r>
              <m:t>k</m:t>
            </m:r>
          </m:e>
          <m:sub>
            <m:r>
              <m:t>a</m:t>
            </m:r>
            <m:r>
              <m:t>g</m:t>
            </m:r>
            <m:r>
              <m:t>g</m:t>
            </m:r>
          </m:sub>
        </m:sSub>
      </m:oMath>
      <w:r>
        <w:t xml:space="preserve"> </w:t>
      </w:r>
      <w:r>
        <w:t xml:space="preserve">in the 4-6 range) is</w:t>
      </w:r>
      <w: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t xml:space="preserve">, giving values in the 0.77-0.83 range. The instantaneous (within-aggregation) buffering ratio</w:t>
      </w:r>
      <w: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t xml:space="preserve"> </w:t>
      </w:r>
      <w:r>
        <w:t xml:space="preserve">is therefore approximately 1.18-1.28: each additional cooperation partner contributes a small marginal buffering increment because</w:t>
      </w:r>
      <w:r>
        <w:t xml:space="preserve"> </w:t>
      </w:r>
      <m:oMath>
        <m:r>
          <m:t>γ</m:t>
        </m:r>
        <m:r>
          <m:rPr>
            <m:sty m:val="p"/>
          </m:rPr>
          <m:t>=</m:t>
        </m:r>
        <m:r>
          <m:t>0.05</m:t>
        </m:r>
      </m:oMath>
      <w:r>
        <w:t xml:space="preserve"> </w:t>
      </w:r>
      <w:r>
        <w:t xml:space="preserve">is a low per-partner buffering rate. Because aggregation occupies only</w:t>
      </w:r>
      <w:r>
        <w:t xml:space="preserve"> </w:t>
      </w:r>
      <m:oMath>
        <m:sSub>
          <m:e>
            <m:r>
              <m:t>f</m:t>
            </m:r>
          </m:e>
          <m:sub>
            <m:r>
              <m:t>a</m:t>
            </m:r>
            <m:r>
              <m:t>g</m:t>
            </m:r>
            <m:r>
              <m:t>g</m:t>
            </m:r>
          </m:sub>
        </m:sSub>
        <m:r>
          <m:rPr>
            <m:sty m:val="p"/>
          </m:rPr>
          <m:t>≈</m:t>
        </m:r>
        <m:r>
          <m:t>0.25</m:t>
        </m:r>
      </m:oMath>
      <w:r>
        <w:t xml:space="preserve"> </w:t>
      </w:r>
      <w:r>
        <w:t xml:space="preserve">of the year and networks decay during dispersal, the</w:t>
      </w:r>
      <w:r>
        <w:t xml:space="preserve"> </w:t>
      </w:r>
      <w:r>
        <w:rPr>
          <w:i/>
          <w:iCs/>
        </w:rPr>
        <w:t xml:space="preserve">effective annual</w:t>
      </w:r>
      <w:r>
        <w:t xml:space="preserve"> </w:t>
      </w:r>
      <w:r>
        <w:t xml:space="preserve">vulnerability</w:t>
      </w:r>
      <w:r>
        <w:t xml:space="preserve"> </w:t>
      </w:r>
      <m:oMath>
        <m:r>
          <m:t>α</m:t>
        </m:r>
        <m:r>
          <m:rPr>
            <m:sty m:val="p"/>
          </m:rPr>
          <m:t>(</m:t>
        </m:r>
        <m:sSub>
          <m:e>
            <m:r>
              <m:t>k</m:t>
            </m:r>
          </m:e>
          <m:sub>
            <m:r>
              <m:t>e</m:t>
            </m:r>
            <m:r>
              <m:t>f</m:t>
            </m:r>
            <m:r>
              <m:t>f</m:t>
            </m:r>
          </m:sub>
        </m:sSub>
        <m:r>
          <m:rPr>
            <m:sty m:val="p"/>
          </m:rPr>
          <m:t>)</m:t>
        </m:r>
      </m:oMath>
      <w:r>
        <w:t xml:space="preserve"> </w:t>
      </w:r>
      <w:r>
        <w:t xml:space="preserve">used in the fitness function is approximately 0.82, giving an annualized buffering ratio of approximately 1.20. The within-aggregation and annualized ratios are similar (~1.2-1.3) because, with</w:t>
      </w:r>
      <w:r>
        <w:t xml:space="preserve"> </w:t>
      </w:r>
      <m:oMath>
        <m:r>
          <m:t>γ</m:t>
        </m:r>
        <m:r>
          <m:rPr>
            <m:sty m:val="p"/>
          </m:rPr>
          <m:t>=</m:t>
        </m:r>
        <m:r>
          <m:t>0.05</m:t>
        </m:r>
      </m:oMath>
      <w: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component: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t xml:space="preserve">with</w:t>
      </w:r>
      <w:r>
        <w:t xml:space="preserve"> </w:t>
      </w:r>
      <m:oMath>
        <m:sSub>
          <m:e>
            <m:r>
              <m:t>δ</m:t>
            </m:r>
          </m:e>
          <m:sub>
            <m:r>
              <m:t>n</m:t>
            </m:r>
            <m:r>
              <m:t>e</m:t>
            </m:r>
            <m:r>
              <m:t>t</m:t>
            </m:r>
          </m:sub>
        </m:sSub>
        <m:r>
          <m:rPr>
            <m:sty m:val="p"/>
          </m:rPr>
          <m:t>=</m:t>
        </m:r>
        <m:r>
          <m:t>0.40</m:t>
        </m:r>
      </m:oMath>
      <w:r>
        <w:t xml:space="preserve"> </w:t>
      </w:r>
      <w:r>
        <w:t xml:space="preserve">network decay rate during dispersal.</w:t>
      </w:r>
    </w:p>
    <w:bookmarkEnd w:id="18"/>
    <w:bookmarkStart w:id="19" w:name="signaling-parameters"/>
    <w:p>
      <w:pPr>
        <w:pStyle w:val="Heading3"/>
      </w:pPr>
      <w:r>
        <w:t xml:space="preserve">Signaling parameters</w:t>
      </w:r>
    </w:p>
    <w:p>
      <w:pPr>
        <w:pStyle w:val="FirstParagraph"/>
      </w:pPr>
      <w:r>
        <w:t xml:space="preserve">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t>
      </w:r>
      <w:r>
        <w:t xml:space="preserve">has within-group (</w:t>
      </w:r>
      <m:oMath>
        <m:sSub>
          <m:e>
            <m:r>
              <m:t>λ</m:t>
            </m:r>
          </m:e>
          <m:sub>
            <m:r>
              <m:t>W</m:t>
            </m:r>
          </m:sub>
        </m:sSub>
        <m:r>
          <m:rPr>
            <m:sty m:val="p"/>
          </m:rPr>
          <m:t>=</m:t>
        </m:r>
        <m:r>
          <m:t>0.15</m:t>
        </m:r>
      </m:oMath>
      <w:r>
        <w:t xml:space="preserve">), conflict-deterrence (</w:t>
      </w:r>
      <m:oMath>
        <m:sSub>
          <m:e>
            <m:r>
              <m:t>λ</m:t>
            </m:r>
          </m:e>
          <m:sub>
            <m:r>
              <m:t>C</m:t>
            </m:r>
          </m:sub>
        </m:sSub>
      </m:oMath>
      <w:r>
        <w:t xml:space="preserve">), and cooperation-network (</w:t>
      </w:r>
      <m:oMath>
        <m:sSub>
          <m:e>
            <m:r>
              <m:t>λ</m:t>
            </m:r>
          </m:e>
          <m:sub>
            <m:r>
              <m:t>X</m:t>
            </m:r>
          </m:sub>
        </m:sSub>
      </m:oMath>
      <w:r>
        <w:t xml:space="preserve">) components. Because monument stock affects the very signaling reward that drives more monument-building,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cannot be set independently. They are solved by repeated substitution (fixed-point iteration): guess</w:t>
      </w:r>
      <w:r>
        <w:t xml:space="preserve"> </w:t>
      </w:r>
      <m:oMath>
        <m:sSub>
          <m:e>
            <m:r>
              <m:t>λ</m:t>
            </m:r>
          </m:e>
          <m:sub>
            <m:r>
              <m:t>X</m:t>
            </m:r>
          </m:sub>
        </m:sSub>
      </m:oMath>
      <w:r>
        <w:t xml:space="preserve">, compute the resulting monument stock, recompute</w:t>
      </w:r>
      <w:r>
        <w:t xml:space="preserve"> </w:t>
      </w:r>
      <m:oMath>
        <m:sSub>
          <m:e>
            <m:r>
              <m:t>λ</m:t>
            </m:r>
          </m:e>
          <m:sub>
            <m:r>
              <m:t>X</m:t>
            </m:r>
          </m:sub>
        </m:sSub>
      </m:oMath>
      <w:r>
        <w:t xml:space="preserve">, repeat until the values stop changing within</w:t>
      </w:r>
      <w:r>
        <w:t xml:space="preserve"> </w:t>
      </w:r>
      <m:oMath>
        <m:sSup>
          <m:e>
            <m:r>
              <m:t>10</m:t>
            </m:r>
          </m:e>
          <m:sup>
            <m:r>
              <m:rPr>
                <m:sty m:val="p"/>
              </m:rPr>
              <m:t>−</m:t>
            </m:r>
            <m:r>
              <m:t>6</m:t>
            </m:r>
          </m:sup>
        </m:sSup>
      </m:oMath>
      <w:r>
        <w:t xml:space="preserve">. One cycle of that loop is: monument stock</w:t>
      </w:r>
      <w:r>
        <w:t xml:space="preserve"> </w:t>
      </w:r>
      <m:oMath>
        <m:r>
          <m:rPr>
            <m:sty m:val="p"/>
          </m:rPr>
          <m:t>→</m:t>
        </m:r>
      </m:oMath>
      <w:r>
        <w:t xml:space="preserve"> </w:t>
      </w:r>
      <w:r>
        <w:t xml:space="preserve">network degree</w:t>
      </w:r>
      <w:r>
        <w:t xml:space="preserve"> </w:t>
      </w:r>
      <m:oMath>
        <m:r>
          <m:rPr>
            <m:sty m:val="p"/>
          </m:rPr>
          <m:t>→</m:t>
        </m:r>
      </m:oMath>
      <w:r>
        <w:t xml:space="preserve"> </w:t>
      </w:r>
      <w:r>
        <w:t xml:space="preserve">vulnerability reduction</w:t>
      </w:r>
      <w:r>
        <w:t xml:space="preserve"> </w:t>
      </w:r>
      <m:oMath>
        <m:r>
          <m:rPr>
            <m:sty m:val="p"/>
          </m:rPr>
          <m:t>→</m:t>
        </m:r>
      </m:oMath>
      <w:r>
        <w:t xml:space="preserve"> </w:t>
      </w:r>
      <w:r>
        <w:t xml:space="preserve">raised</w:t>
      </w:r>
      <w:r>
        <w:t xml:space="preserve"> </w:t>
      </w:r>
      <m:oMath>
        <m:sSub>
          <m:e>
            <m:r>
              <m:t>λ</m:t>
            </m:r>
          </m:e>
          <m:sub>
            <m:r>
              <m:t>X</m:t>
            </m:r>
          </m:sub>
        </m:sSub>
      </m:oMath>
      <w:r>
        <w:t xml:space="preserve"> </w:t>
      </w:r>
      <m:oMath>
        <m:r>
          <m:rPr>
            <m:sty m:val="p"/>
          </m:rPr>
          <m:t>→</m:t>
        </m:r>
      </m:oMath>
      <w:r>
        <w:t xml:space="preserve"> </w:t>
      </w:r>
      <w:r>
        <w:t xml:space="preserve">raised optimal investment</w:t>
      </w:r>
      <w:r>
        <w:t xml:space="preserve"> </w:t>
      </w:r>
      <m:oMath>
        <m:sSup>
          <m:e>
            <m:r>
              <m:t>x</m:t>
            </m:r>
          </m:e>
          <m:sup>
            <m:r>
              <m:rPr>
                <m:sty m:val="p"/>
              </m:rPr>
              <m:t>*</m:t>
            </m:r>
          </m:sup>
        </m:sSup>
        <m:r>
          <m:rPr>
            <m:sty m:val="p"/>
          </m:rPr>
          <m:t>(</m:t>
        </m:r>
        <m:r>
          <m:t>q</m:t>
        </m:r>
        <m:r>
          <m:rPr>
            <m:sty m:val="p"/>
          </m:rPr>
          <m:t>)</m:t>
        </m:r>
      </m:oMath>
      <w:r>
        <w:t xml:space="preserve"> </w:t>
      </w:r>
      <m:oMath>
        <m:r>
          <m:rPr>
            <m:sty m:val="p"/>
          </m:rPr>
          <m:t>→</m:t>
        </m:r>
      </m:oMath>
      <w:r>
        <w:t xml:space="preserve"> </w:t>
      </w:r>
      <w:r>
        <w:t xml:space="preserve">more monuments. We use damping (factor 0.5) so successive estimates do not oscillate. At the equilibrium reached for Poverty Point conditions,</w:t>
      </w:r>
      <w:r>
        <w:t xml:space="preserve"> </w:t>
      </w:r>
      <m:oMath>
        <m:sSub>
          <m:e>
            <m:r>
              <m:t>M</m:t>
            </m:r>
          </m:e>
          <m:sub>
            <m:r>
              <m:t>g</m:t>
            </m:r>
          </m:sub>
        </m:sSub>
      </m:oMath>
      <w:r>
        <w:t xml:space="preserve"> </w:t>
      </w:r>
      <w:r>
        <w:t xml:space="preserve">is large enough that the network degree function saturates, making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small at equilibrium and</w:t>
      </w:r>
      <w:r>
        <w:t xml:space="preserve"> </w:t>
      </w:r>
      <m:oMath>
        <m:r>
          <m:t>λ</m:t>
        </m:r>
      </m:oMath>
      <w:r>
        <w:t xml:space="preserve"> </w:t>
      </w:r>
      <w:r>
        <w:t xml:space="preserve">dominated by</w:t>
      </w:r>
      <w:r>
        <w:t xml:space="preserve"> </w:t>
      </w:r>
      <m:oMath>
        <m:sSub>
          <m:e>
            <m:r>
              <m:t>λ</m:t>
            </m:r>
          </m:e>
          <m:sub>
            <m:r>
              <m:t>W</m:t>
            </m:r>
          </m:sub>
        </m:sSub>
      </m:oMath>
      <w:r>
        <w:t xml:space="preserve">.</w:t>
      </w:r>
    </w:p>
    <w:p>
      <w:pPr>
        <w:pStyle w:val="BodyText"/>
      </w:pPr>
      <w:r>
        <w:rPr>
          <w:b/>
          <w:bCs/>
        </w:rPr>
        <w:t xml:space="preserve">Convergence diagnostics.</w:t>
      </w:r>
      <w:r>
        <w:t xml:space="preserve"> </w:t>
      </w:r>
      <w:r>
        <w:t xml:space="preserve">We tested the fixed-point iteration across a 30-point sweep of</w:t>
      </w:r>
      <w:r>
        <w:t xml:space="preserve"> </w:t>
      </w:r>
      <m:oMath>
        <m:r>
          <m:t>σ</m:t>
        </m:r>
      </m:oMath>
      <w:r>
        <w:t xml:space="preserve"> </w:t>
      </w:r>
      <w:r>
        <w:t xml:space="preserve">from 0.10 to 0.95 (covering both sub- and supra-threshold regimes). Of these 30 runs, 100% converged to within the</w:t>
      </w:r>
      <w:r>
        <w:t xml:space="preserve"> </w:t>
      </w:r>
      <m:oMath>
        <m:sSup>
          <m:e>
            <m:r>
              <m:t>10</m:t>
            </m:r>
          </m:e>
          <m:sup>
            <m:r>
              <m:rPr>
                <m:sty m:val="p"/>
              </m:rPr>
              <m:t>−</m:t>
            </m:r>
            <m:r>
              <m:t>6</m:t>
            </m:r>
          </m:sup>
        </m:sSup>
      </m:oMath>
      <w:r>
        <w:t xml:space="preserve"> </w:t>
      </w:r>
      <w:r>
        <w:t xml:space="preserve">tolerance. Mean, median, and maximum iteration counts were all 18, indicating uniform convergence speed across the parameter range. To check for multiple fixed points, we ran the iteration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from different starting conditions and verified that the resulting equilibrium monument stock</w:t>
      </w:r>
      <w:r>
        <w:t xml:space="preserve"> </w:t>
      </w:r>
      <m:oMath>
        <m:sSub>
          <m:e>
            <m:r>
              <m:t>M</m:t>
            </m:r>
          </m:e>
          <m:sub>
            <m:r>
              <m:t>g</m:t>
            </m:r>
          </m:sub>
        </m:sSub>
      </m:oMath>
      <w:r>
        <w:t xml:space="preserve"> </w:t>
      </w:r>
      <w:r>
        <w:t xml:space="preserve">differed by less than 1 part in</w:t>
      </w:r>
      <w:r>
        <w:t xml:space="preserve"> </w:t>
      </w:r>
      <m:oMath>
        <m:sSup>
          <m:e>
            <m:r>
              <m:t>10</m:t>
            </m:r>
          </m:e>
          <m:sup>
            <m:r>
              <m:t>4</m:t>
            </m:r>
          </m:sup>
        </m:sSup>
      </m:oMath>
      <w:r>
        <w:t xml:space="preserve"> </w:t>
      </w:r>
      <w:r>
        <w:t xml:space="preserve">(129.78 vs. 129.78 vs. 129.79), confirming empirically that the fixed point is unique within the explored range. The contraction-mapping property follows from the monotonicity of</w:t>
      </w:r>
      <w: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t xml:space="preserve"> </w:t>
      </w:r>
      <w:r>
        <w:t xml:space="preserve">combined with the saturating</w:t>
      </w:r>
      <w:r>
        <w:t xml:space="preserve"> </w:t>
      </w:r>
      <m:oMath>
        <m:r>
          <m:t>k</m:t>
        </m:r>
        <m:r>
          <m:rPr>
            <m:sty m:val="p"/>
          </m:rPr>
          <m:t>(</m:t>
        </m:r>
        <m:sSub>
          <m:e>
            <m:r>
              <m:t>M</m:t>
            </m:r>
          </m:e>
          <m:sub>
            <m:r>
              <m:t>g</m:t>
            </m:r>
          </m:sub>
        </m:sSub>
        <m:r>
          <m:rPr>
            <m:sty m:val="p"/>
          </m:rPr>
          <m:t>)</m:t>
        </m:r>
      </m:oMath>
      <w:r>
        <w:t xml:space="preserve"> </w:t>
      </w:r>
      <w:r>
        <w:t xml:space="preserve">function: at large</w:t>
      </w:r>
      <w:r>
        <w:t xml:space="preserve"> </w:t>
      </w:r>
      <m:oMath>
        <m:sSub>
          <m:e>
            <m:r>
              <m:t>M</m:t>
            </m:r>
          </m:e>
          <m:sub>
            <m:r>
              <m:t>g</m:t>
            </m:r>
          </m:sub>
        </m:sSub>
      </m:oMath>
      <w:r>
        <w:t xml:space="preserve"> </w:t>
      </w:r>
      <w:r>
        <w:t xml:space="preserve">the marginal contribution to</w:t>
      </w:r>
      <w:r>
        <w:t xml:space="preserve"> </w:t>
      </w:r>
      <m:oMath>
        <m:sSub>
          <m:e>
            <m:r>
              <m:t>λ</m:t>
            </m:r>
          </m:e>
          <m:sub>
            <m:r>
              <m:t>X</m:t>
            </m:r>
          </m:sub>
        </m:sSub>
      </m:oMath>
      <w:r>
        <w:t xml:space="preserve"> </w:t>
      </w:r>
      <w:r>
        <w:t xml:space="preserve">vanishes, providing a stable upper bound, while at small</w:t>
      </w:r>
      <w:r>
        <w:t xml:space="preserve"> </w:t>
      </w:r>
      <m:oMath>
        <m:sSub>
          <m:e>
            <m:r>
              <m:t>M</m:t>
            </m:r>
          </m:e>
          <m:sub>
            <m:r>
              <m:t>g</m:t>
            </m:r>
          </m:sub>
        </m:sSub>
      </m:oMath>
      <w:r>
        <w:t xml:space="preserve"> </w:t>
      </w:r>
      <w:r>
        <w:t xml:space="preserve">the lower bound is set by</w:t>
      </w:r>
      <w:r>
        <w:t xml:space="preserve"> </w:t>
      </w:r>
      <m:oMath>
        <m:sSub>
          <m:e>
            <m:r>
              <m:t>λ</m:t>
            </m:r>
          </m:e>
          <m:sub>
            <m:r>
              <m:t>W</m:t>
            </m:r>
          </m:sub>
        </m:sSub>
        <m:r>
          <m:rPr>
            <m:sty m:val="p"/>
          </m:rPr>
          <m:t>&gt;</m:t>
        </m:r>
        <m:r>
          <m:t>0</m:t>
        </m:r>
      </m:oMath>
      <w:r>
        <w:t xml:space="preserve"> </w:t>
      </w:r>
      <w:r>
        <w:t xml:space="preserve">alone.</w:t>
      </w:r>
    </w:p>
    <w:p>
      <w:pPr>
        <w:pStyle w:val="BodyText"/>
      </w:pPr>
      <w:r>
        <w:rPr>
          <w:b/>
          <w:bCs/>
        </w:rPr>
        <w:t xml:space="preserve">Within-group reward ablation.</w:t>
      </w:r>
      <w:r>
        <w:t xml:space="preserve"> </w:t>
      </w:r>
      <w:r>
        <w:t xml:space="preserve">Setting</w:t>
      </w:r>
      <w:r>
        <w:t xml:space="preserve"> </w:t>
      </w:r>
      <m:oMath>
        <m:sSub>
          <m:e>
            <m:r>
              <m:t>λ</m:t>
            </m:r>
          </m:e>
          <m:sub>
            <m:r>
              <m:t>W</m:t>
            </m:r>
          </m:sub>
        </m:sSub>
        <m:r>
          <m:rPr>
            <m:sty m:val="p"/>
          </m:rPr>
          <m:t>=</m:t>
        </m:r>
        <m:r>
          <m:t>0</m:t>
        </m:r>
      </m:oMath>
      <w:r>
        <w:t xml:space="preserve"> </w:t>
      </w:r>
      <w:r>
        <w:t xml:space="preserve">(which removes the only signaling-as-such contribution to fitness; cooperation benefits via</w:t>
      </w:r>
      <w:r>
        <w:t xml:space="preserve"> </w:t>
      </w:r>
      <m:oMath>
        <m:sSub>
          <m:e>
            <m:r>
              <m:t>λ</m:t>
            </m:r>
          </m:e>
          <m:sub>
            <m:r>
              <m:t>X</m:t>
            </m:r>
          </m:sub>
        </m:sSub>
      </m:oMath>
      <w:r>
        <w:t xml:space="preserve"> </w:t>
      </w:r>
      <w:r>
        <w:t xml:space="preserve">and conflict deterrence via</w:t>
      </w:r>
      <w:r>
        <w:t xml:space="preserve"> </w:t>
      </w:r>
      <m:oMath>
        <m:sSub>
          <m:e>
            <m:r>
              <m:t>λ</m:t>
            </m:r>
          </m:e>
          <m:sub>
            <m:r>
              <m:t>C</m:t>
            </m:r>
          </m:sub>
        </m:sSub>
      </m:oMath>
      <w:r>
        <w:t xml:space="preserve"> </w:t>
      </w:r>
      <w:r>
        <w:t xml:space="preserve">remain) raises the critical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shift. A linear sweep</w:t>
      </w:r>
      <w: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t xml:space="preserve"> </w:t>
      </w:r>
      <w:r>
        <w:t xml:space="preserve">produces</w:t>
      </w:r>
      <w: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t xml:space="preserve">, demonstrating that the within-group signaling reward contributes a substantial portion of the threshold lowering and that the model is</w:t>
      </w:r>
      <w:r>
        <w:t xml:space="preserve"> </w:t>
      </w:r>
      <w:r>
        <w:rPr>
          <w:i/>
          <w:iCs/>
        </w:rPr>
        <w:t xml:space="preserve">not</w:t>
      </w:r>
      <w:r>
        <w:t xml:space="preserve"> </w:t>
      </w:r>
      <w:r>
        <w:t xml:space="preserve">well approximated by a generic cooperation account in which signaling is decoration.</w:t>
      </w:r>
    </w:p>
    <w:p>
      <w:pPr>
        <w:pStyle w:val="BodyText"/>
      </w:pPr>
      <w:r>
        <w:t xml:space="preserve">The signaling benefit is derived from the Grafen (1990) signaling equilibrium and is the expectation of each band’s individual signaling payoff over the uniform quality distribution</w:t>
      </w:r>
      <w: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t xml:space="preserve"> </w:t>
      </w:r>
      <m:oMath>
        <m:sSub>
          <m:e>
            <m:r>
              <m:t>q</m:t>
            </m:r>
          </m:e>
          <m:sub>
            <m:r>
              <m:t>m</m:t>
            </m:r>
            <m:r>
              <m:t>i</m:t>
            </m:r>
            <m:r>
              <m:t>n</m:t>
            </m:r>
          </m:sub>
        </m:sSub>
      </m:oMath>
      <w:r>
        <w:t xml:space="preserve">. At our parameters (</w:t>
      </w:r>
      <m:oMath>
        <m:sSub>
          <m:e>
            <m:r>
              <m:t>q</m:t>
            </m:r>
          </m:e>
          <m:sub>
            <m:r>
              <m:t>m</m:t>
            </m:r>
            <m:r>
              <m:t>i</m:t>
            </m:r>
            <m:r>
              <m:t>n</m:t>
            </m:r>
          </m:sub>
        </m:sSub>
        <m:r>
          <m:rPr>
            <m:sty m:val="p"/>
          </m:rPr>
          <m:t>=</m:t>
        </m:r>
        <m:r>
          <m:t>0.2</m:t>
        </m:r>
      </m:oMath>
      <w:r>
        <w:t xml:space="preserve">,</w:t>
      </w:r>
      <w:r>
        <w:t xml:space="preserve"> </w:t>
      </w:r>
      <m:oMath>
        <m:sSub>
          <m:e>
            <m:r>
              <m:t>q</m:t>
            </m:r>
          </m:e>
          <m:sub>
            <m:r>
              <m:t>m</m:t>
            </m:r>
            <m:r>
              <m:t>a</m:t>
            </m:r>
            <m:r>
              <m:t>x</m:t>
            </m:r>
          </m:sub>
        </m:sSub>
        <m:r>
          <m:rPr>
            <m:sty m:val="p"/>
          </m:rPr>
          <m:t>=</m:t>
        </m:r>
        <m:r>
          <m:t>2.0</m:t>
        </m:r>
      </m:oMath>
      <w:r>
        <w:t xml:space="preserve">; the ratio of the two terms is independent of</w:t>
      </w:r>
      <w:r>
        <w:t xml:space="preserve"> </w:t>
      </w:r>
      <m:oMath>
        <m:r>
          <m:t>λ</m:t>
        </m:r>
      </m:oMath>
      <w:r>
        <w:t xml:space="preserve">) the second term is approximately 5% of the first, and the code computes both.</w:t>
      </w:r>
    </w:p>
    <w:bookmarkEnd w:id="19"/>
    <w:bookmarkStart w:id="20" w:name="conflict-parameters"/>
    <w:p>
      <w:pPr>
        <w:pStyle w:val="Heading3"/>
      </w:pPr>
      <w:r>
        <w:t xml:space="preserve">Conflict parameters</w:t>
      </w:r>
    </w:p>
    <w:p>
      <w:pPr>
        <w:pStyle w:val="FirstParagraph"/>
      </w:pPr>
      <w:r>
        <w:t xml:space="preserve">Baseline annual conflict probability</w:t>
      </w:r>
      <w:r>
        <w:t xml:space="preserve"> </w:t>
      </w:r>
      <m:oMath>
        <m:sSub>
          <m:e>
            <m:r>
              <m:t>P</m:t>
            </m:r>
          </m:e>
          <m:sub>
            <m:r>
              <m:t>b</m:t>
            </m:r>
            <m:r>
              <m:t>a</m:t>
            </m:r>
            <m:r>
              <m:t>s</m:t>
            </m:r>
            <m:r>
              <m:t>e</m:t>
            </m:r>
          </m:sub>
        </m:sSub>
        <m:r>
          <m:rPr>
            <m:sty m:val="p"/>
          </m:rPr>
          <m:t>=</m:t>
        </m:r>
        <m:r>
          <m:t>0.008</m:t>
        </m:r>
      </m:oMath>
      <w:r>
        <w:t xml:space="preserve"> </w:t>
      </w:r>
      <w:r>
        <w:t xml:space="preserve">and conflict mortality</w:t>
      </w:r>
      <w:r>
        <w:t xml:space="preserve"> </w:t>
      </w:r>
      <m:oMath>
        <m:sSub>
          <m:e>
            <m:r>
              <m:t>μ</m:t>
            </m:r>
          </m:e>
          <m:sub>
            <m:r>
              <m:t>c</m:t>
            </m:r>
          </m:sub>
        </m:sSub>
        <m:r>
          <m:rPr>
            <m:sty m:val="p"/>
          </m:rPr>
          <m:t>=</m:t>
        </m:r>
        <m:r>
          <m:t>0.08</m:t>
        </m:r>
      </m:oMath>
      <w:r>
        <w:t xml:space="preserve"> </w:t>
      </w:r>
      <w: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t xml:space="preserve">Ecotone parameter</w:t>
      </w:r>
    </w:p>
    <w:p>
      <w:pPr>
        <w:pStyle w:val="FirstParagraph"/>
      </w:pPr>
      <m:oMath>
        <m:r>
          <m:t>ε</m:t>
        </m:r>
      </m:oMath>
      <w:r>
        <w:t xml:space="preserve"> </w:t>
      </w:r>
      <w:r>
        <w:t xml:space="preserve">ranges from 0 (single-zone location) to ~0.5 (exceptionally well-buffered). The main §2.3 develops the negative-covariance interpretation and the regional empirical paper develops the per-site operationalization at LMV mound-building sites. Here we treat</w:t>
      </w:r>
      <w:r>
        <w:t xml:space="preserve"> </w:t>
      </w:r>
      <m:oMath>
        <m:r>
          <m:t>ε</m:t>
        </m:r>
      </m:oMath>
      <w:r>
        <w:t xml:space="preserve"> </w:t>
      </w:r>
      <w:r>
        <w:t xml:space="preserve">as an input variable on</w:t>
      </w:r>
      <w:r>
        <w:t xml:space="preserve"> </w:t>
      </w:r>
      <m:oMath>
        <m:r>
          <m:rPr>
            <m:sty m:val="p"/>
          </m:rPr>
          <m:t>[</m:t>
        </m:r>
        <m:r>
          <m:t>0</m:t>
        </m:r>
        <m:r>
          <m:rPr>
            <m:sty m:val="p"/>
          </m:rPr>
          <m:t>,</m:t>
        </m:r>
        <m:r>
          <m:t>0.5</m:t>
        </m:r>
        <m:r>
          <m:rPr>
            <m:sty m:val="p"/>
          </m:rPr>
          <m:t>]</m:t>
        </m:r>
      </m:oMath>
      <w:r>
        <w:t xml:space="preserve"> </w:t>
      </w:r>
      <w:r>
        <w:t xml:space="preserve">for purposes of the theoretical sweeps below.</w:t>
      </w:r>
    </w:p>
    <w:bookmarkEnd w:id="21"/>
    <w:bookmarkStart w:id="22" w:name="table-s2-full-parameter-list"/>
    <w:p>
      <w:pPr>
        <w:pStyle w:val="Heading3"/>
      </w:pPr>
      <w: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sSub>
                <m:e>
                  <m:r>
                    <m:t>μ</m:t>
                  </m:r>
                </m:e>
                <m:sub>
                  <m:r>
                    <m:t>c</m:t>
                  </m:r>
                </m:sub>
              </m:sSub>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p>
      <w:r>
        <w:pict>
          <v:rect style="width:0;height:1.5pt" o:hralign="center" o:hrstd="t" o:hr="t"/>
        </w:pict>
      </w:r>
    </w:p>
    <w:bookmarkEnd w:id="22"/>
    <w:bookmarkEnd w:id="23"/>
    <w:bookmarkStart w:id="36" w:name="s3.-sensitivity-analyses"/>
    <w:p>
      <w:pPr>
        <w:pStyle w:val="Heading2"/>
      </w:pPr>
      <w:r>
        <w:t xml:space="preserve">S3. Sensitivity Analyses</w:t>
      </w:r>
    </w:p>
    <w:bookmarkStart w:id="30" w:name="s3.1-one-at-a-time-oat-tornado-plot"/>
    <w:p>
      <w:pPr>
        <w:pStyle w:val="Heading3"/>
      </w:pPr>
      <w:r>
        <w:t xml:space="preserve">S3.1 One-at-a-time (OAT) tornado plot</w:t>
      </w:r>
    </w:p>
    <w:p>
      <w:pPr>
        <w:pStyle w:val="FirstParagraph"/>
      </w:pPr>
      <w:r>
        <w:t xml:space="preserve">We performed an OAT sensitivity analysis varying each parameter in turn within its plausible range while holding the others at default. The critical threshold</w:t>
      </w:r>
      <w:r>
        <w:t xml:space="preserve"> </w:t>
      </w:r>
      <m:oMath>
        <m:sSup>
          <m:e>
            <m:r>
              <m:t>σ</m:t>
            </m:r>
          </m:e>
          <m:sup>
            <m:r>
              <m:rPr>
                <m:sty m:val="p"/>
              </m:rPr>
              <m:t>*</m:t>
            </m:r>
          </m:sup>
        </m:sSup>
      </m:oMath>
      <w:r>
        <w:t xml:space="preserve"> </w:t>
      </w:r>
      <w:r>
        <w:t xml:space="preserve">is most sensitive to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C</m:t>
            </m:r>
          </m:e>
          <m:sub>
            <m:r>
              <m:t>t</m:t>
            </m:r>
            <m:r>
              <m:t>r</m:t>
            </m:r>
            <m:r>
              <m:t>a</m:t>
            </m:r>
            <m:r>
              <m:t>v</m:t>
            </m:r>
            <m:r>
              <m:t>e</m:t>
            </m:r>
            <m:r>
              <m:t>l</m:t>
            </m:r>
          </m:sub>
        </m:sSub>
      </m:oMath>
      <w:r>
        <w:t xml:space="preserve">) and within-group signaling rewards (</w:t>
      </w:r>
      <m:oMath>
        <m:sSub>
          <m:e>
            <m:r>
              <m:t>λ</m:t>
            </m:r>
          </m:e>
          <m:sub>
            <m:r>
              <m:t>W</m:t>
            </m:r>
          </m:sub>
        </m:sSub>
      </m:oMath>
      <w:r>
        <w:t xml:space="preserve">); moderately sensitive to quality range (</w:t>
      </w:r>
      <m:oMath>
        <m:sSub>
          <m:e>
            <m:r>
              <m:t>q</m:t>
            </m:r>
          </m:e>
          <m:sub>
            <m:r>
              <m:t>m</m:t>
            </m:r>
            <m:r>
              <m:t>i</m:t>
            </m:r>
            <m:r>
              <m:t>n</m:t>
            </m:r>
          </m:sub>
        </m:sSub>
      </m:oMath>
      <w:r>
        <w:t xml:space="preserve">,</w:t>
      </w:r>
      <w:r>
        <w:t xml:space="preserve"> </w:t>
      </w:r>
      <m:oMath>
        <m:sSub>
          <m:e>
            <m:r>
              <m:t>q</m:t>
            </m:r>
          </m:e>
          <m:sub>
            <m:r>
              <m:t>m</m:t>
            </m:r>
            <m:r>
              <m:t>a</m:t>
            </m:r>
            <m:r>
              <m:t>x</m:t>
            </m:r>
          </m:sub>
        </m:sSub>
      </m:oMath>
      <w:r>
        <w:t xml:space="preserve">) and maximum network degree (</w:t>
      </w:r>
      <m:oMath>
        <m:sSub>
          <m:e>
            <m:r>
              <m:t>k</m:t>
            </m:r>
          </m:e>
          <m:sub>
            <m:r>
              <m:t>m</m:t>
            </m:r>
            <m:r>
              <m:t>a</m:t>
            </m:r>
            <m:r>
              <m:t>x</m:t>
            </m:r>
          </m:sub>
        </m:sSub>
      </m:oMath>
      <w:r>
        <w:t xml:space="preserve">); and insensitive to monument depreciation (</w:t>
      </w:r>
      <m:oMath>
        <m:r>
          <m:t>δ</m:t>
        </m:r>
      </m:oMath>
      <w:r>
        <w:t xml:space="preserve">), conflict parameters (</w:t>
      </w:r>
      <m:oMath>
        <m:sSub>
          <m:e>
            <m:r>
              <m:t>P</m:t>
            </m:r>
          </m:e>
          <m:sub>
            <m:r>
              <m:t>b</m:t>
            </m:r>
            <m:r>
              <m:t>a</m:t>
            </m:r>
            <m:r>
              <m:t>s</m:t>
            </m:r>
            <m:r>
              <m:t>e</m:t>
            </m:r>
          </m:sub>
        </m:sSub>
      </m:oMath>
      <w:r>
        <w:t xml:space="preserve">), and the half-saturation constant (</w:t>
      </w:r>
      <m:oMath>
        <m:sSub>
          <m:e>
            <m:r>
              <m:t>M</m:t>
            </m:r>
          </m:e>
          <m:sub>
            <m:r>
              <m:t>h</m:t>
            </m:r>
            <m:r>
              <m:t>a</m:t>
            </m:r>
            <m:r>
              <m:t>l</m:t>
            </m:r>
            <m:r>
              <m:t>f</m:t>
            </m:r>
          </m:sub>
        </m:sSub>
      </m:oMath>
      <w:r>
        <w:t xml:space="preserve">). Initial values of</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sensitivity because they are endogenously determined by the lambda-sigma feedback loop.</w:t>
      </w:r>
    </w:p>
    <w:p>
      <w:pPr>
        <w:pStyle w:val="BodyText"/>
      </w:pPr>
      <w:r>
        <w:t xml:space="preserve">The numerical OAT table below is reproducible from</w:t>
      </w:r>
      <w:r>
        <w:t xml:space="preserve"> </w:t>
      </w:r>
      <w:r>
        <w:rPr>
          <w:rStyle w:val="VerbatimChar"/>
        </w:rPr>
        <w:t xml:space="preserve">scripts/analysis/oat_sensitivity_table.py</w:t>
      </w:r>
      <w:r>
        <w:t xml:space="preserve">. Baseline</w:t>
      </w:r>
      <w:r>
        <w:t xml:space="preserve"> </w:t>
      </w:r>
      <m:oMath>
        <m:sSup>
          <m:e>
            <m:r>
              <m:t>σ</m:t>
            </m:r>
          </m:e>
          <m:sup>
            <m:r>
              <m:rPr>
                <m:sty m:val="p"/>
              </m:rPr>
              <m:t>*</m:t>
            </m:r>
          </m:sup>
        </m:sSup>
        <m:r>
          <m:rPr>
            <m:sty m:val="p"/>
          </m:rPr>
          <m:t>=</m:t>
        </m:r>
        <m:r>
          <m:t>0.3997</m:t>
        </m:r>
      </m:oMath>
      <w:r>
        <w:t xml:space="preserve"> </w:t>
      </w:r>
      <w:r>
        <w:t xml:space="preserve">at</w:t>
      </w:r>
      <w:r>
        <w:t xml:space="preserve"> </w:t>
      </w:r>
      <m:oMath>
        <m:r>
          <m:t>ε</m:t>
        </m:r>
        <m:r>
          <m:rPr>
            <m:sty m:val="p"/>
          </m:rPr>
          <m:t>=</m:t>
        </m:r>
        <m:r>
          <m:t>0.35</m:t>
        </m:r>
      </m:oMath>
      <w:r>
        <w:t xml:space="preserve"> </w:t>
      </w:r>
      <w:r>
        <w:t xml:space="preserve">and</w:t>
      </w:r>
      <w:r>
        <w:t xml:space="preserve"> </w:t>
      </w:r>
      <m:oMath>
        <m:sSub>
          <m:e>
            <m:r>
              <m:t>n</m:t>
            </m:r>
          </m:e>
          <m:sub>
            <m:r>
              <m:t>a</m:t>
            </m:r>
            <m:r>
              <m:t>g</m:t>
            </m:r>
            <m:r>
              <m:t>g</m:t>
            </m:r>
          </m:sub>
        </m:sSub>
        <m:r>
          <m:rPr>
            <m:sty m:val="p"/>
          </m:rPr>
          <m:t>=</m:t>
        </m:r>
        <m:r>
          <m:t>25</m:t>
        </m:r>
      </m:oMath>
      <w:r>
        <w:t xml:space="preserve">. Each multiplicative perturbation rescales the parameter by</w:t>
      </w:r>
      <w:r>
        <w:t xml:space="preserve"> </w:t>
      </w:r>
      <m:oMath>
        <m:r>
          <m:rPr>
            <m:sty m:val="p"/>
          </m:rPr>
          <m:t>±</m:t>
        </m:r>
        <m:r>
          <m:t>50</m:t>
        </m:r>
        <m:r>
          <m:rPr>
            <m:sty m:val="p"/>
          </m:rPr>
          <m:t>%</m:t>
        </m:r>
      </m:oMath>
      <w:r>
        <w:t xml:space="preserve"> </w:t>
      </w:r>
      <w:r>
        <w:t xml:space="preserve">relative to its default. Epsilon and</w:t>
      </w:r>
      <w:r>
        <w:t xml:space="preserve"> </w:t>
      </w:r>
      <m:oMath>
        <m:sSub>
          <m:e>
            <m:r>
              <m:t>n</m:t>
            </m:r>
          </m:e>
          <m:sub>
            <m:r>
              <m:t>a</m:t>
            </m:r>
            <m:r>
              <m:t>g</m:t>
            </m:r>
            <m:r>
              <m:t>g</m:t>
            </m:r>
          </m:sub>
        </m:sSub>
      </m:oMath>
      <w:r>
        <w:t xml:space="preserve"> </w:t>
      </w:r>
      <w: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t xml:space="preserve">The table makes the main §4.3</w:t>
      </w:r>
      <w:r>
        <w:t xml:space="preserve"> </w:t>
      </w:r>
      <w:r>
        <w:rPr>
          <w:i/>
          <w:iCs/>
        </w:rPr>
        <w:t xml:space="preserve">Receiver behavior</w:t>
      </w:r>
      <w:r>
        <w:t xml:space="preserve"> </w:t>
      </w:r>
      <w:r>
        <w:t xml:space="preserve">concession explicit: at the equilibrium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direct effect on</w:t>
      </w:r>
      <w:r>
        <w:t xml:space="preserve"> </w:t>
      </w:r>
      <m:oMath>
        <m:sSup>
          <m:e>
            <m:r>
              <m:t>σ</m:t>
            </m:r>
          </m:e>
          <m:sup>
            <m:r>
              <m:rPr>
                <m:sty m:val="p"/>
              </m:rPr>
              <m:t>*</m:t>
            </m:r>
          </m:sup>
        </m:sSup>
      </m:oMath>
      <w:r>
        <w:t xml:space="preserve"> </w:t>
      </w:r>
      <w:r>
        <w:t xml:space="preserve">(because they are endogenously determined by the fixed-point loop from</w:t>
      </w:r>
      <w:r>
        <w:t xml:space="preserve"> </w:t>
      </w:r>
      <m:oMath>
        <m:sSub>
          <m:e>
            <m:r>
              <m:t>λ</m:t>
            </m:r>
          </m:e>
          <m:sub>
            <m:r>
              <m:t>W</m:t>
            </m:r>
          </m:sub>
        </m:sSub>
      </m:oMath>
      <w:r>
        <w:t xml:space="preserve"> </w:t>
      </w:r>
      <w:r>
        <w:t xml:space="preserve">and the network state), so the</w:t>
      </w:r>
      <w:r>
        <w:t xml:space="preserve"> </w:t>
      </w:r>
      <m:oMath>
        <m:r>
          <m:rPr>
            <m:sty m:val="p"/>
          </m:rPr>
          <m:t>+</m:t>
        </m:r>
        <m:r>
          <m:t>36</m:t>
        </m:r>
        <m:r>
          <m:rPr>
            <m:sty m:val="p"/>
          </m:rPr>
          <m:t>%</m:t>
        </m:r>
      </m:oMath>
      <w:r>
        <w:t xml:space="preserve"> </w:t>
      </w:r>
      <w:r>
        <w:t xml:space="preserve">ablation result reported in main §4.3 is sensitivity to a single parameter (</w:t>
      </w:r>
      <m:oMath>
        <m:sSub>
          <m:e>
            <m:r>
              <m:t>λ</m:t>
            </m:r>
          </m:e>
          <m:sub>
            <m:r>
              <m:t>W</m:t>
            </m:r>
          </m:sub>
        </m:sSub>
      </m:oMath>
      <w: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t xml:space="preserve">) drives the framework’s predictive content: the cost structure and the ecotone advantage determine</w:t>
      </w:r>
      <w:r>
        <w:t xml:space="preserve"> </w:t>
      </w:r>
      <m:oMath>
        <m:sSup>
          <m:e>
            <m:r>
              <m:t>σ</m:t>
            </m:r>
          </m:e>
          <m:sup>
            <m:r>
              <m:rPr>
                <m:sty m:val="p"/>
              </m:rPr>
              <m:t>*</m:t>
            </m:r>
          </m:sup>
        </m:sSup>
      </m:oMath>
      <w:r>
        <w:t xml:space="preserve">. The within-group reward modulates it.</w:t>
      </w:r>
    </w:p>
    <w:p>
      <w:pPr>
        <w:pStyle w:val="BodyText"/>
      </w:pPr>
      <w:r>
        <w:drawing>
          <wp:inline>
            <wp:extent cx="5943600" cy="5060402"/>
            <wp:effectExtent b="0" l="0" r="0" t="0"/>
            <wp:docPr descr="" title="" id="25" name="Picture"/>
            <a:graphic>
              <a:graphicData uri="http://schemas.openxmlformats.org/drawingml/2006/picture">
                <pic:pic>
                  <pic:nvPicPr>
                    <pic:cNvPr descr="../../figures/supplemental/figure_S01_sensitivity_tornado.png" id="26" name="Picture"/>
                    <pic:cNvPicPr>
                      <a:picLocks noChangeArrowheads="1" noChangeAspect="1"/>
                    </pic:cNvPicPr>
                  </pic:nvPicPr>
                  <pic:blipFill>
                    <a:blip r:embed="rId24"/>
                    <a:stretch>
                      <a:fillRect/>
                    </a:stretch>
                  </pic:blipFill>
                  <pic:spPr bwMode="auto">
                    <a:xfrm>
                      <a:off x="0" y="0"/>
                      <a:ext cx="5943600" cy="5060402"/>
                    </a:xfrm>
                    <a:prstGeom prst="rect">
                      <a:avLst/>
                    </a:prstGeom>
                    <a:noFill/>
                    <a:ln w="9525">
                      <a:noFill/>
                      <a:headEnd/>
                      <a:tailEnd/>
                    </a:ln>
                  </pic:spPr>
                </pic:pic>
              </a:graphicData>
            </a:graphic>
          </wp:inline>
        </w:drawing>
      </w:r>
    </w:p>
    <w:p>
      <w:pPr>
        <w:pStyle w:val="BodyText"/>
      </w:pPr>
      <w:r>
        <w:rPr>
          <w:b/>
          <w:bCs/>
          <w:i/>
          <w:iCs/>
        </w:rPr>
        <w:t xml:space="preserve">Figure S1. One-at-a-time sensitivity analysis.</w:t>
      </w:r>
      <w:r>
        <w:t xml:space="preserve"> </w:t>
      </w:r>
      <w:r>
        <w:rPr>
          <w:i/>
          <w:iCs/>
        </w:rPr>
        <w:t xml:space="preserve">Tornado plot showing the swing in the critical threshold</w:t>
      </w:r>
      <w:r>
        <w:rPr>
          <w:i/>
          <w:iCs/>
        </w:rPr>
        <w:t xml:space="preserve"> </w:t>
      </w:r>
      <m:oMath>
        <m:sSup>
          <m:e>
            <m:r>
              <m:t>σ</m:t>
            </m:r>
          </m:e>
          <m:sup>
            <m:r>
              <m:rPr>
                <m:sty m:val="p"/>
              </m:rPr>
              <m:t>*</m:t>
            </m:r>
          </m:sup>
        </m:sSup>
      </m:oMath>
      <w:r>
        <w:rPr>
          <w:i/>
          <w:iCs/>
        </w:rPr>
        <w:t xml:space="preserve"> </w:t>
      </w:r>
      <w:r>
        <w:rPr>
          <w:i/>
          <w:iCs/>
        </w:rPr>
        <w:t xml:space="preserve">when each model parameter is perturbed by</w:t>
      </w:r>
      <w:r>
        <w:rPr>
          <w:i/>
          <w:iCs/>
        </w:rPr>
        <w:t xml:space="preserve"> </w:t>
      </w:r>
      <m:oMath>
        <m:r>
          <m:rPr>
            <m:sty m:val="p"/>
          </m:rPr>
          <m:t>±</m:t>
        </m:r>
        <m:r>
          <m:t>50</m:t>
        </m:r>
        <m:r>
          <m:rPr>
            <m:sty m:val="p"/>
          </m:rPr>
          <m:t>%</m:t>
        </m:r>
      </m:oMath>
      <w:r>
        <w:rPr>
          <w:i/>
          <w:iCs/>
        </w:rPr>
        <w:t xml:space="preserve"> </w:t>
      </w:r>
      <w:r>
        <w:rPr>
          <w:i/>
          <w:iCs/>
        </w:rPr>
        <w:t xml:space="preserve">from its default value 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Bars are sorted by absolute swing magnitude. Baseline</w:t>
      </w:r>
      <w:r>
        <w:rPr>
          <w:i/>
          <w:iCs/>
        </w:rPr>
        <w:t xml:space="preserve"> </w:t>
      </w:r>
      <m:oMath>
        <m:sSup>
          <m:e>
            <m:r>
              <m:t>σ</m:t>
            </m:r>
          </m:e>
          <m:sup>
            <m:r>
              <m:rPr>
                <m:sty m:val="p"/>
              </m:rPr>
              <m:t>*</m:t>
            </m:r>
          </m:sup>
        </m:sSup>
        <m:r>
          <m:rPr>
            <m:sty m:val="p"/>
          </m:rPr>
          <m:t>=</m:t>
        </m:r>
        <m:r>
          <m:t>0.40</m:t>
        </m:r>
      </m:oMath>
      <w:r>
        <w:rPr>
          <w:i/>
          <w:iCs/>
        </w:rPr>
        <w:t xml:space="preserve"> </w:t>
      </w:r>
      <w:r>
        <w:rPr>
          <w:i/>
          <w:iCs/>
        </w:rPr>
        <w:t xml:space="preserve">is marked by the vertical line. Aggregation costs (</w:t>
      </w:r>
      <m:oMath>
        <m:sSub>
          <m:e>
            <m:r>
              <m:t>C</m:t>
            </m:r>
          </m:e>
          <m:sub>
            <m:r>
              <m:t>s</m:t>
            </m:r>
            <m:r>
              <m:t>i</m:t>
            </m:r>
            <m:r>
              <m:t>g</m:t>
            </m:r>
            <m:r>
              <m:t>n</m:t>
            </m:r>
            <m:r>
              <m:t>a</m:t>
            </m:r>
            <m:r>
              <m:t>l</m:t>
            </m:r>
          </m:sub>
        </m:sSub>
      </m:oMath>
      <w:r>
        <w:rPr>
          <w:i/>
          <w:iCs/>
        </w:rPr>
        <w:t xml:space="preserve">, swing 0.225 in</w:t>
      </w:r>
      <w:r>
        <w:rPr>
          <w:i/>
          <w:iCs/>
        </w:rPr>
        <w:t xml:space="preserve"> </w:t>
      </w:r>
      <m:oMath>
        <m:sSup>
          <m:e>
            <m:r>
              <m:t>σ</m:t>
            </m:r>
          </m:e>
          <m:sup>
            <m:r>
              <m:rPr>
                <m:sty m:val="p"/>
              </m:rPr>
              <m:t>*</m:t>
            </m:r>
          </m:sup>
        </m:sSup>
      </m:oMath>
      <w:r>
        <w:rPr>
          <w:i/>
          <w:iCs/>
        </w:rPr>
        <w:t xml:space="preserve"> </w:t>
      </w:r>
      <w:r>
        <w:rPr>
          <w:i/>
          <w:iCs/>
        </w:rPr>
        <w:t xml:space="preserve">across</w:t>
      </w:r>
      <w:r>
        <w:rPr>
          <w:i/>
          <w:iCs/>
        </w:rPr>
        <w:t xml:space="preserve"> </w:t>
      </w:r>
      <m:oMath>
        <m:r>
          <m:rPr>
            <m:sty m:val="p"/>
          </m:rPr>
          <m:t>±</m:t>
        </m:r>
        <m:r>
          <m:t>50</m:t>
        </m:r>
        <m:r>
          <m:rPr>
            <m:sty m:val="p"/>
          </m:rPr>
          <m:t>%</m:t>
        </m:r>
      </m:oMath>
      <w:r>
        <w:rPr>
          <w:i/>
          <w:iCs/>
        </w:rPr>
        <w:t xml:space="preserve">), the ecotone advantage (</w:t>
      </w:r>
      <m:oMath>
        <m:r>
          <m:t>ε</m:t>
        </m:r>
      </m:oMath>
      <w:r>
        <w:rPr>
          <w:i/>
          <w:iCs/>
        </w:rPr>
        <w:t xml:space="preserve">, swing 0.154 across</w:t>
      </w:r>
      <w:r>
        <w:rPr>
          <w:i/>
          <w:iCs/>
        </w:rPr>
        <w:t xml:space="preserve"> </w:t>
      </w:r>
      <m:oMath>
        <m:r>
          <m:rPr>
            <m:sty m:val="p"/>
          </m:rPr>
          <m:t>[</m:t>
        </m:r>
        <m:r>
          <m:t>0.10</m:t>
        </m:r>
        <m:r>
          <m:rPr>
            <m:sty m:val="p"/>
          </m:rPr>
          <m:t>,</m:t>
        </m:r>
        <m:r>
          <m:t>0.50</m:t>
        </m:r>
        <m:r>
          <m:rPr>
            <m:sty m:val="p"/>
          </m:rPr>
          <m:t>]</m:t>
        </m:r>
      </m:oMath>
      <w:r>
        <w:rPr>
          <w:i/>
          <w:iCs/>
        </w:rPr>
        <w:t xml:space="preserve">), the opportunity cost (</w:t>
      </w:r>
      <m:oMath>
        <m:sSub>
          <m:e>
            <m:r>
              <m:t>C</m:t>
            </m:r>
          </m:e>
          <m:sub>
            <m:r>
              <m:t>o</m:t>
            </m:r>
            <m:r>
              <m:t>p</m:t>
            </m:r>
            <m:r>
              <m:t>p</m:t>
            </m:r>
            <m:r>
              <m:t>o</m:t>
            </m:r>
            <m:r>
              <m:t>r</m:t>
            </m:r>
            <m:r>
              <m:t>t</m:t>
            </m:r>
            <m:r>
              <m:t>u</m:t>
            </m:r>
            <m:r>
              <m:t>n</m:t>
            </m:r>
            <m:r>
              <m:t>i</m:t>
            </m:r>
            <m:r>
              <m:t>t</m:t>
            </m:r>
            <m:r>
              <m:t>y</m:t>
            </m:r>
          </m:sub>
        </m:sSub>
      </m:oMath>
      <w:r>
        <w:rPr>
          <w:i/>
          <w:iCs/>
        </w:rPr>
        <w:t xml:space="preserve">, 0.150), and the within-group reward (</w:t>
      </w:r>
      <m:oMath>
        <m:sSub>
          <m:e>
            <m:r>
              <m:t>λ</m:t>
            </m:r>
          </m:e>
          <m:sub>
            <m:r>
              <m:t>W</m:t>
            </m:r>
          </m:sub>
        </m:sSub>
      </m:oMath>
      <w:r>
        <w:rPr>
          <w:i/>
          <w:iCs/>
        </w:rPr>
        <w:t xml:space="preserve">, 0.137) dominate. Network parameters (</w:t>
      </w:r>
      <m:oMath>
        <m:sSub>
          <m:e>
            <m:r>
              <m:t>k</m:t>
            </m:r>
          </m:e>
          <m:sub>
            <m:r>
              <m:t>m</m:t>
            </m:r>
            <m:r>
              <m:t>a</m:t>
            </m:r>
            <m:r>
              <m:t>x</m:t>
            </m:r>
          </m:sub>
        </m:sSub>
      </m:oMath>
      <w:r>
        <w:rPr>
          <w:i/>
          <w:iCs/>
        </w:rPr>
        <w:t xml:space="preserve">,</w:t>
      </w:r>
      <w:r>
        <w:rPr>
          <w:i/>
          <w:iCs/>
        </w:rPr>
        <w:t xml:space="preserve"> </w:t>
      </w:r>
      <m:oMath>
        <m:r>
          <m:t>γ</m:t>
        </m:r>
      </m:oMath>
      <w:r>
        <w:rPr>
          <w:i/>
          <w:iCs/>
        </w:rPr>
        <w:t xml:space="preserve">) and travel cost are moderately sensitive. Monument depreciation (</w:t>
      </w:r>
      <m:oMath>
        <m:r>
          <m:t>δ</m:t>
        </m:r>
      </m:oMath>
      <w:r>
        <w:rPr>
          <w:i/>
          <w:iCs/>
        </w:rPr>
        <w:t xml:space="preserve">), the half-saturation constant (</w:t>
      </w:r>
      <m:oMath>
        <m:sSub>
          <m:e>
            <m:r>
              <m:t>M</m:t>
            </m:r>
          </m:e>
          <m:sub>
            <m:r>
              <m:t>h</m:t>
            </m:r>
            <m:r>
              <m:t>a</m:t>
            </m:r>
            <m:r>
              <m:t>l</m:t>
            </m:r>
            <m:r>
              <m:t>f</m:t>
            </m:r>
          </m:sub>
        </m:sSub>
      </m:oMath>
      <w:r>
        <w:rPr>
          <w:i/>
          <w:iCs/>
        </w:rPr>
        <w:t xml:space="preserve">), and aggregation size (</w:t>
      </w:r>
      <m:oMath>
        <m:sSub>
          <m:e>
            <m:r>
              <m:t>n</m:t>
            </m:r>
          </m:e>
          <m:sub>
            <m:r>
              <m:t>a</m:t>
            </m:r>
            <m:r>
              <m:t>g</m:t>
            </m:r>
            <m:r>
              <m:t>g</m:t>
            </m:r>
          </m:sub>
        </m:sSub>
      </m:oMath>
      <w:r>
        <w:rPr>
          <w:i/>
          <w:iCs/>
        </w:rPr>
        <w:t xml:space="preserve"> </w:t>
      </w:r>
      <w:r>
        <w:rPr>
          <w:i/>
          <w:iCs/>
        </w:rPr>
        <w:t xml:space="preserve">over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 are effectively insensitive.</w:t>
      </w:r>
      <w:r>
        <w:rPr>
          <w:i/>
          <w:iCs/>
        </w:rPr>
        <w:t xml:space="preserve"> </w:t>
      </w:r>
      <m:oMath>
        <m:sSub>
          <m:e>
            <m:r>
              <m:t>λ</m:t>
            </m:r>
          </m:e>
          <m:sub>
            <m:r>
              <m:t>C</m:t>
            </m:r>
          </m:sub>
        </m:sSub>
      </m:oMath>
      <w:r>
        <w:rPr>
          <w:i/>
          <w:iCs/>
        </w:rPr>
        <w:t xml:space="preserve"> </w:t>
      </w:r>
      <w:r>
        <w:rPr>
          <w:i/>
          <w:iCs/>
        </w:rPr>
        <w:t xml:space="preserve">and</w:t>
      </w:r>
      <w:r>
        <w:rPr>
          <w:i/>
          <w:iCs/>
        </w:rPr>
        <w:t xml:space="preserve"> </w:t>
      </w:r>
      <m:oMath>
        <m:sSub>
          <m:e>
            <m:r>
              <m:t>λ</m:t>
            </m:r>
          </m:e>
          <m:sub>
            <m:r>
              <m:t>X</m:t>
            </m:r>
          </m:sub>
        </m:sSub>
      </m:oMath>
      <w:r>
        <w:rPr>
          <w:i/>
          <w:iCs/>
        </w:rPr>
        <w:t xml:space="preserve"> </w:t>
      </w:r>
      <w:r>
        <w:rPr>
          <w:i/>
          <w:iCs/>
        </w:rPr>
        <w:t xml:space="preserve">have zero sensitivity in the default formulation because they are endogenously determined by the lambda-sigma feedback loop. Computed by</w:t>
      </w:r>
      <w:r>
        <w:rPr>
          <w:i/>
          <w:iCs/>
        </w:rPr>
        <w:t xml:space="preserve"> </w:t>
      </w:r>
      <w:r>
        <w:rPr>
          <w:rStyle w:val="VerbatimChar"/>
          <w:i/>
          <w:iCs/>
        </w:rPr>
        <w:t xml:space="preserve">scripts/analysis/oat_sensitivity.py</w:t>
      </w:r>
      <w:r>
        <w:rPr>
          <w:i/>
          <w:iCs/>
        </w:rPr>
        <w:t xml:space="preserve">.</w:t>
      </w:r>
    </w:p>
    <w:p>
      <w:pPr>
        <w:pStyle w:val="BodyText"/>
      </w:pPr>
      <w:r>
        <w:rPr>
          <w:b/>
          <w:bCs/>
        </w:rPr>
        <w:t xml:space="preserve">Joint parameter uncertainty (referenced in main §6.2).</w:t>
      </w:r>
      <w:r>
        <w:t xml:space="preserve"> </w:t>
      </w:r>
      <w:r>
        <w:t xml:space="preserve">The OAT swing magnitudes above support a Monte Carlo propagation of joint parameter uncertainty through the §6.2 Bayesian threshold-proximity test. Sampling</w:t>
      </w:r>
      <w:r>
        <w:t xml:space="preserve">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t>m</m:t>
            </m:r>
            <m:r>
              <m:t>a</m:t>
            </m:r>
            <m:r>
              <m:t>x</m:t>
            </m:r>
          </m:sub>
        </m:sSub>
      </m:oMath>
      <w:r>
        <w:t xml:space="preserve">,</w:t>
      </w:r>
      <w:r>
        <w:t xml:space="preserve"> </w:t>
      </w:r>
      <m:oMath>
        <m:sSub>
          <m:e>
            <m:r>
              <m:t>M</m:t>
            </m:r>
          </m:e>
          <m:sub>
            <m:r>
              <m:t>h</m:t>
            </m:r>
            <m:r>
              <m:t>a</m:t>
            </m:r>
            <m:r>
              <m:t>l</m:t>
            </m:r>
            <m:r>
              <m:t>f</m:t>
            </m:r>
          </m:sub>
        </m:sSub>
      </m:oMath>
      <w:r>
        <w:t xml:space="preserve">, and</w:t>
      </w:r>
      <w:r>
        <w:t xml:space="preserve"> </w:t>
      </w:r>
      <m:oMath>
        <m:r>
          <m:t>γ</m:t>
        </m:r>
      </m:oMath>
      <w:r>
        <w:t xml:space="preserve"> </w:t>
      </w:r>
      <w:r>
        <w:t xml:space="preserve">from independent uniform priors at</w:t>
      </w:r>
      <w:r>
        <w:t xml:space="preserve"> </w:t>
      </w:r>
      <m:oMath>
        <m:r>
          <m:rPr>
            <m:sty m:val="p"/>
          </m:rPr>
          <m:t>±</m:t>
        </m:r>
        <m:r>
          <m:t>50</m:t>
        </m:r>
        <m:r>
          <m:rPr>
            <m:sty m:val="p"/>
          </m:rPr>
          <m:t>%</m:t>
        </m:r>
      </m:oMath>
      <w:r>
        <w:t xml:space="preserve"> </w:t>
      </w:r>
      <w:r>
        <w:t xml:space="preserve">around their default values, jointly with the §6.2 rubric priors on paleoclimate</w:t>
      </w:r>
      <w:r>
        <w:t xml:space="preserve"> </w:t>
      </w:r>
      <m:oMath>
        <m:r>
          <m:t>σ</m:t>
        </m:r>
      </m:oMath>
      <w:r>
        <w:t xml:space="preserve"> </w:t>
      </w:r>
      <w:r>
        <w:t xml:space="preserve">and ecotone</w:t>
      </w:r>
      <w:r>
        <w:t xml:space="preserve"> </w:t>
      </w:r>
      <m:oMath>
        <m:r>
          <m:t>ε</m:t>
        </m:r>
      </m:oMath>
      <w:r>
        <w:t xml:space="preserve">,</w:t>
      </w:r>
      <w:r>
        <w:t xml:space="preserve"> </w:t>
      </w:r>
      <m:oMath>
        <m:r>
          <m:t>N</m:t>
        </m:r>
        <m:r>
          <m:rPr>
            <m:sty m:val="p"/>
          </m:rPr>
          <m:t>=</m:t>
        </m:r>
        <m:r>
          <m:t>1</m:t>
        </m:r>
        <m:r>
          <m:rPr>
            <m:sty m:val="p"/>
          </m:rPr>
          <m:t>,</m:t>
        </m:r>
        <m:r>
          <m:t>000</m:t>
        </m:r>
      </m:oMath>
      <w:r>
        <w:t xml:space="preserve"> </w:t>
      </w:r>
      <w:r>
        <w:t xml:space="preserve">samples yield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t xml:space="preserve">. This is comparable to the §6.2 baseline rubric-prior result of 0.36 (the propagation slightly raises</w:t>
      </w:r>
      <w:r>
        <w:t xml:space="preserve"> </w:t>
      </w:r>
      <m:oMath>
        <m:r>
          <m:t>P</m:t>
        </m:r>
      </m:oMath>
      <w:r>
        <w:t xml:space="preserve"> </w:t>
      </w:r>
      <w:r>
        <w:t xml:space="preserve">rather than lowers it because lower-cost samples bring</w:t>
      </w:r>
      <w:r>
        <w:t xml:space="preserve"> </w:t>
      </w:r>
      <m:oMath>
        <m:sSup>
          <m:e>
            <m:r>
              <m:t>σ</m:t>
            </m:r>
          </m:e>
          <m:sup>
            <m:r>
              <m:rPr>
                <m:sty m:val="p"/>
              </m:rPr>
              <m:t>*</m:t>
            </m:r>
          </m:sup>
        </m:sSup>
      </m:oMath>
      <w:r>
        <w:t xml:space="preserve"> </w:t>
      </w:r>
      <w:r>
        <w:t xml:space="preserve">down faster than they bring</w:t>
      </w:r>
      <w:r>
        <w:t xml:space="preserve"> </w:t>
      </w:r>
      <m:oMath>
        <m:sSub>
          <m:e>
            <m:r>
              <m:t>σ</m:t>
            </m:r>
          </m:e>
          <m:sub>
            <m:r>
              <m:t>e</m:t>
            </m:r>
            <m:r>
              <m:t>f</m:t>
            </m:r>
            <m:r>
              <m:t>f</m:t>
            </m:r>
          </m:sub>
        </m:sSub>
      </m:oMath>
      <w:r>
        <w:t xml:space="preserve"> </w:t>
      </w:r>
      <w:r>
        <w:t xml:space="preserve">down). The posterior on</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mean</w:t>
      </w:r>
      <w:r>
        <w:t xml:space="preserve"> </w:t>
      </w:r>
      <m:oMath>
        <m:r>
          <m:rPr>
            <m:sty m:val="p"/>
          </m:rPr>
          <m:t>−</m:t>
        </m:r>
        <m:r>
          <m:t>0.05</m:t>
        </m:r>
      </m:oMath>
      <w:r>
        <w:t xml:space="preserve"> </w:t>
      </w:r>
      <w:r>
        <w:t xml:space="preserve">with 95% CI</w:t>
      </w:r>
      <w:r>
        <w:t xml:space="preserve"> </w:t>
      </w:r>
      <m:oMath>
        <m:r>
          <m:rPr>
            <m:sty m:val="p"/>
          </m:rPr>
          <m:t>[</m:t>
        </m:r>
        <m:r>
          <m:rPr>
            <m:sty m:val="p"/>
          </m:rPr>
          <m:t>−</m:t>
        </m:r>
        <m:r>
          <m:t>0.26</m:t>
        </m:r>
        <m:r>
          <m:rPr>
            <m:sty m:val="p"/>
          </m:rPr>
          <m:t>,</m:t>
        </m:r>
        <m:r>
          <m:rPr>
            <m:sty m:val="p"/>
          </m:rPr>
          <m:t>+</m:t>
        </m:r>
        <m:r>
          <m:t>0.18</m:t>
        </m:r>
        <m:r>
          <m:rPr>
            <m:sty m:val="p"/>
          </m:rPr>
          <m:t>]</m:t>
        </m:r>
      </m:oMath>
      <w:r>
        <w:t xml:space="preserve">, straddling zero substantially. The conditioning caveat introduced in main §6.2 is therefore real but bounded: the §6.2 result is robust against adding parameter-set uncertainty over the</w:t>
      </w:r>
      <w:r>
        <w:t xml:space="preserve"> </w:t>
      </w:r>
      <m:oMath>
        <m:r>
          <m:rPr>
            <m:sty m:val="p"/>
          </m:rPr>
          <m:t>±</m:t>
        </m:r>
        <m:r>
          <m:t>50</m:t>
        </m:r>
        <m:r>
          <m:rPr>
            <m:sty m:val="p"/>
          </m:rPr>
          <m:t>%</m:t>
        </m:r>
      </m:oMath>
      <w:r>
        <w:t xml:space="preserve"> </w:t>
      </w:r>
      <w:r>
        <w:t xml:space="preserve">OAT range. Reproducible from</w:t>
      </w:r>
      <w:r>
        <w:t xml:space="preserve"> </w:t>
      </w:r>
      <w:r>
        <w:rPr>
          <w:rStyle w:val="VerbatimChar"/>
        </w:rPr>
        <w:t xml:space="preserve">scripts/analysis/joint_parameter_uncertainty.py</w:t>
      </w:r>
      <w:r>
        <w:t xml:space="preserve">, with output in</w:t>
      </w:r>
      <w:r>
        <w:t xml:space="preserve"> </w:t>
      </w:r>
      <w:r>
        <w:rPr>
          <w:rStyle w:val="VerbatimChar"/>
        </w:rPr>
        <w:t xml:space="preserve">results/bayesian/joint_parameter_uncertainty.json</w:t>
      </w:r>
      <w:r>
        <w:t xml:space="preserve">.</w:t>
      </w:r>
    </w:p>
    <w:p>
      <w:pPr>
        <w:pStyle w:val="BodyText"/>
      </w:pPr>
      <w:r>
        <w:drawing>
          <wp:inline>
            <wp:extent cx="5943600" cy="2179935"/>
            <wp:effectExtent b="0" l="0" r="0" t="0"/>
            <wp:docPr descr="" title="" id="28" name="Picture"/>
            <a:graphic>
              <a:graphicData uri="http://schemas.openxmlformats.org/drawingml/2006/picture">
                <pic:pic>
                  <pic:nvPicPr>
                    <pic:cNvPr descr="../../figures/supplemental/figure_S02_joint_mc_diagnostic.png" id="29" name="Picture"/>
                    <pic:cNvPicPr>
                      <a:picLocks noChangeArrowheads="1" noChangeAspect="1"/>
                    </pic:cNvPicPr>
                  </pic:nvPicPr>
                  <pic:blipFill>
                    <a:blip r:embed="rId27"/>
                    <a:stretch>
                      <a:fillRect/>
                    </a:stretch>
                  </pic:blipFill>
                  <pic:spPr bwMode="auto">
                    <a:xfrm>
                      <a:off x="0" y="0"/>
                      <a:ext cx="5943600" cy="2179935"/>
                    </a:xfrm>
                    <a:prstGeom prst="rect">
                      <a:avLst/>
                    </a:prstGeom>
                    <a:noFill/>
                    <a:ln w="9525">
                      <a:noFill/>
                      <a:headEnd/>
                      <a:tailEnd/>
                    </a:ln>
                  </pic:spPr>
                </pic:pic>
              </a:graphicData>
            </a:graphic>
          </wp:inline>
        </w:drawing>
      </w:r>
    </w:p>
    <w:p>
      <w:pPr>
        <w:pStyle w:val="BodyText"/>
      </w:pPr>
      <w:r>
        <w:rPr>
          <w:b/>
          <w:bCs/>
          <w:i/>
          <w:iCs/>
        </w:rPr>
        <w:t xml:space="preserve">Figure S2. Joint Monte Carlo diagnostic for the §6.2 threshold-proximity test.</w:t>
      </w:r>
      <w:r>
        <w:t xml:space="preserve"> </w:t>
      </w:r>
      <w:r>
        <w:rPr>
          <w:i/>
          <w:iCs/>
        </w:rPr>
        <w:t xml:space="preserve">(A) Joint posterior on</w:t>
      </w:r>
      <w:r>
        <w:rPr>
          <w:i/>
          <w:iCs/>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i/>
          <w:iCs/>
        </w:rPr>
        <w:t xml:space="preserve"> </w:t>
      </w:r>
      <w:r>
        <w:rPr>
          <w:i/>
          <w:iCs/>
        </w:rPr>
        <w:t xml:space="preserve">across</w:t>
      </w:r>
      <w:r>
        <w:rPr>
          <w:i/>
          <w:iCs/>
        </w:rPr>
        <w:t xml:space="preserve"> </w:t>
      </w:r>
      <m:oMath>
        <m:r>
          <m:t>N</m:t>
        </m:r>
        <m:r>
          <m:rPr>
            <m:sty m:val="p"/>
          </m:rPr>
          <m:t>=</m:t>
        </m:r>
        <m:r>
          <m:t>1</m:t>
        </m:r>
        <m:r>
          <m:rPr>
            <m:sty m:val="p"/>
          </m:rPr>
          <m:t>,</m:t>
        </m:r>
        <m:r>
          <m:t>000</m:t>
        </m:r>
      </m:oMath>
      <w:r>
        <w:rPr>
          <w:i/>
          <w:iCs/>
        </w:rPr>
        <w:t xml:space="preserve"> </w:t>
      </w:r>
      <w:r>
        <w:rPr>
          <w:i/>
          <w:iCs/>
        </w:rPr>
        <w:t xml:space="preserve">samples drawn from the §6.2 rubric priors on paleoclimate</w:t>
      </w:r>
      <w:r>
        <w:rPr>
          <w:i/>
          <w:iCs/>
        </w:rPr>
        <w:t xml:space="preserve"> </w:t>
      </w:r>
      <m:oMath>
        <m:r>
          <m:t>σ</m:t>
        </m:r>
      </m:oMath>
      <w:r>
        <w:rPr>
          <w:i/>
          <w:iCs/>
        </w:rPr>
        <w:t xml:space="preserve"> </w:t>
      </w:r>
      <w:r>
        <w:rPr>
          <w:i/>
          <w:iCs/>
        </w:rPr>
        <w:t xml:space="preserve">and ecotone</w:t>
      </w:r>
      <w:r>
        <w:rPr>
          <w:i/>
          <w:iCs/>
        </w:rPr>
        <w:t xml:space="preserve"> </w:t>
      </w:r>
      <m:oMath>
        <m:r>
          <m:t>ε</m:t>
        </m:r>
      </m:oMath>
      <w:r>
        <w:rPr>
          <w:i/>
          <w:iCs/>
        </w:rPr>
        <w:t xml:space="preserve"> </w:t>
      </w:r>
      <w:r>
        <w:rPr>
          <w:i/>
          <w:iCs/>
        </w:rPr>
        <w:t xml:space="preserve">jointly with</w:t>
      </w:r>
      <w:r>
        <w:rPr>
          <w:i/>
          <w:iCs/>
        </w:rPr>
        <w:t xml:space="preserve"> </w:t>
      </w:r>
      <m:oMath>
        <m:r>
          <m:rPr>
            <m:sty m:val="p"/>
          </m:rPr>
          <m:t>±</m:t>
        </m:r>
        <m:r>
          <m:t>50</m:t>
        </m:r>
        <m:r>
          <m:rPr>
            <m:sty m:val="p"/>
          </m:rPr>
          <m:t>%</m:t>
        </m:r>
      </m:oMath>
      <w:r>
        <w:rPr>
          <w:i/>
          <w:iCs/>
        </w:rPr>
        <w:t xml:space="preserve"> </w:t>
      </w:r>
      <w:r>
        <w:rPr>
          <w:i/>
          <w:iCs/>
        </w:rPr>
        <w:t xml:space="preserve">uniform priors on the six model parameters that set</w:t>
      </w:r>
      <w:r>
        <w:rPr>
          <w:i/>
          <w:iCs/>
        </w:rPr>
        <w:t xml:space="preserve"> </w:t>
      </w:r>
      <m:oMath>
        <m:sSup>
          <m:e>
            <m:r>
              <m:t>σ</m:t>
            </m:r>
          </m:e>
          <m:sup>
            <m:r>
              <m:rPr>
                <m:sty m:val="p"/>
              </m:rPr>
              <m:t>*</m:t>
            </m:r>
          </m:sup>
        </m:sSup>
      </m:oMath>
      <w:r>
        <w:rPr>
          <w:i/>
          <w:iCs/>
        </w:rPr>
        <w:t xml:space="preserve"> </w:t>
      </w:r>
      <w:r>
        <w:rPr>
          <w:i/>
          <w:iCs/>
        </w:rPr>
        <w:t xml:space="preserve">(</w:t>
      </w:r>
      <m:oMath>
        <m:sSub>
          <m:e>
            <m:r>
              <m:t>C</m:t>
            </m:r>
          </m:e>
          <m:sub>
            <m:r>
              <m:t>s</m:t>
            </m:r>
            <m:r>
              <m:t>i</m:t>
            </m:r>
            <m:r>
              <m:t>g</m:t>
            </m:r>
            <m:r>
              <m:t>n</m:t>
            </m:r>
            <m:r>
              <m:t>a</m:t>
            </m:r>
            <m:r>
              <m:t>l</m:t>
            </m:r>
          </m:sub>
        </m:sSub>
      </m:oMath>
      <w:r>
        <w:rPr>
          <w:i/>
          <w:iCs/>
        </w:rPr>
        <w:t xml:space="preserve">,</w:t>
      </w:r>
      <w:r>
        <w:rPr>
          <w:i/>
          <w:iCs/>
        </w:rPr>
        <w:t xml:space="preserve"> </w:t>
      </w:r>
      <m:oMath>
        <m:sSub>
          <m:e>
            <m:r>
              <m:t>C</m:t>
            </m:r>
          </m:e>
          <m:sub>
            <m:r>
              <m:t>o</m:t>
            </m:r>
            <m:r>
              <m:t>p</m:t>
            </m:r>
            <m:r>
              <m:t>p</m:t>
            </m:r>
            <m:r>
              <m:t>o</m:t>
            </m:r>
            <m:r>
              <m:t>r</m:t>
            </m:r>
            <m:r>
              <m:t>t</m:t>
            </m:r>
            <m:r>
              <m:t>u</m:t>
            </m:r>
            <m:r>
              <m:t>n</m:t>
            </m:r>
            <m:r>
              <m:t>i</m:t>
            </m:r>
            <m:r>
              <m:t>t</m:t>
            </m:r>
            <m:r>
              <m:t>y</m:t>
            </m:r>
          </m:sub>
        </m:sSub>
      </m:oMath>
      <w:r>
        <w:rPr>
          <w:i/>
          <w:iCs/>
        </w:rPr>
        <w:t xml:space="preserve">,</w:t>
      </w:r>
      <w:r>
        <w:rPr>
          <w:i/>
          <w:iCs/>
        </w:rPr>
        <w:t xml:space="preserve"> </w:t>
      </w:r>
      <m:oMath>
        <m:sSub>
          <m:e>
            <m:r>
              <m:t>λ</m:t>
            </m:r>
          </m:e>
          <m:sub>
            <m:r>
              <m:t>W</m:t>
            </m:r>
          </m:sub>
        </m:sSub>
      </m:oMath>
      <w:r>
        <w:rPr>
          <w:i/>
          <w:iCs/>
        </w:rPr>
        <w:t xml:space="preserve">,</w:t>
      </w:r>
      <w:r>
        <w:rPr>
          <w:i/>
          <w:iCs/>
        </w:rPr>
        <w:t xml:space="preserve"> </w:t>
      </w:r>
      <m:oMath>
        <m:sSub>
          <m:e>
            <m:r>
              <m:t>k</m:t>
            </m:r>
          </m:e>
          <m:sub>
            <m:r>
              <m:t>m</m:t>
            </m:r>
            <m:r>
              <m:t>a</m:t>
            </m:r>
            <m:r>
              <m:t>x</m:t>
            </m:r>
          </m:sub>
        </m:sSub>
      </m:oMath>
      <w:r>
        <w:rPr>
          <w:i/>
          <w:iCs/>
        </w:rPr>
        <w:t xml:space="preserve">,</w:t>
      </w:r>
      <w:r>
        <w:rPr>
          <w:i/>
          <w:iCs/>
        </w:rPr>
        <w:t xml:space="preserve"> </w:t>
      </w:r>
      <m:oMath>
        <m:sSub>
          <m:e>
            <m:r>
              <m:t>M</m:t>
            </m:r>
          </m:e>
          <m:sub>
            <m:r>
              <m:t>h</m:t>
            </m:r>
            <m:r>
              <m:t>a</m:t>
            </m:r>
            <m:r>
              <m:t>l</m:t>
            </m:r>
            <m:r>
              <m:t>f</m:t>
            </m:r>
          </m:sub>
        </m:sSub>
      </m:oMath>
      <w:r>
        <w:rPr>
          <w:i/>
          <w:iCs/>
        </w:rPr>
        <w:t xml:space="preserve">,</w:t>
      </w:r>
      <w:r>
        <w:rPr>
          <w:i/>
          <w:iCs/>
        </w:rPr>
        <w:t xml:space="preserve"> </w:t>
      </w:r>
      <m:oMath>
        <m:r>
          <m:t>γ</m:t>
        </m:r>
      </m:oMath>
      <w:r>
        <w:rPr>
          <w:i/>
          <w:iCs/>
        </w:rPr>
        <w:t xml:space="preserve">). Red dashed line is</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Blue points (above the line) are samples where aggregation is adaptive at the framework’s threshold criterion. Gray points are below. The fraction above the line is</w:t>
      </w:r>
      <w:r>
        <w:rPr>
          <w:i/>
          <w:iCs/>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i/>
          <w:iCs/>
        </w:rPr>
        <w:t xml:space="preserve"> </w:t>
      </w:r>
      <w:r>
        <w:rPr>
          <w:i/>
          <w:iCs/>
        </w:rPr>
        <w:t xml:space="preserve">at this MC seed (0.33-0.36 across seeds; the §6.2 prose reports the lower-bound seed result of 0.33). (B) Marginal posterior on</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w:t>
      </w:r>
      <w:r>
        <w:rPr>
          <w:i/>
          <w:iCs/>
        </w:rPr>
        <w:t xml:space="preserve">(blue) overlaid against the priors-only baseline at fixed default parameters (gray). Adding parameter-set uncertainty broadens the marginal moderately and raises</w:t>
      </w:r>
      <w:r>
        <w:rPr>
          <w:i/>
          <w:iCs/>
        </w:rPr>
        <w:t xml:space="preserve"> </w:t>
      </w:r>
      <m:oMath>
        <m:r>
          <m:t>P</m:t>
        </m:r>
      </m:oMath>
      <w:r>
        <w:rPr>
          <w:i/>
          <w:iCs/>
        </w:rPr>
        <w:t xml:space="preserve"> </w:t>
      </w:r>
      <w:r>
        <w:rPr>
          <w:i/>
          <w:iCs/>
        </w:rPr>
        <w:t xml:space="preserve">from 0.26 (priors only) to 0.36 (joint), confirming that the parameter-set conditioning caveat is real but bounded. Red dashed line at zero. (C) Per-parameter posterior 95% CI conditional on the above-threshold subset (blue bars) vs the full</w:t>
      </w:r>
      <w:r>
        <w:rPr>
          <w:i/>
          <w:iCs/>
        </w:rPr>
        <w:t xml:space="preserve"> </w:t>
      </w:r>
      <m:oMath>
        <m:r>
          <m:rPr>
            <m:sty m:val="p"/>
          </m:rPr>
          <m:t>±</m:t>
        </m:r>
        <m:r>
          <m:t>50</m:t>
        </m:r>
        <m:r>
          <m:rPr>
            <m:sty m:val="p"/>
          </m:rPr>
          <m:t>%</m:t>
        </m:r>
      </m:oMath>
      <w:r>
        <w:rPr>
          <w:i/>
          <w:iCs/>
        </w:rPr>
        <w:t xml:space="preserve"> </w:t>
      </w:r>
      <w:r>
        <w:rPr>
          <w:i/>
          <w:iCs/>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i/>
          <w:iCs/>
        </w:rPr>
        <w:t xml:space="preserve"> </w:t>
      </w:r>
      <w:r>
        <w:rPr>
          <w:rStyle w:val="VerbatimChar"/>
          <w:i/>
          <w:iCs/>
        </w:rPr>
        <w:t xml:space="preserve">scripts/figure_generation/create_figure_joint_mc_diagnostic.py</w:t>
      </w:r>
      <w:r>
        <w:rPr>
          <w:i/>
          <w:iCs/>
        </w:rPr>
        <w:t xml:space="preserve">.</w:t>
      </w:r>
    </w:p>
    <w:p>
      <w:pPr>
        <w:pStyle w:val="BodyText"/>
      </w:pPr>
      <w:r>
        <w:rPr>
          <w:b/>
          <w:bCs/>
        </w:rPr>
        <w:t xml:space="preserve">Network-density coupling strength</w:t>
      </w:r>
      <w:r>
        <w:rPr>
          <w:b/>
          <w:bCs/>
        </w:rPr>
        <w:t xml:space="preserve"> </w:t>
      </w:r>
      <m:oMath>
        <m:sSub>
          <m:e>
            <m:r>
              <m:t>β</m:t>
            </m:r>
          </m:e>
          <m:sub>
            <m:r>
              <m:rPr>
                <m:nor/>
                <m:sty m:val="p"/>
              </m:rPr>
              <m:t>net</m:t>
            </m:r>
          </m:sub>
        </m:sSub>
      </m:oMath>
      <w:r>
        <w:rPr>
          <w:b/>
          <w:bCs/>
        </w:rPr>
        <w:t xml:space="preserve"> </w:t>
      </w:r>
      <w:r>
        <w:rPr>
          <w:b/>
          <w:bCs/>
        </w:rPr>
        <w:t xml:space="preserve">(added per peer-review feedback).</w:t>
      </w:r>
      <w:r>
        <w:t xml:space="preserve"> </w:t>
      </w:r>
      <w:r>
        <w:t xml:space="preserve">The network-density coupling parameter</w:t>
      </w:r>
      <w:r>
        <w:t xml:space="preserve"> </w:t>
      </w:r>
      <m:oMath>
        <m:sSub>
          <m:e>
            <m:r>
              <m:t>β</m:t>
            </m:r>
          </m:e>
          <m:sub>
            <m:r>
              <m:rPr>
                <m:nor/>
                <m:sty m:val="p"/>
              </m:rPr>
              <m:t>net</m:t>
            </m:r>
          </m:sub>
        </m:sSub>
      </m:oMath>
      <w:r>
        <w:t xml:space="preserve"> </w:t>
      </w:r>
      <w:r>
        <w:t xml:space="preserve">governs the strength with which realized network density</w:t>
      </w:r>
      <w:r>
        <w:t xml:space="preserve"> </w:t>
      </w:r>
      <m:oMath>
        <m:r>
          <m:t>ρ</m:t>
        </m:r>
      </m:oMath>
      <w:r>
        <w:t xml:space="preserve"> </w:t>
      </w:r>
      <w:r>
        <w:t xml:space="preserve">augments the gathering-site</w:t>
      </w:r>
      <w:r>
        <w:t xml:space="preserve"> </w:t>
      </w:r>
      <m:oMath>
        <m:r>
          <m:t>ε</m:t>
        </m:r>
      </m:oMath>
      <w:r>
        <w:t xml:space="preserve"> </w:t>
      </w:r>
      <w:r>
        <w:t xml:space="preserve">(</w:t>
      </w:r>
      <m:oMath>
        <m:sSub>
          <m:e>
            <m:r>
              <m:t>ε</m:t>
            </m:r>
          </m:e>
          <m:sub>
            <m:r>
              <m:rPr>
                <m:nor/>
                <m:sty m:val="p"/>
              </m:rPr>
              <m:t>eff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oMath>
      <w:r>
        <w:t xml:space="preserve">; §S1.6). It does not appear directly in the OAT tornado above because the OAT plot is generated against the analytical</w:t>
      </w:r>
      <w:r>
        <w:t xml:space="preserve"> </w:t>
      </w:r>
      <w:r>
        <w:rPr>
          <w:rStyle w:val="VerbatimChar"/>
        </w:rPr>
        <w:t xml:space="preserve">critical_threshold</w:t>
      </w:r>
      <w:r>
        <w:t xml:space="preserve"> </w:t>
      </w:r>
      <w:r>
        <w:t xml:space="preserve">function, which takes</w:t>
      </w:r>
      <w:r>
        <w:t xml:space="preserve"> </w:t>
      </w:r>
      <m:oMath>
        <m:r>
          <m:t>ε</m:t>
        </m:r>
      </m:oMath>
      <w:r>
        <w:t xml:space="preserve"> </w:t>
      </w:r>
      <w:r>
        <w:t xml:space="preserve">as input.</w:t>
      </w:r>
      <w:r>
        <w:t xml:space="preserve"> </w:t>
      </w:r>
      <m:oMath>
        <m:sSub>
          <m:e>
            <m:r>
              <m:t>β</m:t>
            </m:r>
          </m:e>
          <m:sub>
            <m:r>
              <m:rPr>
                <m:nor/>
                <m:sty m:val="p"/>
              </m:rPr>
              <m:t>net</m:t>
            </m:r>
          </m:sub>
        </m:sSub>
      </m:oMath>
      <w:r>
        <w:t xml:space="preserve"> </w:t>
      </w:r>
      <w:r>
        <w:t xml:space="preserve">enters in the ABM through its modulation of the effective</w:t>
      </w:r>
      <w:r>
        <w:t xml:space="preserve"> </w:t>
      </w:r>
      <m:oMath>
        <m:r>
          <m:t>ε</m:t>
        </m:r>
      </m:oMath>
      <w:r>
        <w:t xml:space="preserve"> </w:t>
      </w:r>
      <w:r>
        <w:t xml:space="preserve">at runtime. To make the</w:t>
      </w:r>
      <w:r>
        <w:t xml:space="preserve"> </w:t>
      </w:r>
      <m:oMath>
        <m:sSub>
          <m:e>
            <m:r>
              <m:t>β</m:t>
            </m:r>
          </m:e>
          <m:sub>
            <m:r>
              <m:rPr>
                <m:nor/>
                <m:sty m:val="p"/>
              </m:rPr>
              <m:t>net</m:t>
            </m:r>
          </m:sub>
        </m:sSub>
      </m:oMath>
      <w:r>
        <w:t xml:space="preserve"> </w:t>
      </w:r>
      <w:r>
        <w:t xml:space="preserve">sensitivity transparent, we compute the analytical</w:t>
      </w:r>
      <w:r>
        <w:t xml:space="preserve"> </w:t>
      </w:r>
      <m:oMath>
        <m:sSup>
          <m:e>
            <m:r>
              <m:t>σ</m:t>
            </m:r>
          </m:e>
          <m:sup>
            <m:r>
              <m:rPr>
                <m:sty m:val="p"/>
              </m:rPr>
              <m:t>*</m:t>
            </m:r>
          </m:sup>
        </m:sSup>
      </m:oMath>
      <w:r>
        <w:t xml:space="preserve"> </w:t>
      </w:r>
      <w:r>
        <w:t xml:space="preserve">at the equivalent</w:t>
      </w:r>
      <w:r>
        <w:t xml:space="preserve"> </w:t>
      </w:r>
      <m:oMath>
        <m:sSub>
          <m:e>
            <m:r>
              <m:t>ε</m:t>
            </m:r>
          </m:e>
          <m:sub>
            <m:r>
              <m:rPr>
                <m:nor/>
                <m:sty m:val="p"/>
              </m:rPr>
              <m:t>eff</m:t>
            </m:r>
          </m:sub>
        </m:sSub>
      </m:oMath>
      <w:r>
        <w:t xml:space="preserve"> </w:t>
      </w:r>
      <w:r>
        <w:t xml:space="preserve">values for</w:t>
      </w:r>
      <w:r>
        <w:t xml:space="preserve"> </w:t>
      </w:r>
      <m:oMath>
        <m:r>
          <m:t>ρ</m:t>
        </m:r>
        <m:r>
          <m:rPr>
            <m:sty m:val="p"/>
          </m:rPr>
          <m:t>=</m:t>
        </m:r>
        <m:r>
          <m:t>1</m:t>
        </m:r>
      </m:oMath>
      <w:r>
        <w:t xml:space="preserve"> </w:t>
      </w:r>
      <w:r>
        <w:t xml:space="preserve">(fully connected, the worst case for</w:t>
      </w:r>
      <w:r>
        <w:t xml:space="preserve"> </w:t>
      </w:r>
      <m:oMath>
        <m:sSub>
          <m:e>
            <m:r>
              <m:t>β</m:t>
            </m:r>
          </m:e>
          <m:sub>
            <m:r>
              <m:rPr>
                <m:nor/>
                <m:sty m:val="p"/>
              </m:rPr>
              <m:t>net</m:t>
            </m:r>
          </m:sub>
        </m:sSub>
      </m:oMath>
      <w:r>
        <w:t xml:space="preserve"> </w:t>
      </w:r>
      <w:r>
        <w:t xml:space="preserve">influence). Across</w:t>
      </w:r>
      <w:r>
        <w:t xml:space="preserve"> </w:t>
      </w:r>
      <m:oMath>
        <m:sSub>
          <m:e>
            <m:r>
              <m:t>β</m:t>
            </m:r>
          </m:e>
          <m:sub>
            <m:r>
              <m:rPr>
                <m:nor/>
                <m:sty m:val="p"/>
              </m:rPr>
              <m:t>net</m:t>
            </m:r>
          </m:sub>
        </m:sSub>
        <m:r>
          <m:rPr>
            <m:sty m:val="p"/>
          </m:rPr>
          <m:t>∈</m:t>
        </m:r>
        <m:r>
          <m:rPr>
            <m:sty m:val="p"/>
          </m:rPr>
          <m:t>{</m:t>
        </m:r>
        <m:r>
          <m:t>0</m:t>
        </m:r>
        <m:r>
          <m:rPr>
            <m:sty m:val="p"/>
          </m:rPr>
          <m:t>,</m:t>
        </m:r>
        <m:r>
          <m:t>0.25</m:t>
        </m:r>
        <m:r>
          <m:rPr>
            <m:sty m:val="p"/>
          </m:rPr>
          <m:t>,</m:t>
        </m:r>
        <m:r>
          <m:t>0.5</m:t>
        </m:r>
        <m:r>
          <m:rPr>
            <m:sty m:val="p"/>
          </m:rPr>
          <m:t>,</m:t>
        </m:r>
        <m:r>
          <m:t>0.75</m:t>
        </m:r>
        <m:r>
          <m:rPr>
            <m:sty m:val="p"/>
          </m:rPr>
          <m:t>,</m:t>
        </m:r>
        <m:r>
          <m:t>1.0</m:t>
        </m:r>
        <m:r>
          <m:rPr>
            <m:sty m:val="p"/>
          </m:rPr>
          <m:t>}</m:t>
        </m:r>
      </m:oMath>
      <w:r>
        <w:t xml:space="preserve">, the</w:t>
      </w:r>
      <w:r>
        <w:t xml:space="preserve"> </w:t>
      </w:r>
      <m:oMath>
        <m:sSup>
          <m:e>
            <m:r>
              <m:t>σ</m:t>
            </m:r>
          </m:e>
          <m:sup>
            <m:r>
              <m:rPr>
                <m:sty m:val="p"/>
              </m:rPr>
              <m:t>*</m:t>
            </m:r>
          </m:sup>
        </m:sSup>
      </m:oMath>
      <w:r>
        <w:t xml:space="preserve"> </w:t>
      </w:r>
      <w:r>
        <w:t xml:space="preserve">values are</w:t>
      </w:r>
      <w:r>
        <w:t xml:space="preserve"> </w:t>
      </w:r>
      <m:oMath>
        <m:r>
          <m:rPr>
            <m:sty m:val="p"/>
          </m:rPr>
          <m:t>{</m:t>
        </m:r>
        <m:r>
          <m:t>0.40</m:t>
        </m:r>
        <m:r>
          <m:rPr>
            <m:sty m:val="p"/>
          </m:rPr>
          <m:t>,</m:t>
        </m:r>
        <m:r>
          <m:t>0.35</m:t>
        </m:r>
        <m:r>
          <m:rPr>
            <m:sty m:val="p"/>
          </m:rPr>
          <m:t>,</m:t>
        </m:r>
        <m:r>
          <m:t>0.31</m:t>
        </m:r>
        <m:r>
          <m:rPr>
            <m:sty m:val="p"/>
          </m:rPr>
          <m:t>,</m:t>
        </m:r>
        <m:r>
          <m:t>0.28</m:t>
        </m:r>
        <m:r>
          <m:rPr>
            <m:sty m:val="p"/>
          </m:rPr>
          <m:t>,</m:t>
        </m:r>
        <m:r>
          <m:t>0.26</m:t>
        </m:r>
        <m:r>
          <m:rPr>
            <m:sty m:val="p"/>
          </m:rPr>
          <m:t>}</m:t>
        </m:r>
      </m:oMath>
      <w:r>
        <w:t xml:space="preserve">, a swing of about 0.14 from</w:t>
      </w:r>
      <w:r>
        <w:t xml:space="preserve"> </w:t>
      </w:r>
      <m:oMath>
        <m:sSub>
          <m:e>
            <m:r>
              <m:t>β</m:t>
            </m:r>
          </m:e>
          <m:sub>
            <m:r>
              <m:rPr>
                <m:nor/>
                <m:sty m:val="p"/>
              </m:rPr>
              <m:t>net</m:t>
            </m:r>
          </m:sub>
        </m:sSub>
        <m:r>
          <m:rPr>
            <m:sty m:val="p"/>
          </m:rPr>
          <m:t>=</m:t>
        </m:r>
        <m:r>
          <m:t>0</m:t>
        </m:r>
      </m:oMath>
      <w:r>
        <w:t xml:space="preserve"> </w:t>
      </w:r>
      <w:r>
        <w:t xml:space="preserve">(no network-density coupling) to</w:t>
      </w:r>
      <w:r>
        <w:t xml:space="preserve"> </w:t>
      </w:r>
      <m:oMath>
        <m:sSub>
          <m:e>
            <m:r>
              <m:t>β</m:t>
            </m:r>
          </m:e>
          <m:sub>
            <m:r>
              <m:rPr>
                <m:nor/>
                <m:sty m:val="p"/>
              </m:rPr>
              <m:t>net</m:t>
            </m:r>
          </m:sub>
        </m:sSub>
        <m:r>
          <m:rPr>
            <m:sty m:val="p"/>
          </m:rPr>
          <m:t>=</m:t>
        </m:r>
        <m:r>
          <m:t>1</m:t>
        </m:r>
      </m:oMath>
      <w:r>
        <w:t xml:space="preserve"> </w:t>
      </w:r>
      <w:r>
        <w:t xml:space="preserve">(maximal coupling). The canonical</w:t>
      </w:r>
      <w:r>
        <w:t xml:space="preserve"> </w:t>
      </w:r>
      <m:oMath>
        <m:sSub>
          <m:e>
            <m:r>
              <m:t>β</m:t>
            </m:r>
          </m:e>
          <m:sub>
            <m:r>
              <m:rPr>
                <m:nor/>
                <m:sty m:val="p"/>
              </m:rPr>
              <m:t>net</m:t>
            </m:r>
          </m:sub>
        </m:sSub>
        <m:r>
          <m:rPr>
            <m:sty m:val="p"/>
          </m:rPr>
          <m:t>=</m:t>
        </m:r>
        <m:r>
          <m:t>0.5</m:t>
        </m:r>
      </m:oMath>
      <w:r>
        <w:t xml:space="preserve"> </w:t>
      </w:r>
      <w:r>
        <w:t xml:space="preserve">used throughout this paper sits in the middle of this range and produces a threshold of</w:t>
      </w:r>
      <w:r>
        <w:t xml:space="preserve"> </w:t>
      </w:r>
      <m:oMath>
        <m:sSup>
          <m:e>
            <m:r>
              <m:t>σ</m:t>
            </m:r>
          </m:e>
          <m:sup>
            <m:r>
              <m:rPr>
                <m:sty m:val="p"/>
              </m:rPr>
              <m:t>*</m:t>
            </m:r>
          </m:sup>
        </m:sSup>
        <m:r>
          <m:rPr>
            <m:sty m:val="p"/>
          </m:rPr>
          <m:t>=</m:t>
        </m:r>
        <m:r>
          <m:t>0.31</m:t>
        </m:r>
      </m:oMath>
      <w:r>
        <w:t xml:space="preserve"> </w:t>
      </w:r>
      <w:r>
        <w:t xml:space="preserve">at fully connected</w:t>
      </w:r>
      <w:r>
        <w:t xml:space="preserve"> </w:t>
      </w:r>
      <m:oMath>
        <m:r>
          <m:t>ρ</m:t>
        </m:r>
      </m:oMath>
      <w:r>
        <w:t xml:space="preserve">. In practice, realized</w:t>
      </w:r>
      <w:r>
        <w:t xml:space="preserve"> </w:t>
      </w:r>
      <m:oMath>
        <m:r>
          <m:t>ρ</m:t>
        </m:r>
      </m:oMath>
      <w:r>
        <w:t xml:space="preserve"> </w:t>
      </w:r>
      <w:r>
        <w:t xml:space="preserve">in the simulated PP scenario is in the 0.2-0.5 range rather than at 1.0, so the actual ABM threshold sits between the</w:t>
      </w:r>
      <w:r>
        <w:t xml:space="preserve"> </w:t>
      </w:r>
      <m:oMath>
        <m:sSub>
          <m:e>
            <m:r>
              <m:t>β</m:t>
            </m:r>
          </m:e>
          <m:sub>
            <m:r>
              <m:rPr>
                <m:nor/>
                <m:sty m:val="p"/>
              </m:rPr>
              <m:t>net</m:t>
            </m:r>
          </m:sub>
        </m:sSub>
        <m:r>
          <m:rPr>
            <m:sty m:val="p"/>
          </m:rPr>
          <m:t>=</m:t>
        </m:r>
        <m:r>
          <m:t>0</m:t>
        </m:r>
      </m:oMath>
      <w:r>
        <w:t xml:space="preserve"> </w:t>
      </w:r>
      <w:r>
        <w:t xml:space="preserve">analytical</w:t>
      </w:r>
      <w:r>
        <w:t xml:space="preserve"> </w:t>
      </w:r>
      <m:oMath>
        <m:sSup>
          <m:e>
            <m:r>
              <m:t>σ</m:t>
            </m:r>
          </m:e>
          <m:sup>
            <m:r>
              <m:rPr>
                <m:sty m:val="p"/>
              </m:rPr>
              <m:t>*</m:t>
            </m:r>
          </m:sup>
        </m:sSup>
      </m:oMath>
      <w:r>
        <w:t xml:space="preserve"> </w:t>
      </w:r>
      <w:r>
        <w:t xml:space="preserve">of 0.40 and the worst-case fully-connected value, consistent with the realized-</w:t>
      </w:r>
      <m:oMath>
        <m:sSubSup>
          <m:e>
            <m:r>
              <m:t>σ</m:t>
            </m:r>
          </m:e>
          <m:sub>
            <m:r>
              <m:rPr>
                <m:nor/>
                <m:sty m:val="p"/>
              </m:rPr>
              <m:t>eff</m:t>
            </m:r>
          </m:sub>
          <m:sup>
            <m:r>
              <m:rPr>
                <m:sty m:val="p"/>
              </m:rPr>
              <m:t>*</m:t>
            </m:r>
          </m:sup>
        </m:sSubSup>
        <m:r>
          <m:rPr>
            <m:sty m:val="p"/>
          </m:rPr>
          <m:t>≈</m:t>
        </m:r>
        <m:r>
          <m:t>0.41</m:t>
        </m:r>
      </m:oMath>
      <w:r>
        <w:t xml:space="preserve">-</w:t>
      </w:r>
      <m:oMath>
        <m:r>
          <m:t>0.42</m:t>
        </m:r>
      </m:oMath>
      <w:r>
        <w:t xml:space="preserve"> </w:t>
      </w:r>
      <w:r>
        <w:t xml:space="preserve">reported in §4.3 and Table S7.1. The qualitative phase-transition signal is robust to</w:t>
      </w:r>
      <w:r>
        <w:t xml:space="preserve"> </w:t>
      </w:r>
      <m:oMath>
        <m:sSub>
          <m:e>
            <m:r>
              <m:t>β</m:t>
            </m:r>
          </m:e>
          <m:sub>
            <m:r>
              <m:rPr>
                <m:nor/>
                <m:sty m:val="p"/>
              </m:rPr>
              <m:t>net</m:t>
            </m:r>
          </m:sub>
        </m:sSub>
      </m:oMath>
      <w:r>
        <w:t xml:space="preserve"> </w:t>
      </w:r>
      <w:r>
        <w:t xml:space="preserve">choice across the full</w:t>
      </w:r>
      <w:r>
        <w:t xml:space="preserve"> </w:t>
      </w:r>
      <m:oMath>
        <m:r>
          <m:rPr>
            <m:sty m:val="p"/>
          </m:rPr>
          <m:t>[</m:t>
        </m:r>
        <m:r>
          <m:t>0</m:t>
        </m:r>
        <m:r>
          <m:rPr>
            <m:sty m:val="p"/>
          </m:rPr>
          <m:t>,</m:t>
        </m:r>
        <m:r>
          <m:t>1</m:t>
        </m:r>
        <m:r>
          <m:rPr>
            <m:sty m:val="p"/>
          </m:rPr>
          <m:t>]</m:t>
        </m:r>
      </m:oMath>
      <w:r>
        <w:t xml:space="preserve"> </w:t>
      </w:r>
      <w:r>
        <w:t xml:space="preserve">range. A smaller</w:t>
      </w:r>
      <w:r>
        <w:t xml:space="preserve"> </w:t>
      </w:r>
      <m:oMath>
        <m:sSub>
          <m:e>
            <m:r>
              <m:t>β</m:t>
            </m:r>
          </m:e>
          <m:sub>
            <m:r>
              <m:rPr>
                <m:nor/>
                <m:sty m:val="p"/>
              </m:rPr>
              <m:t>net</m:t>
            </m:r>
          </m:sub>
        </m:sSub>
      </m:oMath>
      <w:r>
        <w:t xml:space="preserve"> </w:t>
      </w:r>
      <w:r>
        <w:t xml:space="preserve">shifts the analytical threshold up. A larger one shifts it down. Neither reverses the threshold-crossing structure of the framework’s predictions.</w:t>
      </w:r>
    </w:p>
    <w:p>
      <w:pPr>
        <w:pStyle w:val="BodyText"/>
      </w:pPr>
      <w:r>
        <w:rPr>
          <w:b/>
          <w:bCs/>
        </w:rPr>
        <w:t xml:space="preserve">Convergence diagnostics under perturbed draws.</w:t>
      </w:r>
      <w:r>
        <w:t xml:space="preserve"> </w:t>
      </w:r>
      <w:r>
        <w:t xml:space="preserve">The</w:t>
      </w:r>
      <w:r>
        <w:t xml:space="preserve"> </w:t>
      </w:r>
      <m:oMath>
        <m:sSup>
          <m:e>
            <m:r>
              <m:t>σ</m:t>
            </m:r>
          </m:e>
          <m:sup>
            <m:r>
              <m:rPr>
                <m:sty m:val="p"/>
              </m:rPr>
              <m:t>*</m:t>
            </m:r>
          </m:sup>
        </m:sSup>
      </m:oMath>
      <w:r>
        <w:t xml:space="preserve"> </w:t>
      </w:r>
      <w: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t xml:space="preserve">) within the iteration cap of 100 steps. Mean iteration count across the joint MC was 18.4 (SD 2.1, max 23). No sample failed to converge. Brent’s method bracketed a sign change in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for all 1,000 samples and returned</w:t>
      </w:r>
      <w:r>
        <w:t xml:space="preserve"> </w:t>
      </w:r>
      <m:oMath>
        <m:sSup>
          <m:e>
            <m:r>
              <m:t>σ</m:t>
            </m:r>
          </m:e>
          <m:sup>
            <m:r>
              <m:rPr>
                <m:sty m:val="p"/>
              </m:rPr>
              <m:t>*</m:t>
            </m:r>
          </m:sup>
        </m:sSup>
      </m:oMath>
      <w:r>
        <w:t xml:space="preserve"> </w:t>
      </w:r>
      <w:r>
        <w:t xml:space="preserve">to within</w:t>
      </w:r>
      <w:r>
        <w:t xml:space="preserve"> </w:t>
      </w:r>
      <m:oMath>
        <m:sSup>
          <m:e>
            <m:r>
              <m:t>10</m:t>
            </m:r>
          </m:e>
          <m:sup>
            <m:r>
              <m:rPr>
                <m:sty m:val="p"/>
              </m:rPr>
              <m:t>−</m:t>
            </m:r>
            <m:r>
              <m:t>4</m:t>
            </m:r>
          </m:sup>
        </m:sSup>
      </m:oMath>
      <w:r>
        <w:t xml:space="preserve"> </w:t>
      </w:r>
      <w:r>
        <w:t xml:space="preserve">in</w:t>
      </w:r>
      <w:r>
        <w:t xml:space="preserve"> </w:t>
      </w:r>
      <m:oMath>
        <m:r>
          <m:t>σ</m:t>
        </m:r>
      </m:oMath>
      <w:r>
        <w:t xml:space="preserve"> </w:t>
      </w:r>
      <w:r>
        <w:t xml:space="preserve">space. Across the OAT swings (parameter perturbed to</w:t>
      </w:r>
      <w:r>
        <w:t xml:space="preserve"> </w:t>
      </w:r>
      <m:oMath>
        <m:r>
          <m:rPr>
            <m:sty m:val="p"/>
          </m:rPr>
          <m:t>±</m:t>
        </m:r>
        <m:r>
          <m:t>50</m:t>
        </m:r>
        <m:r>
          <m:rPr>
            <m:sty m:val="p"/>
          </m:rPr>
          <m:t>%</m:t>
        </m:r>
      </m:oMath>
      <w:r>
        <w:t xml:space="preserve">, all others held at default), the same fixed-point convergence holds: mean iteration count 17.6 (SD 1.8, max 22) across 26 parameter</w:t>
      </w:r>
      <w:r>
        <w:t xml:space="preserve"> </w:t>
      </w:r>
      <m:oMath>
        <m:r>
          <m:rPr>
            <m:sty m:val="p"/>
          </m:rPr>
          <m:t>×</m:t>
        </m:r>
      </m:oMath>
      <w:r>
        <w:t xml:space="preserve"> </w:t>
      </w:r>
      <w: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t xml:space="preserve">S3.2 Aggregation size</w:t>
      </w:r>
    </w:p>
    <w:p>
      <w:pPr>
        <w:pStyle w:val="FirstParagraph"/>
      </w:pPr>
      <w:r>
        <w:t xml:space="preserve">The critical threshold drops sharply with aggregation size, from</w:t>
      </w:r>
      <w:r>
        <w:t xml:space="preserve"> </w:t>
      </w:r>
      <m:oMath>
        <m:sSup>
          <m:e>
            <m:r>
              <m:t>σ</m:t>
            </m:r>
          </m:e>
          <m:sup>
            <m:r>
              <m:rPr>
                <m:sty m:val="p"/>
              </m:rPr>
              <m:t>*</m:t>
            </m:r>
          </m:sup>
        </m:sSup>
        <m:r>
          <m:rPr>
            <m:sty m:val="p"/>
          </m:rPr>
          <m:t>≈</m:t>
        </m:r>
        <m:r>
          <m:t>0.55</m:t>
        </m:r>
      </m:oMath>
      <w:r>
        <w:t xml:space="preserve"> </w:t>
      </w:r>
      <w:r>
        <w:t xml:space="preserve">at</w:t>
      </w:r>
      <w:r>
        <w:t xml:space="preserve"> </w:t>
      </w:r>
      <m:oMath>
        <m:r>
          <m:t>n</m:t>
        </m:r>
        <m:r>
          <m:rPr>
            <m:sty m:val="p"/>
          </m:rPr>
          <m:t>=</m:t>
        </m:r>
        <m:r>
          <m:t>10</m:t>
        </m:r>
      </m:oMath>
      <w:r>
        <w:t xml:space="preserve"> </w:t>
      </w:r>
      <w:r>
        <w:t xml:space="preserve">to</w:t>
      </w:r>
      <w:r>
        <w:t xml:space="preserve"> </w:t>
      </w:r>
      <m:oMath>
        <m:sSup>
          <m:e>
            <m:r>
              <m:t>σ</m:t>
            </m:r>
          </m:e>
          <m:sup>
            <m:r>
              <m:rPr>
                <m:sty m:val="p"/>
              </m:rPr>
              <m:t>*</m:t>
            </m:r>
          </m:sup>
        </m:sSup>
        <m:r>
          <m:rPr>
            <m:sty m:val="p"/>
          </m:rPr>
          <m:t>≈</m:t>
        </m:r>
        <m:r>
          <m:t>0.40</m:t>
        </m:r>
      </m:oMath>
      <w:r>
        <w:t xml:space="preserve"> </w:t>
      </w:r>
      <w:r>
        <w:t xml:space="preserve">at</w:t>
      </w:r>
      <w:r>
        <w:t xml:space="preserve"> </w:t>
      </w:r>
      <m:oMath>
        <m:r>
          <m:t>n</m:t>
        </m:r>
        <m:r>
          <m:rPr>
            <m:sty m:val="p"/>
          </m:rPr>
          <m:t>=</m:t>
        </m:r>
        <m:r>
          <m:t>25</m:t>
        </m:r>
      </m:oMath>
      <w:r>
        <w:t xml:space="preserve"> </w:t>
      </w:r>
      <w:r>
        <w:t xml:space="preserve">(Poverty Point ecotone advantage). Below</w:t>
      </w:r>
      <w:r>
        <w:t xml:space="preserve"> </w:t>
      </w:r>
      <m:oMath>
        <m:r>
          <m:t>n</m:t>
        </m:r>
        <m:r>
          <m:rPr>
            <m:sty m:val="p"/>
          </m:rPr>
          <m:t>=</m:t>
        </m:r>
        <m:r>
          <m:t>15</m:t>
        </m:r>
      </m:oMath>
      <w:r>
        <w:t xml:space="preserve">, even high uncertainty fails to make signaling adaptive, because cooperation benefits are insufficient to offset costs.</w:t>
      </w:r>
    </w:p>
    <w:bookmarkEnd w:id="31"/>
    <w:bookmarkStart w:id="32" w:name="s3.3-signaling-cost"/>
    <w:p>
      <w:pPr>
        <w:pStyle w:val="Heading3"/>
      </w:pPr>
      <w:r>
        <w:t xml:space="preserve">S3.3 Signaling cost</w:t>
      </w:r>
    </w:p>
    <w:p>
      <w:pPr>
        <w:pStyle w:val="FirstParagraph"/>
      </w:pPr>
      <w:r>
        <w:t xml:space="preserve">At low costs (</w:t>
      </w:r>
      <m:oMath>
        <m:sSub>
          <m:e>
            <m:r>
              <m:t>C</m:t>
            </m:r>
          </m:e>
          <m:sub>
            <m:r>
              <m:t>s</m:t>
            </m:r>
            <m:r>
              <m:t>i</m:t>
            </m:r>
            <m:r>
              <m:t>g</m:t>
            </m:r>
            <m:r>
              <m:t>n</m:t>
            </m:r>
            <m:r>
              <m:t>a</m:t>
            </m:r>
            <m:r>
              <m:t>l</m:t>
            </m:r>
          </m:sub>
        </m:sSub>
        <m:r>
          <m:rPr>
            <m:sty m:val="p"/>
          </m:rPr>
          <m:t>&lt;</m:t>
        </m:r>
        <m:r>
          <m:t>0.10</m:t>
        </m:r>
      </m:oMath>
      <w:r>
        <w:t xml:space="preserve">), aggregation becomes adaptive under mild uncertainty (</w:t>
      </w:r>
      <m:oMath>
        <m:sSup>
          <m:e>
            <m:r>
              <m:t>σ</m:t>
            </m:r>
          </m:e>
          <m:sup>
            <m:r>
              <m:rPr>
                <m:sty m:val="p"/>
              </m:rPr>
              <m:t>*</m:t>
            </m:r>
          </m:sup>
        </m:sSup>
        <m:r>
          <m:rPr>
            <m:sty m:val="p"/>
          </m:rPr>
          <m:t>&lt;</m:t>
        </m:r>
        <m:r>
          <m:t>0.45</m:t>
        </m:r>
      </m:oMath>
      <w:r>
        <w:t xml:space="preserve">). At high costs (</w:t>
      </w:r>
      <m:oMath>
        <m:r>
          <m:rPr>
            <m:sty m:val="p"/>
          </m:rPr>
          <m:t>&gt;</m:t>
        </m:r>
        <m:r>
          <m:t>0.30</m:t>
        </m:r>
      </m:oMath>
      <w: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t xml:space="preserve">S3.4 Disease costs</w:t>
      </w:r>
    </w:p>
    <w:p>
      <w:pPr>
        <w:pStyle w:val="FirstParagraph"/>
      </w:pPr>
      <w:r>
        <w:t xml:space="preserve">Adding a 5-10% disease cost to aggregation raises</w:t>
      </w:r>
      <w:r>
        <w:t xml:space="preserve"> </w:t>
      </w:r>
      <m:oMath>
        <m:sSup>
          <m:e>
            <m:r>
              <m:t>σ</m:t>
            </m:r>
          </m:e>
          <m:sup>
            <m:r>
              <m:rPr>
                <m:sty m:val="p"/>
              </m:rPr>
              <m:t>*</m:t>
            </m:r>
          </m:sup>
        </m:sSup>
      </m:oMath>
      <w:r>
        <w:t xml:space="preserve"> </w:t>
      </w:r>
      <w: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t xml:space="preserve">S3.5 Ecotone advantage</w:t>
      </w:r>
    </w:p>
    <w:p>
      <w:pPr>
        <w:pStyle w:val="FirstParagraph"/>
      </w:pPr>
      <w:r>
        <w:t xml:space="preserve">The model is most sensitive to the asserted ecotone advantage. At</w:t>
      </w:r>
      <w:r>
        <w:t xml:space="preserve"> </w:t>
      </w:r>
      <m:oMath>
        <m:r>
          <m:t>ε</m:t>
        </m:r>
        <m:r>
          <m:rPr>
            <m:sty m:val="p"/>
          </m:rPr>
          <m:t>=</m:t>
        </m:r>
        <m:r>
          <m:t>0.20</m:t>
        </m:r>
      </m:oMath>
      <w:r>
        <w:t xml:space="preserve">,</w:t>
      </w:r>
      <w:r>
        <w:t xml:space="preserve"> </w:t>
      </w:r>
      <m:oMath>
        <m:sSup>
          <m:e>
            <m:r>
              <m:t>σ</m:t>
            </m:r>
          </m:e>
          <m:sup>
            <m:r>
              <m:rPr>
                <m:sty m:val="p"/>
              </m:rPr>
              <m:t>*</m:t>
            </m:r>
          </m:sup>
        </m:sSup>
      </m:oMath>
      <w:r>
        <w:t xml:space="preserve"> </w:t>
      </w:r>
      <w:r>
        <w:t xml:space="preserve">rises to ~0.50, still below typical regional estimates but with reduced margin. At</w:t>
      </w:r>
      <w:r>
        <w:t xml:space="preserve"> </w:t>
      </w:r>
      <m:oMath>
        <m:r>
          <m:t>ε</m:t>
        </m:r>
        <m:r>
          <m:rPr>
            <m:sty m:val="p"/>
          </m:rPr>
          <m:t>=</m:t>
        </m:r>
        <m:r>
          <m:t>0</m:t>
        </m:r>
      </m:oMath>
      <w:r>
        <w:t xml:space="preserve">,</w:t>
      </w:r>
      <w:r>
        <w:t xml:space="preserve"> </w:t>
      </w:r>
      <m:oMath>
        <m:sSup>
          <m:e>
            <m:r>
              <m:t>σ</m:t>
            </m:r>
          </m:e>
          <m:sup>
            <m:r>
              <m:rPr>
                <m:sty m:val="p"/>
              </m:rPr>
              <m:t>*</m:t>
            </m:r>
          </m:sup>
        </m:sSup>
      </m:oMath>
      <w:r>
        <w:t xml:space="preserve"> </w:t>
      </w:r>
      <w:r>
        <w:t xml:space="preserve">rises to ~0.57, comparable to mid-Holocene LMV</w:t>
      </w:r>
      <w:r>
        <w:t xml:space="preserve"> </w:t>
      </w:r>
      <m:oMath>
        <m:r>
          <m:t>σ</m:t>
        </m:r>
      </m:oMath>
      <w:r>
        <w:t xml:space="preserve"> </w:t>
      </w:r>
      <w:r>
        <w:t xml:space="preserve">estimates. The empirical operationalization of</w:t>
      </w:r>
      <w:r>
        <w:t xml:space="preserve"> </w:t>
      </w:r>
      <m:oMath>
        <m:r>
          <m:t>ε</m:t>
        </m:r>
      </m:oMath>
      <w:r>
        <w:t xml:space="preserve"> </w:t>
      </w:r>
      <w:r>
        <w:t xml:space="preserve">across LMV sites is developed in the regional empirical paper.</w:t>
      </w:r>
    </w:p>
    <w:bookmarkEnd w:id="34"/>
    <w:bookmarkStart w:id="35" w:name="s3.6-coupling-form-sensitivity"/>
    <w:p>
      <w:pPr>
        <w:pStyle w:val="Heading3"/>
      </w:pPr>
      <w:r>
        <w:t xml:space="preserve">S3.6 Coupling-form sensitivity</w:t>
      </w:r>
    </w:p>
    <w:p>
      <w:pPr>
        <w:pStyle w:val="FirstParagraph"/>
      </w:pPr>
      <w:r>
        <w:t xml:space="preserve">The aggregator fitness function combines vulnerability and shortfall severity through the multiplicative term</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in</w:t>
      </w:r>
      <w:r>
        <w:t xml:space="preserve"> </w:t>
      </w:r>
      <m:oMath>
        <m:sSub>
          <m:e>
            <m:r>
              <m:t>W</m:t>
            </m:r>
          </m:e>
          <m:sub>
            <m:r>
              <m:t>a</m:t>
            </m:r>
            <m:r>
              <m:t>g</m:t>
            </m:r>
            <m:r>
              <m:t>g</m:t>
            </m:r>
          </m:sub>
        </m:sSub>
      </m:oMath>
      <w:r>
        <w:t xml:space="preserve">. The main text §3 (paragraph following the</w:t>
      </w:r>
      <w:r>
        <w:t xml:space="preserve"> </w:t>
      </w:r>
      <m:oMath>
        <m:r>
          <m:t>σ</m:t>
        </m:r>
      </m:oMath>
      <w:r>
        <w:t xml:space="preserve"> </w:t>
      </w:r>
      <w:r>
        <w:t xml:space="preserve">derivation) flags that this is one of three couplings discussed in the risk-pooling literature, the others being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Here we document the result of substituting each alternative into the existing fitness machinery and explain why the multiplicative form is the principled choice given the meanings of the two factors.</w:t>
      </w:r>
    </w:p>
    <w:p>
      <w:pPr>
        <w:pStyle w:val="BodyText"/>
      </w:pPr>
      <w:r>
        <w:t xml:space="preserve">Computing</w:t>
      </w:r>
      <w:r>
        <w:t xml:space="preserve"> </w:t>
      </w:r>
      <m:oMath>
        <m:sSup>
          <m:e>
            <m:r>
              <m:t>σ</m:t>
            </m:r>
          </m:e>
          <m:sup>
            <m:r>
              <m:rPr>
                <m:sty m:val="p"/>
              </m:rPr>
              <m:t>*</m:t>
            </m:r>
          </m:sup>
        </m:sSup>
      </m:oMath>
      <w:r>
        <w:t xml:space="preserve"> </w:t>
      </w:r>
      <w:r>
        <w:t xml:space="preserve">under each coupling at PP-scenario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all other parameters at their default values) using Brent’s method on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over</w:t>
      </w:r>
      <w:r>
        <w:t xml:space="preserve"> </w:t>
      </w:r>
      <m:oMath>
        <m:r>
          <m:t>σ</m:t>
        </m:r>
        <m:r>
          <m:rPr>
            <m:sty m:val="p"/>
          </m:rPr>
          <m:t>∈</m:t>
        </m:r>
        <m:r>
          <m:rPr>
            <m:sty m:val="p"/>
          </m:rPr>
          <m:t>[</m:t>
        </m:r>
        <m:r>
          <m:t>0.05</m:t>
        </m:r>
        <m:r>
          <m:rPr>
            <m:sty m:val="p"/>
          </m:rPr>
          <m:t>,</m:t>
        </m:r>
        <m:r>
          <m:t>1.5</m:t>
        </m:r>
        <m:r>
          <m:rPr>
            <m:sty m:val="p"/>
          </m:rPr>
          <m:t>]</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t xml:space="preserve">The additive form has no meaningful</w:t>
      </w:r>
      <w:r>
        <w:t xml:space="preserve"> </w:t>
      </w:r>
      <m:oMath>
        <m:sSup>
          <m:e>
            <m:r>
              <m:t>σ</m:t>
            </m:r>
          </m:e>
          <m:sup>
            <m:r>
              <m:rPr>
                <m:sty m:val="p"/>
              </m:rPr>
              <m:t>*</m:t>
            </m:r>
          </m:sup>
        </m:sSup>
      </m:oMath>
      <w:r>
        <w:t xml:space="preserve"> </w:t>
      </w:r>
      <w:r>
        <w:t xml:space="preserve">in the empirically relevant range. Its survival factor</w:t>
      </w:r>
      <w:r>
        <w:t xml:space="preserve"> </w:t>
      </w:r>
      <m:oMath>
        <m:r>
          <m:t>1</m:t>
        </m:r>
        <m:r>
          <m:rPr>
            <m:sty m:val="p"/>
          </m:rPr>
          <m:t>−</m:t>
        </m:r>
        <m:r>
          <m:t>α</m:t>
        </m:r>
        <m:r>
          <m:rPr>
            <m:sty m:val="p"/>
          </m:rPr>
          <m:t>−</m:t>
        </m:r>
        <m:sSub>
          <m:e>
            <m:r>
              <m:t>σ</m:t>
            </m:r>
          </m:e>
          <m:sub>
            <m:r>
              <m:t>e</m:t>
            </m:r>
            <m:r>
              <m:t>f</m:t>
            </m:r>
            <m:r>
              <m:t>f</m:t>
            </m:r>
          </m:sub>
        </m:sSub>
      </m:oMath>
      <w:r>
        <w:t xml:space="preserve"> </w:t>
      </w:r>
      <w:r>
        <w:t xml:space="preserve">goes negative as soon as</w:t>
      </w:r>
      <w:r>
        <w:t xml:space="preserve"> </w:t>
      </w:r>
      <m:oMath>
        <m:sSub>
          <m:e>
            <m:r>
              <m:t>σ</m:t>
            </m:r>
          </m:e>
          <m:sub>
            <m:r>
              <m:t>e</m:t>
            </m:r>
            <m:r>
              <m:t>f</m:t>
            </m:r>
            <m:r>
              <m:t>f</m:t>
            </m:r>
          </m:sub>
        </m:sSub>
        <m:r>
          <m:rPr>
            <m:sty m:val="p"/>
          </m:rPr>
          <m:t>&gt;</m:t>
        </m:r>
        <m:r>
          <m:t>1</m:t>
        </m:r>
        <m:r>
          <m:rPr>
            <m:sty m:val="p"/>
          </m:rPr>
          <m:t>−</m:t>
        </m:r>
        <m:r>
          <m:t>α</m:t>
        </m:r>
      </m:oMath>
      <w:r>
        <w:t xml:space="preserve">, and at the equilibrium</w:t>
      </w:r>
      <w:r>
        <w:t xml:space="preserve"> </w:t>
      </w:r>
      <m:oMath>
        <m:r>
          <m:t>α</m:t>
        </m:r>
        <m:r>
          <m:rPr>
            <m:sty m:val="p"/>
          </m:rPr>
          <m:t>(</m:t>
        </m:r>
        <m:sSub>
          <m:e>
            <m:r>
              <m:t>k</m:t>
            </m:r>
          </m:e>
          <m:sub>
            <m:r>
              <m:t>e</m:t>
            </m:r>
            <m:r>
              <m:t>f</m:t>
            </m:r>
            <m:r>
              <m:t>f</m:t>
            </m:r>
          </m:sub>
        </m:sSub>
        <m:r>
          <m:rPr>
            <m:sty m:val="p"/>
          </m:rPr>
          <m:t>)</m:t>
        </m:r>
        <m:r>
          <m:rPr>
            <m:sty m:val="p"/>
          </m:rPr>
          <m:t>≈</m:t>
        </m:r>
        <m:r>
          <m:t>0.82</m:t>
        </m:r>
      </m:oMath>
      <w:r>
        <w:t xml:space="preserve"> </w:t>
      </w:r>
      <w:r>
        <w:t xml:space="preserve">for aggregators (and</w:t>
      </w:r>
      <w:r>
        <w:t xml:space="preserve"> </w:t>
      </w:r>
      <m:oMath>
        <m:r>
          <m:t>β</m:t>
        </m:r>
        <m:r>
          <m:rPr>
            <m:sty m:val="p"/>
          </m:rPr>
          <m:t>(</m:t>
        </m:r>
        <m:sSub>
          <m:e>
            <m:r>
              <m:t>k</m:t>
            </m:r>
          </m:e>
          <m:sub>
            <m:r>
              <m:t>0</m:t>
            </m:r>
          </m:sub>
        </m:sSub>
        <m:r>
          <m:rPr>
            <m:sty m:val="p"/>
          </m:rPr>
          <m:t>)</m:t>
        </m:r>
        <m:r>
          <m:rPr>
            <m:sty m:val="p"/>
          </m:rPr>
          <m:t>≈</m:t>
        </m:r>
        <m:r>
          <m:t>0.985</m:t>
        </m:r>
      </m:oMath>
      <w:r>
        <w:t xml:space="preserve"> </w:t>
      </w:r>
      <w:r>
        <w:t xml:space="preserve">for independents), this happens almost immediately. The Brent-method root-finder returns the upper bracket value of 1.5 as an artifact:</w:t>
      </w:r>
      <w:r>
        <w:t xml:space="preserve"> </w:t>
      </w:r>
      <m:oMath>
        <m:sSub>
          <m:e>
            <m:r>
              <m:t>W</m:t>
            </m:r>
          </m:e>
          <m:sub>
            <m:r>
              <m:t>a</m:t>
            </m:r>
            <m:r>
              <m:t>g</m:t>
            </m:r>
            <m:r>
              <m:t>g</m:t>
            </m:r>
          </m:sub>
        </m:sSub>
      </m:oMath>
      <w:r>
        <w:t xml:space="preserve"> </w:t>
      </w:r>
      <w:r>
        <w:t xml:space="preserve">saturates at the signaling-benefit floor</w:t>
      </w:r>
      <w:r>
        <w:t xml:space="preserve"> </w:t>
      </w:r>
      <m:oMath>
        <m:r>
          <m:t>B</m:t>
        </m:r>
        <m:r>
          <m:rPr>
            <m:sty m:val="p"/>
          </m:rPr>
          <m:t>(</m:t>
        </m:r>
        <m:r>
          <m:t>λ</m:t>
        </m:r>
        <m:r>
          <m:rPr>
            <m:sty m:val="p"/>
          </m:rPr>
          <m:t>)</m:t>
        </m:r>
      </m:oMath>
      <w:r>
        <w:t xml:space="preserve"> </w:t>
      </w:r>
      <w:r>
        <w:t xml:space="preserve">throughout the range while</w:t>
      </w:r>
      <w:r>
        <w:t xml:space="preserve"> </w:t>
      </w:r>
      <m:oMath>
        <m:sSub>
          <m:e>
            <m:r>
              <m:t>W</m:t>
            </m:r>
          </m:e>
          <m:sub>
            <m:r>
              <m:t>i</m:t>
            </m:r>
            <m:r>
              <m:t>n</m:t>
            </m:r>
            <m:r>
              <m:t>d</m:t>
            </m:r>
          </m:sub>
        </m:sSub>
      </m:oMath>
      <w:r>
        <w:t xml:space="preserve"> </w:t>
      </w:r>
      <w:r>
        <w:t xml:space="preserve">collapses to zero only at the upper end, producing a nominal sign change at the boundary that is not a substantive threshold. The hazard-composition form returns a finite</w:t>
      </w:r>
      <w:r>
        <w:t xml:space="preserve"> </w:t>
      </w:r>
      <m:oMath>
        <m:sSup>
          <m:e>
            <m:r>
              <m:t>σ</m:t>
            </m:r>
          </m:e>
          <m:sup>
            <m:r>
              <m:rPr>
                <m:sty m:val="p"/>
              </m:rPr>
              <m:t>*</m:t>
            </m:r>
          </m:sup>
        </m:sSup>
        <m:r>
          <m:rPr>
            <m:sty m:val="p"/>
          </m:rPr>
          <m:t>=</m:t>
        </m:r>
        <m:r>
          <m:t>0.875</m:t>
        </m:r>
      </m:oMath>
      <w:r>
        <w:t xml:space="preserve">, far above the multiplicative threshold and far above any plausible LMV</w:t>
      </w:r>
      <w:r>
        <w:t xml:space="preserve"> </w:t>
      </w:r>
      <m:oMath>
        <m:r>
          <m:t>σ</m:t>
        </m:r>
      </m:oMath>
      <w:r>
        <w:t xml:space="preserve">.</w:t>
      </w:r>
    </w:p>
    <w:p>
      <w:pPr>
        <w:pStyle w:val="BodyText"/>
      </w:pPr>
      <w:r>
        <w:t xml:space="preserve">Neither alternative is a clean drop-in replacement, and the reason is conceptual rather than numerical:</w:t>
      </w:r>
      <w:r>
        <w:t xml:space="preserve"> </w:t>
      </w:r>
      <m:oMath>
        <m:r>
          <m:t>α</m:t>
        </m:r>
      </m:oMath>
      <w:r>
        <w:t xml:space="preserve"> </w:t>
      </w:r>
      <w:r>
        <w:t xml:space="preserve">is a</w:t>
      </w:r>
      <w:r>
        <w:t xml:space="preserve"> </w:t>
      </w:r>
      <w:r>
        <w:rPr>
          <w:i/>
          <w:iCs/>
        </w:rPr>
        <w:t xml:space="preserve">vulnerability coefficient</w:t>
      </w:r>
      <w:r>
        <w:t xml:space="preserve"> </w:t>
      </w:r>
      <w:r>
        <w:t xml:space="preserve">on</w:t>
      </w:r>
      <w:r>
        <w:t xml:space="preserve"> </w:t>
      </w:r>
      <m:oMath>
        <m:r>
          <m:rPr>
            <m:sty m:val="p"/>
          </m:rPr>
          <m:t>(</m:t>
        </m:r>
        <m:r>
          <m:t>0</m:t>
        </m:r>
        <m:r>
          <m:rPr>
            <m:sty m:val="p"/>
          </m:rPr>
          <m:t>,</m:t>
        </m:r>
        <m:r>
          <m:t>1</m:t>
        </m:r>
        <m:r>
          <m:rPr>
            <m:sty m:val="p"/>
          </m:rPr>
          <m:t>]</m:t>
        </m:r>
      </m:oMath>
      <w:r>
        <w:t xml:space="preserve"> </w:t>
      </w:r>
      <w:r>
        <w:t xml:space="preserve">that modulates the magnitude of a shortfall-induced loss, not a fractional loss in its own right and not an independent hazard rate. Combining it additively with</w:t>
      </w:r>
      <w:r>
        <w:t xml:space="preserve"> </w:t>
      </w:r>
      <m:oMath>
        <m:sSub>
          <m:e>
            <m:r>
              <m:t>σ</m:t>
            </m:r>
          </m:e>
          <m:sub>
            <m:r>
              <m:t>e</m:t>
            </m:r>
            <m:r>
              <m:t>f</m:t>
            </m:r>
            <m:r>
              <m:t>f</m:t>
            </m:r>
          </m:sub>
        </m:sSub>
      </m:oMath>
      <w:r>
        <w:t xml:space="preserve"> </w:t>
      </w:r>
      <w:r>
        <w:t xml:space="preserve">presupposes that both denote fractional losses on the same scale, which is not what</w:t>
      </w:r>
      <w:r>
        <w:t xml:space="preserve"> </w:t>
      </w:r>
      <m:oMath>
        <m:r>
          <m:t>α</m:t>
        </m:r>
      </m:oMath>
      <w:r>
        <w:t xml:space="preserve"> </w:t>
      </w:r>
      <w:r>
        <w:t xml:space="preserve">represents in the framework. Combining it via hazard composition presupposes that</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independent survival probabilities, which is also not what they represent (the network buffers the</w:t>
      </w:r>
      <w:r>
        <w:t xml:space="preserve"> </w:t>
      </w:r>
      <w:r>
        <w:rPr>
          <w:i/>
          <w:iCs/>
        </w:rPr>
        <w:t xml:space="preserve">magnitude</w:t>
      </w:r>
      <w:r>
        <w:t xml:space="preserve"> </w:t>
      </w:r>
      <w:r>
        <w:t xml:space="preserve">of the same shortfall, not a separate hazard). The multiplicative form</w:t>
      </w:r>
      <w:r>
        <w:t xml:space="preserve"> </w:t>
      </w:r>
      <m:oMath>
        <m:r>
          <m:t>α</m:t>
        </m:r>
        <m:r>
          <m:rPr>
            <m:sty m:val="p"/>
          </m:rPr>
          <m:t>⋅</m:t>
        </m:r>
        <m:sSub>
          <m:e>
            <m:r>
              <m:t>σ</m:t>
            </m:r>
          </m:e>
          <m:sub>
            <m:r>
              <m:t>e</m:t>
            </m:r>
            <m:r>
              <m:t>f</m:t>
            </m:r>
            <m:r>
              <m:t>f</m:t>
            </m:r>
          </m:sub>
        </m:sSub>
      </m:oMath>
      <w:r>
        <w:t xml:space="preserve"> </w:t>
      </w:r>
      <w:r>
        <w:t xml:space="preserve">is the unique form consistent with the framework’s substantive interpretation:</w:t>
      </w:r>
      <w:r>
        <w:t xml:space="preserve"> </w:t>
      </w:r>
      <w:r>
        <w:t xml:space="preserve">“fraction of productivity lost equals vulnerability times severity.”</w:t>
      </w:r>
    </w:p>
    <w:p>
      <w:pPr>
        <w:pStyle w:val="BodyText"/>
      </w:pPr>
      <w:r>
        <w:t xml:space="preserve">A fair coupling-form sensitivity analysis would therefore require reformulating</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as probability-like quantities on a common scale (e.g., redefining</w:t>
      </w:r>
      <w:r>
        <w:t xml:space="preserve"> </w:t>
      </w:r>
      <m:oMath>
        <m:r>
          <m:t>α</m:t>
        </m:r>
      </m:oMath>
      <w:r>
        <w:t xml:space="preserve"> </w:t>
      </w:r>
      <w: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t xml:space="preserve"> </w:t>
      </w:r>
      <m:oMath>
        <m:sSup>
          <m:e>
            <m:r>
              <m:t>σ</m:t>
            </m:r>
          </m:e>
          <m:sup>
            <m:r>
              <m:rPr>
                <m:sty m:val="p"/>
              </m:rPr>
              <m:t>*</m:t>
            </m:r>
          </m:sup>
        </m:sSup>
      </m:oMath>
      <w:r>
        <w:t xml:space="preserve"> </w:t>
      </w:r>
      <w:r>
        <w:t xml:space="preserve">is functional-form dependent. The empirical comparisons in §6 use the multiplicative coupling throughout. Reproducible from</w:t>
      </w:r>
      <w:r>
        <w:t xml:space="preserve"> </w:t>
      </w:r>
      <w:r>
        <w:rPr>
          <w:rStyle w:val="VerbatimChar"/>
        </w:rPr>
        <w:t xml:space="preserve">scripts/analysis/coupling_sensitivity.py</w:t>
      </w:r>
      <w:r>
        <w:t xml:space="preserve">.</w:t>
      </w:r>
    </w:p>
    <w:p>
      <w:r>
        <w:pict>
          <v:rect style="width:0;height:1.5pt" o:hralign="center" o:hrstd="t" o:hr="t"/>
        </w:pict>
      </w:r>
    </w:p>
    <w:bookmarkEnd w:id="35"/>
    <w:bookmarkEnd w:id="36"/>
    <w:bookmarkStart w:id="46" w:name="s4.-supplemental-theoretical-figures"/>
    <w:p>
      <w:pPr>
        <w:pStyle w:val="Heading2"/>
      </w:pPr>
      <w:r>
        <w:t xml:space="preserve">S4. Supplemental theoretical figures</w:t>
      </w:r>
    </w:p>
    <w:p>
      <w:pPr>
        <w:pStyle w:val="FirstParagraph"/>
      </w:pPr>
      <w:r>
        <w:t xml:space="preserve">In addition to the figures referenced inline above (and to the multilevel-selection decomposition, ecotone advantage schematic, and agent-based model architecture in main-text Figures 3, 4, and 6 respectively):</w:t>
      </w:r>
    </w:p>
    <w:p>
      <w:pPr>
        <w:pStyle w:val="BodyText"/>
      </w:pPr>
      <w:r>
        <w:drawing>
          <wp:inline>
            <wp:extent cx="5943600" cy="5746734"/>
            <wp:effectExtent b="0" l="0" r="0" t="0"/>
            <wp:docPr descr="" title="" id="38" name="Picture"/>
            <a:graphic>
              <a:graphicData uri="http://schemas.openxmlformats.org/drawingml/2006/picture">
                <pic:pic>
                  <pic:nvPicPr>
                    <pic:cNvPr descr="../../figures/supplemental/figure_S03_conceptual_signaling_system.png" id="39" name="Picture"/>
                    <pic:cNvPicPr>
                      <a:picLocks noChangeArrowheads="1" noChangeAspect="1"/>
                    </pic:cNvPicPr>
                  </pic:nvPicPr>
                  <pic:blipFill>
                    <a:blip r:embed="rId37"/>
                    <a:stretch>
                      <a:fillRect/>
                    </a:stretch>
                  </pic:blipFill>
                  <pic:spPr bwMode="auto">
                    <a:xfrm>
                      <a:off x="0" y="0"/>
                      <a:ext cx="5943600" cy="5746734"/>
                    </a:xfrm>
                    <a:prstGeom prst="rect">
                      <a:avLst/>
                    </a:prstGeom>
                    <a:noFill/>
                    <a:ln w="9525">
                      <a:noFill/>
                      <a:headEnd/>
                      <a:tailEnd/>
                    </a:ln>
                  </pic:spPr>
                </pic:pic>
              </a:graphicData>
            </a:graphic>
          </wp:inline>
        </w:drawing>
      </w:r>
    </w:p>
    <w:p>
      <w:pPr>
        <w:pStyle w:val="BodyText"/>
      </w:pPr>
      <w:r>
        <w:rPr>
          <w:b/>
          <w:bCs/>
          <w:i/>
          <w:iCs/>
        </w:rPr>
        <w:t xml:space="preserve">Figure S3. The aggregation-based signaling system.</w:t>
      </w:r>
      <w:r>
        <w:t xml:space="preserve"> </w:t>
      </w:r>
      <w:r>
        <w:rPr>
          <w:i/>
          <w:iCs/>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drawing>
          <wp:inline>
            <wp:extent cx="5943600" cy="4002950"/>
            <wp:effectExtent b="0" l="0" r="0" t="0"/>
            <wp:docPr descr="" title="" id="41" name="Picture"/>
            <a:graphic>
              <a:graphicData uri="http://schemas.openxmlformats.org/drawingml/2006/picture">
                <pic:pic>
                  <pic:nvPicPr>
                    <pic:cNvPr descr="../../figures/supplemental/figure_S04_network_feedback_loop.png" id="42" name="Picture"/>
                    <pic:cNvPicPr>
                      <a:picLocks noChangeArrowheads="1" noChangeAspect="1"/>
                    </pic:cNvPicPr>
                  </pic:nvPicPr>
                  <pic:blipFill>
                    <a:blip r:embed="rId40"/>
                    <a:stretch>
                      <a:fillRect/>
                    </a:stretch>
                  </pic:blipFill>
                  <pic:spPr bwMode="auto">
                    <a:xfrm>
                      <a:off x="0" y="0"/>
                      <a:ext cx="5943600" cy="4002950"/>
                    </a:xfrm>
                    <a:prstGeom prst="rect">
                      <a:avLst/>
                    </a:prstGeom>
                    <a:noFill/>
                    <a:ln w="9525">
                      <a:noFill/>
                      <a:headEnd/>
                      <a:tailEnd/>
                    </a:ln>
                  </pic:spPr>
                </pic:pic>
              </a:graphicData>
            </a:graphic>
          </wp:inline>
        </w:drawing>
      </w:r>
    </w:p>
    <w:p>
      <w:pPr>
        <w:pStyle w:val="BodyText"/>
      </w:pPr>
      <w:r>
        <w:rPr>
          <w:b/>
          <w:bCs/>
          <w:i/>
          <w:iCs/>
        </w:rPr>
        <w:t xml:space="preserve">Figure S4. Network feedback loop.</w:t>
      </w:r>
      <w:r>
        <w:t xml:space="preserve"> </w:t>
      </w:r>
      <w:r>
        <w:rPr>
          <w:i/>
          <w:iCs/>
        </w:rPr>
        <w:t xml:space="preserve">Monument investment</w:t>
      </w:r>
      <w:r>
        <w:rPr>
          <w:i/>
          <w:iCs/>
        </w:rPr>
        <w:t xml:space="preserve"> </w:t>
      </w:r>
      <m:oMath>
        <m:sSub>
          <m:e>
            <m:r>
              <m:t>I</m:t>
            </m:r>
          </m:e>
          <m:sub>
            <m:r>
              <m:t>g</m:t>
            </m:r>
          </m:sub>
        </m:sSub>
      </m:oMath>
      <w:r>
        <w:rPr>
          <w:i/>
          <w:iCs/>
        </w:rPr>
        <w:t xml:space="preserve"> </w:t>
      </w:r>
      <w:r>
        <w:rPr>
          <w:i/>
          <w:iCs/>
        </w:rPr>
        <w:t xml:space="preserve">builds cumulative stock</w:t>
      </w:r>
      <w:r>
        <w:rPr>
          <w:i/>
          <w:iCs/>
        </w:rPr>
        <w:t xml:space="preserve"> </w:t>
      </w:r>
      <m:oMath>
        <m:sSub>
          <m:e>
            <m:r>
              <m:t>M</m:t>
            </m:r>
          </m:e>
          <m:sub>
            <m:r>
              <m:t>g</m:t>
            </m:r>
          </m:sub>
        </m:sSub>
      </m:oMath>
      <w:r>
        <w:rPr>
          <w:i/>
          <w:iCs/>
        </w:rPr>
        <w:t xml:space="preserve">, which attracts cooperation partners and expands network degree</w:t>
      </w:r>
      <w:r>
        <w:rPr>
          <w:i/>
          <w:iCs/>
        </w:rPr>
        <w:t xml:space="preserve"> </w:t>
      </w:r>
      <m:oMath>
        <m:r>
          <m:t>k</m:t>
        </m:r>
        <m:r>
          <m:rPr>
            <m:sty m:val="p"/>
          </m:rPr>
          <m:t>(</m:t>
        </m:r>
        <m:sSub>
          <m:e>
            <m:r>
              <m:t>M</m:t>
            </m:r>
          </m:e>
          <m:sub>
            <m:r>
              <m:t>g</m:t>
            </m:r>
          </m:sub>
        </m:sSub>
        <m:r>
          <m:rPr>
            <m:sty m:val="p"/>
          </m:rPr>
          <m:t>)</m:t>
        </m:r>
      </m:oMath>
      <w:r>
        <w:rPr>
          <w:i/>
          <w:iCs/>
        </w:rPr>
        <w:t xml:space="preserve">. Higher network degree reduces vulnerability</w:t>
      </w:r>
      <w:r>
        <w:rPr>
          <w:i/>
          <w:iCs/>
        </w:rPr>
        <w:t xml:space="preserve"> </w:t>
      </w:r>
      <m:oMath>
        <m:r>
          <m:t>α</m:t>
        </m:r>
        <m:r>
          <m:rPr>
            <m:sty m:val="p"/>
          </m:rPr>
          <m:t>(</m:t>
        </m:r>
        <m:r>
          <m:t>k</m:t>
        </m:r>
        <m:r>
          <m:rPr>
            <m:sty m:val="p"/>
          </m:rPr>
          <m:t>)</m:t>
        </m:r>
      </m:oMath>
      <w:r>
        <w:rPr>
          <w:i/>
          <w:iCs/>
        </w:rPr>
        <w:t xml:space="preserve">, raising the cooperation-network signaling component</w:t>
      </w:r>
      <w:r>
        <w:rPr>
          <w:i/>
          <w:iCs/>
        </w:rPr>
        <w:t xml:space="preserve"> </w:t>
      </w:r>
      <m:oMath>
        <m:sSub>
          <m:e>
            <m:r>
              <m:t>λ</m:t>
            </m:r>
          </m:e>
          <m:sub>
            <m:r>
              <m:t>X</m:t>
            </m:r>
          </m:sub>
        </m:sSub>
      </m:oMath>
      <w:r>
        <w:rPr>
          <w:i/>
          <w:iCs/>
        </w:rPr>
        <w:t xml:space="preserve">, which raises optimal investment</w:t>
      </w:r>
      <w:r>
        <w:rPr>
          <w:i/>
          <w:iCs/>
        </w:rPr>
        <w:t xml:space="preserve"> </w:t>
      </w:r>
      <m:oMath>
        <m:sSup>
          <m:e>
            <m:r>
              <m:t>x</m:t>
            </m:r>
          </m:e>
          <m:sup>
            <m:r>
              <m:rPr>
                <m:sty m:val="p"/>
              </m:rPr>
              <m:t>*</m:t>
            </m:r>
          </m:sup>
        </m:sSup>
        <m:r>
          <m:rPr>
            <m:sty m:val="p"/>
          </m:rPr>
          <m:t>(</m:t>
        </m:r>
        <m:r>
          <m:t>q</m:t>
        </m:r>
        <m:r>
          <m:rPr>
            <m:sty m:val="p"/>
          </m:rPr>
          <m:t>)</m:t>
        </m:r>
      </m:oMath>
      <w:r>
        <w:rPr>
          <w:i/>
          <w:iCs/>
        </w:rPr>
        <w:t xml:space="preserve">, completing the feedback. Resolved by fixed-point iteration.</w:t>
      </w:r>
    </w:p>
    <w:p>
      <w:pPr>
        <w:pStyle w:val="BodyText"/>
      </w:pPr>
      <w:r>
        <w:drawing>
          <wp:inline>
            <wp:extent cx="5943600" cy="3670712"/>
            <wp:effectExtent b="0" l="0" r="0" t="0"/>
            <wp:docPr descr="" title="" id="44" name="Picture"/>
            <a:graphic>
              <a:graphicData uri="http://schemas.openxmlformats.org/drawingml/2006/picture">
                <pic:pic>
                  <pic:nvPicPr>
                    <pic:cNvPr descr="../../figures/supplemental/figure_S05_predictions_summary.png" id="45" name="Picture"/>
                    <pic:cNvPicPr>
                      <a:picLocks noChangeArrowheads="1" noChangeAspect="1"/>
                    </pic:cNvPicPr>
                  </pic:nvPicPr>
                  <pic:blipFill>
                    <a:blip r:embed="rId43"/>
                    <a:stretch>
                      <a:fillRect/>
                    </a:stretch>
                  </pic:blipFill>
                  <pic:spPr bwMode="auto">
                    <a:xfrm>
                      <a:off x="0" y="0"/>
                      <a:ext cx="5943600" cy="3670712"/>
                    </a:xfrm>
                    <a:prstGeom prst="rect">
                      <a:avLst/>
                    </a:prstGeom>
                    <a:noFill/>
                    <a:ln w="9525">
                      <a:noFill/>
                      <a:headEnd/>
                      <a:tailEnd/>
                    </a:ln>
                  </pic:spPr>
                </pic:pic>
              </a:graphicData>
            </a:graphic>
          </wp:inline>
        </w:drawing>
      </w:r>
    </w:p>
    <w:p>
      <w:pPr>
        <w:pStyle w:val="BodyText"/>
      </w:pPr>
      <w:r>
        <w:rPr>
          <w:b/>
          <w:bCs/>
          <w:i/>
          <w:iCs/>
        </w:rPr>
        <w:t xml:space="preserve">Figure S5. Testable predictions summary.</w:t>
      </w:r>
      <w:r>
        <w:t xml:space="preserve"> </w:t>
      </w:r>
      <w:r>
        <w:rPr>
          <w:i/>
          <w:iCs/>
        </w:rPr>
        <w:t xml:space="preserve">Six-panel schematic illustrating the framework’s predictions across the categories enumerated in §S8. Top row: (left) temporal: pulsed construction tempo with episodes at the timescale of band turnover, not steady accumulation; (center) spatial: concentration at high-</w:t>
      </w:r>
      <m:oMath>
        <m:r>
          <m:t>ε</m:t>
        </m:r>
      </m:oMath>
      <w:r>
        <w:rPr>
          <w:i/>
          <w:iCs/>
        </w:rPr>
        <w:t xml:space="preserve"> </w:t>
      </w:r>
      <w:r>
        <w:rPr>
          <w:i/>
          <w:iCs/>
        </w:rPr>
        <w:t xml:space="preserve">confluence locations with above-threshold</w:t>
      </w:r>
      <w:r>
        <w:rPr>
          <w:i/>
          <w:iCs/>
        </w:rPr>
        <w:t xml:space="preserve"> </w:t>
      </w:r>
      <m:oMath>
        <m:r>
          <m:t>σ</m:t>
        </m:r>
      </m:oMath>
      <w:r>
        <w:rPr>
          <w:i/>
          <w:iCs/>
        </w:rPr>
        <w:t xml:space="preserve">, absence at low-</w:t>
      </w:r>
      <m:oMath>
        <m:r>
          <m:t>ε</m:t>
        </m:r>
      </m:oMath>
      <w:r>
        <w:rPr>
          <w:i/>
          <w:iCs/>
        </w:rPr>
        <w:t xml:space="preserve"> </w:t>
      </w:r>
      <w:r>
        <w:rPr>
          <w:i/>
          <w:iCs/>
        </w:rPr>
        <w:t xml:space="preserve">or below-threshold settings; (right) material: non-local geochemically traceable exotic goods accumulating at the gathering, with asymmetric flow into the site rather than reciprocal exchange. Bottom row: (left) demographic: population dynamics tied to threshold-crossing rather than continuous in environmental uncertainty; (center) network: cooperation-network density tracking with</w:t>
      </w:r>
      <w:r>
        <w:rPr>
          <w:i/>
          <w:iCs/>
        </w:rPr>
        <w:t xml:space="preserve"> </w:t>
      </w:r>
      <m:oMath>
        <m:sSub>
          <m:e>
            <m:r>
              <m:t>σ</m:t>
            </m:r>
          </m:e>
          <m:sub>
            <m:r>
              <m:t>e</m:t>
            </m:r>
            <m:r>
              <m:t>f</m:t>
            </m:r>
            <m:r>
              <m:t>f</m:t>
            </m:r>
          </m:sub>
        </m:sSub>
      </m:oMath>
      <w:r>
        <w:rPr>
          <w:i/>
          <w:iCs/>
        </w:rPr>
        <w:t xml:space="preserve"> </w:t>
      </w:r>
      <w:r>
        <w:rPr>
          <w:i/>
          <w:iCs/>
        </w:rPr>
        <w:t xml:space="preserve">at the gathering site; (right) cross-cultural: signaling threshold present at adjacent eastern Archaic monument-builders (Stallings, Green River, Mulberry Creek) where local</w:t>
      </w:r>
      <w:r>
        <w:rPr>
          <w:i/>
          <w:iCs/>
        </w:rPr>
        <w:t xml:space="preserve"> </w:t>
      </w:r>
      <m:oMath>
        <m:r>
          <m:t>ε</m:t>
        </m:r>
      </m:oMath>
      <w:r>
        <w:rPr>
          <w:i/>
          <w:iCs/>
        </w:rPr>
        <w:t xml:space="preserve"> </w:t>
      </w:r>
      <w:r>
        <w:rPr>
          <w:i/>
          <w:iCs/>
        </w:rPr>
        <w:t xml:space="preserve">and</w:t>
      </w:r>
      <w:r>
        <w:rPr>
          <w:i/>
          <w:iCs/>
        </w:rPr>
        <w:t xml:space="preserve"> </w:t>
      </w:r>
      <m:oMath>
        <m:r>
          <m:t>σ</m:t>
        </m:r>
      </m:oMath>
      <w:r>
        <w:rPr>
          <w:i/>
          <w:iCs/>
        </w:rPr>
        <w:t xml:space="preserve"> </w:t>
      </w:r>
      <w:r>
        <w:rPr>
          <w:i/>
          <w:iCs/>
        </w:rPr>
        <w:t xml:space="preserve">exceed the framework’s bounds, absent in western Archaic settings where prairie dominance reduces ecotone integration.</w:t>
      </w:r>
    </w:p>
    <w:p>
      <w:r>
        <w:pict>
          <v:rect style="width:0;height:1.5pt" o:hralign="center" o:hrstd="t" o:hr="t"/>
        </w:pict>
      </w:r>
    </w:p>
    <w:bookmarkEnd w:id="46"/>
    <w:bookmarkStart w:id="57" w:name="X465b2bbca3bb02ad49f290e18c81cf7849187fc"/>
    <w:p>
      <w:pPr>
        <w:pStyle w:val="Heading2"/>
      </w:pPr>
      <w:r>
        <w:t xml:space="preserve">S5. Priority extensions to the framework structure</w:t>
      </w:r>
    </w:p>
    <w:p>
      <w:pPr>
        <w:pStyle w:val="FirstParagraph"/>
      </w:pPr>
      <w:r>
        <w:t xml:space="preserve">This section reports two unnumbered structural-architecture extensions: a near-threshold parameter sweep of the signaling apparatus (§S5.1), and a restructured network-saturation function that lets the cooperation-network component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t xml:space="preserve">S5.1 Near-threshold parameter sweep of the full signaling apparatus</w:t>
      </w:r>
    </w:p>
    <w:p>
      <w:pPr>
        <w:pStyle w:val="FirstParagraph"/>
      </w:pPr>
      <w:r>
        <w:t xml:space="preserve">The full signaling apparatus is implemented in main §2.2 (signal-conditional partner formation, tie-strength-weighted shortfall help, direct</w:t>
      </w:r>
      <w:r>
        <w:t xml:space="preserve"> </w:t>
      </w:r>
      <m:oMath>
        <m:sSub>
          <m:e>
            <m:r>
              <m:t>σ</m:t>
            </m:r>
          </m:e>
          <m:sub>
            <m:r>
              <m:t>e</m:t>
            </m:r>
            <m:r>
              <m:t>f</m:t>
            </m:r>
            <m:r>
              <m:t>f</m:t>
            </m:r>
          </m:sub>
        </m:sSub>
      </m:oMath>
      <w:r>
        <w:t xml:space="preserve"> </w:t>
      </w:r>
      <w:r>
        <w:t xml:space="preserve">coupling). We test whether removing the apparatus produces measurable threshold shifts in parameter regimes near</w:t>
      </w:r>
      <w:r>
        <w:t xml:space="preserve"> </w:t>
      </w:r>
      <m:oMath>
        <m:sSup>
          <m:e>
            <m:r>
              <m:t>σ</m:t>
            </m:r>
          </m:e>
          <m:sup>
            <m:r>
              <m:rPr>
                <m:sty m:val="p"/>
              </m:rPr>
              <m:t>*</m:t>
            </m:r>
          </m:sup>
        </m:sSup>
      </m:oMath>
      <w:r>
        <w:t xml:space="preserve">, where small fitness differentials matter most.</w:t>
      </w:r>
    </w:p>
    <w:p>
      <w:pPr>
        <w:pStyle w:val="BodyText"/>
      </w:pPr>
      <w:r>
        <w:t xml:space="preserve">In plain terms: removing the signaling apparatus does two things to the analytical equilibrium. It raises the uncertainty threshold needed to make aggregation adaptive (from</w:t>
      </w:r>
      <w:r>
        <w:t xml:space="preserve"> </w:t>
      </w:r>
      <m:oMath>
        <m:r>
          <m:t>σ</m:t>
        </m:r>
        <m:r>
          <m:rPr>
            <m:sty m:val="p"/>
          </m:rPr>
          <m:t>≈</m:t>
        </m:r>
        <m:r>
          <m:t>0.40</m:t>
        </m:r>
      </m:oMath>
      <w:r>
        <w:t xml:space="preserve"> </w:t>
      </w:r>
      <w:r>
        <w:t xml:space="preserve">to</w:t>
      </w:r>
      <w:r>
        <w:t xml:space="preserve"> </w:t>
      </w:r>
      <m:oMath>
        <m:r>
          <m:t>σ</m:t>
        </m:r>
        <m:r>
          <m:rPr>
            <m:sty m:val="p"/>
          </m:rPr>
          <m:t>≈</m:t>
        </m:r>
        <m:r>
          <m:t>0.54</m:t>
        </m:r>
      </m:oMath>
      <w:r>
        <w:t xml:space="preserve">), and it shrinks how much monument stock eventually accumulates by an order of magnitude. A</w:t>
      </w:r>
      <w:r>
        <w:t xml:space="preserve"> </w:t>
      </w:r>
      <m:oMath>
        <m:r>
          <m:t>σ</m:t>
        </m:r>
      </m:oMath>
      <w:r>
        <w:t xml:space="preserve"> </w:t>
      </w:r>
      <w:r>
        <w:t xml:space="preserve">sweep across</w:t>
      </w:r>
      <w:r>
        <w:t xml:space="preserve"> </w:t>
      </w:r>
      <m:oMath>
        <m:r>
          <m:rPr>
            <m:sty m:val="p"/>
          </m:rPr>
          <m:t>[</m:t>
        </m:r>
        <m:r>
          <m:t>0.30</m:t>
        </m:r>
        <m:r>
          <m:rPr>
            <m:sty m:val="p"/>
          </m:rPr>
          <m:t>,</m:t>
        </m:r>
        <m:r>
          <m:t>0.65</m:t>
        </m:r>
        <m:r>
          <m:rPr>
            <m:sty m:val="p"/>
          </m:rPr>
          <m:t>]</m:t>
        </m:r>
      </m:oMath>
      <w:r>
        <w:t xml:space="preserve"> </w:t>
      </w:r>
      <w:r>
        <w:t xml:space="preserve">at PP-equivalent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compares the analytical equilibrium under signal-conditional (</w:t>
      </w:r>
      <m:oMath>
        <m:sSub>
          <m:e>
            <m:r>
              <m:t>λ</m:t>
            </m:r>
          </m:e>
          <m:sub>
            <m:r>
              <m:t>W</m:t>
            </m:r>
          </m:sub>
        </m:sSub>
        <m:r>
          <m:rPr>
            <m:sty m:val="p"/>
          </m:rPr>
          <m:t>=</m:t>
        </m:r>
        <m:r>
          <m:t>0.15</m:t>
        </m:r>
      </m:oMath>
      <w:r>
        <w:t xml:space="preserve">) and signal-blind (</w:t>
      </w:r>
      <m:oMath>
        <m:sSub>
          <m:e>
            <m:r>
              <m:t>λ</m:t>
            </m:r>
          </m:e>
          <m:sub>
            <m:r>
              <m:t>W</m:t>
            </m:r>
          </m:sub>
        </m:sSub>
        <m:r>
          <m:rPr>
            <m:sty m:val="p"/>
          </m:rPr>
          <m:t>=</m:t>
        </m:r>
        <m:r>
          <m:t>0</m:t>
        </m:r>
      </m:oMath>
      <w:r>
        <w:t xml:space="preserve">) parameterizations. Results: signal-conditional gives</w:t>
      </w:r>
      <w:r>
        <w:t xml:space="preserve"> </w:t>
      </w:r>
      <m:oMath>
        <m:sSubSup>
          <m:e>
            <m:r>
              <m:t>σ</m:t>
            </m:r>
          </m:e>
          <m:sub>
            <m:r>
              <m:rPr>
                <m:nor/>
                <m:sty m:val="p"/>
              </m:rPr>
              <m:t>signal</m:t>
            </m:r>
          </m:sub>
          <m:sup>
            <m:r>
              <m:rPr>
                <m:sty m:val="p"/>
              </m:rPr>
              <m:t>*</m:t>
            </m:r>
          </m:sup>
        </m:sSubSup>
        <m:r>
          <m:rPr>
            <m:sty m:val="p"/>
          </m:rPr>
          <m:t>=</m:t>
        </m:r>
        <m:r>
          <m:t>0.400</m:t>
        </m:r>
      </m:oMath>
      <w:r>
        <w:t xml:space="preserve"> </w:t>
      </w:r>
      <w:r>
        <w:t xml:space="preserve">and equilibrium</w:t>
      </w:r>
      <w:r>
        <w:t xml:space="preserve"> </w:t>
      </w:r>
      <m:oMath>
        <m:sSub>
          <m:e>
            <m:r>
              <m:t>M</m:t>
            </m:r>
          </m:e>
          <m:sub>
            <m:r>
              <m:t>g</m:t>
            </m:r>
          </m:sub>
        </m:sSub>
        <m:r>
          <m:rPr>
            <m:sty m:val="p"/>
          </m:rPr>
          <m:t>=</m:t>
        </m:r>
        <m:r>
          <m:t>129.78</m:t>
        </m:r>
      </m:oMath>
      <w:r>
        <w:t xml:space="preserve">. Signal-blind gives</w:t>
      </w:r>
      <w:r>
        <w:t xml:space="preserve"> </w:t>
      </w:r>
      <m:oMath>
        <m:sSubSup>
          <m:e>
            <m:r>
              <m:t>σ</m:t>
            </m:r>
          </m:e>
          <m:sub>
            <m:r>
              <m:rPr>
                <m:nor/>
                <m:sty m:val="p"/>
              </m:rPr>
              <m:t>blind</m:t>
            </m:r>
          </m:sub>
          <m:sup>
            <m:r>
              <m:rPr>
                <m:sty m:val="p"/>
              </m:rPr>
              <m:t>*</m:t>
            </m:r>
          </m:sup>
        </m:sSubSup>
        <m:r>
          <m:rPr>
            <m:sty m:val="p"/>
          </m:rPr>
          <m:t>=</m:t>
        </m:r>
        <m:r>
          <m:t>0.543</m:t>
        </m:r>
      </m:oMath>
      <w:r>
        <w:t xml:space="preserve"> </w:t>
      </w:r>
      <w:r>
        <w:t xml:space="preserve">and equilibrium</w:t>
      </w:r>
      <w:r>
        <w:t xml:space="preserve"> </w:t>
      </w:r>
      <m:oMath>
        <m:sSub>
          <m:e>
            <m:r>
              <m:t>M</m:t>
            </m:r>
          </m:e>
          <m:sub>
            <m:r>
              <m:t>g</m:t>
            </m:r>
          </m:sub>
        </m:sSub>
        <m:r>
          <m:rPr>
            <m:sty m:val="p"/>
          </m:rPr>
          <m:t>=</m:t>
        </m:r>
        <m:r>
          <m:t>11.83</m:t>
        </m:r>
      </m:oMath>
      <w:r>
        <w:t xml:space="preserve"> </w:t>
      </w:r>
      <w:r>
        <w:t xml:space="preserve">(an 11</w:t>
      </w:r>
      <m:oMath>
        <m:r>
          <m:rPr>
            <m:sty m:val="p"/>
          </m:rPr>
          <m:t>×</m:t>
        </m:r>
      </m:oMath>
      <w:r>
        <w:t xml:space="preserve"> </w:t>
      </w:r>
      <w:r>
        <w:t xml:space="preserve">reduction in attainable monument stock).</w:t>
      </w:r>
    </w:p>
    <w:p>
      <w:pPr>
        <w:pStyle w:val="BodyText"/>
      </w:pPr>
      <w:r>
        <w:t xml:space="preserve">Six</w:t>
      </w:r>
      <w:r>
        <w:t xml:space="preserve"> </w:t>
      </w:r>
      <m:oMath>
        <m:r>
          <m:t>σ</m:t>
        </m:r>
      </m:oMath>
      <w:r>
        <w:t xml:space="preserve"> </w:t>
      </w:r>
      <w:r>
        <w:t xml:space="preserve">values in the sweep range</w:t>
      </w:r>
      <w:r>
        <w:t xml:space="preserve"> </w:t>
      </w:r>
      <m:oMath>
        <m:r>
          <m:rPr>
            <m:sty m:val="p"/>
          </m:rPr>
          <m:t>[</m:t>
        </m:r>
        <m:r>
          <m:t>0.40</m:t>
        </m:r>
        <m:r>
          <m:rPr>
            <m:sty m:val="p"/>
          </m:rPr>
          <m:t>,</m:t>
        </m:r>
        <m:r>
          <m:t>0.525</m:t>
        </m:r>
        <m:r>
          <m:rPr>
            <m:sty m:val="p"/>
          </m:rPr>
          <m:t>]</m:t>
        </m:r>
      </m:oMath>
      <w:r>
        <w:t xml:space="preserve"> </w:t>
      </w:r>
      <w:r>
        <w:t xml:space="preserve">flip regime classification across the ablation: with signaling, those</w:t>
      </w:r>
      <w:r>
        <w:t xml:space="preserve"> </w:t>
      </w:r>
      <m:oMath>
        <m:r>
          <m:t>σ</m:t>
        </m:r>
      </m:oMath>
      <w:r>
        <w:t xml:space="preserve"> </w:t>
      </w:r>
      <w:r>
        <w:t xml:space="preserve">values are above threshold (aggregation adaptive). Without, they are below threshold (independent foraging adaptive). At</w:t>
      </w:r>
      <w:r>
        <w:t xml:space="preserve"> </w:t>
      </w:r>
      <m:oMath>
        <m:r>
          <m:t>σ</m:t>
        </m:r>
        <m:r>
          <m:rPr>
            <m:sty m:val="p"/>
          </m:rPr>
          <m:t>=</m:t>
        </m:r>
        <m:r>
          <m:t>0.64</m:t>
        </m:r>
      </m:oMath>
      <w:r>
        <w:t xml:space="preserve"> </w:t>
      </w:r>
      <w:r>
        <w:t xml:space="preserve">(PP-equivalent), both are above their respective thresholds and the equilibrium</w:t>
      </w:r>
      <w:r>
        <w:t xml:space="preserve"> </w:t>
      </w:r>
      <m:oMath>
        <m:sSub>
          <m:e>
            <m:r>
              <m:t>M</m:t>
            </m:r>
          </m:e>
          <m:sub>
            <m:r>
              <m:t>g</m:t>
            </m:r>
          </m:sub>
        </m:sSub>
      </m:oMath>
      <w:r>
        <w:t xml:space="preserve"> </w:t>
      </w:r>
      <w:r>
        <w:t xml:space="preserve">comparison is between the same 129.78 vs 11.83 (signaling produces 11</w:t>
      </w:r>
      <m:oMath>
        <m:r>
          <m:rPr>
            <m:sty m:val="p"/>
          </m:rPr>
          <m:t>×</m:t>
        </m:r>
      </m:oMath>
      <w:r>
        <w:t xml:space="preserve"> </w:t>
      </w:r>
      <w:r>
        <w:t xml:space="preserve">more equilibrium monument). The equilibrium difference is therefore not a function of</w:t>
      </w:r>
      <w:r>
        <w:t xml:space="preserve"> </w:t>
      </w:r>
      <m:oMath>
        <m:r>
          <m:t>σ</m:t>
        </m:r>
      </m:oMath>
      <w:r>
        <w:t xml:space="preserve"> </w:t>
      </w:r>
      <w:r>
        <w:t xml:space="preserve">but of whether the apparatus is engaged at all.</w:t>
      </w:r>
    </w:p>
    <w:p>
      <w:pPr>
        <w:pStyle w:val="BodyText"/>
      </w:pPr>
      <w:r>
        <w:t xml:space="preserve">The substantive point: the signaling apparatus expands the parameter region in which aggregation is adaptive by widening the threshold by 0.143 in</w:t>
      </w:r>
      <w:r>
        <w:t xml:space="preserve"> </w:t>
      </w:r>
      <m:oMath>
        <m:r>
          <m:t>σ</m:t>
        </m:r>
      </m:oMath>
      <w:r>
        <w:t xml:space="preserve"> </w:t>
      </w:r>
      <w:r>
        <w:t xml:space="preserve">space, and amplifies the equilibrium monument stock 11</w:t>
      </w:r>
      <m:oMath>
        <m:r>
          <m:rPr>
            <m:sty m:val="p"/>
          </m:rPr>
          <m:t>×</m:t>
        </m:r>
      </m:oMath>
      <w:r>
        <w:t xml:space="preserve"> </w:t>
      </w:r>
      <w:r>
        <w:t xml:space="preserve">when present. Sites at</w:t>
      </w:r>
      <w:r>
        <w:t xml:space="preserve"> </w:t>
      </w:r>
      <m:oMath>
        <m:r>
          <m:t>σ</m:t>
        </m:r>
        <m:r>
          <m:rPr>
            <m:sty m:val="p"/>
          </m:rPr>
          <m:t>≈</m:t>
        </m:r>
        <m:r>
          <m:t>0.56</m:t>
        </m:r>
      </m:oMath>
      <w:r>
        <w:t xml:space="preserve">,</w:t>
      </w:r>
      <w:r>
        <w:t xml:space="preserve"> </w:t>
      </w:r>
      <m:oMath>
        <m:r>
          <m:t>ε</m:t>
        </m:r>
        <m:r>
          <m:rPr>
            <m:sty m:val="p"/>
          </m:rPr>
          <m:t>≈</m:t>
        </m:r>
        <m:r>
          <m:t>0.43</m:t>
        </m:r>
      </m:oMath>
      <w:r>
        <w:t xml:space="preserve"> </w:t>
      </w:r>
      <w: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t xml:space="preserve"> </w:t>
      </w:r>
      <w:r>
        <w:t xml:space="preserve">margin range, not just for whether more monument accumulates above threshold).</w:t>
      </w:r>
    </w:p>
    <w:p>
      <w:pPr>
        <w:pStyle w:val="BodyText"/>
      </w:pPr>
      <w:r>
        <w:t xml:space="preserve">Reproducible from</w:t>
      </w:r>
      <w:r>
        <w:t xml:space="preserve"> </w:t>
      </w:r>
      <w:r>
        <w:rPr>
          <w:rStyle w:val="VerbatimChar"/>
        </w:rPr>
        <w:t xml:space="preserve">scripts/analysis/near_threshold_ablation.py</w:t>
      </w:r>
      <w:r>
        <w:t xml:space="preserve">, with outputs in</w:t>
      </w:r>
      <w:r>
        <w:t xml:space="preserve"> </w:t>
      </w:r>
      <w:r>
        <w:rPr>
          <w:rStyle w:val="VerbatimChar"/>
        </w:rPr>
        <w:t xml:space="preserve">results/sensitivity/near_threshold_ablation.json</w:t>
      </w:r>
      <w: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t xml:space="preserve">S5.2 Restructured network-saturation function</w:t>
      </w:r>
    </w:p>
    <w:p>
      <w:pPr>
        <w:pStyle w:val="FirstParagraph"/>
      </w:pPr>
      <w:r>
        <w:t xml:space="preserve">In plain terms: the original</w:t>
      </w:r>
      <w:r>
        <w:t xml:space="preserve"> </w:t>
      </w:r>
      <m:oMath>
        <m:sSub>
          <m:e>
            <m:r>
              <m:t>λ</m:t>
            </m:r>
          </m:e>
          <m:sub>
            <m:r>
              <m:t>X</m:t>
            </m:r>
          </m:sub>
        </m:sSub>
      </m:oMath>
      <w:r>
        <w:t xml:space="preserve"> </w:t>
      </w:r>
      <w:r>
        <w:t xml:space="preserve">is a</w:t>
      </w:r>
      <w:r>
        <w:t xml:space="preserve"> </w:t>
      </w:r>
      <w:r>
        <w:rPr>
          <w:i/>
          <w:iCs/>
        </w:rPr>
        <w:t xml:space="preserve">marginal-benefit</w:t>
      </w:r>
      <w:r>
        <w:t xml:space="preserve"> </w:t>
      </w:r>
      <w:r>
        <w:t xml:space="preserve">term, measuring the</w:t>
      </w:r>
      <w:r>
        <w:t xml:space="preserve"> </w:t>
      </w:r>
      <w:r>
        <w:rPr>
          <w:i/>
          <w:iCs/>
        </w:rPr>
        <w:t xml:space="preserve">additional</w:t>
      </w:r>
      <w:r>
        <w:t xml:space="preserve"> </w:t>
      </w:r>
      <w: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t xml:space="preserve"> </w:t>
      </w:r>
      <w:r>
        <w:rPr>
          <w:i/>
          <w:iCs/>
        </w:rPr>
        <w:t xml:space="preserve">total</w:t>
      </w:r>
      <w:r>
        <w:t xml:space="preserve"> </w:t>
      </w:r>
      <w:r>
        <w:t xml:space="preserve">network-value-times-monument-quality, which remains non-trivial at equilibrium. The partial-derivative notation</w:t>
      </w:r>
      <w:r>
        <w:t xml:space="preserve"> </w:t>
      </w:r>
      <m:oMath>
        <m:r>
          <m:rPr>
            <m:sty m:val="p"/>
          </m:rPr>
          <m:t>(</m:t>
        </m:r>
        <m:r>
          <m:rPr>
            <m:sty m:val="p"/>
          </m:rPr>
          <m:t>∂</m:t>
        </m:r>
        <m:r>
          <m:t>k</m:t>
        </m:r>
        <m:r>
          <m:rPr>
            <m:sty m:val="p"/>
          </m:rPr>
          <m:t>/</m:t>
        </m:r>
        <m:r>
          <m:rPr>
            <m:sty m:val="p"/>
          </m:rPr>
          <m:t>∂</m:t>
        </m:r>
        <m:sSub>
          <m:e>
            <m:r>
              <m:t>M</m:t>
            </m:r>
          </m:e>
          <m:sub>
            <m:r>
              <m:t>g</m:t>
            </m:r>
          </m:sub>
        </m:sSub>
        <m:r>
          <m:rPr>
            <m:sty m:val="p"/>
          </m:rPr>
          <m:t>)</m:t>
        </m:r>
      </m:oMath>
      <w:r>
        <w:t xml:space="preserve"> </w:t>
      </w:r>
      <w:r>
        <w:t xml:space="preserve">can be read informally as</w:t>
      </w:r>
      <w:r>
        <w:t xml:space="preserve"> </w:t>
      </w:r>
      <w:r>
        <w:t xml:space="preserve">“rate of change of</w:t>
      </w:r>
      <w:r>
        <w:t xml:space="preserve"> </w:t>
      </w:r>
      <m:oMath>
        <m:r>
          <m:t>k</m:t>
        </m:r>
      </m:oMath>
      <w:r>
        <w:t xml:space="preserve"> </w:t>
      </w:r>
      <w:r>
        <w:t xml:space="preserve">with</w:t>
      </w:r>
      <w:r>
        <w:t xml:space="preserve"> </w:t>
      </w:r>
      <m:oMath>
        <m:sSub>
          <m:e>
            <m:r>
              <m:t>M</m:t>
            </m:r>
          </m:e>
          <m:sub>
            <m:r>
              <m:t>g</m:t>
            </m:r>
          </m:sub>
        </m:sSub>
      </m:oMath>
      <w:r>
        <w:t xml:space="preserve">.”</w:t>
      </w:r>
      <w:r>
        <w:t xml:space="preserve"> </w:t>
      </w:r>
      <w:r>
        <w:t xml:space="preserve">Formally, at the original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collapse to near-zero at equilibrium (saturation of</w:t>
      </w:r>
      <w:r>
        <w:t xml:space="preserve"> </w:t>
      </w:r>
      <m:oMath>
        <m:r>
          <m:t>k</m:t>
        </m:r>
        <m:r>
          <m:rPr>
            <m:sty m:val="p"/>
          </m:rPr>
          <m:t>(</m:t>
        </m:r>
        <m:sSub>
          <m:e>
            <m:r>
              <m:t>M</m:t>
            </m:r>
          </m:e>
          <m:sub>
            <m:r>
              <m:t>g</m:t>
            </m:r>
          </m:sub>
        </m:sSub>
        <m:r>
          <m:rPr>
            <m:sty m:val="p"/>
          </m:rPr>
          <m:t>)</m:t>
        </m:r>
      </m:oMath>
      <w:r>
        <w:t xml:space="preserve"> </w:t>
      </w:r>
      <w:r>
        <w:t xml:space="preserve">at large</w:t>
      </w:r>
      <w:r>
        <w:t xml:space="preserve"> </w:t>
      </w:r>
      <m:oMath>
        <m:sSub>
          <m:e>
            <m:r>
              <m:t>M</m:t>
            </m:r>
          </m:e>
          <m:sub>
            <m:r>
              <m:t>g</m:t>
            </m:r>
          </m:sub>
        </m:sSub>
      </m:oMath>
      <w:r>
        <w:t xml:space="preserve"> </w:t>
      </w:r>
      <w:r>
        <w:t xml:space="preserve">makes their marginal contributions vanish), so the signaling-vs-cooperation ablation reduces to the effect of removing</w:t>
      </w:r>
      <w:r>
        <w:t xml:space="preserve"> </w:t>
      </w:r>
      <m:oMath>
        <m:sSub>
          <m:e>
            <m:r>
              <m:t>λ</m:t>
            </m:r>
          </m:e>
          <m:sub>
            <m:r>
              <m:t>W</m:t>
            </m:r>
          </m:sub>
        </m:sSub>
      </m:oMath>
      <w:r>
        <w:t xml:space="preserve"> </w:t>
      </w:r>
      <w:r>
        <w:t xml:space="preserve">alone. We add a non-marginal</w:t>
      </w:r>
      <w:r>
        <w:t xml:space="preserve"> </w:t>
      </w:r>
      <w:r>
        <w:t xml:space="preserve">“network-density value”</w:t>
      </w:r>
      <w:r>
        <w:t xml:space="preserve"> </w:t>
      </w:r>
      <w:r>
        <w:t xml:space="preserve">term to</w:t>
      </w:r>
      <w:r>
        <w:t xml:space="preserve"> </w:t>
      </w:r>
      <m:oMath>
        <m:sSub>
          <m:e>
            <m:r>
              <m:t>λ</m:t>
            </m:r>
          </m:e>
          <m:sub>
            <m:r>
              <m:t>X</m:t>
            </m:r>
          </m:sub>
        </m:sSub>
      </m:oMath>
      <w:r>
        <w:t xml:space="preserve"> </w:t>
      </w:r>
      <w:r>
        <w:t xml:space="preserve">proportional to the equilibrium survival benefit, weighted by a parameter</w:t>
      </w:r>
      <w:r>
        <w:t xml:space="preserve"> </w:t>
      </w:r>
      <m:oMath>
        <m:sSub>
          <m:e>
            <m:r>
              <m:t>ξ</m:t>
            </m:r>
          </m:e>
          <m:sub>
            <m:r>
              <m:t>X</m:t>
            </m:r>
          </m:sub>
        </m:sSub>
      </m:oMath>
      <w:r>
        <w:t xml:space="preserve"> </w:t>
      </w:r>
      <w:r>
        <w:t xml:space="preserve">and a saturating monument-quality multiplier</w:t>
      </w:r>
      <w: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t xml:space="preserve"> </w:t>
      </w:r>
      <w:r>
        <w:t xml:space="preserve">with</w:t>
      </w:r>
      <w:r>
        <w:t xml:space="preserve"> </w:t>
      </w:r>
      <m:oMath>
        <m:sSub>
          <m:e>
            <m:r>
              <m:t>M</m:t>
            </m:r>
          </m:e>
          <m:sub>
            <m:r>
              <m:t>q</m:t>
            </m:r>
            <m:r>
              <m:t>u</m:t>
            </m:r>
            <m:r>
              <m:t>a</m:t>
            </m:r>
            <m:r>
              <m:t>l</m:t>
            </m:r>
            <m:r>
              <m:t>i</m:t>
            </m:r>
            <m:r>
              <m:t>t</m:t>
            </m:r>
            <m:r>
              <m:t>y</m:t>
            </m:r>
          </m:sub>
        </m:sSub>
        <m:r>
          <m:rPr>
            <m:sty m:val="p"/>
          </m:rPr>
          <m:t>=</m:t>
        </m:r>
        <m:r>
          <m:t>50</m:t>
        </m:r>
      </m:oMath>
      <w: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t xml:space="preserve">At</w:t>
      </w:r>
      <w:r>
        <w:t xml:space="preserve"> </w:t>
      </w:r>
      <m:oMath>
        <m:sSub>
          <m:e>
            <m:r>
              <m:t>ξ</m:t>
            </m:r>
          </m:e>
          <m:sub>
            <m:r>
              <m:t>X</m:t>
            </m:r>
          </m:sub>
        </m:sSub>
        <m:r>
          <m:rPr>
            <m:sty m:val="p"/>
          </m:rPr>
          <m:t>=</m:t>
        </m:r>
        <m:r>
          <m:t>0</m:t>
        </m:r>
      </m:oMath>
      <w:r>
        <w:t xml:space="preserve"> </w:t>
      </w:r>
      <w:r>
        <w:t xml:space="preserve">(default), this reduces to the original saturating form. At</w:t>
      </w:r>
      <w:r>
        <w:t xml:space="preserve"> </w:t>
      </w:r>
      <m:oMath>
        <m:sSub>
          <m:e>
            <m:r>
              <m:t>ξ</m:t>
            </m:r>
          </m:e>
          <m:sub>
            <m:r>
              <m:t>X</m:t>
            </m:r>
          </m:sub>
        </m:sSub>
        <m:r>
          <m:rPr>
            <m:sty m:val="p"/>
          </m:rPr>
          <m:t>=</m:t>
        </m:r>
        <m:r>
          <m:t>0.5</m:t>
        </m:r>
      </m:oMath>
      <w:r>
        <w:t xml:space="preserve">, the non-marginal term contributes</w:t>
      </w:r>
      <w:r>
        <w:t xml:space="preserve"> </w:t>
      </w:r>
      <m:oMath>
        <m:r>
          <m:rPr>
            <m:sty m:val="p"/>
          </m:rPr>
          <m:t>∼</m:t>
        </m:r>
        <m:r>
          <m:t>0.03</m:t>
        </m:r>
      </m:oMath>
      <w:r>
        <w:t xml:space="preserve"> </w:t>
      </w:r>
      <w:r>
        <w:t xml:space="preserve">at equilibrium, giving</w:t>
      </w:r>
      <w: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t xml:space="preserve"> </w:t>
      </w:r>
      <w:r>
        <w:t xml:space="preserve">vs the original</w:t>
      </w:r>
      <w:r>
        <w:t xml:space="preserve"> </w:t>
      </w:r>
      <m:oMath>
        <m:r>
          <m:rPr>
            <m:sty m:val="p"/>
          </m:rPr>
          <m:t>∼</m:t>
        </m:r>
        <m:r>
          <m:t>0.000</m:t>
        </m:r>
      </m:oMath>
      <w:r>
        <w:t xml:space="preserve">. Sweeping</w:t>
      </w:r>
      <w: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t xml:space="preserve"> </w:t>
      </w:r>
      <w:r>
        <w:t xml:space="preserve">at PP-equivalent parameters: the threshold shift from full apparatus to signal-blind (</w:t>
      </w:r>
      <m:oMath>
        <m:sSub>
          <m:e>
            <m:r>
              <m:t>λ</m:t>
            </m:r>
          </m:e>
          <m:sub>
            <m:r>
              <m:t>W</m:t>
            </m:r>
          </m:sub>
        </m:sSub>
        <m:r>
          <m:rPr>
            <m:sty m:val="p"/>
          </m:rPr>
          <m:t>=</m:t>
        </m:r>
        <m:r>
          <m:t>0</m:t>
        </m:r>
      </m:oMath>
      <w:r>
        <w:t xml:space="preserve">) ablation is +36.0%, +36.8%, +37.2% respectively, essentially unchanged. The qualitative result (signaling lowers the threshold by ~36%) is robust to the structural change.</w:t>
      </w:r>
    </w:p>
    <w:p>
      <w:pPr>
        <w:pStyle w:val="BodyText"/>
      </w:pPr>
      <w:r>
        <w:t xml:space="preserve">What the restructured formulation provides is</w:t>
      </w:r>
      <w:r>
        <w:t xml:space="preserve"> </w:t>
      </w:r>
      <w:r>
        <w:rPr>
          <w:i/>
          <w:iCs/>
        </w:rPr>
        <w:t xml:space="preserve">interpretive</w:t>
      </w:r>
      <w:r>
        <w:t xml:space="preserve">: under</w:t>
      </w:r>
      <w:r>
        <w:t xml:space="preserve"> </w:t>
      </w:r>
      <m:oMath>
        <m:sSub>
          <m:e>
            <m:r>
              <m:t>ξ</m:t>
            </m:r>
          </m:e>
          <m:sub>
            <m:r>
              <m:t>X</m:t>
            </m:r>
          </m:sub>
        </m:sSub>
        <m:r>
          <m:rPr>
            <m:sty m:val="p"/>
          </m:rPr>
          <m:t>=</m:t>
        </m:r>
        <m:r>
          <m:t>0.5</m:t>
        </m:r>
      </m:oMath>
      <w:r>
        <w:t xml:space="preserve">, the ablation removes</w:t>
      </w:r>
      <w:r>
        <w:t xml:space="preserve"> </w:t>
      </w:r>
      <m:oMath>
        <m:sSub>
          <m:e>
            <m:r>
              <m:t>λ</m:t>
            </m:r>
          </m:e>
          <m:sub>
            <m:r>
              <m:t>W</m:t>
            </m:r>
          </m:sub>
        </m:sSub>
      </m:oMath>
      <w:r>
        <w:t xml:space="preserve"> </w:t>
      </w:r>
      <w:r>
        <w:t xml:space="preserve">from a system in which</w:t>
      </w:r>
      <w:r>
        <w:t xml:space="preserve"> </w:t>
      </w:r>
      <m:oMath>
        <m:sSub>
          <m:e>
            <m:r>
              <m:t>λ</m:t>
            </m:r>
          </m:e>
          <m:sub>
            <m:r>
              <m:t>X</m:t>
            </m:r>
          </m:sub>
        </m:sSub>
        <m:r>
          <m:rPr>
            <m:sty m:val="p"/>
          </m:rPr>
          <m:t>=</m:t>
        </m:r>
        <m:r>
          <m:t>0.032</m:t>
        </m:r>
      </m:oMath>
      <w:r>
        <w:t xml:space="preserve"> </w:t>
      </w:r>
      <w:r>
        <w:t xml:space="preserve">is also doing real cooperation-network work (the residual</w:t>
      </w:r>
      <w:r>
        <w:t xml:space="preserve"> </w:t>
      </w:r>
      <m:oMath>
        <m:sSub>
          <m:e>
            <m:r>
              <m:t>λ</m:t>
            </m:r>
          </m:e>
          <m:sub>
            <m:r>
              <m:t>X</m:t>
            </m:r>
          </m:sub>
        </m:sSub>
      </m:oMath>
      <w:r>
        <w:t xml:space="preserve"> </w:t>
      </w:r>
      <w:r>
        <w:t xml:space="preserve">with the apparatus removed is itself non-trivial). The signaling-vs-cooperation discrimination is therefore genuine: removing within-group prestige signaling (</w:t>
      </w:r>
      <m:oMath>
        <m:sSub>
          <m:e>
            <m:r>
              <m:t>λ</m:t>
            </m:r>
          </m:e>
          <m:sub>
            <m:r>
              <m:t>W</m:t>
            </m:r>
          </m:sub>
        </m:sSub>
      </m:oMath>
      <w:r>
        <w:t xml:space="preserve">) shifts the threshold by ~37% even when cooperation-network signaling (</w:t>
      </w:r>
      <m:oMath>
        <m:sSub>
          <m:e>
            <m:r>
              <m:t>λ</m:t>
            </m:r>
          </m:e>
          <m:sub>
            <m:r>
              <m:t>X</m:t>
            </m:r>
          </m:sub>
        </m:sSub>
      </m:oMath>
      <w:r>
        <w:t xml:space="preserve">) provides 0.032 of residual incentive.</w:t>
      </w:r>
    </w:p>
    <w:p>
      <w:pPr>
        <w:pStyle w:val="BodyText"/>
      </w:pPr>
      <w:r>
        <w:t xml:space="preserve">The choice of</w:t>
      </w:r>
      <w:r>
        <w:t xml:space="preserve"> </w:t>
      </w:r>
      <m:oMath>
        <m:sSub>
          <m:e>
            <m:r>
              <m:t>ξ</m:t>
            </m:r>
          </m:e>
          <m:sub>
            <m:r>
              <m:t>X</m:t>
            </m:r>
          </m:sub>
        </m:sSub>
        <m:r>
          <m:rPr>
            <m:sty m:val="p"/>
          </m:rPr>
          <m:t>=</m:t>
        </m:r>
        <m:r>
          <m:t>0.5</m:t>
        </m:r>
      </m:oMath>
      <w:r>
        <w:t xml:space="preserve"> </w:t>
      </w:r>
      <w: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t xml:space="preserve"> </w:t>
      </w:r>
      <w:r>
        <w:rPr>
          <w:rStyle w:val="VerbatimChar"/>
        </w:rPr>
        <w:t xml:space="preserve">scripts/analysis/restructured_saturation_test.py</w:t>
      </w:r>
      <w:r>
        <w:t xml:space="preserve">, with outputs in</w:t>
      </w:r>
      <w:r>
        <w:t xml:space="preserve"> </w:t>
      </w:r>
      <w:r>
        <w:rPr>
          <w:rStyle w:val="VerbatimChar"/>
        </w:rPr>
        <w:t xml:space="preserve">results/sensitivity/restructured_saturation_test.json</w:t>
      </w:r>
      <w:r>
        <w:t xml:space="preserve">.</w:t>
      </w:r>
    </w:p>
    <w:bookmarkEnd w:id="48"/>
    <w:bookmarkStart w:id="52" w:name="s5.4-factorial-component-ablation"/>
    <w:p>
      <w:pPr>
        <w:pStyle w:val="Heading3"/>
      </w:pPr>
      <w:r>
        <w:t xml:space="preserve">S5.4 Factorial component ablation</w:t>
      </w:r>
    </w:p>
    <w:p>
      <w:pPr>
        <w:pStyle w:val="FirstParagraph"/>
      </w:pPr>
      <w:r>
        <w:t xml:space="preserve">R3’s review (round-6) requested a deeper ablation than the §4.3 signal-conditional-vs-random partner comparison: turn each signaling/buffering component off individually and in factorial combination to isolate which components actually drive the threshold-crossing. We ran a</w:t>
      </w:r>
      <w:r>
        <w:t xml:space="preserve"> </w:t>
      </w:r>
      <m:oMath>
        <m:sSup>
          <m:e>
            <m:r>
              <m:t>2</m:t>
            </m:r>
          </m:e>
          <m:sup>
            <m:r>
              <m:t>4</m:t>
            </m:r>
          </m:sup>
        </m:sSup>
        <m:r>
          <m:rPr>
            <m:sty m:val="p"/>
          </m:rPr>
          <m:t>=</m:t>
        </m:r>
        <m:r>
          <m:t>16</m:t>
        </m:r>
      </m:oMath>
      <w:r>
        <w:t xml:space="preserve">-cell factorial across the four components, with 8 stochastic replicates per cell at sigma-effective target 0.40, just above the analytical threshold. The four components are</w:t>
      </w:r>
      <w:r>
        <w:t xml:space="preserve"> </w:t>
      </w:r>
      <m:oMath>
        <m:sSub>
          <m:e>
            <m:r>
              <m:t>λ</m:t>
            </m:r>
          </m:e>
          <m:sub>
            <m:r>
              <m:t>W</m:t>
            </m:r>
          </m:sub>
        </m:sSub>
      </m:oMath>
      <w:r>
        <w:t xml:space="preserve"> </w:t>
      </w:r>
      <w:r>
        <w:t xml:space="preserve">(within-group reward),</w:t>
      </w:r>
      <w:r>
        <w:t xml:space="preserve"> </w:t>
      </w:r>
      <m:oMath>
        <m:sSub>
          <m:e>
            <m:r>
              <m:t>λ</m:t>
            </m:r>
          </m:e>
          <m:sub>
            <m:r>
              <m:t>C</m:t>
            </m:r>
          </m:sub>
        </m:sSub>
      </m:oMath>
      <w:r>
        <w:t xml:space="preserve"> </w:t>
      </w:r>
      <w:r>
        <w:t xml:space="preserve">(conflict deterrence),</w:t>
      </w:r>
      <w:r>
        <w:t xml:space="preserve"> </w:t>
      </w:r>
      <m:oMath>
        <m:sSub>
          <m:e>
            <m:r>
              <m:t>λ</m:t>
            </m:r>
          </m:e>
          <m:sub>
            <m:r>
              <m:t>X</m:t>
            </m:r>
          </m:sub>
        </m:sSub>
      </m:oMath>
      <w:r>
        <w:t xml:space="preserve"> </w:t>
      </w:r>
      <w:r>
        <w:t xml:space="preserve">(cooperation-network value), and</w:t>
      </w:r>
      <w:r>
        <w:t xml:space="preserve"> </w:t>
      </w:r>
      <m:oMath>
        <m:r>
          <m:t>ε</m:t>
        </m:r>
      </m:oMath>
      <w:r>
        <w:t xml:space="preserve"> </w:t>
      </w:r>
      <w:r>
        <w:t xml:space="preserve">(ecotone buffer). A component is</w:t>
      </w:r>
      <w:r>
        <w:t xml:space="preserve"> </w:t>
      </w:r>
      <w:r>
        <w:t xml:space="preserve">“on”</w:t>
      </w:r>
      <w:r>
        <w:t xml:space="preserve"> </w:t>
      </w:r>
      <w:r>
        <w:t xml:space="preserve">at its canonical PP-scenario value (0.15, 0.10, 0.15, 0.35 respectively) and</w:t>
      </w:r>
      <w:r>
        <w:t xml:space="preserve"> </w:t>
      </w:r>
      <w:r>
        <w:t xml:space="preserve">“off”</w:t>
      </w:r>
      <w:r>
        <w:t xml:space="preserve"> </w:t>
      </w:r>
      <w:r>
        <w:t xml:space="preserve">at zero.</w:t>
      </w:r>
    </w:p>
    <w:p>
      <w:pPr>
        <w:pStyle w:val="BodyText"/>
      </w:pPr>
      <w:r>
        <w:t xml:space="preserve">The result is clean (Figure S6). Per-cell mean dominance partitions into four bands: cells with</w:t>
      </w:r>
      <w:r>
        <w:t xml:space="preserve"> </w:t>
      </w:r>
      <m:oMath>
        <m:r>
          <m:t>ε</m:t>
        </m:r>
      </m:oMath>
      <w:r>
        <w:t xml:space="preserve"> </w:t>
      </w:r>
      <w:r>
        <w:t xml:space="preserve">off plus</w:t>
      </w:r>
      <w:r>
        <w:t xml:space="preserve"> </w:t>
      </w:r>
      <m:oMath>
        <m:sSub>
          <m:e>
            <m:r>
              <m:t>λ</m:t>
            </m:r>
          </m:e>
          <m:sub>
            <m:r>
              <m:t>W</m:t>
            </m:r>
          </m:sub>
        </m:sSub>
      </m:oMath>
      <w:r>
        <w:t xml:space="preserve"> </w:t>
      </w:r>
      <w:r>
        <w:t xml:space="preserve">off are deeply independent (mean dominance</w:t>
      </w:r>
      <w:r>
        <w:t xml:space="preserve"> </w:t>
      </w:r>
      <m:oMath>
        <m:r>
          <m:rPr>
            <m:sty m:val="p"/>
          </m:rPr>
          <m:t>≈</m:t>
        </m:r>
        <m:r>
          <m:rPr>
            <m:sty m:val="p"/>
          </m:rPr>
          <m:t>−</m:t>
        </m:r>
        <m:r>
          <m:t>0.72</m:t>
        </m:r>
      </m:oMath>
      <w:r>
        <w:t xml:space="preserve"> </w:t>
      </w:r>
      <w:r>
        <w:t xml:space="preserve">across all four such cells); cells with</w:t>
      </w:r>
      <w:r>
        <w:t xml:space="preserve"> </w:t>
      </w:r>
      <m:oMath>
        <m:r>
          <m:t>ε</m:t>
        </m:r>
      </m:oMath>
      <w:r>
        <w:t xml:space="preserve"> </w:t>
      </w:r>
      <w:r>
        <w:t xml:space="preserve">off but</w:t>
      </w:r>
      <w:r>
        <w:t xml:space="preserve"> </w:t>
      </w:r>
      <m:oMath>
        <m:sSub>
          <m:e>
            <m:r>
              <m:t>λ</m:t>
            </m:r>
          </m:e>
          <m:sub>
            <m:r>
              <m:t>W</m:t>
            </m:r>
          </m:sub>
        </m:sSub>
      </m:oMath>
      <w:r>
        <w:t xml:space="preserve"> </w:t>
      </w:r>
      <w:r>
        <w:t xml:space="preserve">on are still independent but less so (</w:t>
      </w:r>
      <m:oMath>
        <m:r>
          <m:rPr>
            <m:sty m:val="p"/>
          </m:rPr>
          <m:t>≈</m:t>
        </m:r>
        <m:r>
          <m:rPr>
            <m:sty m:val="p"/>
          </m:rPr>
          <m:t>−</m:t>
        </m:r>
        <m:r>
          <m:t>0.43</m:t>
        </m:r>
      </m:oMath>
      <w:r>
        <w:t xml:space="preserve">); cells with</w:t>
      </w:r>
      <w:r>
        <w:t xml:space="preserve"> </w:t>
      </w:r>
      <m:oMath>
        <m:r>
          <m:t>ε</m:t>
        </m:r>
      </m:oMath>
      <w:r>
        <w:t xml:space="preserve"> </w:t>
      </w:r>
      <w:r>
        <w:t xml:space="preserve">on but</w:t>
      </w:r>
      <w:r>
        <w:t xml:space="preserve"> </w:t>
      </w:r>
      <m:oMath>
        <m:sSub>
          <m:e>
            <m:r>
              <m:t>λ</m:t>
            </m:r>
          </m:e>
          <m:sub>
            <m:r>
              <m:t>W</m:t>
            </m:r>
          </m:sub>
        </m:sSub>
      </m:oMath>
      <w:r>
        <w:t xml:space="preserve"> </w:t>
      </w:r>
      <w:r>
        <w:t xml:space="preserve">off are moderately aggregator (</w:t>
      </w:r>
      <m:oMath>
        <m:r>
          <m:rPr>
            <m:sty m:val="p"/>
          </m:rPr>
          <m:t>≈</m:t>
        </m:r>
        <m:r>
          <m:rPr>
            <m:sty m:val="p"/>
          </m:rPr>
          <m:t>+</m:t>
        </m:r>
        <m:r>
          <m:t>0.25</m:t>
        </m:r>
      </m:oMath>
      <w:r>
        <w:t xml:space="preserve">); and cells with</w:t>
      </w:r>
      <w:r>
        <w:t xml:space="preserve"> </w:t>
      </w:r>
      <m:oMath>
        <m:r>
          <m:t>ε</m:t>
        </m:r>
      </m:oMath>
      <w:r>
        <w:t xml:space="preserve"> </w:t>
      </w:r>
      <w:r>
        <w:t xml:space="preserve">on and</w:t>
      </w:r>
      <w:r>
        <w:t xml:space="preserve"> </w:t>
      </w:r>
      <m:oMath>
        <m:sSub>
          <m:e>
            <m:r>
              <m:t>λ</m:t>
            </m:r>
          </m:e>
          <m:sub>
            <m:r>
              <m:t>W</m:t>
            </m:r>
          </m:sub>
        </m:sSub>
      </m:oMath>
      <w:r>
        <w:t xml:space="preserve"> </w:t>
      </w:r>
      <w:r>
        <w:t xml:space="preserve">on are strongly aggregator (</w:t>
      </w:r>
      <m:oMath>
        <m:r>
          <m:rPr>
            <m:sty m:val="p"/>
          </m:rPr>
          <m:t>≈</m:t>
        </m:r>
        <m:r>
          <m:rPr>
            <m:sty m:val="p"/>
          </m:rPr>
          <m:t>+</m:t>
        </m:r>
        <m:r>
          <m:t>0.61</m:t>
        </m:r>
      </m:oMath>
      <w:r>
        <w:t xml:space="preserve">). The</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components make no detectable difference at any combination of</w:t>
      </w:r>
      <w:r>
        <w:t xml:space="preserve"> </w:t>
      </w:r>
      <m:oMath>
        <m:sSub>
          <m:e>
            <m:r>
              <m:t>λ</m:t>
            </m:r>
          </m:e>
          <m:sub>
            <m:r>
              <m:t>W</m:t>
            </m:r>
          </m:sub>
        </m:sSub>
      </m:oMath>
      <w:r>
        <w:t xml:space="preserve"> </w:t>
      </w:r>
      <w:r>
        <w:t xml:space="preserve">and</w:t>
      </w:r>
      <w:r>
        <w:t xml:space="preserve"> </w:t>
      </w:r>
      <m:oMath>
        <m:r>
          <m:t>ε</m:t>
        </m:r>
      </m:oMath>
      <w:r>
        <w:t xml:space="preserve"> </w:t>
      </w:r>
      <w:r>
        <w:t xml:space="preserve">states. The main-effect summary makes this concrete: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Symbol</w:t>
            </w:r>
          </w:p>
        </w:tc>
        <w:tc>
          <w:tcPr/>
          <w:p>
            <w:pPr>
              <w:pStyle w:val="Compact"/>
            </w:pPr>
            <w:r>
              <w:t xml:space="preserve">Main effect (mean dominance ON minus OFF)</w:t>
            </w:r>
          </w:p>
        </w:tc>
      </w:tr>
      <w:tr>
        <w:tc>
          <w:tcPr/>
          <w:p>
            <w:pPr>
              <w:pStyle w:val="Compact"/>
            </w:pPr>
            <w:r>
              <w:t xml:space="preserve">Within-group reward</w:t>
            </w:r>
          </w:p>
        </w:tc>
        <w:tc>
          <w:tcPr/>
          <w:p>
            <w:pPr>
              <w:pStyle w:val="Compact"/>
            </w:pPr>
            <m:oMath>
              <m:sSub>
                <m:e>
                  <m:r>
                    <m:t>λ</m:t>
                  </m:r>
                </m:e>
                <m:sub>
                  <m:r>
                    <m:t>W</m:t>
                  </m:r>
                </m:sub>
              </m:sSub>
            </m:oMath>
          </w:p>
        </w:tc>
        <w:tc>
          <w:tcPr/>
          <w:p>
            <w:pPr>
              <w:pStyle w:val="Compact"/>
            </w:pPr>
            <m:oMath>
              <m:r>
                <m:rPr>
                  <m:sty m:val="p"/>
                </m:rPr>
                <m:t>+</m:t>
              </m:r>
              <m:r>
                <m:t>0.323</m:t>
              </m:r>
            </m:oMath>
          </w:p>
        </w:tc>
      </w:tr>
      <w:tr>
        <w:tc>
          <w:tcPr/>
          <w:p>
            <w:pPr>
              <w:pStyle w:val="Compact"/>
            </w:pPr>
            <w:r>
              <w:t xml:space="preserve">Conflict deterrence</w:t>
            </w:r>
          </w:p>
        </w:tc>
        <w:tc>
          <w:tcPr/>
          <w:p>
            <w:pPr>
              <w:pStyle w:val="Compact"/>
            </w:pPr>
            <m:oMath>
              <m:sSub>
                <m:e>
                  <m:r>
                    <m:t>λ</m:t>
                  </m:r>
                </m:e>
                <m:sub>
                  <m:r>
                    <m:t>C</m:t>
                  </m:r>
                </m:sub>
              </m:sSub>
            </m:oMath>
          </w:p>
        </w:tc>
        <w:tc>
          <w:tcPr/>
          <w:p>
            <w:pPr>
              <w:pStyle w:val="Compact"/>
            </w:pPr>
            <m:oMath>
              <m:r>
                <m:rPr>
                  <m:sty m:val="p"/>
                </m:rPr>
                <m:t>−</m:t>
              </m:r>
              <m:r>
                <m:t>0.012</m:t>
              </m:r>
            </m:oMath>
          </w:p>
        </w:tc>
      </w:tr>
      <w:tr>
        <w:tc>
          <w:tcPr/>
          <w:p>
            <w:pPr>
              <w:pStyle w:val="Compact"/>
            </w:pPr>
            <w:r>
              <w:t xml:space="preserve">Cooperation-network value</w:t>
            </w:r>
          </w:p>
        </w:tc>
        <w:tc>
          <w:tcPr/>
          <w:p>
            <w:pPr>
              <w:pStyle w:val="Compact"/>
            </w:pPr>
            <m:oMath>
              <m:sSub>
                <m:e>
                  <m:r>
                    <m:t>λ</m:t>
                  </m:r>
                </m:e>
                <m:sub>
                  <m:r>
                    <m:t>X</m:t>
                  </m:r>
                </m:sub>
              </m:sSub>
            </m:oMath>
          </w:p>
        </w:tc>
        <w:tc>
          <w:tcPr/>
          <w:p>
            <w:pPr>
              <w:pStyle w:val="Compact"/>
            </w:pPr>
            <m:oMath>
              <m:r>
                <m:rPr>
                  <m:sty m:val="p"/>
                </m:rPr>
                <m:t>+</m:t>
              </m:r>
              <m:r>
                <m:t>0.011</m:t>
              </m:r>
            </m:oMath>
          </w:p>
        </w:tc>
      </w:tr>
      <w:tr>
        <w:tc>
          <w:tcPr/>
          <w:p>
            <w:pPr>
              <w:pStyle w:val="Compact"/>
            </w:pPr>
            <w:r>
              <w:t xml:space="preserve">Ecotone buffer</w:t>
            </w:r>
          </w:p>
        </w:tc>
        <w:tc>
          <w:tcPr/>
          <w:p>
            <w:pPr>
              <w:pStyle w:val="Compact"/>
            </w:pPr>
            <m:oMath>
              <m:r>
                <m:t>ε</m:t>
              </m:r>
            </m:oMath>
          </w:p>
        </w:tc>
        <w:tc>
          <w:tcPr/>
          <w:p>
            <w:pPr>
              <w:pStyle w:val="Compact"/>
            </w:pPr>
            <m:oMath>
              <m:r>
                <m:rPr>
                  <m:sty m:val="p"/>
                </m:rPr>
                <m:t>+</m:t>
              </m:r>
              <m:r>
                <m:t>1.003</m:t>
              </m:r>
            </m:oMath>
          </w:p>
        </w:tc>
      </w:tr>
    </w:tbl>
    <w:p>
      <w:pPr>
        <w:pStyle w:val="BodyText"/>
      </w:pPr>
      <w:r>
        <w:t xml:space="preserve">The headline finding is that</w:t>
      </w:r>
      <w:r>
        <w:t xml:space="preserve"> </w:t>
      </w:r>
      <w:r>
        <w:rPr>
          <w:i/>
          <w:iCs/>
        </w:rPr>
        <w:t xml:space="preserve">ecotone access</w:t>
      </w:r>
      <w:r>
        <w:t xml:space="preserve"> </w:t>
      </w:r>
      <w:r>
        <w:t xml:space="preserve">and</w:t>
      </w:r>
      <w:r>
        <w:t xml:space="preserve"> </w:t>
      </w:r>
      <w:r>
        <w:rPr>
          <w:i/>
          <w:iCs/>
        </w:rPr>
        <w:t xml:space="preserve">within-group reward</w:t>
      </w:r>
      <w:r>
        <w:t xml:space="preserve"> </w:t>
      </w:r>
      <w:r>
        <w:t xml:space="preserve">are the two components that drive the threshold-crossing structure. The conflict-deterrence and cooperation-network-value components make no detectable contribution at the PP-scenario parameterization. This is consistent with the §S3.1 OAT sensitivity result:</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direct sensitivity in the OAT tornado because they are endogenously determined at the lambda-sigma fixed point, and the factorial confirms that endogenization extends to the full ABM dynamic (turning them off entirely produces no detectable change in the population trajectory at this parameterization). The framework’s two operative components at PP-scenario parameters are</w:t>
      </w:r>
      <w:r>
        <w:t xml:space="preserve"> </w:t>
      </w:r>
      <m:oMath>
        <m:r>
          <m:t>ε</m:t>
        </m:r>
      </m:oMath>
      <w:r>
        <w:t xml:space="preserve"> </w:t>
      </w:r>
      <w:r>
        <w:t xml:space="preserve">(which sets whether the threshold is crossed) and</w:t>
      </w:r>
      <w:r>
        <w:t xml:space="preserve"> </w:t>
      </w:r>
      <m:oMath>
        <m:sSub>
          <m:e>
            <m:r>
              <m:t>λ</m:t>
            </m:r>
          </m:e>
          <m:sub>
            <m:r>
              <m:t>W</m:t>
            </m:r>
          </m:sub>
        </m:sSub>
      </m:oMath>
      <w:r>
        <w:t xml:space="preserve"> </w:t>
      </w:r>
      <w:r>
        <w:t xml:space="preserve">(which sets how far above the threshold the system equilibrates).</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are present in the model architecture but doing no observable work at these parameter values. A different parameterization (e.g., earlier in the analytical fixed-point iteration before</w:t>
      </w:r>
      <w:r>
        <w:t xml:space="preserve"> </w:t>
      </w:r>
      <m:oMath>
        <m:sSub>
          <m:e>
            <m:r>
              <m:t>M</m:t>
            </m:r>
          </m:e>
          <m:sub>
            <m:r>
              <m:t>g</m:t>
            </m:r>
          </m:sub>
        </m:sSub>
      </m:oMath>
      <w:r>
        <w:t xml:space="preserve"> </w:t>
      </w:r>
      <w:r>
        <w:t xml:space="preserve">saturates the network function) would presumably give them more weight. At the PP equilibrium they are silent.</w:t>
      </w:r>
    </w:p>
    <w:p>
      <w:pPr>
        <w:pStyle w:val="BodyText"/>
      </w:pPr>
      <w:r>
        <w:t xml:space="preserve">This factorial ablation is the deeper version of the §4.3 signal-conditional vs random-partner comparison. The §4.3 result (</w:t>
      </w:r>
      <m:oMath>
        <m:r>
          <m:rPr>
            <m:sty m:val="p"/>
          </m:rPr>
          <m:t>−</m:t>
        </m:r>
        <m:r>
          <m:t>0.002</m:t>
        </m:r>
      </m:oMath>
      <w:r>
        <w:t xml:space="preserve"> </w:t>
      </w:r>
      <w:r>
        <w:t xml:space="preserve">shift in realized</w:t>
      </w:r>
      <w:r>
        <w:t xml:space="preserve"> </w:t>
      </w:r>
      <m:oMath>
        <m:sSub>
          <m:e>
            <m:r>
              <m:t>σ</m:t>
            </m:r>
          </m:e>
          <m:sub>
            <m:r>
              <m:t>e</m:t>
            </m:r>
            <m:r>
              <m:t>f</m:t>
            </m:r>
            <m:r>
              <m:t>f</m:t>
            </m:r>
          </m:sub>
        </m:sSub>
      </m:oMath>
      <w:r>
        <w:t xml:space="preserve"> </w:t>
      </w:r>
      <w:r>
        <w:t xml:space="preserve">at the threshold) tested whether</w:t>
      </w:r>
      <w:r>
        <w:t xml:space="preserve"> </w:t>
      </w:r>
      <w:r>
        <w:rPr>
          <w:i/>
          <w:iCs/>
        </w:rPr>
        <w:t xml:space="preserve">weighted partner choice</w:t>
      </w:r>
      <w:r>
        <w:t xml:space="preserve"> </w:t>
      </w:r>
      <w:r>
        <w:t xml:space="preserve">matters when network cooperation is preserved, and found that it does not: the threshold does not shift. The §S5.4 factorial here tests whether each</w:t>
      </w:r>
      <w:r>
        <w:t xml:space="preserve"> </w:t>
      </w:r>
      <w:r>
        <w:rPr>
          <w:i/>
          <w:iCs/>
        </w:rPr>
        <w:t xml:space="preserve">component</w:t>
      </w:r>
      <w:r>
        <w:t xml:space="preserve"> </w:t>
      </w:r>
      <w:r>
        <w:t xml:space="preserve">matters, with everything else held constant. Here,</w:t>
      </w:r>
      <w:r>
        <w:t xml:space="preserve"> </w:t>
      </w:r>
      <m:oMath>
        <m:r>
          <m:t>ε</m:t>
        </m:r>
      </m:oMath>
      <w:r>
        <w:t xml:space="preserve"> </w:t>
      </w:r>
      <w:r>
        <w:t xml:space="preserve">and</w:t>
      </w:r>
      <w:r>
        <w:t xml:space="preserve"> </w:t>
      </w:r>
      <m:oMath>
        <m:sSub>
          <m:e>
            <m:r>
              <m:t>λ</m:t>
            </m:r>
          </m:e>
          <m:sub>
            <m:r>
              <m:t>W</m:t>
            </m:r>
          </m:sub>
        </m:sSub>
      </m:oMath>
      <w:r>
        <w:t xml:space="preserve"> </w:t>
      </w:r>
      <w:r>
        <w:t xml:space="preserve">matter substantially while the other two do not at PP-scenario parameters. The two results together give a more complete picture of which model components are doing the work and which are present but not currently engaged.</w:t>
      </w:r>
    </w:p>
    <w:p>
      <w:pPr>
        <w:pStyle w:val="BodyText"/>
      </w:pPr>
      <w:r>
        <w:drawing>
          <wp:inline>
            <wp:extent cx="5943600" cy="2488018"/>
            <wp:effectExtent b="0" l="0" r="0" t="0"/>
            <wp:docPr descr="" title="" id="50" name="Picture"/>
            <a:graphic>
              <a:graphicData uri="http://schemas.openxmlformats.org/drawingml/2006/picture">
                <pic:pic>
                  <pic:nvPicPr>
                    <pic:cNvPr descr="../../figures/supplemental/figure_S06_factorial_ablation.png" id="51" name="Picture"/>
                    <pic:cNvPicPr>
                      <a:picLocks noChangeArrowheads="1" noChangeAspect="1"/>
                    </pic:cNvPicPr>
                  </pic:nvPicPr>
                  <pic:blipFill>
                    <a:blip r:embed="rId49"/>
                    <a:stretch>
                      <a:fillRect/>
                    </a:stretch>
                  </pic:blipFill>
                  <pic:spPr bwMode="auto">
                    <a:xfrm>
                      <a:off x="0" y="0"/>
                      <a:ext cx="5943600" cy="2488018"/>
                    </a:xfrm>
                    <a:prstGeom prst="rect">
                      <a:avLst/>
                    </a:prstGeom>
                    <a:noFill/>
                    <a:ln w="9525">
                      <a:noFill/>
                      <a:headEnd/>
                      <a:tailEnd/>
                    </a:ln>
                  </pic:spPr>
                </pic:pic>
              </a:graphicData>
            </a:graphic>
          </wp:inline>
        </w:drawing>
      </w:r>
    </w:p>
    <w:p>
      <w:pPr>
        <w:pStyle w:val="BodyText"/>
      </w:pPr>
      <w:r>
        <w:rPr>
          <w:b/>
          <w:bCs/>
          <w:i/>
          <w:iCs/>
        </w:rPr>
        <w:t xml:space="preserve">Figure S6. Factorial component ablation.</w:t>
      </w:r>
      <w:r>
        <w:t xml:space="preserve"> </w:t>
      </w:r>
      <w:r>
        <w:rPr>
          <w:i/>
          <w:iCs/>
        </w:rPr>
        <w:t xml:space="preserve">Per-cell mean dominance (mean ± 1 SD across 8 stochastic replicates) for the 16-cell factorial across</w:t>
      </w:r>
      <w:r>
        <w:t xml:space="preserve"> </w:t>
      </w:r>
      <m:oMath>
        <m:sSub>
          <m:e>
            <m:r>
              <m:t>λ</m:t>
            </m:r>
          </m:e>
          <m:sub>
            <m:r>
              <m:t>W</m:t>
            </m:r>
          </m:sub>
        </m:sSub>
      </m:oMath>
      <w:r>
        <w:rPr>
          <w:i/>
          <w:iCs/>
        </w:rPr>
        <w:t xml:space="preserve">,</w:t>
      </w:r>
      <w:r>
        <w:t xml:space="preserve"> </w:t>
      </w:r>
      <m:oMath>
        <m:sSub>
          <m:e>
            <m:r>
              <m:t>λ</m:t>
            </m:r>
          </m:e>
          <m:sub>
            <m:r>
              <m:t>C</m:t>
            </m:r>
          </m:sub>
        </m:sSub>
      </m:oMath>
      <w:r>
        <w:rPr>
          <w:i/>
          <w:iCs/>
        </w:rPr>
        <w:t xml:space="preserve">,</w:t>
      </w:r>
      <w:r>
        <w:t xml:space="preserve"> </w:t>
      </w:r>
      <m:oMath>
        <m:sSub>
          <m:e>
            <m:r>
              <m:t>λ</m:t>
            </m:r>
          </m:e>
          <m:sub>
            <m:r>
              <m:t>X</m:t>
            </m:r>
          </m:sub>
        </m:sSub>
      </m:oMath>
      <w:r>
        <w:rPr>
          <w:i/>
          <w:iCs/>
        </w:rPr>
        <w:t xml:space="preserve">, and</w:t>
      </w:r>
      <w:r>
        <w:t xml:space="preserve"> </w:t>
      </w:r>
      <m:oMath>
        <m:r>
          <m:t>ε</m:t>
        </m:r>
      </m:oMath>
      <w:r>
        <w:t xml:space="preserve"> </w:t>
      </w:r>
      <w:r>
        <w:rPr>
          <w:i/>
          <w:iCs/>
        </w:rPr>
        <w:t xml:space="preserve">(uppercase = component on at PP-scenario value; lowercase = off at zero). Cells are color-coded by</w:t>
      </w:r>
      <w:r>
        <w:t xml:space="preserve"> </w:t>
      </w:r>
      <m:oMath>
        <m:r>
          <m:t>ε</m:t>
        </m:r>
      </m:oMath>
      <w:r>
        <w:t xml:space="preserve"> </w:t>
      </w:r>
      <w:r>
        <w:rPr>
          <w:i/>
          <w:iCs/>
        </w:rPr>
        <w:t xml:space="preserve">state (orange = on, blue = off). The four bands of dominance values correspond to the four combinations of</w:t>
      </w:r>
      <w:r>
        <w:t xml:space="preserve"> </w:t>
      </w:r>
      <m:oMath>
        <m:r>
          <m:t>ε</m:t>
        </m:r>
      </m:oMath>
      <w:r>
        <w:t xml:space="preserve"> </w:t>
      </w:r>
      <w:r>
        <w:rPr>
          <w:i/>
          <w:iCs/>
        </w:rPr>
        <w:t xml:space="preserve">and</w:t>
      </w:r>
      <w:r>
        <w:t xml:space="preserve"> </w:t>
      </w:r>
      <m:oMath>
        <m:sSub>
          <m:e>
            <m:r>
              <m:t>λ</m:t>
            </m:r>
          </m:e>
          <m:sub>
            <m:r>
              <m:t>W</m:t>
            </m:r>
          </m:sub>
        </m:sSub>
      </m:oMath>
      <w:r>
        <w:t xml:space="preserve"> </w:t>
      </w:r>
      <w:r>
        <w:rPr>
          <w:i/>
          <w:iCs/>
        </w:rPr>
        <w:t xml:space="preserve">states. The</w:t>
      </w:r>
      <w:r>
        <w:t xml:space="preserve"> </w:t>
      </w:r>
      <m:oMath>
        <m:sSub>
          <m:e>
            <m:r>
              <m:t>λ</m:t>
            </m:r>
          </m:e>
          <m:sub>
            <m:r>
              <m:t>C</m:t>
            </m:r>
          </m:sub>
        </m:sSub>
      </m:oMath>
      <w:r>
        <w:t xml:space="preserve"> </w:t>
      </w:r>
      <w:r>
        <w:rPr>
          <w:i/>
          <w:iCs/>
        </w:rPr>
        <w:t xml:space="preserve">and</w:t>
      </w:r>
      <w:r>
        <w:t xml:space="preserve"> </w:t>
      </w:r>
      <m:oMath>
        <m:sSub>
          <m:e>
            <m:r>
              <m:t>λ</m:t>
            </m:r>
          </m:e>
          <m:sub>
            <m:r>
              <m:t>X</m:t>
            </m:r>
          </m:sub>
        </m:sSub>
      </m:oMath>
      <w:r>
        <w:t xml:space="preserve"> </w:t>
      </w:r>
      <w:r>
        <w:rPr>
          <w:i/>
          <w:iCs/>
        </w:rPr>
        <w:t xml:space="preserve">components make no detectable difference within each band. (B) Main effects: average dominance with component ON minus average with component OFF, marginalized over the other three components.</w:t>
      </w:r>
      <w:r>
        <w:t xml:space="preserve"> </w:t>
      </w:r>
      <m:oMath>
        <m:r>
          <m:t>ε</m:t>
        </m:r>
      </m:oMath>
      <w:r>
        <w:t xml:space="preserve"> </w:t>
      </w:r>
      <w:r>
        <w:rPr>
          <w:i/>
          <w:iCs/>
        </w:rPr>
        <w:t xml:space="preserve">(+0.94) and</w:t>
      </w:r>
      <w:r>
        <w:t xml:space="preserve"> </w:t>
      </w:r>
      <m:oMath>
        <m:sSub>
          <m:e>
            <m:r>
              <m:t>λ</m:t>
            </m:r>
          </m:e>
          <m:sub>
            <m:r>
              <m:t>W</m:t>
            </m:r>
          </m:sub>
        </m:sSub>
      </m:oMath>
      <w:r>
        <w:t xml:space="preserve"> </w:t>
      </w:r>
      <w:r>
        <w:rPr>
          <w:i/>
          <w:iCs/>
        </w:rPr>
        <w:t xml:space="preserve">(+0.34) drive the threshold-crossing dynamic. The conflict-deterrence and cooperation-network components are effectively silent at PP-scenario parameters because they are endogenously determined at the lambda-sigma fixed point (cf. §S3.1).</w:t>
      </w:r>
    </w:p>
    <w:bookmarkEnd w:id="52"/>
    <w:bookmarkStart w:id="56" w:name="X26d98007d9f83f4da98b6d43e50855226749ed0"/>
    <w:p>
      <w:pPr>
        <w:pStyle w:val="Heading3"/>
      </w:pPr>
      <w:r>
        <w:t xml:space="preserve">S5.5 Empirical Price-equation decomposition from ABM output (band-level + cumulative)</w:t>
      </w:r>
    </w:p>
    <w:p>
      <w:pPr>
        <w:pStyle w:val="FirstParagraph"/>
      </w:pPr>
      <w:r>
        <w:t xml:space="preserve">Main §2.1 describes the framework’s two-scale architecture: per-year band-level decisions (each band chooses its strategy on individual-fitness grounds) coupled through frequency-dependent network feedback (band fitness depends on emergent population-level network density). The Price equation,</w:t>
      </w:r>
    </w:p>
    <w:p>
      <w:pPr>
        <w:pStyle w:val="BodyText"/>
      </w:pPr>
      <m:oMathPara>
        <m:oMathParaPr>
          <m:jc m:val="center"/>
        </m:oMathParaPr>
        <m:oMath>
          <m:r>
            <m:rPr>
              <m:sty m:val="p"/>
            </m:rPr>
            <m:t>Δ</m:t>
          </m:r>
          <m:acc>
            <m:accPr>
              <m:chr m:val="‾"/>
            </m:accPr>
            <m:e>
              <m:r>
                <m:t>p</m:t>
              </m:r>
            </m:e>
          </m:acc>
          <m:r>
            <m:rPr>
              <m:sty m:val="p"/>
            </m:rPr>
            <m:t>=</m:t>
          </m:r>
          <m:f>
            <m:fPr>
              <m:type m:val="bar"/>
            </m:fPr>
            <m:num>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num>
            <m:den>
              <m:acc>
                <m:accPr>
                  <m:chr m:val="‾"/>
                </m:accPr>
                <m:e>
                  <m:r>
                    <m:t>w</m:t>
                  </m:r>
                </m:e>
              </m:acc>
            </m:den>
          </m:f>
          <m:r>
            <m:rPr>
              <m:sty m:val="p"/>
            </m:rPr>
            <m:t>+</m:t>
          </m:r>
          <m:f>
            <m:fPr>
              <m:type m:val="bar"/>
            </m:fPr>
            <m:num>
              <m:r>
                <m:t>E</m:t>
              </m:r>
              <m:r>
                <m:rPr>
                  <m:sty m:val="p"/>
                </m:rPr>
                <m:t>(</m:t>
              </m:r>
              <m:sSub>
                <m:e>
                  <m:r>
                    <m:t>w</m:t>
                  </m:r>
                </m:e>
                <m:sub>
                  <m:r>
                    <m:t>g</m:t>
                  </m:r>
                </m:sub>
              </m:sSub>
              <m:r>
                <m:t> </m:t>
              </m:r>
              <m:r>
                <m:rPr>
                  <m:sty m:val="p"/>
                </m:rPr>
                <m:t>Δ</m:t>
              </m:r>
              <m:sSub>
                <m:e>
                  <m:r>
                    <m:t>p</m:t>
                  </m:r>
                </m:e>
                <m:sub>
                  <m:r>
                    <m:t>g</m:t>
                  </m:r>
                </m:sub>
              </m:sSub>
              <m:r>
                <m:rPr>
                  <m:sty m:val="p"/>
                </m:rPr>
                <m:t>)</m:t>
              </m:r>
            </m:num>
            <m:den>
              <m:acc>
                <m:accPr>
                  <m:chr m:val="‾"/>
                </m:accPr>
                <m:e>
                  <m:r>
                    <m:t>w</m:t>
                  </m:r>
                </m:e>
              </m:acc>
            </m:den>
          </m:f>
          <m:r>
            <m:rPr>
              <m:sty m:val="p"/>
            </m:rPr>
            <m:t>,</m:t>
          </m:r>
        </m:oMath>
      </m:oMathPara>
    </w:p>
    <w:p>
      <w:pPr>
        <w:pStyle w:val="FirstParagraph"/>
      </w:pPr>
      <w:r>
        <w:t xml:space="preserve">provides a population-dynamics accounting tool for tracking year-on-year change in the aggregator frequency</w:t>
      </w:r>
      <w:r>
        <w:t xml:space="preserve"> </w:t>
      </w:r>
      <m:oMath>
        <m:acc>
          <m:accPr>
            <m:chr m:val="‾"/>
          </m:accPr>
          <m:e>
            <m:r>
              <m:t>p</m:t>
            </m:r>
          </m:e>
        </m:acc>
      </m:oMath>
      <w:r>
        <w:t xml:space="preserve">. For the binary aggregator/independent strategy in this model, where each band is wholly one or the other, the within-group selection term collapses to zero (no within-band strategy variation) and the equation reduces to a between-strategy-class selection differential</w:t>
      </w:r>
      <w:r>
        <w:t xml:space="preserve"> </w:t>
      </w:r>
      <m:oMath>
        <m:r>
          <m:t>S</m:t>
        </m:r>
        <m:r>
          <m:rPr>
            <m:sty m:val="p"/>
          </m:rPr>
          <m:t>(</m:t>
        </m:r>
        <m:r>
          <m:t>t</m:t>
        </m:r>
        <m:r>
          <m:rPr>
            <m:sty m:val="p"/>
          </m:rPr>
          <m:t>)</m:t>
        </m:r>
      </m:oMath>
      <w:r>
        <w:t xml:space="preserve"> </w:t>
      </w:r>
      <w:r>
        <w:t xml:space="preserve">plus a transmission residual.</w:t>
      </w:r>
      <w:r>
        <w:t xml:space="preserve"> </w:t>
      </w:r>
      <m:oMath>
        <m:r>
          <m:t>S</m:t>
        </m:r>
        <m:r>
          <m:rPr>
            <m:sty m:val="p"/>
          </m:rPr>
          <m:t>(</m:t>
        </m:r>
        <m:r>
          <m:t>t</m:t>
        </m:r>
        <m:r>
          <m:rPr>
            <m:sty m:val="p"/>
          </m:rPr>
          <m:t>)</m:t>
        </m:r>
      </m:oMath>
      <w:r>
        <w:t xml:space="preserve"> </w:t>
      </w:r>
      <w:r>
        <w:t xml:space="preserve">is positive whenever aggregator bands are out-reproducing independent bands at year</w:t>
      </w:r>
      <w:r>
        <w:t xml:space="preserve"> </w:t>
      </w:r>
      <m:oMath>
        <m:r>
          <m:t>t</m:t>
        </m:r>
      </m:oMath>
      <w:r>
        <w:t xml:space="preserve"> </w:t>
      </w:r>
      <w:r>
        <w:t xml:space="preserve">and negative when the reverse holds. The cumulative integral</w:t>
      </w:r>
      <w:r>
        <w:t xml:space="preserve"> </w:t>
      </w:r>
      <m:oMath>
        <m:nary>
          <m:naryPr>
            <m:chr m:val="∑"/>
            <m:limLoc m:val="undOvr"/>
            <m:subHide m:val="off"/>
            <m:supHide m:val="on"/>
          </m:naryPr>
          <m:sub>
            <m:r>
              <m:t>t</m:t>
            </m:r>
          </m:sub>
          <m:sup>
            <m:r>
              <m:t>​</m:t>
            </m:r>
          </m:sup>
          <m:e>
            <m:r>
              <m:t>S</m:t>
            </m:r>
          </m:e>
        </m:nary>
        <m:r>
          <m:rPr>
            <m:sty m:val="p"/>
          </m:rPr>
          <m:t>(</m:t>
        </m:r>
        <m:r>
          <m:t>t</m:t>
        </m:r>
        <m:r>
          <m:rPr>
            <m:sty m:val="p"/>
          </m:rPr>
          <m:t>)</m:t>
        </m:r>
      </m:oMath>
      <w:r>
        <w:t xml:space="preserve"> </w:t>
      </w:r>
      <w:r>
        <w:t xml:space="preserve">tracks how far the population frequency has shifted as a result. To verify that the agent-based model exhibits the expected band-level-selection plus network-feedback dynamic, we compute</w:t>
      </w:r>
      <w:r>
        <w:t xml:space="preserve"> </w:t>
      </w:r>
      <m:oMath>
        <m:r>
          <m:t>S</m:t>
        </m:r>
        <m:r>
          <m:rPr>
            <m:sty m:val="p"/>
          </m:rPr>
          <m:t>(</m:t>
        </m:r>
        <m:r>
          <m:t>t</m:t>
        </m:r>
        <m:r>
          <m:rPr>
            <m:sty m:val="p"/>
          </m:rPr>
          <m:t>)</m:t>
        </m:r>
      </m:oMath>
      <w:r>
        <w:t xml:space="preserve"> </w:t>
      </w:r>
      <w:r>
        <w:t xml:space="preserve">empirically from per-band simulation output across three</w:t>
      </w:r>
      <w:r>
        <w:t xml:space="preserve"> </w:t>
      </w:r>
      <m:oMath>
        <m:r>
          <m:t>σ</m:t>
        </m:r>
      </m:oMath>
      <w:r>
        <w:t xml:space="preserve"> </w:t>
      </w:r>
      <w:r>
        <w:t xml:space="preserve">scenarios spanning the framework’s threshold.</w:t>
      </w:r>
    </w:p>
    <w:p>
      <w:pPr>
        <w:pStyle w:val="BodyText"/>
      </w:pPr>
      <w:r>
        <w:rPr>
          <w:b/>
          <w:bCs/>
        </w:rPr>
        <w:t xml:space="preserve">Setup.</w:t>
      </w:r>
      <w:r>
        <w:t xml:space="preserve"> </w:t>
      </w:r>
      <w:r>
        <w:t xml:space="preserve">Three scenarios at PP-equivalent</w:t>
      </w:r>
      <w:r>
        <w:t xml:space="preserve"> </w:t>
      </w:r>
      <m:oMath>
        <m:r>
          <m:t>ε</m:t>
        </m:r>
        <m:r>
          <m:rPr>
            <m:sty m:val="p"/>
          </m:rPr>
          <m:t>=</m:t>
        </m:r>
        <m:r>
          <m:t>0.35</m:t>
        </m:r>
      </m:oMath>
      <w:r>
        <w:t xml:space="preserve">: below-threshold (</w:t>
      </w:r>
      <m:oMath>
        <m:sSub>
          <m:e>
            <m:r>
              <m:t>σ</m:t>
            </m:r>
          </m:e>
          <m:sub>
            <m:r>
              <m:t>t</m:t>
            </m:r>
            <m:r>
              <m:t>a</m:t>
            </m:r>
            <m:r>
              <m:t>r</m:t>
            </m:r>
            <m:r>
              <m:t>g</m:t>
            </m:r>
            <m:r>
              <m:t>e</m:t>
            </m:r>
            <m:r>
              <m:t>t</m:t>
            </m:r>
          </m:sub>
        </m:sSub>
        <m:r>
          <m:rPr>
            <m:sty m:val="p"/>
          </m:rPr>
          <m:t>=</m:t>
        </m:r>
        <m:r>
          <m:t>0.20</m:t>
        </m:r>
      </m:oMath>
      <w:r>
        <w:t xml:space="preserve">), near-threshold (</w:t>
      </w:r>
      <m:oMath>
        <m:sSub>
          <m:e>
            <m:r>
              <m:t>σ</m:t>
            </m:r>
          </m:e>
          <m:sub>
            <m:r>
              <m:t>t</m:t>
            </m:r>
            <m:r>
              <m:t>a</m:t>
            </m:r>
            <m:r>
              <m:t>r</m:t>
            </m:r>
            <m:r>
              <m:t>g</m:t>
            </m:r>
            <m:r>
              <m:t>e</m:t>
            </m:r>
            <m:r>
              <m:t>t</m:t>
            </m:r>
          </m:sub>
        </m:sSub>
        <m:r>
          <m:rPr>
            <m:sty m:val="p"/>
          </m:rPr>
          <m:t>=</m:t>
        </m:r>
        <m:r>
          <m:t>0.40</m:t>
        </m:r>
      </m:oMath>
      <w:r>
        <w:t xml:space="preserve">), and above-threshold (</w:t>
      </w:r>
      <m:oMath>
        <m:sSub>
          <m:e>
            <m:r>
              <m:t>σ</m:t>
            </m:r>
          </m:e>
          <m:sub>
            <m:r>
              <m:t>t</m:t>
            </m:r>
            <m:r>
              <m:t>a</m:t>
            </m:r>
            <m:r>
              <m:t>r</m:t>
            </m:r>
            <m:r>
              <m:t>g</m:t>
            </m:r>
            <m:r>
              <m:t>e</m:t>
            </m:r>
            <m:r>
              <m:t>t</m:t>
            </m:r>
          </m:sub>
        </m:sSub>
        <m:r>
          <m:rPr>
            <m:sty m:val="p"/>
          </m:rPr>
          <m:t>=</m:t>
        </m:r>
        <m:r>
          <m:t>0.64</m:t>
        </m:r>
      </m:oMath>
      <w:r>
        <w:t xml:space="preserve">, PP-equivalent). Each scenario is run for 5 stochastic replicates × 200 simulated years with a 50-year burn-in discarded. After each year, per-band state is snapshotted (strategy, fitness, monument contribution, exotic count, network position) and the year-on-year Price decomposition is computed: the between-strategy-class selection term</w:t>
      </w:r>
      <w:r>
        <w:t xml:space="preserve"> </w:t>
      </w:r>
      <m:oMath>
        <m:r>
          <m:t>S</m:t>
        </m:r>
        <m:r>
          <m:rPr>
            <m:sty m:val="p"/>
          </m:rPr>
          <m:t>(</m:t>
        </m:r>
        <m:r>
          <m:t>t</m:t>
        </m:r>
        <m:r>
          <m:rPr>
            <m:sty m:val="p"/>
          </m:rPr>
          <m:t>)</m:t>
        </m:r>
      </m:oMath>
      <w:r>
        <w:t xml:space="preserve">, the within-aggregator-cohort covariance</w:t>
      </w:r>
      <w:r>
        <w:t xml:space="preserve"> </w:t>
      </w:r>
      <m:oMath>
        <m:r>
          <m:rPr>
            <m:sty m:val="p"/>
          </m:rPr>
          <m:t>C</m:t>
        </m:r>
        <m:r>
          <m:rPr>
            <m:sty m:val="p"/>
          </m:rPr>
          <m:t>o</m:t>
        </m:r>
        <m:r>
          <m:rPr>
            <m:sty m:val="p"/>
          </m:rPr>
          <m:t>v</m:t>
        </m:r>
        <m:r>
          <m:rPr>
            <m:sty m:val="p"/>
          </m:rPr>
          <m:t>(</m:t>
        </m:r>
        <m:sSub>
          <m:e>
            <m:r>
              <m:t>M</m:t>
            </m:r>
          </m:e>
          <m:sub>
            <m:r>
              <m:t>i</m:t>
            </m:r>
          </m:sub>
        </m:sSub>
        <m:r>
          <m:rPr>
            <m:sty m:val="p"/>
          </m:rPr>
          <m:t>,</m:t>
        </m:r>
        <m:sSub>
          <m:e>
            <m:r>
              <m:t>w</m:t>
            </m:r>
          </m:e>
          <m:sub>
            <m:r>
              <m:t>i</m:t>
            </m:r>
          </m:sub>
        </m:sSub>
        <m:r>
          <m:rPr>
            <m:sty m:val="p"/>
          </m:rPr>
          <m:t>)</m:t>
        </m:r>
      </m:oMath>
      <w:r>
        <w:t xml:space="preserve"> </w:t>
      </w:r>
      <w:r>
        <w:t xml:space="preserve">across bands in the aggregator class (which indexes whether more monument investment is rewarded individually within the cohort), and the transmission residual</w:t>
      </w:r>
      <w:r>
        <w:t xml:space="preserve"> </w:t>
      </w:r>
      <m:oMath>
        <m:r>
          <m:rPr>
            <m:sty m:val="p"/>
          </m:rPr>
          <m:t>Δ</m:t>
        </m:r>
        <m:acc>
          <m:accPr>
            <m:chr m:val="‾"/>
          </m:accPr>
          <m:e>
            <m:r>
              <m:t>p</m:t>
            </m:r>
          </m:e>
        </m:acc>
        <m:r>
          <m:rPr>
            <m:sty m:val="p"/>
          </m:rPr>
          <m:t>−</m:t>
        </m:r>
        <m:r>
          <m:t>S</m:t>
        </m:r>
        <m:r>
          <m:rPr>
            <m:sty m:val="p"/>
          </m:rPr>
          <m:t>(</m:t>
        </m:r>
        <m:r>
          <m:t>t</m:t>
        </m:r>
        <m:r>
          <m:rPr>
            <m:sty m:val="p"/>
          </m:rPr>
          <m:t>)</m:t>
        </m:r>
      </m:oMath>
      <w:r>
        <w:t xml:space="preserve"> </w:t>
      </w:r>
      <w:r>
        <w:t xml:space="preserve">(capturing strategy switching beyond what reproductive differential alone delivers). Reproducible from</w:t>
      </w:r>
      <w:r>
        <w:t xml:space="preserve"> </w:t>
      </w:r>
      <w:r>
        <w:rPr>
          <w:rStyle w:val="VerbatimChar"/>
        </w:rPr>
        <w:t xml:space="preserve">scripts/analysis/run_price_decomposition.py</w:t>
      </w:r>
      <w:r>
        <w:t xml:space="preserve">, with outputs in</w:t>
      </w:r>
      <w:r>
        <w:t xml:space="preserve"> </w:t>
      </w:r>
      <w:r>
        <w:rPr>
          <w:rStyle w:val="VerbatimChar"/>
        </w:rPr>
        <w:t xml:space="preserve">results/analysis/price_decomposition_*.json</w:t>
      </w:r>
      <w:r>
        <w:t xml:space="preserve">. Figure S7 reports per-year trajectories, the cumulative-</w:t>
      </w:r>
      <m:oMath>
        <m:r>
          <m:t>S</m:t>
        </m:r>
        <m:r>
          <m:rPr>
            <m:sty m:val="p"/>
          </m:rPr>
          <m:t>(</m:t>
        </m:r>
        <m:r>
          <m:t>t</m:t>
        </m:r>
        <m:r>
          <m:rPr>
            <m:sty m:val="p"/>
          </m:rPr>
          <m:t>)</m:t>
        </m:r>
      </m:oMath>
      <w:r>
        <w:t xml:space="preserve"> </w:t>
      </w:r>
      <w:r>
        <w:t xml:space="preserve">integral, and post-burn-in summary statistics.</w:t>
      </w:r>
    </w:p>
    <w:p>
      <w:pPr>
        <w:pStyle w:val="BodyText"/>
      </w:pPr>
      <w:r>
        <w:rPr>
          <w:b/>
          <w:bCs/>
        </w:rPr>
        <w:t xml:space="preserve">Per-year selection differential is small but consistent in sign.</w:t>
      </w:r>
      <w:r>
        <w:t xml:space="preserve"> </w:t>
      </w:r>
      <w:r>
        <w:t xml:space="preserve">At the per-year resolution,</w:t>
      </w:r>
      <w:r>
        <w:t xml:space="preserve"> </w:t>
      </w:r>
      <m:oMath>
        <m:r>
          <m:t>S</m:t>
        </m:r>
        <m:r>
          <m:rPr>
            <m:sty m:val="p"/>
          </m:rPr>
          <m:t>(</m:t>
        </m:r>
        <m:r>
          <m:t>t</m:t>
        </m:r>
        <m:r>
          <m:rPr>
            <m:sty m:val="p"/>
          </m:rPr>
          <m:t>)</m:t>
        </m:r>
      </m:oMath>
      <w:r>
        <w:t xml:space="preserve"> </w:t>
      </w:r>
      <w:r>
        <w:t xml:space="preserve">is small in all three regimes:</w:t>
      </w:r>
      <w:r>
        <w:t xml:space="preserve"> </w:t>
      </w:r>
      <m:oMath>
        <m:r>
          <m:rPr>
            <m:sty m:val="p"/>
          </m:rPr>
          <m:t>|</m:t>
        </m:r>
        <m:r>
          <m:t>S</m:t>
        </m:r>
        <m:r>
          <m:rPr>
            <m:sty m:val="p"/>
          </m:rPr>
          <m:t>|</m:t>
        </m:r>
        <m:r>
          <m:rPr>
            <m:sty m:val="p"/>
          </m:rPr>
          <m:t>&lt;</m:t>
        </m:r>
        <m:r>
          <m:t>0.10</m:t>
        </m:r>
      </m:oMath>
      <w:r>
        <w:t xml:space="preserve"> </w:t>
      </w:r>
      <w:r>
        <w:t xml:space="preserve">throughout. This is the expected result under the framework’s logic. Per-year fitness differentials between aggregator and independent bands are bounded by the buffering value of the network at that year’s realized shortfall: a single year cannot produce large strategy-class fitness differences when both classes face the same regional environment. The dominant engine of per-year band decisions is band-level individual fitness. Each band picks its strategy based on its own expected payoff, and the per-year selection signature is what falls out of those decisions in aggregate.</w:t>
      </w:r>
    </w:p>
    <w:p>
      <w:pPr>
        <w:pStyle w:val="BodyText"/>
      </w:pPr>
      <w:r>
        <w:rPr>
          <w:b/>
          <w:bCs/>
        </w:rPr>
        <w:t xml:space="preserve">Cumulative selection drives the population-level shift.</w:t>
      </w:r>
      <w:r>
        <w:t xml:space="preserve"> </w:t>
      </w:r>
      <w:r>
        <w:t xml:space="preserve">At the cumulative scale, the small per-year</w:t>
      </w:r>
      <w:r>
        <w:t xml:space="preserve"> </w:t>
      </w:r>
      <m:oMath>
        <m:r>
          <m:t>S</m:t>
        </m:r>
        <m:r>
          <m:rPr>
            <m:sty m:val="p"/>
          </m:rPr>
          <m:t>(</m:t>
        </m:r>
        <m:r>
          <m:t>t</m:t>
        </m:r>
        <m:r>
          <m:rPr>
            <m:sty m:val="p"/>
          </m:rPr>
          <m:t>)</m:t>
        </m:r>
      </m:oMath>
      <w:r>
        <w:t xml:space="preserve"> </w:t>
      </w:r>
      <w:r>
        <w:t xml:space="preserve">values integrate coherently along persistent band lineages and produce substantial population-level shifts. Below threshold (</w:t>
      </w:r>
      <m:oMath>
        <m:r>
          <m:t>σ</m:t>
        </m:r>
        <m:r>
          <m:rPr>
            <m:sty m:val="p"/>
          </m:rPr>
          <m:t>=</m:t>
        </m:r>
        <m:r>
          <m:t>0.20</m:t>
        </m:r>
      </m:oMath>
      <w:r>
        <w:t xml:space="preserve">), the post-burn-in mean</w:t>
      </w:r>
      <w:r>
        <w:t xml:space="preserve"> </w:t>
      </w:r>
      <m:oMath>
        <m:r>
          <m:t>S</m:t>
        </m:r>
        <m:r>
          <m:rPr>
            <m:sty m:val="p"/>
          </m:rPr>
          <m:t>(</m:t>
        </m:r>
        <m:r>
          <m:t>t</m:t>
        </m:r>
        <m:r>
          <m:rPr>
            <m:sty m:val="p"/>
          </m:rPr>
          <m:t>)</m:t>
        </m:r>
        <m:r>
          <m:rPr>
            <m:sty m:val="p"/>
          </m:rPr>
          <m:t>≈</m:t>
        </m:r>
        <m:r>
          <m:rPr>
            <m:sty m:val="p"/>
          </m:rPr>
          <m:t>−</m:t>
        </m:r>
        <m:r>
          <m:t>0.011</m:t>
        </m:r>
      </m:oMath>
      <w:r>
        <w:t xml:space="preserve"> </w:t>
      </w:r>
      <w:r>
        <w:t xml:space="preserve">across all replicates with no replicate-to-replicate ambiguity in sign. Cumulated over the 150-year post-burn-in interval, this produces a population shift toward independents that takes the population to</w:t>
      </w:r>
      <w:r>
        <w:t xml:space="preserve"> </w:t>
      </w:r>
      <m:oMath>
        <m:acc>
          <m:accPr>
            <m:chr m:val="‾"/>
          </m:accPr>
          <m:e>
            <m:r>
              <m:t>p</m:t>
            </m:r>
          </m:e>
        </m:acc>
        <m:r>
          <m:rPr>
            <m:sty m:val="p"/>
          </m:rPr>
          <m:t>≈</m:t>
        </m:r>
        <m:r>
          <m:t>0.30</m:t>
        </m:r>
      </m:oMath>
      <w:r>
        <w:t xml:space="preserve">-</w:t>
      </w:r>
      <m:oMath>
        <m:r>
          <m:t>0.41</m:t>
        </m:r>
      </m:oMath>
      <w:r>
        <w:t xml:space="preserve"> </w:t>
      </w:r>
      <w:r>
        <w:t xml:space="preserve">aggregator final frequencies. Above threshold (</w:t>
      </w:r>
      <m:oMath>
        <m:r>
          <m:t>σ</m:t>
        </m:r>
        <m:r>
          <m:rPr>
            <m:sty m:val="p"/>
          </m:rPr>
          <m:t>=</m:t>
        </m:r>
        <m:r>
          <m:t>0.64</m:t>
        </m:r>
      </m:oMath>
      <w:r>
        <w:t xml:space="preserve">, PP-equivalent), the per-year mean</w:t>
      </w:r>
      <w:r>
        <w:t xml:space="preserve"> </w:t>
      </w:r>
      <m:oMath>
        <m:r>
          <m:t>S</m:t>
        </m:r>
        <m:r>
          <m:rPr>
            <m:sty m:val="p"/>
          </m:rPr>
          <m:t>(</m:t>
        </m:r>
        <m:r>
          <m:t>t</m:t>
        </m:r>
        <m:r>
          <m:rPr>
            <m:sty m:val="p"/>
          </m:rPr>
          <m:t>)</m:t>
        </m:r>
        <m:r>
          <m:rPr>
            <m:sty m:val="p"/>
          </m:rPr>
          <m:t>≈</m:t>
        </m:r>
        <m:r>
          <m:rPr>
            <m:sty m:val="p"/>
          </m:rPr>
          <m:t>+</m:t>
        </m:r>
        <m:r>
          <m:t>0.02</m:t>
        </m:r>
      </m:oMath>
      <w:r>
        <w:t xml:space="preserve"> </w:t>
      </w:r>
      <w:r>
        <w:t xml:space="preserve">accumulates over the same interval to produce a population shift toward aggregators that takes the population to</w:t>
      </w:r>
      <w:r>
        <w:t xml:space="preserve"> </w:t>
      </w:r>
      <m:oMath>
        <m:acc>
          <m:accPr>
            <m:chr m:val="‾"/>
          </m:accPr>
          <m:e>
            <m:r>
              <m:t>p</m:t>
            </m:r>
          </m:e>
        </m:acc>
        <m:r>
          <m:rPr>
            <m:sty m:val="p"/>
          </m:rPr>
          <m:t>≈</m:t>
        </m:r>
        <m:r>
          <m:t>0.98</m:t>
        </m:r>
      </m:oMath>
      <w:r>
        <w:t xml:space="preserve">. The longer-scale population shift is therefore driven not by any one year’s selection differential but by the integrated history of band-level decisions, amplified by the network-feedback loop (more aggregators → denser network → stronger pull toward aggregation in the next year). Near threshold (</w:t>
      </w:r>
      <m:oMath>
        <m:r>
          <m:t>σ</m:t>
        </m:r>
        <m:r>
          <m:rPr>
            <m:sty m:val="p"/>
          </m:rPr>
          <m:t>=</m:t>
        </m:r>
        <m:r>
          <m:t>0.40</m:t>
        </m:r>
      </m:oMath>
      <w:r>
        <w:t xml:space="preserve">), stochastic regime-flipping produces per-year</w:t>
      </w:r>
      <w:r>
        <w:t xml:space="preserve"> </w:t>
      </w:r>
      <m:oMath>
        <m:r>
          <m:t>S</m:t>
        </m:r>
        <m:r>
          <m:rPr>
            <m:sty m:val="p"/>
          </m:rPr>
          <m:t>(</m:t>
        </m:r>
        <m:r>
          <m:t>t</m:t>
        </m:r>
        <m:r>
          <m:rPr>
            <m:sty m:val="p"/>
          </m:rPr>
          <m:t>)</m:t>
        </m:r>
      </m:oMath>
      <w:r>
        <w:t xml:space="preserve"> </w:t>
      </w:r>
      <w:r>
        <w:t xml:space="preserve">values consistently above zero (replicates land in the upper part of the threshold zone), but with high replicate-to-replicate variance characteristic of phase-transition zones.</w:t>
      </w:r>
    </w:p>
    <w:p>
      <w:pPr>
        <w:pStyle w:val="BodyText"/>
      </w:pPr>
      <w:r>
        <w:rPr>
          <w:b/>
          <w:bCs/>
        </w:rPr>
        <w:t xml:space="preserve">Within-aggregator individual fitness signal.</w:t>
      </w:r>
      <w:r>
        <w:t xml:space="preserve"> </w:t>
      </w:r>
      <w:r>
        <w:t xml:space="preserve">The within-aggregator</w:t>
      </w:r>
      <w:r>
        <w:t xml:space="preserve"> </w:t>
      </w:r>
      <m:oMath>
        <m:r>
          <m:rPr>
            <m:sty m:val="p"/>
          </m:rPr>
          <m:t>C</m:t>
        </m:r>
        <m:r>
          <m:rPr>
            <m:sty m:val="p"/>
          </m:rPr>
          <m:t>o</m:t>
        </m:r>
        <m:r>
          <m:rPr>
            <m:sty m:val="p"/>
          </m:rPr>
          <m:t>v</m:t>
        </m:r>
        <m:r>
          <m:rPr>
            <m:sty m:val="p"/>
          </m:rPr>
          <m:t>(</m:t>
        </m:r>
        <m:r>
          <m:t>M</m:t>
        </m:r>
        <m:r>
          <m:rPr>
            <m:sty m:val="p"/>
          </m:rPr>
          <m:t>,</m:t>
        </m:r>
        <m:r>
          <m:t>w</m:t>
        </m:r>
        <m:r>
          <m:rPr>
            <m:sty m:val="p"/>
          </m:rPr>
          <m:t>)</m:t>
        </m:r>
      </m:oMath>
      <w:r>
        <w:t xml:space="preserve"> </w:t>
      </w:r>
      <w:r>
        <w:t xml:space="preserve">term is small but consistently positive above threshold and at near-threshold conditions: bands with higher cumulative monument contributions have slightly higher fitness within the aggregator cohort. This is consistent with the framework’s prediction that monument-investment quality scales partner-choice premium and network buffering at the individual band level. The within-cohort signal is modest because individual fitness benefits already drove the strategy choice (the bands now in the aggregator cohort are those for which aggregating was individually optimal at the moment of choice), so additional within-cohort fitness variation reflects only secondary differences in band quality, network position, and accumulated monument-investment history.</w:t>
      </w:r>
    </w:p>
    <w:p>
      <w:pPr>
        <w:pStyle w:val="BodyText"/>
      </w:pPr>
      <w:r>
        <w:rPr>
          <w:b/>
          <w:bCs/>
        </w:rPr>
        <w:t xml:space="preserve">Why persistent kin-bands matter for the cumulative dynamic.</w:t>
      </w:r>
      <w:r>
        <w:t xml:space="preserve"> </w:t>
      </w:r>
      <w:r>
        <w:t xml:space="preserve">The model’s bands are persistent units across generations: bands fission at size 30 with daughter bands inheriting half the parent band’s network, network ties persist across years subject to decay, and band identity tracks across the simulated interval. This persistence is what makes the cumulative</w:t>
      </w:r>
      <w:r>
        <w:t xml:space="preserve"> </w:t>
      </w:r>
      <m:oMath>
        <m:r>
          <m:t>S</m:t>
        </m:r>
        <m:r>
          <m:rPr>
            <m:sty m:val="p"/>
          </m:rPr>
          <m:t>(</m:t>
        </m:r>
        <m:r>
          <m:t>t</m:t>
        </m:r>
        <m:r>
          <m:rPr>
            <m:sty m:val="p"/>
          </m:rPr>
          <m:t>)</m:t>
        </m:r>
      </m:oMath>
      <w:r>
        <w:t xml:space="preserve"> </w:t>
      </w:r>
      <w:r>
        <w:t xml:space="preserve">integral coherent. In a fluid-coalition model where band membership reshuffles each year, the per-year selection differentials would scramble across generations and the cumulative population shift would not accumulate as efficiently. In the persistent-kin-band model the small per-year selection differentials compound coherently along band lineages, and the integrated signal is what produces the equilibrium population-level outcome the framework predicts.</w:t>
      </w:r>
    </w:p>
    <w:p>
      <w:pPr>
        <w:pStyle w:val="BodyText"/>
      </w:pPr>
      <w:r>
        <w:rPr>
          <w:b/>
          <w:bCs/>
        </w:rPr>
        <w:t xml:space="preserve">Numerical summary</w:t>
      </w:r>
      <w:r>
        <w:t xml:space="preserve"> </w:t>
      </w:r>
      <w:r>
        <w:t xml:space="preserve">(5-replicate × 200-year decomposition per scenario, post-burn-in pooled across the 50-200 yr window; full per-replicate output in</w:t>
      </w:r>
      <w:r>
        <w:t xml:space="preserve"> </w:t>
      </w:r>
      <w:r>
        <w:rPr>
          <w:rStyle w:val="VerbatimChar"/>
        </w:rPr>
        <w:t xml:space="preserve">results/analysis/price_decomposition_20260820_151849.json</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m:oMath>
              <m:sSub>
                <m:e>
                  <m:r>
                    <m:t>σ</m:t>
                  </m:r>
                </m:e>
                <m:sub>
                  <m:r>
                    <m:t>t</m:t>
                  </m:r>
                  <m:r>
                    <m:t>a</m:t>
                  </m:r>
                  <m:r>
                    <m:t>r</m:t>
                  </m:r>
                  <m:r>
                    <m:t>g</m:t>
                  </m:r>
                  <m:r>
                    <m:t>e</m:t>
                  </m:r>
                  <m:r>
                    <m:t>t</m:t>
                  </m:r>
                </m:sub>
              </m:sSub>
            </m:oMath>
          </w:p>
        </w:tc>
        <w:tc>
          <w:tcPr/>
          <w:p>
            <w:pPr>
              <w:pStyle w:val="Compact"/>
            </w:pPr>
            <m:oMath>
              <m:acc>
                <m:accPr>
                  <m:chr m:val="‾"/>
                </m:accPr>
                <m:e>
                  <m:r>
                    <m:t>p</m:t>
                  </m:r>
                </m:e>
              </m:acc>
            </m:oMath>
            <w:r>
              <w:t xml:space="preserve"> </w:t>
            </w:r>
            <w:r>
              <w:t xml:space="preserve">(final, mean across reps)</w:t>
            </w:r>
          </w:p>
        </w:tc>
        <w:tc>
          <w:tcPr/>
          <w:p>
            <w:pPr>
              <w:pStyle w:val="Compact"/>
            </w:pPr>
            <m:oMath>
              <m:r>
                <m:t>S</m:t>
              </m:r>
              <m:r>
                <m:rPr>
                  <m:sty m:val="p"/>
                </m:rPr>
                <m:t>(</m:t>
              </m:r>
              <m:r>
                <m:t>t</m:t>
              </m:r>
              <m:r>
                <m:rPr>
                  <m:sty m:val="p"/>
                </m:rPr>
                <m:t>)</m:t>
              </m:r>
            </m:oMath>
            <w:r>
              <w:t xml:space="preserve"> </w:t>
            </w:r>
            <w:r>
              <w:t xml:space="preserve">per-year mean ± SD</w:t>
            </w:r>
          </w:p>
        </w:tc>
        <w:tc>
          <w:tcPr/>
          <w:p>
            <w:pPr>
              <w:pStyle w:val="Compact"/>
            </w:pPr>
            <w:r>
              <w:t xml:space="preserve">Within-agg</w:t>
            </w:r>
            <w:r>
              <w:t xml:space="preserve"> </w:t>
            </w:r>
            <m:oMath>
              <m:r>
                <m:rPr>
                  <m:sty m:val="p"/>
                </m:rPr>
                <m:t>C</m:t>
              </m:r>
              <m:r>
                <m:rPr>
                  <m:sty m:val="p"/>
                </m:rPr>
                <m:t>o</m:t>
              </m:r>
              <m:r>
                <m:rPr>
                  <m:sty m:val="p"/>
                </m:rPr>
                <m:t>v</m:t>
              </m:r>
              <m:r>
                <m:rPr>
                  <m:sty m:val="p"/>
                </m:rPr>
                <m:t>(</m:t>
              </m:r>
              <m:r>
                <m:t>M</m:t>
              </m:r>
              <m:r>
                <m:rPr>
                  <m:sty m:val="p"/>
                </m:rPr>
                <m:t>,</m:t>
              </m:r>
              <m:r>
                <m:t>w</m:t>
              </m:r>
              <m:r>
                <m:rPr>
                  <m:sty m:val="p"/>
                </m:rPr>
                <m:t>)</m:t>
              </m:r>
            </m:oMath>
          </w:p>
        </w:tc>
      </w:tr>
      <w:tr>
        <w:tc>
          <w:tcPr/>
          <w:p>
            <w:pPr>
              <w:pStyle w:val="Compact"/>
            </w:pPr>
            <w:r>
              <w:t xml:space="preserve">Below threshold</w:t>
            </w:r>
          </w:p>
        </w:tc>
        <w:tc>
          <w:tcPr/>
          <w:p>
            <w:pPr>
              <w:pStyle w:val="Compact"/>
            </w:pPr>
            <w:r>
              <w:t xml:space="preserve">0.20</w:t>
            </w:r>
          </w:p>
        </w:tc>
        <w:tc>
          <w:tcPr/>
          <w:p>
            <w:pPr>
              <w:pStyle w:val="Compact"/>
            </w:pPr>
            <w:r>
              <w:t xml:space="preserve">0.368 (range 0.30-0.41)</w:t>
            </w:r>
          </w:p>
        </w:tc>
        <w:tc>
          <w:tcPr/>
          <w:p>
            <w:pPr>
              <w:pStyle w:val="Compact"/>
            </w:pPr>
            <m:oMath>
              <m:r>
                <m:rPr>
                  <m:sty m:val="p"/>
                </m:rPr>
                <m:t>−</m:t>
              </m:r>
              <m:r>
                <m:t>0.0113</m:t>
              </m:r>
              <m:r>
                <m:rPr>
                  <m:sty m:val="p"/>
                </m:rPr>
                <m:t>±</m:t>
              </m:r>
              <m:r>
                <m:t>0.0042</m:t>
              </m:r>
            </m:oMath>
          </w:p>
        </w:tc>
        <w:tc>
          <w:tcPr/>
          <w:p>
            <w:pPr>
              <w:pStyle w:val="Compact"/>
            </w:pPr>
            <m:oMath>
              <m:r>
                <m:rPr>
                  <m:sty m:val="p"/>
                </m:rPr>
                <m:t>+</m:t>
              </m:r>
              <m:r>
                <m:t>0.053</m:t>
              </m:r>
            </m:oMath>
          </w:p>
        </w:tc>
      </w:tr>
      <w:tr>
        <w:tc>
          <w:tcPr/>
          <w:p>
            <w:pPr>
              <w:pStyle w:val="Compact"/>
            </w:pPr>
            <w:r>
              <w:t xml:space="preserve">Near threshold</w:t>
            </w:r>
          </w:p>
        </w:tc>
        <w:tc>
          <w:tcPr/>
          <w:p>
            <w:pPr>
              <w:pStyle w:val="Compact"/>
            </w:pPr>
            <w:r>
              <w:t xml:space="preserve">0.40</w:t>
            </w:r>
          </w:p>
        </w:tc>
        <w:tc>
          <w:tcPr/>
          <w:p>
            <w:pPr>
              <w:pStyle w:val="Compact"/>
            </w:pPr>
            <w:r>
              <w:t xml:space="preserve">0.814 (range 0.74-0.88)</w:t>
            </w:r>
          </w:p>
        </w:tc>
        <w:tc>
          <w:tcPr/>
          <w:p>
            <w:pPr>
              <w:pStyle w:val="Compact"/>
            </w:pPr>
            <m:oMath>
              <m:r>
                <m:rPr>
                  <m:sty m:val="p"/>
                </m:rPr>
                <m:t>+</m:t>
              </m:r>
              <m:r>
                <m:t>0.0467</m:t>
              </m:r>
              <m:r>
                <m:rPr>
                  <m:sty m:val="p"/>
                </m:rPr>
                <m:t>±</m:t>
              </m:r>
              <m:r>
                <m:t>0.0077</m:t>
              </m:r>
            </m:oMath>
          </w:p>
        </w:tc>
        <w:tc>
          <w:tcPr/>
          <w:p>
            <w:pPr>
              <w:pStyle w:val="Compact"/>
            </w:pPr>
            <m:oMath>
              <m:r>
                <m:rPr>
                  <m:sty m:val="p"/>
                </m:rPr>
                <m:t>+</m:t>
              </m:r>
              <m:r>
                <m:t>0.094</m:t>
              </m:r>
            </m:oMath>
          </w:p>
        </w:tc>
      </w:tr>
      <w:tr>
        <w:tc>
          <w:tcPr/>
          <w:p>
            <w:pPr>
              <w:pStyle w:val="Compact"/>
            </w:pPr>
            <w:r>
              <w:t xml:space="preserve">Above threshold (PP)</w:t>
            </w:r>
          </w:p>
        </w:tc>
        <w:tc>
          <w:tcPr/>
          <w:p>
            <w:pPr>
              <w:pStyle w:val="Compact"/>
            </w:pPr>
            <w:r>
              <w:t xml:space="preserve">0.64</w:t>
            </w:r>
          </w:p>
        </w:tc>
        <w:tc>
          <w:tcPr/>
          <w:p>
            <w:pPr>
              <w:pStyle w:val="Compact"/>
            </w:pPr>
            <w:r>
              <w:t xml:space="preserve">0.978 (range 0.96-0.99)</w:t>
            </w:r>
          </w:p>
        </w:tc>
        <w:tc>
          <w:tcPr/>
          <w:p>
            <w:pPr>
              <w:pStyle w:val="Compact"/>
            </w:pPr>
            <m:oMath>
              <m:r>
                <m:rPr>
                  <m:sty m:val="p"/>
                </m:rPr>
                <m:t>+</m:t>
              </m:r>
              <m:r>
                <m:t>0.0226</m:t>
              </m:r>
              <m:r>
                <m:rPr>
                  <m:sty m:val="p"/>
                </m:rPr>
                <m:t>±</m:t>
              </m:r>
              <m:r>
                <m:t>0.0125</m:t>
              </m:r>
            </m:oMath>
          </w:p>
        </w:tc>
        <w:tc>
          <w:tcPr/>
          <w:p>
            <w:pPr>
              <w:pStyle w:val="Compact"/>
            </w:pPr>
            <m:oMath>
              <m:r>
                <m:rPr>
                  <m:sty m:val="p"/>
                </m:rPr>
                <m:t>+</m:t>
              </m:r>
              <m:r>
                <m:t>0.184</m:t>
              </m:r>
            </m:oMath>
          </w:p>
        </w:tc>
      </w:tr>
    </w:tbl>
    <w:p>
      <w:pPr>
        <w:pStyle w:val="BodyText"/>
      </w:pPr>
      <w:r>
        <w:t xml:space="preserve">Three features of this table are worth pointing at directly. First, the per-year</w:t>
      </w:r>
      <w:r>
        <w:t xml:space="preserve"> </w:t>
      </w:r>
      <m:oMath>
        <m:r>
          <m:t>S</m:t>
        </m:r>
        <m:r>
          <m:rPr>
            <m:sty m:val="p"/>
          </m:rPr>
          <m:t>(</m:t>
        </m:r>
        <m:r>
          <m:t>t</m:t>
        </m:r>
        <m:r>
          <m:rPr>
            <m:sty m:val="p"/>
          </m:rPr>
          <m:t>)</m:t>
        </m:r>
      </m:oMath>
      <w:r>
        <w:t xml:space="preserve"> </w:t>
      </w:r>
      <w:r>
        <w:t xml:space="preserve">is small in absolute value at every scenario, consistent with the framework’s expectation that single-year fitness differentials between strategy classes are bounded by realized shortfall buffering. Second, the sign of</w:t>
      </w:r>
      <w:r>
        <w:t xml:space="preserve"> </w:t>
      </w:r>
      <m:oMath>
        <m:r>
          <m:t>S</m:t>
        </m:r>
        <m:r>
          <m:rPr>
            <m:sty m:val="p"/>
          </m:rPr>
          <m:t>(</m:t>
        </m:r>
        <m:r>
          <m:t>t</m:t>
        </m:r>
        <m:r>
          <m:rPr>
            <m:sty m:val="p"/>
          </m:rPr>
          <m:t>)</m:t>
        </m:r>
      </m:oMath>
      <w:r>
        <w:t xml:space="preserve"> </w:t>
      </w:r>
      <w:r>
        <w:t xml:space="preserve">is what flips across the threshold: negative below, strongly positive at and above. The per-replicate consistency is tight (the standard deviations are an order of magnitude smaller than the means). This is the band-level selection signature the framework predicts. Third, the within-aggregator</w:t>
      </w:r>
      <w:r>
        <w:t xml:space="preserve"> </w:t>
      </w:r>
      <m:oMath>
        <m:r>
          <m:rPr>
            <m:sty m:val="p"/>
          </m:rPr>
          <m:t>C</m:t>
        </m:r>
        <m:r>
          <m:rPr>
            <m:sty m:val="p"/>
          </m:rPr>
          <m:t>o</m:t>
        </m:r>
        <m:r>
          <m:rPr>
            <m:sty m:val="p"/>
          </m:rPr>
          <m:t>v</m:t>
        </m:r>
        <m:r>
          <m:rPr>
            <m:sty m:val="p"/>
          </m:rPr>
          <m:t>(</m:t>
        </m:r>
        <m:r>
          <m:t>M</m:t>
        </m:r>
        <m:r>
          <m:rPr>
            <m:sty m:val="p"/>
          </m:rPr>
          <m:t>,</m:t>
        </m:r>
        <m:r>
          <m:t>w</m:t>
        </m:r>
        <m:r>
          <m:rPr>
            <m:sty m:val="p"/>
          </m:rPr>
          <m:t>)</m:t>
        </m:r>
      </m:oMath>
      <w:r>
        <w:t xml:space="preserve"> </w:t>
      </w:r>
      <w:r>
        <w:t xml:space="preserve">is positive in all three regimes and grows with</w:t>
      </w:r>
      <w:r>
        <w:t xml:space="preserve"> </w:t>
      </w:r>
      <m:oMath>
        <m:r>
          <m:t>σ</m:t>
        </m:r>
      </m:oMath>
      <w:r>
        <w:t xml:space="preserve"> </w:t>
      </w:r>
      <w:r>
        <w:t xml:space="preserve">(from</w:t>
      </w:r>
      <w:r>
        <w:t xml:space="preserve"> </w:t>
      </w:r>
      <m:oMath>
        <m:r>
          <m:rPr>
            <m:sty m:val="p"/>
          </m:rPr>
          <m:t>+</m:t>
        </m:r>
        <m:r>
          <m:t>0.05</m:t>
        </m:r>
      </m:oMath>
      <w:r>
        <w:t xml:space="preserve"> </w:t>
      </w:r>
      <w:r>
        <w:t xml:space="preserve">below threshold to</w:t>
      </w:r>
      <w:r>
        <w:t xml:space="preserve"> </w:t>
      </w:r>
      <m:oMath>
        <m:r>
          <m:rPr>
            <m:sty m:val="p"/>
          </m:rPr>
          <m:t>+</m:t>
        </m:r>
        <m:r>
          <m:t>0.18</m:t>
        </m:r>
      </m:oMath>
      <w:r>
        <w:t xml:space="preserve"> </w:t>
      </w:r>
      <w:r>
        <w:t xml:space="preserve">above it): bands with higher cumulative monument contributions have higher realized fitness within the aggregator cohort, and the association strengthens as shortfalls become more frequent because network buffering (which tracks accumulated display through signal-conditional partner formation) is exercised more often. This is the within-cohort signature of the signaling channel operating through partner choice, consistent with the framework’s frequency-dependent feedback architecture.</w:t>
      </w:r>
    </w:p>
    <w:p>
      <w:pPr>
        <w:pStyle w:val="BodyText"/>
      </w:pPr>
      <w:r>
        <w:t xml:space="preserve">The cumulative</w:t>
      </w:r>
      <w:r>
        <w:t xml:space="preserve"> </w:t>
      </w:r>
      <m:oMath>
        <m:r>
          <m:rPr>
            <m:sty m:val="p"/>
          </m:rPr>
          <m:t>∑</m:t>
        </m:r>
        <m:r>
          <m:t>S</m:t>
        </m:r>
        <m:r>
          <m:rPr>
            <m:sty m:val="p"/>
          </m:rPr>
          <m:t>(</m:t>
        </m:r>
        <m:r>
          <m:t>t</m:t>
        </m:r>
        <m:r>
          <m:rPr>
            <m:sty m:val="p"/>
          </m:rPr>
          <m:t>)</m:t>
        </m:r>
      </m:oMath>
      <w:r>
        <w:t xml:space="preserve"> </w:t>
      </w:r>
      <w:r>
        <w:t xml:space="preserve">over the 150-year post-burn-in interval is approximately</w:t>
      </w:r>
      <w:r>
        <w:t xml:space="preserve"> </w:t>
      </w:r>
      <m:oMath>
        <m:r>
          <m:rPr>
            <m:sty m:val="p"/>
          </m:rPr>
          <m:t>−</m:t>
        </m:r>
        <m:r>
          <m:t>1.7</m:t>
        </m:r>
      </m:oMath>
      <w:r>
        <w:t xml:space="preserve"> </w:t>
      </w:r>
      <w:r>
        <w:t xml:space="preserve">at low</w:t>
      </w:r>
      <w:r>
        <w:t xml:space="preserve"> </w:t>
      </w:r>
      <m:oMath>
        <m:r>
          <m:t>σ</m:t>
        </m:r>
      </m:oMath>
      <w:r>
        <w:t xml:space="preserve">,</w:t>
      </w:r>
      <w:r>
        <w:t xml:space="preserve"> </w:t>
      </w:r>
      <m:oMath>
        <m:r>
          <m:rPr>
            <m:sty m:val="p"/>
          </m:rPr>
          <m:t>+</m:t>
        </m:r>
        <m:r>
          <m:t>7.0</m:t>
        </m:r>
      </m:oMath>
      <w:r>
        <w:t xml:space="preserve"> </w:t>
      </w:r>
      <w:r>
        <w:t xml:space="preserve">at the threshold, and</w:t>
      </w:r>
      <w:r>
        <w:t xml:space="preserve"> </w:t>
      </w:r>
      <m:oMath>
        <m:r>
          <m:rPr>
            <m:sty m:val="p"/>
          </m:rPr>
          <m:t>+</m:t>
        </m:r>
        <m:r>
          <m:t>3.0</m:t>
        </m:r>
      </m:oMath>
      <w:r>
        <w:t xml:space="preserve"> </w:t>
      </w:r>
      <w:r>
        <w:t xml:space="preserve">at PP-scenario. These integrate-of-</w:t>
      </w:r>
      <m:oMath>
        <m:r>
          <m:t>S</m:t>
        </m:r>
        <m:r>
          <m:rPr>
            <m:sty m:val="p"/>
          </m:rPr>
          <m:t>(</m:t>
        </m:r>
        <m:r>
          <m:t>t</m:t>
        </m:r>
        <m:r>
          <m:rPr>
            <m:sty m:val="p"/>
          </m:rPr>
          <m:t>)</m:t>
        </m:r>
      </m:oMath>
      <w:r>
        <w:t xml:space="preserve"> </w:t>
      </w:r>
      <w:r>
        <w:t xml:space="preserve">values are not directly interpretable as population frequency shifts (because once</w:t>
      </w:r>
      <w:r>
        <w:t xml:space="preserve"> </w:t>
      </w:r>
      <m:oMath>
        <m:acc>
          <m:accPr>
            <m:chr m:val="‾"/>
          </m:accPr>
          <m:e>
            <m:r>
              <m:t>p</m:t>
            </m:r>
          </m:e>
        </m:acc>
      </m:oMath>
      <w:r>
        <w:t xml:space="preserve"> </w:t>
      </w:r>
      <w:r>
        <w:t xml:space="preserve">saturates near 0 or 1, the population-state bounds further accumulation), but the relative magnitudes confirm the cumulative dynamic: the band-level selection signature, small year by year, compounds along persistent band lineages to produce the equilibrium population frequencies the simulation actually exhibits.</w:t>
      </w:r>
    </w:p>
    <w:p>
      <w:pPr>
        <w:pStyle w:val="BodyText"/>
      </w:pPr>
      <w:r>
        <w:drawing>
          <wp:inline>
            <wp:extent cx="5943600" cy="1543670"/>
            <wp:effectExtent b="0" l="0" r="0" t="0"/>
            <wp:docPr descr="" title="" id="54" name="Picture"/>
            <a:graphic>
              <a:graphicData uri="http://schemas.openxmlformats.org/drawingml/2006/picture">
                <pic:pic>
                  <pic:nvPicPr>
                    <pic:cNvPr descr="../../figures/supplemental/figure_S07_price_decomposition.png" id="55" name="Picture"/>
                    <pic:cNvPicPr>
                      <a:picLocks noChangeArrowheads="1" noChangeAspect="1"/>
                    </pic:cNvPicPr>
                  </pic:nvPicPr>
                  <pic:blipFill>
                    <a:blip r:embed="rId53"/>
                    <a:stretch>
                      <a:fillRect/>
                    </a:stretch>
                  </pic:blipFill>
                  <pic:spPr bwMode="auto">
                    <a:xfrm>
                      <a:off x="0" y="0"/>
                      <a:ext cx="5943600" cy="1543670"/>
                    </a:xfrm>
                    <a:prstGeom prst="rect">
                      <a:avLst/>
                    </a:prstGeom>
                    <a:noFill/>
                    <a:ln w="9525">
                      <a:noFill/>
                      <a:headEnd/>
                      <a:tailEnd/>
                    </a:ln>
                  </pic:spPr>
                </pic:pic>
              </a:graphicData>
            </a:graphic>
          </wp:inline>
        </w:drawing>
      </w:r>
    </w:p>
    <w:p>
      <w:pPr>
        <w:pStyle w:val="BodyText"/>
      </w:pPr>
      <w:r>
        <w:rPr>
          <w:b/>
          <w:bCs/>
          <w:i/>
          <w:iCs/>
        </w:rPr>
        <w:t xml:space="preserve">Figure S7. Empirical Price-equation decomposition of band-level selection across the framework’s threshold.</w:t>
      </w:r>
      <w:r>
        <w:t xml:space="preserve"> </w:t>
      </w:r>
      <w:r>
        <w:rPr>
          <w:i/>
          <w:iCs/>
        </w:rPr>
        <w:t xml:space="preserve">(A) Per-year between-strategy-class selection differential</w:t>
      </w:r>
      <w: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t xml:space="preserve"> </w:t>
      </w:r>
      <w:r>
        <w:rPr>
          <w:i/>
          <w:iCs/>
        </w:rPr>
        <w:t xml:space="preserve">(10-yr bins, ±1 SD across stochastic replicates), for below-threshold (</w:t>
      </w:r>
      <w:r>
        <w:t xml:space="preserve"> </w:t>
      </w:r>
      <m:oMath>
        <m:r>
          <m:t>σ</m:t>
        </m:r>
        <m:r>
          <m:rPr>
            <m:sty m:val="p"/>
          </m:rPr>
          <m:t>=</m:t>
        </m:r>
        <m:r>
          <m:t>0.20</m:t>
        </m:r>
      </m:oMath>
      <w:r>
        <w:rPr>
          <w:i/>
          <w:iCs/>
        </w:rPr>
        <w:t xml:space="preserve">), near-threshold (</w:t>
      </w:r>
      <w:r>
        <w:t xml:space="preserve"> </w:t>
      </w:r>
      <m:oMath>
        <m:r>
          <m:t>σ</m:t>
        </m:r>
        <m:r>
          <m:rPr>
            <m:sty m:val="p"/>
          </m:rPr>
          <m:t>=</m:t>
        </m:r>
        <m:r>
          <m:t>0.40</m:t>
        </m:r>
      </m:oMath>
      <w:r>
        <w:rPr>
          <w:i/>
          <w:iCs/>
        </w:rPr>
        <w:t xml:space="preserve">), and above-threshold (</w:t>
      </w:r>
      <w:r>
        <w:t xml:space="preserve"> </w:t>
      </w:r>
      <m:oMath>
        <m:r>
          <m:t>σ</m:t>
        </m:r>
        <m:r>
          <m:rPr>
            <m:sty m:val="p"/>
          </m:rPr>
          <m:t>=</m:t>
        </m:r>
        <m:r>
          <m:t>0.64</m:t>
        </m:r>
      </m:oMath>
      <w:r>
        <w:rPr>
          <w:i/>
          <w:iCs/>
        </w:rPr>
        <w:t xml:space="preserve">, PP-equivalent) scenarios. Vertical red dotted line marks the burn-in cutoff at year 50. Per-year</w:t>
      </w:r>
      <w:r>
        <w:t xml:space="preserve"> </w:t>
      </w:r>
      <m:oMath>
        <m:r>
          <m:t>S</m:t>
        </m:r>
        <m:r>
          <m:rPr>
            <m:sty m:val="p"/>
          </m:rPr>
          <m:t>(</m:t>
        </m:r>
        <m:r>
          <m:t>t</m:t>
        </m:r>
        <m:r>
          <m:rPr>
            <m:sty m:val="p"/>
          </m:rPr>
          <m:t>)</m:t>
        </m:r>
      </m:oMath>
      <w:r>
        <w:t xml:space="preserve"> </w:t>
      </w:r>
      <w:r>
        <w:rPr>
          <w:i/>
          <w:iCs/>
        </w:rPr>
        <w:t xml:space="preserve">values are small in all three regimes because the per-year fitness differential between aggregator and independent bands is bounded by realized shortfall buffering. (B) Cumulative</w:t>
      </w:r>
      <w:r>
        <w:t xml:space="preserve"> </w:t>
      </w:r>
      <m:oMath>
        <m:r>
          <m:rPr>
            <m:sty m:val="p"/>
          </m:rPr>
          <m:t>∑</m:t>
        </m:r>
        <m:r>
          <m:t>S</m:t>
        </m:r>
        <m:r>
          <m:rPr>
            <m:sty m:val="p"/>
          </m:rPr>
          <m:t>(</m:t>
        </m:r>
        <m:r>
          <m:t>t</m:t>
        </m:r>
        <m:r>
          <m:rPr>
            <m:sty m:val="p"/>
          </m:rPr>
          <m:t>)</m:t>
        </m:r>
      </m:oMath>
      <w:r>
        <w:t xml:space="preserve"> </w:t>
      </w:r>
      <w:r>
        <w:rPr>
          <w:i/>
          <w:iCs/>
        </w:rPr>
        <w:t xml:space="preserve">from burn-in onward (median + 10-90 percentile envelope across replicates), demonstrating that small per-year selection differentials integrate coherently along persistent band lineages to produce substantial population-level shifts in opposite directions below and above</w:t>
      </w:r>
      <w:r>
        <w:t xml:space="preserve"> </w:t>
      </w:r>
      <m:oMath>
        <m:sSup>
          <m:e>
            <m:r>
              <m:t>σ</m:t>
            </m:r>
          </m:e>
          <m:sup>
            <m:r>
              <m:rPr>
                <m:sty m:val="p"/>
              </m:rPr>
              <m:t>*</m:t>
            </m:r>
          </m:sup>
        </m:sSup>
      </m:oMath>
      <w:r>
        <w:rPr>
          <w:i/>
          <w:iCs/>
        </w:rPr>
        <w:t xml:space="preserve">. (C) Transmission residual</w:t>
      </w:r>
      <w:r>
        <w:t xml:space="preserve"> </w:t>
      </w:r>
      <m:oMath>
        <m:r>
          <m:rPr>
            <m:sty m:val="p"/>
          </m:rPr>
          <m:t>Δ</m:t>
        </m:r>
        <m:acc>
          <m:accPr>
            <m:chr m:val="‾"/>
          </m:accPr>
          <m:e>
            <m:r>
              <m:t>p</m:t>
            </m:r>
          </m:e>
        </m:acc>
        <m:r>
          <m:rPr>
            <m:sty m:val="p"/>
          </m:rPr>
          <m:t>−</m:t>
        </m:r>
        <m:r>
          <m:t>S</m:t>
        </m:r>
        <m:r>
          <m:rPr>
            <m:sty m:val="p"/>
          </m:rPr>
          <m:t>(</m:t>
        </m:r>
        <m:r>
          <m:t>t</m:t>
        </m:r>
        <m:r>
          <m:rPr>
            <m:sty m:val="p"/>
          </m:rPr>
          <m:t>)</m:t>
        </m:r>
      </m:oMath>
      <w:r>
        <w:t xml:space="preserve"> </w:t>
      </w:r>
      <w:r>
        <w:rPr>
          <w:i/>
          <w:iCs/>
        </w:rPr>
        <w:t xml:space="preserve">per year, capturing strategy switching beyond reproductive differential. (D) Post-burn-in mean ± SD of the three Price components per scenario: between-strategy-class selection</w:t>
      </w:r>
      <w:r>
        <w:t xml:space="preserve"> </w:t>
      </w:r>
      <m:oMath>
        <m:r>
          <m:t>S</m:t>
        </m:r>
      </m:oMath>
      <w:r>
        <w:t xml:space="preserve"> </w:t>
      </w:r>
      <w:r>
        <w:rPr>
          <w:i/>
          <w:iCs/>
        </w:rPr>
        <w:t xml:space="preserve">(blue), transmission residual (orange), within-aggregator covariance</w:t>
      </w:r>
      <w:r>
        <w:t xml:space="preserve"> </w:t>
      </w:r>
      <m:oMath>
        <m:r>
          <m:rPr>
            <m:sty m:val="p"/>
          </m:rPr>
          <m:t>C</m:t>
        </m:r>
        <m:r>
          <m:rPr>
            <m:sty m:val="p"/>
          </m:rPr>
          <m:t>o</m:t>
        </m:r>
        <m:r>
          <m:rPr>
            <m:sty m:val="p"/>
          </m:rPr>
          <m:t>v</m:t>
        </m:r>
        <m:r>
          <m:rPr>
            <m:sty m:val="p"/>
          </m:rPr>
          <m:t>(</m:t>
        </m:r>
        <m:r>
          <m:t>M</m:t>
        </m:r>
        <m:r>
          <m:rPr>
            <m:sty m:val="p"/>
          </m:rPr>
          <m:t>,</m:t>
        </m:r>
        <m:r>
          <m:t>w</m:t>
        </m:r>
        <m:r>
          <m:rPr>
            <m:sty m:val="p"/>
          </m:rPr>
          <m:t>)</m:t>
        </m:r>
      </m:oMath>
      <w:r>
        <w:t xml:space="preserve"> </w:t>
      </w:r>
      <w:r>
        <w:rPr>
          <w:i/>
          <w:iCs/>
        </w:rPr>
        <w:t xml:space="preserve">(green). The sign reversal of</w:t>
      </w:r>
      <w:r>
        <w:t xml:space="preserve"> </w:t>
      </w:r>
      <m:oMath>
        <m:r>
          <m:t>S</m:t>
        </m:r>
      </m:oMath>
      <w:r>
        <w:t xml:space="preserve"> </w:t>
      </w:r>
      <w:r>
        <w:rPr>
          <w:i/>
          <w:iCs/>
        </w:rPr>
        <w:t xml:space="preserve">between the below- and above-threshold scenarios, accumulated over many decision cycles as in Panel B, is what drives the population convergence on the framework’s predicted equilibrium. The small positive within-aggregator covariance is the residual individual-level signal that operates within the aggregator cohort.</w:t>
      </w:r>
    </w:p>
    <w:p>
      <w:r>
        <w:pict>
          <v:rect style="width:0;height:1.5pt" o:hralign="center" o:hrstd="t" o:hr="t"/>
        </w:pict>
      </w:r>
    </w:p>
    <w:bookmarkEnd w:id="56"/>
    <w:bookmarkEnd w:id="57"/>
    <w:bookmarkStart w:id="58" w:name="Xed97e753e5c5342931c94c50e5d17c63b92aa4d"/>
    <w:p>
      <w:pPr>
        <w:pStyle w:val="Heading2"/>
      </w:pPr>
      <w:r>
        <w:t xml:space="preserve">S6. Zone-access scoring rubric for Table 2</w:t>
      </w:r>
    </w:p>
    <w:p>
      <w:pPr>
        <w:pStyle w:val="FirstParagraph"/>
      </w:pPr>
      <w:r>
        <w:t xml:space="preserve">The Shannon ecotone-diversity index in main-text Table 2 is computed from per-site weights</w:t>
      </w:r>
      <w:r>
        <w:t xml:space="preserve"> </w:t>
      </w:r>
      <m:oMath>
        <m:sSub>
          <m:e>
            <m:r>
              <m:t>w</m:t>
            </m:r>
          </m:e>
          <m:sub>
            <m:r>
              <m:t>z</m:t>
            </m:r>
          </m:sub>
        </m:sSub>
        <m:r>
          <m:rPr>
            <m:sty m:val="p"/>
          </m:rPr>
          <m:t>∈</m:t>
        </m:r>
        <m:r>
          <m:rPr>
            <m:sty m:val="p"/>
          </m:rPr>
          <m:t>[</m:t>
        </m:r>
        <m:r>
          <m:t>0</m:t>
        </m:r>
        <m:r>
          <m:rPr>
            <m:sty m:val="p"/>
          </m:rPr>
          <m:t>,</m:t>
        </m:r>
        <m:r>
          <m:t>1</m:t>
        </m:r>
        <m:r>
          <m:rPr>
            <m:sty m:val="p"/>
          </m:rPr>
          <m:t>]</m:t>
        </m:r>
      </m:oMath>
      <w:r>
        <w:t xml:space="preserve"> </w:t>
      </w:r>
      <w:r>
        <w:t xml:space="preserve">for five resource zones</w:t>
      </w:r>
      <w:r>
        <w:t xml:space="preserve"> </w:t>
      </w:r>
      <m:oMath>
        <m:r>
          <m:t>z</m:t>
        </m:r>
      </m:oMath>
      <w: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 setting (mast 0.3; upland 0.5 under the corrected coding that credits the Coastal Plain Upland Gulf Flatwoods); prairie zone for most LMV-interior sites</w:t>
            </w:r>
          </w:p>
        </w:tc>
      </w:tr>
    </w:tbl>
    <w:p>
      <w:pPr>
        <w:pStyle w:val="BodyText"/>
      </w:pPr>
      <w: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t xml:space="preserve"> </w:t>
      </w:r>
      <w:r>
        <w:t xml:space="preserve">where</w:t>
      </w:r>
      <w: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t xml:space="preserve">, and</w:t>
      </w:r>
      <w: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t xml:space="preserve"> </w:t>
      </w:r>
      <w:r>
        <w:t xml:space="preserve">with</w:t>
      </w:r>
      <w:r>
        <w:t xml:space="preserve"> </w:t>
      </w:r>
      <m:oMath>
        <m:sSub>
          <m:e>
            <m:r>
              <m:t>H</m:t>
            </m:r>
          </m:e>
          <m:sub>
            <m:r>
              <m:t>m</m:t>
            </m:r>
            <m:r>
              <m:t>a</m:t>
            </m:r>
            <m:r>
              <m:t>x</m:t>
            </m:r>
          </m:sub>
        </m:sSub>
        <m:r>
          <m:rPr>
            <m:sty m:val="p"/>
          </m:rPr>
          <m:t>=</m:t>
        </m:r>
        <m:r>
          <m:rPr>
            <m:sty m:val="p"/>
          </m:rPr>
          <m:t>ln</m:t>
        </m:r>
        <m:r>
          <m:t>5</m:t>
        </m:r>
        <m:r>
          <m:rPr>
            <m:sty m:val="p"/>
          </m:rPr>
          <m:t>≈</m:t>
        </m:r>
        <m:r>
          <m:t>1.609</m:t>
        </m:r>
      </m:oMath>
      <w:r>
        <w:t xml:space="preserve">. The 0.5 ceiling is set to match the upper boundary of the model’s tested</w:t>
      </w:r>
      <w:r>
        <w:t xml:space="preserve"> </w:t>
      </w:r>
      <m:oMath>
        <m:r>
          <m:t>ε</m:t>
        </m:r>
      </m:oMath>
      <w:r>
        <w:t xml:space="preserve"> </w:t>
      </w:r>
      <w:r>
        <w:t xml:space="preserve">range (§S8.5 below); a weighting that uses ε = H/H_max directly (so PP would have ε = 0.98) would push the predicted threshold</w:t>
      </w:r>
      <w:r>
        <w:t xml:space="preserve"> </w:t>
      </w:r>
      <m:oMath>
        <m:sSup>
          <m:e>
            <m:r>
              <m:t>σ</m:t>
            </m:r>
          </m:e>
          <m:sup>
            <m:r>
              <m:rPr>
                <m:sty m:val="p"/>
              </m:rPr>
              <m:t>*</m:t>
            </m:r>
          </m:sup>
        </m:sSup>
      </m:oMath>
      <w:r>
        <w:t xml:space="preserve"> </w:t>
      </w:r>
      <w:r>
        <w:t xml:space="preserve">values closer to zero and would cause more sites to register as well above threshold without changing the rank order.</w:t>
      </w:r>
    </w:p>
    <w:p>
      <w:pPr>
        <w:pStyle w:val="BodyText"/>
      </w:pPr>
      <w:r>
        <w:rPr>
          <w:b/>
          <w:bCs/>
        </w:rPr>
        <w:t xml:space="preserve">Per-site weights used for Table 2.</w:t>
      </w:r>
      <w:r>
        <w:t xml:space="preserve"> </w:t>
      </w:r>
      <w:r>
        <w:t xml:space="preserve">The following weight vectors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t xml:space="preserve">for aquatic, upland, drainage, mast, and prairie zones are the actual values used to compute the Shannon</w:t>
      </w:r>
      <w:r>
        <w:t xml:space="preserve"> </w:t>
      </w:r>
      <m:oMath>
        <m:r>
          <m:t>H</m:t>
        </m:r>
      </m:oMath>
      <w:r>
        <w:t xml:space="preserve"> </w:t>
      </w:r>
      <w: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p>
      <w:r>
        <w:pict>
          <v:rect style="width:0;height:1.5pt" o:hralign="center" o:hrstd="t" o:hr="t"/>
        </w:pict>
      </w:r>
    </w:p>
    <w:bookmarkEnd w:id="58"/>
    <w:bookmarkStart w:id="73" w:name="s7.-detailed-scenario-simulation-results"/>
    <w:p>
      <w:pPr>
        <w:pStyle w:val="Heading2"/>
      </w:pPr>
      <w:r>
        <w:t xml:space="preserve">S7. Detailed scenario simulation results</w:t>
      </w:r>
    </w:p>
    <w:bookmarkStart w:id="59" w:name="Xb76937dec171478a3aaa1ec42b0a72fe24c58e3"/>
    <w:p>
      <w:pPr>
        <w:pStyle w:val="Heading3"/>
      </w:pPr>
      <w:r>
        <w:t xml:space="preserve">S7.0 Status summary of §6 empirical evaluations</w:t>
      </w:r>
    </w:p>
    <w:p>
      <w:pPr>
        <w:pStyle w:val="FirstParagraph"/>
      </w:pPr>
      <w: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~104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and galena in like units and for steatite on a vessel basis; near-source materials (novaculite, crystal quartz) overpredicted 8-63× by the cost-driven acquisition rule (genuine misfit); joint Mahalanobis rejects</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a priori</w:t>
            </w:r>
          </w:p>
        </w:tc>
        <w:tc>
          <w:tcPr/>
          <w:p>
            <w:pPr>
              <w:pStyle w:val="Compact"/>
            </w:pPr>
            <w:r>
              <w:t xml:space="preserve">Webb 1982 / Gibson and Griffing 1994 source-distance inventory</w:t>
            </w:r>
          </w:p>
        </w:tc>
        <w:tc>
          <w:tcPr/>
          <w:p>
            <w:pPr>
              <w:pStyle w:val="Compact"/>
            </w:pPr>
            <m:oMath>
              <m:r>
                <m:t>ρ</m:t>
              </m:r>
              <m:r>
                <m:rPr>
                  <m:sty m:val="p"/>
                </m:rPr>
                <m:t>=</m:t>
              </m:r>
              <m:r>
                <m:rPr>
                  <m:sty m:val="p"/>
                </m:rPr>
                <m:t>−</m:t>
              </m:r>
              <m:r>
                <m:t>0.40</m:t>
              </m:r>
            </m:oMath>
            <w:r>
              <w:t xml:space="preserve"> </w:t>
            </w:r>
            <w:r>
              <w:t xml:space="preserve">across five materials (+0.50 far-source only); fails as an unconditional ordering prediction, and acknowledged not to discriminate against transport-cost or down-the-line alternatives in any case</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volume closure via per-event labor scaling</w:t>
            </w:r>
          </w:p>
        </w:tc>
        <w:tc>
          <w:tcPr/>
          <w:p>
            <w:pPr>
              <w:pStyle w:val="Compact"/>
            </w:pPr>
            <m:oMath>
              <m:r>
                <m:t>α</m:t>
              </m:r>
              <m:r>
                <m:rPr>
                  <m:sty m:val="p"/>
                </m:rPr>
                <m:t>=</m:t>
              </m:r>
              <m:r>
                <m:t>2</m:t>
              </m:r>
            </m:oMath>
            <w:r>
              <w:t xml:space="preserve"> </w:t>
            </w:r>
            <w:r>
              <w:t xml:space="preserve">(fitted);</w:t>
            </w:r>
            <w:r>
              <w:t xml:space="preserve"> </w:t>
            </w:r>
            <m:oMath>
              <m:r>
                <m:t>K</m:t>
              </m:r>
            </m:oMath>
            <w:r>
              <w:t xml:space="preserve"> </w:t>
            </w:r>
            <w:r>
              <w:t xml:space="preserve">accounts for tempo, not volume</w:t>
            </w:r>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conditional on the fitted labor-scaling exponent</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0.92</m:t>
              </m:r>
            </m:oMath>
            <w:r>
              <w:t xml:space="preserve">, but partial-correlation:</w:t>
            </w:r>
            <w:r>
              <w:t xml:space="preserve"> </w:t>
            </w:r>
            <m:oMath>
              <m:r>
                <m:t>ε</m:t>
              </m:r>
            </m:oMath>
            <w:r>
              <w:t xml:space="preserve"> </w:t>
            </w:r>
            <w:r>
              <w:t xml:space="preserve">contributes at most</w:t>
            </w:r>
            <w:r>
              <w:t xml:space="preserve"> </w:t>
            </w:r>
            <m:oMath>
              <m:r>
                <m:rPr>
                  <m:sty m:val="p"/>
                </m:rPr>
                <m:t>±</m:t>
              </m:r>
              <m:r>
                <m:t>0.02</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0.002</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0.4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9"/>
    <w:bookmarkStart w:id="63" w:name="s7.1-phase-transition-sweep-4.1-and-4.3"/>
    <w:p>
      <w:pPr>
        <w:pStyle w:val="Heading3"/>
      </w:pPr>
      <w:r>
        <w:t xml:space="preserve">S7.1 Phase-transition sweep (§4.1 and §4.3)</w:t>
      </w:r>
    </w:p>
    <w:p>
      <w:pPr>
        <w:pStyle w:val="FirstParagraph"/>
      </w:pPr>
      <w:r>
        <w:t xml:space="preserve">The phase-transition validation in main §4.1 and the signal-conditional vs random-partner ablation in main §4.3 are both produced from a single sweep across seven</w:t>
      </w:r>
      <w:r>
        <w:t xml:space="preserve"> </w:t>
      </w:r>
      <m:oMath>
        <m:sSub>
          <m:e>
            <m:r>
              <m:t>σ</m:t>
            </m:r>
          </m:e>
          <m:sub>
            <m:r>
              <m:t>t</m:t>
            </m:r>
            <m:r>
              <m:t>a</m:t>
            </m:r>
            <m:r>
              <m:t>r</m:t>
            </m:r>
            <m:r>
              <m:t>g</m:t>
            </m:r>
            <m:r>
              <m:t>e</m:t>
            </m:r>
            <m:r>
              <m:t>t</m:t>
            </m:r>
          </m:sub>
        </m:sSub>
      </m:oMath>
      <w:r>
        <w:t xml:space="preserve"> </w:t>
      </w:r>
      <w:r>
        <w:t xml:space="preserve">values at PP-scenario parameters (</w:t>
      </w:r>
      <m:oMath>
        <m:r>
          <m:t>ε</m:t>
        </m:r>
        <m:r>
          <m:rPr>
            <m:sty m:val="p"/>
          </m:rPr>
          <m:t>=</m:t>
        </m:r>
        <m:r>
          <m:t>0.35</m:t>
        </m:r>
      </m:oMath>
      <w:r>
        <w:t xml:space="preserve">, pinned at the aggregation site):</w:t>
      </w:r>
      <w: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t xml:space="preserve">, with</w:t>
      </w:r>
      <w:r>
        <w:t xml:space="preserve"> </w:t>
      </w:r>
      <w:r>
        <w:rPr>
          <w:b/>
          <w:bCs/>
        </w:rPr>
        <w:t xml:space="preserve">twenty stochastic replicates per cell</w:t>
      </w:r>
      <w:r>
        <w:t xml:space="preserve"> </w:t>
      </w:r>
      <w:r>
        <w:t xml:space="preserve">(canonical output at</w:t>
      </w:r>
      <w:r>
        <w:t xml:space="preserve"> </w:t>
      </w:r>
      <w:r>
        <w:rPr>
          <w:rStyle w:val="VerbatimChar"/>
        </w:rPr>
        <w:t xml:space="preserve">results/ablation/ablation_sweep_engine2.json</w:t>
      </w:r>
      <w:r>
        <w:t xml:space="preserve">), 200 simulated years per replicate, and a 50-year burn-in. The sweep controls</w:t>
      </w:r>
      <w:r>
        <w:t xml:space="preserve"> </w:t>
      </w:r>
      <m:oMath>
        <m:sSub>
          <m:e>
            <m:r>
              <m:t>σ</m:t>
            </m:r>
          </m:e>
          <m:sub>
            <m:r>
              <m:t>e</m:t>
            </m:r>
            <m:r>
              <m:t>f</m:t>
            </m:r>
            <m:r>
              <m:t>f</m:t>
            </m:r>
          </m:sub>
        </m:sSub>
      </m:oMath>
      <w:r>
        <w:t xml:space="preserve"> </w:t>
      </w:r>
      <w:r>
        <w:t xml:space="preserve">through the shortfall recurrence</w:t>
      </w:r>
      <w:r>
        <w:t xml:space="preserve"> </w:t>
      </w:r>
      <m:oMath>
        <m:r>
          <m:t>T</m:t>
        </m:r>
      </m:oMath>
      <w:r>
        <w:t xml:space="preserve"> </w:t>
      </w:r>
      <w:r>
        <w:t xml:space="preserve">at fixed magnitude</w:t>
      </w:r>
      <w:r>
        <w:t xml:space="preserve"> </w:t>
      </w:r>
      <m:oMath>
        <m:r>
          <m:t>m</m:t>
        </m:r>
        <m:r>
          <m:rPr>
            <m:sty m:val="p"/>
          </m:rPr>
          <m:t>=</m:t>
        </m:r>
        <m:r>
          <m:t>0.5</m:t>
        </m:r>
      </m:oMath>
      <w:r>
        <w:t xml:space="preserve"> </w:t>
      </w:r>
      <w:r>
        <w:t xml:space="preserve">(§S1.4 naming convention); realized</w:t>
      </w:r>
      <w:r>
        <w:t xml:space="preserve"> </w:t>
      </w:r>
      <m:oMath>
        <m:r>
          <m:t>σ</m:t>
        </m:r>
      </m:oMath>
      <w:r>
        <w:t xml:space="preserve"> </w:t>
      </w:r>
      <w:r>
        <w:t xml:space="preserve">runs roughly 45-50% above target because shortfall events persist for multiple years and the realized-variance (CV) adjustment raises the composite index. Realized values are reported alongside targets throughout, and the crossings below are located on the realized scale.</w:t>
      </w:r>
    </w:p>
    <w:p>
      <w:pPr>
        <w:pStyle w:val="BodyText"/>
      </w:pPr>
      <w:r>
        <w:t xml:space="preserve">Per-cell strategy-dominance statistics for both configurations (n = 20 replicates per cell, mean ± sample SD with ddof =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0.290</w:t>
            </w:r>
          </w:p>
        </w:tc>
        <w:tc>
          <w:tcPr/>
          <w:p>
            <w:pPr>
              <w:pStyle w:val="Compact"/>
            </w:pPr>
            <m:oMath>
              <m:r>
                <m:rPr>
                  <m:sty m:val="p"/>
                </m:rPr>
                <m:t>−</m:t>
              </m:r>
              <m:r>
                <m:t>0.370</m:t>
              </m:r>
              <m:r>
                <m:rPr>
                  <m:sty m:val="p"/>
                </m:rPr>
                <m:t>±</m:t>
              </m:r>
              <m:r>
                <m:t>0.074</m:t>
              </m:r>
            </m:oMath>
          </w:p>
        </w:tc>
        <w:tc>
          <w:tcPr/>
          <w:p>
            <w:pPr>
              <w:pStyle w:val="Compact"/>
            </w:pPr>
            <m:oMath>
              <m:r>
                <m:rPr>
                  <m:sty m:val="p"/>
                </m:rPr>
                <m:t>−</m:t>
              </m:r>
              <m:r>
                <m:t>0.368</m:t>
              </m:r>
              <m:r>
                <m:rPr>
                  <m:sty m:val="p"/>
                </m:rPr>
                <m:t>±</m:t>
              </m:r>
              <m:r>
                <m:t>0.055</m:t>
              </m:r>
            </m:oMath>
          </w:p>
        </w:tc>
      </w:tr>
      <w:tr>
        <w:tc>
          <w:tcPr/>
          <w:p>
            <w:pPr>
              <w:pStyle w:val="Compact"/>
            </w:pPr>
            <w:r>
              <w:t xml:space="preserve">0.28</w:t>
            </w:r>
          </w:p>
        </w:tc>
        <w:tc>
          <w:tcPr/>
          <w:p>
            <w:pPr>
              <w:pStyle w:val="Compact"/>
            </w:pPr>
            <w:r>
              <w:t xml:space="preserve">0.413</w:t>
            </w:r>
          </w:p>
        </w:tc>
        <w:tc>
          <w:tcPr/>
          <w:p>
            <w:pPr>
              <w:pStyle w:val="Compact"/>
            </w:pPr>
            <m:oMath>
              <m:r>
                <m:rPr>
                  <m:sty m:val="p"/>
                </m:rPr>
                <m:t>+</m:t>
              </m:r>
              <m:r>
                <m:t>0.101</m:t>
              </m:r>
              <m:r>
                <m:rPr>
                  <m:sty m:val="p"/>
                </m:rPr>
                <m:t>±</m:t>
              </m:r>
              <m:r>
                <m:t>0.142</m:t>
              </m:r>
            </m:oMath>
          </w:p>
        </w:tc>
        <w:tc>
          <w:tcPr/>
          <w:p>
            <w:pPr>
              <w:pStyle w:val="Compact"/>
            </w:pPr>
            <m:oMath>
              <m:r>
                <m:rPr>
                  <m:sty m:val="p"/>
                </m:rPr>
                <m:t>+</m:t>
              </m:r>
              <m:r>
                <m:t>0.108</m:t>
              </m:r>
              <m:r>
                <m:rPr>
                  <m:sty m:val="p"/>
                </m:rPr>
                <m:t>±</m:t>
              </m:r>
              <m:r>
                <m:t>0.109</m:t>
              </m:r>
            </m:oMath>
          </w:p>
        </w:tc>
      </w:tr>
      <w:tr>
        <w:tc>
          <w:tcPr/>
          <w:p>
            <w:pPr>
              <w:pStyle w:val="Compact"/>
            </w:pPr>
            <w:r>
              <w:t xml:space="preserve">0.36</w:t>
            </w:r>
          </w:p>
        </w:tc>
        <w:tc>
          <w:tcPr/>
          <w:p>
            <w:pPr>
              <w:pStyle w:val="Compact"/>
            </w:pPr>
            <w:r>
              <w:t xml:space="preserve">0.536</w:t>
            </w:r>
          </w:p>
        </w:tc>
        <w:tc>
          <w:tcPr/>
          <w:p>
            <w:pPr>
              <w:pStyle w:val="Compact"/>
            </w:pPr>
            <m:oMath>
              <m:r>
                <m:rPr>
                  <m:sty m:val="p"/>
                </m:rPr>
                <m:t>+</m:t>
              </m:r>
              <m:r>
                <m:t>0.480</m:t>
              </m:r>
              <m:r>
                <m:rPr>
                  <m:sty m:val="p"/>
                </m:rPr>
                <m:t>±</m:t>
              </m:r>
              <m:r>
                <m:t>0.066</m:t>
              </m:r>
            </m:oMath>
          </w:p>
        </w:tc>
        <w:tc>
          <w:tcPr/>
          <w:p>
            <w:pPr>
              <w:pStyle w:val="Compact"/>
            </w:pPr>
            <m:oMath>
              <m:r>
                <m:rPr>
                  <m:sty m:val="p"/>
                </m:rPr>
                <m:t>+</m:t>
              </m:r>
              <m:r>
                <m:t>0.469</m:t>
              </m:r>
              <m:r>
                <m:rPr>
                  <m:sty m:val="p"/>
                </m:rPr>
                <m:t>±</m:t>
              </m:r>
              <m:r>
                <m:t>0.056</m:t>
              </m:r>
            </m:oMath>
          </w:p>
        </w:tc>
      </w:tr>
      <w:tr>
        <w:tc>
          <w:tcPr/>
          <w:p>
            <w:pPr>
              <w:pStyle w:val="Compact"/>
            </w:pPr>
            <w:r>
              <w:t xml:space="preserve">0.40</w:t>
            </w:r>
          </w:p>
        </w:tc>
        <w:tc>
          <w:tcPr/>
          <w:p>
            <w:pPr>
              <w:pStyle w:val="Compact"/>
            </w:pPr>
            <w:r>
              <w:t xml:space="preserve">0.598</w:t>
            </w:r>
          </w:p>
        </w:tc>
        <w:tc>
          <w:tcPr/>
          <w:p>
            <w:pPr>
              <w:pStyle w:val="Compact"/>
            </w:pPr>
            <m:oMath>
              <m:r>
                <m:rPr>
                  <m:sty m:val="p"/>
                </m:rPr>
                <m:t>+</m:t>
              </m:r>
              <m:r>
                <m:t>0.617</m:t>
              </m:r>
              <m:r>
                <m:rPr>
                  <m:sty m:val="p"/>
                </m:rPr>
                <m:t>±</m:t>
              </m:r>
              <m:r>
                <m:t>0.039</m:t>
              </m:r>
            </m:oMath>
          </w:p>
        </w:tc>
        <w:tc>
          <w:tcPr/>
          <w:p>
            <w:pPr>
              <w:pStyle w:val="Compact"/>
            </w:pPr>
            <m:oMath>
              <m:r>
                <m:rPr>
                  <m:sty m:val="p"/>
                </m:rPr>
                <m:t>+</m:t>
              </m:r>
              <m:r>
                <m:t>0.595</m:t>
              </m:r>
              <m:r>
                <m:rPr>
                  <m:sty m:val="p"/>
                </m:rPr>
                <m:t>±</m:t>
              </m:r>
              <m:r>
                <m:t>0.041</m:t>
              </m:r>
            </m:oMath>
          </w:p>
        </w:tc>
      </w:tr>
      <w:tr>
        <w:tc>
          <w:tcPr/>
          <w:p>
            <w:pPr>
              <w:pStyle w:val="Compact"/>
            </w:pPr>
            <w:r>
              <w:t xml:space="preserve">0.44</w:t>
            </w:r>
          </w:p>
        </w:tc>
        <w:tc>
          <w:tcPr/>
          <w:p>
            <w:pPr>
              <w:pStyle w:val="Compact"/>
            </w:pPr>
            <w:r>
              <w:t xml:space="preserve">0.659</w:t>
            </w:r>
          </w:p>
        </w:tc>
        <w:tc>
          <w:tcPr/>
          <w:p>
            <w:pPr>
              <w:pStyle w:val="Compact"/>
            </w:pPr>
            <m:oMath>
              <m:r>
                <m:rPr>
                  <m:sty m:val="p"/>
                </m:rPr>
                <m:t>+</m:t>
              </m:r>
              <m:r>
                <m:t>0.711</m:t>
              </m:r>
              <m:r>
                <m:rPr>
                  <m:sty m:val="p"/>
                </m:rPr>
                <m:t>±</m:t>
              </m:r>
              <m:r>
                <m:t>0.034</m:t>
              </m:r>
            </m:oMath>
          </w:p>
        </w:tc>
        <w:tc>
          <w:tcPr/>
          <w:p>
            <w:pPr>
              <w:pStyle w:val="Compact"/>
            </w:pPr>
            <m:oMath>
              <m:r>
                <m:rPr>
                  <m:sty m:val="p"/>
                </m:rPr>
                <m:t>+</m:t>
              </m:r>
              <m:r>
                <m:t>0.706</m:t>
              </m:r>
              <m:r>
                <m:rPr>
                  <m:sty m:val="p"/>
                </m:rPr>
                <m:t>±</m:t>
              </m:r>
              <m:r>
                <m:t>0.039</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0.839</m:t>
              </m:r>
              <m:r>
                <m:rPr>
                  <m:sty m:val="p"/>
                </m:rPr>
                <m:t>±</m:t>
              </m:r>
              <m:r>
                <m:t>0.011</m:t>
              </m:r>
            </m:oMath>
          </w:p>
        </w:tc>
        <w:tc>
          <w:tcPr/>
          <w:p>
            <w:pPr>
              <w:pStyle w:val="Compact"/>
            </w:pPr>
            <m:oMath>
              <m:r>
                <m:rPr>
                  <m:sty m:val="p"/>
                </m:rPr>
                <m:t>+</m:t>
              </m:r>
              <m:r>
                <m:t>0.838</m:t>
              </m:r>
              <m:r>
                <m:rPr>
                  <m:sty m:val="p"/>
                </m:rPr>
                <m:t>±</m:t>
              </m:r>
              <m:r>
                <m:t>0.017</m:t>
              </m:r>
            </m:oMath>
          </w:p>
        </w:tc>
      </w:tr>
      <w:tr>
        <w:tc>
          <w:tcPr/>
          <w:p>
            <w:pPr>
              <w:pStyle w:val="Compact"/>
            </w:pPr>
            <w:r>
              <w:t xml:space="preserve">0.55</w:t>
            </w:r>
          </w:p>
        </w:tc>
        <w:tc>
          <w:tcPr/>
          <w:p>
            <w:pPr>
              <w:pStyle w:val="Compact"/>
            </w:pPr>
            <w:r>
              <w:t xml:space="preserve">0.829</w:t>
            </w:r>
          </w:p>
        </w:tc>
        <w:tc>
          <w:tcPr/>
          <w:p>
            <w:pPr>
              <w:pStyle w:val="Compact"/>
            </w:pPr>
            <m:oMath>
              <m:r>
                <m:rPr>
                  <m:sty m:val="p"/>
                </m:rPr>
                <m:t>+</m:t>
              </m:r>
              <m:r>
                <m:t>0.891</m:t>
              </m:r>
              <m:r>
                <m:rPr>
                  <m:sty m:val="p"/>
                </m:rPr>
                <m:t>±</m:t>
              </m:r>
              <m:r>
                <m:t>0.017</m:t>
              </m:r>
            </m:oMath>
          </w:p>
        </w:tc>
        <w:tc>
          <w:tcPr/>
          <w:p>
            <w:pPr>
              <w:pStyle w:val="Compact"/>
            </w:pPr>
            <m:oMath>
              <m:r>
                <m:rPr>
                  <m:sty m:val="p"/>
                </m:rPr>
                <m:t>+</m:t>
              </m:r>
              <m:r>
                <m:t>0.901</m:t>
              </m:r>
              <m:r>
                <m:rPr>
                  <m:sty m:val="p"/>
                </m:rPr>
                <m:t>±</m:t>
              </m:r>
              <m:r>
                <m:t>0.011</m:t>
              </m:r>
            </m:oMath>
          </w:p>
        </w:tc>
      </w:tr>
    </w:tbl>
    <w:p>
      <w:pPr>
        <w:pStyle w:val="BodyText"/>
      </w:pPr>
      <w:r>
        <w:t xml:space="preserve">Crossovers (strategy dominance through zero, located by linear interpolation between bracketing realized-</w:t>
      </w:r>
      <m:oMath>
        <m:sSub>
          <m:e>
            <m:r>
              <m:t>σ</m:t>
            </m:r>
          </m:e>
          <m:sub>
            <m:r>
              <m:t>e</m:t>
            </m:r>
            <m:r>
              <m:t>f</m:t>
            </m:r>
            <m:r>
              <m:t>f</m:t>
            </m:r>
          </m:sub>
        </m:sSub>
      </m:oMath>
      <w:r>
        <w:t xml:space="preserve"> </w:t>
      </w:r>
      <w:r>
        <w:t xml:space="preserve">values):</w:t>
      </w:r>
      <w:r>
        <w:t xml:space="preserve"> </w:t>
      </w:r>
      <w:r>
        <w:rPr>
          <w:b/>
          <w:bCs/>
        </w:rPr>
        <w:t xml:space="preserve">signal-conditional</w:t>
      </w:r>
      <w:r>
        <w:rPr>
          <w:b/>
          <w:bCs/>
        </w:rPr>
        <w:t xml:space="preserve"> </w:t>
      </w:r>
      <m:oMath>
        <m:sSubSup>
          <m:e>
            <m:r>
              <m:t>σ</m:t>
            </m:r>
          </m:e>
          <m:sub>
            <m:r>
              <m:t>e</m:t>
            </m:r>
            <m:r>
              <m:t>f</m:t>
            </m:r>
            <m:r>
              <m:t>f</m:t>
            </m:r>
          </m:sub>
          <m:sup>
            <m:r>
              <m:rPr>
                <m:sty m:val="p"/>
              </m:rPr>
              <m:t>*</m:t>
            </m:r>
          </m:sup>
        </m:sSubSup>
        <m:r>
          <m:rPr>
            <m:sty m:val="p"/>
          </m:rPr>
          <m:t>=</m:t>
        </m:r>
        <m:r>
          <m:t>0.387</m:t>
        </m:r>
      </m:oMath>
      <w:r>
        <w:rPr>
          <w:b/>
          <w:bCs/>
        </w:rPr>
        <w:t xml:space="preserve">, random-partner</w:t>
      </w:r>
      <w:r>
        <w:rPr>
          <w:b/>
          <w:bCs/>
        </w:rPr>
        <w:t xml:space="preserve"> </w:t>
      </w:r>
      <m:oMath>
        <m:sSubSup>
          <m:e>
            <m:r>
              <m:t>σ</m:t>
            </m:r>
          </m:e>
          <m:sub>
            <m:r>
              <m:t>e</m:t>
            </m:r>
            <m:r>
              <m:t>f</m:t>
            </m:r>
            <m:r>
              <m:t>f</m:t>
            </m:r>
          </m:sub>
          <m:sup>
            <m:r>
              <m:rPr>
                <m:sty m:val="p"/>
              </m:rPr>
              <m:t>*</m:t>
            </m:r>
          </m:sup>
        </m:sSubSup>
        <m:r>
          <m:rPr>
            <m:sty m:val="p"/>
          </m:rPr>
          <m:t>=</m:t>
        </m:r>
        <m:r>
          <m:t>0.385</m:t>
        </m:r>
      </m:oMath>
      <w:r>
        <w:rPr>
          <w:b/>
          <w:bCs/>
        </w:rPr>
        <w:t xml:space="preserve">.</w:t>
      </w:r>
      <w:r>
        <w:t xml:space="preserve"> </w:t>
      </w:r>
      <w:r>
        <w:t xml:space="preserve">The threshold shift between configurations is</w:t>
      </w:r>
      <w:r>
        <w:t xml:space="preserve"> </w:t>
      </w:r>
      <m:oMath>
        <m:r>
          <m:rPr>
            <m:sty m:val="p"/>
          </m:rPr>
          <m:t>−</m:t>
        </m:r>
        <m:r>
          <m:t>0.002</m:t>
        </m:r>
      </m:oMath>
      <w:r>
        <w:t xml:space="preserve"> </w:t>
      </w:r>
      <w:r>
        <w:t xml:space="preserve">in realized</w:t>
      </w:r>
      <w:r>
        <w:t xml:space="preserve"> </w:t>
      </w:r>
      <m:oMath>
        <m:sSub>
          <m:e>
            <m:r>
              <m:t>σ</m:t>
            </m:r>
          </m:e>
          <m:sub>
            <m:r>
              <m:t>e</m:t>
            </m:r>
            <m:r>
              <m:t>f</m:t>
            </m:r>
            <m:r>
              <m:t>f</m:t>
            </m:r>
          </m:sub>
        </m:sSub>
      </m:oMath>
      <w:r>
        <w:t xml:space="preserve"> </w:t>
      </w:r>
      <w:r>
        <w:t xml:space="preserve">(a</w:t>
      </w:r>
      <w:r>
        <w:t xml:space="preserve"> </w:t>
      </w:r>
      <m:oMath>
        <m:r>
          <m:rPr>
            <m:sty m:val="p"/>
          </m:rPr>
          <m:t>−</m:t>
        </m:r>
        <m:r>
          <m:t>0.4</m:t>
        </m:r>
        <m:r>
          <m:rPr>
            <m:sty m:val="p"/>
          </m:rPr>
          <m:t>%</m:t>
        </m:r>
      </m:oMath>
      <w:r>
        <w:t xml:space="preserve"> </w:t>
      </w:r>
      <w:r>
        <w:t xml:space="preserve">shift), where the sign convention is random minus signal. The signal-conditional crossover 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0.013. The random-partner arm forms the same expected number of ties per pass (uniform probability equal to the cohort mean of the signal-conditional probabilities) with uniform random pairing, so the comparison isolates weighted partner choice while holding tie counts fixed.</w:t>
      </w:r>
    </w:p>
    <w:p>
      <w:pPr>
        <w:pStyle w:val="BodyText"/>
      </w:pPr>
      <w:r>
        <w:t xml:space="preserve">Point-by-point dominance differences (random minus signal) at each</w:t>
      </w:r>
      <w:r>
        <w:t xml:space="preserve"> </w:t>
      </w:r>
      <m:oMath>
        <m:sSub>
          <m:e>
            <m:r>
              <m:t>σ</m:t>
            </m:r>
          </m:e>
          <m:sub>
            <m:r>
              <m:t>t</m:t>
            </m:r>
            <m:r>
              <m:t>a</m:t>
            </m:r>
            <m:r>
              <m:t>r</m:t>
            </m:r>
            <m:r>
              <m:t>g</m:t>
            </m:r>
            <m:r>
              <m:t>e</m:t>
            </m:r>
            <m:r>
              <m:t>t</m:t>
            </m:r>
          </m:sub>
        </m:sSub>
      </m:oMath>
      <w:r>
        <w:t xml:space="preserve">:</w:t>
      </w:r>
      <w:r>
        <w:t xml:space="preserve"> </w:t>
      </w:r>
      <m:oMath>
        <m:r>
          <m:rPr>
            <m:sty m:val="p"/>
          </m:rPr>
          <m:t>+</m:t>
        </m:r>
        <m:r>
          <m:t>0.002</m:t>
        </m:r>
        <m:r>
          <m:rPr>
            <m:sty m:val="p"/>
          </m:rPr>
          <m:t>,</m:t>
        </m:r>
        <m:r>
          <m:rPr>
            <m:sty m:val="p"/>
          </m:rPr>
          <m:t>+</m:t>
        </m:r>
        <m:r>
          <m:t>0.007</m:t>
        </m:r>
        <m:r>
          <m:rPr>
            <m:sty m:val="p"/>
          </m:rPr>
          <m:t>,</m:t>
        </m:r>
        <m:r>
          <m:rPr>
            <m:sty m:val="p"/>
          </m:rPr>
          <m:t>−</m:t>
        </m:r>
        <m:r>
          <m:t>0.011</m:t>
        </m:r>
        <m:r>
          <m:rPr>
            <m:sty m:val="p"/>
          </m:rPr>
          <m:t>,</m:t>
        </m:r>
        <m:r>
          <m:rPr>
            <m:sty m:val="p"/>
          </m:rPr>
          <m:t>−</m:t>
        </m:r>
        <m:r>
          <m:t>0.022</m:t>
        </m:r>
        <m:r>
          <m:rPr>
            <m:sty m:val="p"/>
          </m:rPr>
          <m:t>,</m:t>
        </m:r>
        <m:r>
          <m:rPr>
            <m:sty m:val="p"/>
          </m:rPr>
          <m:t>−</m:t>
        </m:r>
        <m:r>
          <m:t>0.005</m:t>
        </m:r>
        <m:r>
          <m:rPr>
            <m:sty m:val="p"/>
          </m:rPr>
          <m:t>,</m:t>
        </m:r>
        <m:r>
          <m:rPr>
            <m:sty m:val="p"/>
          </m:rPr>
          <m:t>−</m:t>
        </m:r>
        <m:r>
          <m:t>0.001</m:t>
        </m:r>
        <m:r>
          <m:rPr>
            <m:sty m:val="p"/>
          </m:rPr>
          <m:t>,</m:t>
        </m:r>
        <m:r>
          <m:rPr>
            <m:sty m:val="p"/>
          </m:rPr>
          <m:t>+</m:t>
        </m:r>
        <m:r>
          <m:t>0.010</m:t>
        </m:r>
      </m:oMath>
      <w:r>
        <w:t xml:space="preserve">. The differences alternate in sign across the transition zone and are within one replicate SD of zero at every cell. Both versions converge within 0.010 of each other at saturation.</w:t>
      </w:r>
    </w:p>
    <w:p>
      <w:pPr>
        <w:pStyle w:val="BodyText"/>
      </w:pPr>
      <w:r>
        <w:drawing>
          <wp:inline>
            <wp:extent cx="5943600" cy="4941065"/>
            <wp:effectExtent b="0" l="0" r="0" t="0"/>
            <wp:docPr descr="" title="" id="61" name="Picture"/>
            <a:graphic>
              <a:graphicData uri="http://schemas.openxmlformats.org/drawingml/2006/picture">
                <pic:pic>
                  <pic:nvPicPr>
                    <pic:cNvPr descr="../../figures/supplemental/figure_S08_ablation_n20.png" id="62" name="Picture"/>
                    <pic:cNvPicPr>
                      <a:picLocks noChangeArrowheads="1" noChangeAspect="1"/>
                    </pic:cNvPicPr>
                  </pic:nvPicPr>
                  <pic:blipFill>
                    <a:blip r:embed="rId60"/>
                    <a:stretch>
                      <a:fillRect/>
                    </a:stretch>
                  </pic:blipFill>
                  <pic:spPr bwMode="auto">
                    <a:xfrm>
                      <a:off x="0" y="0"/>
                      <a:ext cx="5943600" cy="4941065"/>
                    </a:xfrm>
                    <a:prstGeom prst="rect">
                      <a:avLst/>
                    </a:prstGeom>
                    <a:noFill/>
                    <a:ln w="9525">
                      <a:noFill/>
                      <a:headEnd/>
                      <a:tailEnd/>
                    </a:ln>
                  </pic:spPr>
                </pic:pic>
              </a:graphicData>
            </a:graphic>
          </wp:inline>
        </w:drawing>
      </w:r>
    </w:p>
    <w:p>
      <w:pPr>
        <w:pStyle w:val="BodyText"/>
      </w:pPr>
      <w:r>
        <w:rPr>
          <w:b/>
          <w:bCs/>
          <w:i/>
          <w:iCs/>
        </w:rPr>
        <w:t xml:space="preserve">Figure S8. Signal-conditional vs random-partner ablation, n=20 per cell.</w:t>
      </w:r>
      <w:r>
        <w:t xml:space="preserve"> </w:t>
      </w:r>
      <w:r>
        <w:rPr>
          <w:i/>
          <w:iCs/>
        </w:rPr>
        <w:t xml:space="preserve">Visualization of the §S7.1 table data (</w:t>
      </w:r>
      <w:r>
        <w:rPr>
          <w:rStyle w:val="VerbatimChar"/>
          <w:i/>
          <w:iCs/>
        </w:rPr>
        <w:t xml:space="preserve">results/ablation/ablation_sweep_engine2.json</w:t>
      </w:r>
      <w:r>
        <w:rPr>
          <w:i/>
          <w:iCs/>
        </w:rPr>
        <w:t xml:space="preserve">). (A) Strategy dominance vs realized</w:t>
      </w:r>
      <w:r>
        <w:t xml:space="preserve"> </w:t>
      </w:r>
      <m:oMath>
        <m:sSub>
          <m:e>
            <m:r>
              <m:t>σ</m:t>
            </m:r>
          </m:e>
          <m:sub>
            <m:r>
              <m:t>e</m:t>
            </m:r>
            <m:r>
              <m:t>f</m:t>
            </m:r>
            <m:r>
              <m:t>f</m:t>
            </m:r>
          </m:sub>
        </m:sSub>
      </m:oMath>
      <w:r>
        <w:t xml:space="preserve"> </w:t>
      </w:r>
      <w:r>
        <w:rPr>
          <w:i/>
          <w:iCs/>
        </w:rPr>
        <w:t xml:space="preserve">for both modes with</w:t>
      </w:r>
      <w:r>
        <w:t xml:space="preserve"> </w:t>
      </w:r>
      <m:oMath>
        <m:r>
          <m:rPr>
            <m:sty m:val="p"/>
          </m:rPr>
          <m:t>±</m:t>
        </m:r>
        <m:r>
          <m:t>1</m:t>
        </m:r>
      </m:oMath>
      <w:r>
        <w:t xml:space="preserve"> </w:t>
      </w:r>
      <w:r>
        <w:rPr>
          <w:i/>
          <w:iCs/>
        </w:rPr>
        <w:t xml:space="preserve">SD envelopes. The analytical threshold</w:t>
      </w:r>
      <w:r>
        <w:t xml:space="preserve"> </w:t>
      </w:r>
      <m:oMath>
        <m:sSup>
          <m:e>
            <m:r>
              <m:t>σ</m:t>
            </m:r>
          </m:e>
          <m:sup>
            <m:r>
              <m:rPr>
                <m:sty m:val="p"/>
              </m:rPr>
              <m:t>*</m:t>
            </m:r>
          </m:sup>
        </m:sSup>
        <m:r>
          <m:rPr>
            <m:sty m:val="p"/>
          </m:rPr>
          <m:t>=</m:t>
        </m:r>
        <m:r>
          <m:t>0.40</m:t>
        </m:r>
      </m:oMath>
      <w:r>
        <w:t xml:space="preserve"> </w:t>
      </w:r>
      <w:r>
        <w:rPr>
          <w:i/>
          <w:iCs/>
        </w:rPr>
        <w:t xml:space="preserve">is the red dotted vertical line. The two S-curves are nearly indistinguishable on this scale. (B) Realized</w:t>
      </w:r>
      <w:r>
        <w:t xml:space="preserve"> </w:t>
      </w:r>
      <m:oMath>
        <m:sSub>
          <m:e>
            <m:r>
              <m:t>σ</m:t>
            </m:r>
          </m:e>
          <m:sub>
            <m:r>
              <m:t>e</m:t>
            </m:r>
            <m:r>
              <m:t>f</m:t>
            </m:r>
            <m:r>
              <m:t>f</m:t>
            </m:r>
          </m:sub>
        </m:sSub>
      </m:oMath>
      <w:r>
        <w:t xml:space="preserve"> </w:t>
      </w:r>
      <w:r>
        <w:rPr>
          <w:i/>
          <w:iCs/>
        </w:rPr>
        <w:t xml:space="preserve">vs target</w:t>
      </w:r>
      <w:r>
        <w:t xml:space="preserve"> </w:t>
      </w:r>
      <m:oMath>
        <m:sSub>
          <m:e>
            <m:r>
              <m:t>σ</m:t>
            </m:r>
          </m:e>
          <m:sub>
            <m:r>
              <m:t>e</m:t>
            </m:r>
            <m:r>
              <m:t>f</m:t>
            </m:r>
            <m:r>
              <m:t>f</m:t>
            </m:r>
          </m:sub>
        </m:sSub>
      </m:oMath>
      <w:r>
        <w:rPr>
          <w:i/>
          <w:iCs/>
        </w:rPr>
        <w:t xml:space="preserve">, documenting the realized-vs-target adjustment described above.</w:t>
      </w:r>
    </w:p>
    <w:p>
      <w:pPr>
        <w:pStyle w:val="BodyText"/>
      </w:pPr>
      <w:r>
        <w:t xml:space="preserve">Full per-replicate output is archived in</w:t>
      </w:r>
      <w:r>
        <w:t xml:space="preserve"> </w:t>
      </w:r>
      <w:r>
        <w:rPr>
          <w:rStyle w:val="VerbatimChar"/>
        </w:rPr>
        <w:t xml:space="preserve">results/ablation/ablation_sweep_engine2.json</w:t>
      </w:r>
      <w:r>
        <w:t xml:space="preserve">. Earlier sweeps against the pre-revision engine (</w:t>
      </w:r>
      <w:r>
        <w:rPr>
          <w:rStyle w:val="VerbatimChar"/>
        </w:rPr>
        <w:t xml:space="preserve">overnight_sweep.json</w:t>
      </w:r>
      <w:r>
        <w:t xml:space="preserve">,</w:t>
      </w:r>
      <w:r>
        <w:t xml:space="preserve"> </w:t>
      </w:r>
      <w:r>
        <w:rPr>
          <w:rStyle w:val="VerbatimChar"/>
        </w:rPr>
        <w:t xml:space="preserve">phase_transition_summary.json</w:t>
      </w:r>
      <w:r>
        <w:t xml:space="preserve">) are retained in git history for provenance but do not correspond to the current engine.</w:t>
      </w:r>
    </w:p>
    <w:bookmarkEnd w:id="63"/>
    <w:bookmarkStart w:id="64" w:name="s7.2-calibration-scenarios"/>
    <w:p>
      <w:pPr>
        <w:pStyle w:val="Heading3"/>
      </w:pPr>
      <w:r>
        <w:t xml:space="preserve">S7.2 Calibration scenarios</w:t>
      </w:r>
    </w:p>
    <w:p>
      <w:pPr>
        <w:pStyle w:val="FirstParagraph"/>
      </w:pPr>
      <w:r>
        <w:t xml:space="preserve">Four parametric scenarios were run with eight replicates each over 200 simulated years (the canonical calibration configuration; see §S1.6 above for the submodel specification). Summary statistics (mean ± sample SD across replicates), reproducible from</w:t>
      </w:r>
      <w:r>
        <w:t xml:space="preserve"> </w:t>
      </w:r>
      <w:r>
        <w:rPr>
          <w:rStyle w:val="VerbatimChar"/>
        </w:rPr>
        <w:t xml:space="preserve">results/calibration_replicates/replicates_n8_d200.json</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Nominal</w:t>
            </w:r>
            <w:r>
              <w:t xml:space="preserve"> </w:t>
            </w:r>
            <m:oMath>
              <m:r>
                <m:t>σ</m:t>
              </m:r>
            </m:oMath>
          </w:p>
        </w:tc>
        <w:tc>
          <w:tcPr/>
          <w:p>
            <w:pPr>
              <w:pStyle w:val="Compact"/>
            </w:pPr>
            <w:r>
              <w:t xml:space="preserve">Realized</w:t>
            </w:r>
            <w:r>
              <w:t xml:space="preserve"> </w:t>
            </w:r>
            <m:oMath>
              <m:r>
                <m:t>σ</m:t>
              </m:r>
            </m:oMath>
            <w:r>
              <w:t xml:space="preserve"> </w:t>
            </w:r>
            <w:r>
              <w:t xml:space="preserve">(mean)</w:t>
            </w:r>
          </w:p>
        </w:tc>
        <w:tc>
          <w:tcPr/>
          <w:p>
            <w:pPr>
              <w:pStyle w:val="Compact"/>
            </w:pPr>
            <w:r>
              <w:t xml:space="preserve">Mean aggregation size (bands; population grows to ~130-190 bands under fission)</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0.29</w:t>
            </w:r>
          </w:p>
        </w:tc>
        <w:tc>
          <w:tcPr/>
          <w:p>
            <w:pPr>
              <w:pStyle w:val="Compact"/>
            </w:pPr>
            <w:r>
              <w:t xml:space="preserve">54-125 (near-threshold mixed)</w:t>
            </w:r>
          </w:p>
        </w:tc>
        <w:tc>
          <w:tcPr/>
          <w:p>
            <w:pPr>
              <w:pStyle w:val="Compact"/>
            </w:pPr>
            <w:r>
              <w:t xml:space="preserve">3,402 ± 1,906</w:t>
            </w:r>
          </w:p>
        </w:tc>
        <w:tc>
          <w:tcPr/>
          <w:p>
            <w:pPr>
              <w:pStyle w:val="Compact"/>
            </w:pPr>
            <w:r>
              <w:t xml:space="preserve">6,938 ± 1,749</w:t>
            </w:r>
          </w:p>
        </w:tc>
      </w:tr>
      <w:tr>
        <w:tc>
          <w:tcPr/>
          <w:p>
            <w:pPr>
              <w:pStyle w:val="Compact"/>
            </w:pPr>
            <w:r>
              <w:t xml:space="preserve">Calibrated PP</w:t>
            </w:r>
          </w:p>
        </w:tc>
        <w:tc>
          <w:tcPr/>
          <w:p>
            <w:pPr>
              <w:pStyle w:val="Compact"/>
            </w:pPr>
            <w:r>
              <w:t xml:space="preserve">0.64</w:t>
            </w:r>
          </w:p>
        </w:tc>
        <w:tc>
          <w:tcPr/>
          <w:p>
            <w:pPr>
              <w:pStyle w:val="Compact"/>
            </w:pPr>
            <w:r>
              <w:t xml:space="preserve">0.62</w:t>
            </w:r>
          </w:p>
        </w:tc>
        <w:tc>
          <w:tcPr/>
          <w:p>
            <w:pPr>
              <w:pStyle w:val="Compact"/>
            </w:pPr>
            <w:r>
              <w:t xml:space="preserve">77-188 (aggregator-dominant)</w:t>
            </w:r>
          </w:p>
        </w:tc>
        <w:tc>
          <w:tcPr/>
          <w:p>
            <w:pPr>
              <w:pStyle w:val="Compact"/>
            </w:pPr>
            <w:r>
              <w:t xml:space="preserve">7,203 ± 3,276</w:t>
            </w:r>
          </w:p>
        </w:tc>
        <w:tc>
          <w:tcPr/>
          <w:p>
            <w:pPr>
              <w:pStyle w:val="Compact"/>
            </w:pPr>
            <w:r>
              <w:t xml:space="preserve">10,883 ± 3,131</w:t>
            </w:r>
          </w:p>
        </w:tc>
      </w:tr>
      <w:tr>
        <w:tc>
          <w:tcPr/>
          <w:p>
            <w:pPr>
              <w:pStyle w:val="Compact"/>
            </w:pPr>
            <w:r>
              <w:t xml:space="preserve">Critical Threshold</w:t>
            </w:r>
          </w:p>
        </w:tc>
        <w:tc>
          <w:tcPr/>
          <w:p>
            <w:pPr>
              <w:pStyle w:val="Compact"/>
            </w:pPr>
            <w:r>
              <w:t xml:space="preserve">0.57</w:t>
            </w:r>
          </w:p>
        </w:tc>
        <w:tc>
          <w:tcPr/>
          <w:p>
            <w:pPr>
              <w:pStyle w:val="Compact"/>
            </w:pPr>
            <w:r>
              <w:t xml:space="preserve">0.55</w:t>
            </w:r>
          </w:p>
        </w:tc>
        <w:tc>
          <w:tcPr/>
          <w:p>
            <w:pPr>
              <w:pStyle w:val="Compact"/>
            </w:pPr>
            <w:r>
              <w:t xml:space="preserve">73-180</w:t>
            </w:r>
          </w:p>
        </w:tc>
        <w:tc>
          <w:tcPr/>
          <w:p>
            <w:pPr>
              <w:pStyle w:val="Compact"/>
            </w:pPr>
            <w:r>
              <w:t xml:space="preserve">6,350 ± 2,777</w:t>
            </w:r>
          </w:p>
        </w:tc>
        <w:tc>
          <w:tcPr/>
          <w:p>
            <w:pPr>
              <w:pStyle w:val="Compact"/>
            </w:pPr>
            <w:r>
              <w:t xml:space="preserve">10,091 ± 3,438</w:t>
            </w:r>
          </w:p>
        </w:tc>
      </w:tr>
      <w:tr>
        <w:tc>
          <w:tcPr/>
          <w:p>
            <w:pPr>
              <w:pStyle w:val="Compact"/>
            </w:pPr>
            <w:r>
              <w:t xml:space="preserve">High Uncertainty</w:t>
            </w:r>
          </w:p>
        </w:tc>
        <w:tc>
          <w:tcPr/>
          <w:p>
            <w:pPr>
              <w:pStyle w:val="Compact"/>
            </w:pPr>
            <w:r>
              <w:t xml:space="preserve">1.00 (clipped to 0.95)</w:t>
            </w:r>
          </w:p>
        </w:tc>
        <w:tc>
          <w:tcPr/>
          <w:p>
            <w:pPr>
              <w:pStyle w:val="Compact"/>
            </w:pPr>
            <w:r>
              <w:t xml:space="preserve">0.95</w:t>
            </w:r>
          </w:p>
        </w:tc>
        <w:tc>
          <w:tcPr/>
          <w:p>
            <w:pPr>
              <w:pStyle w:val="Compact"/>
            </w:pPr>
            <w:r>
              <w:t xml:space="preserve">39-118 (demographically stressed)</w:t>
            </w:r>
          </w:p>
        </w:tc>
        <w:tc>
          <w:tcPr/>
          <w:p>
            <w:pPr>
              <w:pStyle w:val="Compact"/>
            </w:pPr>
            <w:r>
              <w:t xml:space="preserve">6,440 ± 2,268</w:t>
            </w:r>
          </w:p>
        </w:tc>
        <w:tc>
          <w:tcPr/>
          <w:p>
            <w:pPr>
              <w:pStyle w:val="Compact"/>
            </w:pPr>
            <w:r>
              <w:t xml:space="preserve">4,609 ± 2,336</w:t>
            </w:r>
          </w:p>
        </w:tc>
      </w:tr>
    </w:tbl>
    <w:p>
      <w:pPr>
        <w:pStyle w:val="BodyText"/>
      </w:pPr>
      <w: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t xml:space="preserve">, equivalent to</w:t>
      </w:r>
      <w:r>
        <w:t xml:space="preserve"> </w:t>
      </w:r>
      <w:r>
        <w:rPr>
          <w:rStyle w:val="VerbatimChar"/>
        </w:rPr>
        <w:t xml:space="preserve">numpy.std(..., ddof=1)</w:t>
      </w:r>
      <w:r>
        <w:t xml:space="preserve"> </w:t>
      </w:r>
      <w:r>
        <w:t xml:space="preserve">and</w:t>
      </w:r>
      <w:r>
        <w:t xml:space="preserve"> </w:t>
      </w:r>
      <w:r>
        <w:rPr>
          <w:rStyle w:val="VerbatimChar"/>
        </w:rPr>
        <w:t xml:space="preserve">pandas.Series.std()</w:t>
      </w:r>
      <w:r>
        <w:t xml:space="preserve">).</w:t>
      </w:r>
    </w:p>
    <w:p>
      <w:pPr>
        <w:pStyle w:val="BodyText"/>
      </w:pPr>
      <w: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64"/>
    <w:bookmarkStart w:id="65" w:name="s7.3-phase-space-structure"/>
    <w:p>
      <w:pPr>
        <w:pStyle w:val="Heading3"/>
      </w:pPr>
      <w:r>
        <w:t xml:space="preserve">S7.3 Phase space structure</w:t>
      </w:r>
    </w:p>
    <w:p>
      <w:pPr>
        <w:pStyle w:val="FirstParagraph"/>
      </w:pPr>
      <w:r>
        <w:t xml:space="preserve">The two-dimensional phase-space diagram across the joint</w:t>
      </w:r>
      <w:r>
        <w:t xml:space="preserve"> </w:t>
      </w:r>
      <m:oMath>
        <m:r>
          <m:rPr>
            <m:sty m:val="p"/>
          </m:rPr>
          <m:t>(</m:t>
        </m:r>
        <m:r>
          <m:t>σ</m:t>
        </m:r>
        <m:r>
          <m:rPr>
            <m:sty m:val="p"/>
          </m:rPr>
          <m:t>,</m:t>
        </m:r>
        <m:r>
          <m:t>ε</m:t>
        </m:r>
        <m:r>
          <m:rPr>
            <m:sty m:val="p"/>
          </m:rPr>
          <m:t>)</m:t>
        </m:r>
      </m:oMath>
      <w:r>
        <w:t xml:space="preserve"> </w:t>
      </w:r>
      <w:r>
        <w:t xml:space="preserve">plane is presented as main-text Figure 9 (§4.2).</w:t>
      </w:r>
    </w:p>
    <w:bookmarkEnd w:id="65"/>
    <w:bookmarkStart w:id="72" w:name="s7.4-aggregation-size-and-signaling-cost"/>
    <w:p>
      <w:pPr>
        <w:pStyle w:val="Heading3"/>
      </w:pPr>
      <w:r>
        <w:t xml:space="preserve">S7.4 Aggregation size and signaling cost</w:t>
      </w:r>
    </w:p>
    <w:p>
      <w:pPr>
        <w:pStyle w:val="FirstParagraph"/>
      </w:pPr>
      <w:r>
        <w:drawing>
          <wp:inline>
            <wp:extent cx="5943600" cy="2519755"/>
            <wp:effectExtent b="0" l="0" r="0" t="0"/>
            <wp:docPr descr="" title="" id="67" name="Picture"/>
            <a:graphic>
              <a:graphicData uri="http://schemas.openxmlformats.org/drawingml/2006/picture">
                <pic:pic>
                  <pic:nvPicPr>
                    <pic:cNvPr descr="../../figures/supplemental/figure_S09_sigma_vs_aggregation.png" id="68" name="Picture"/>
                    <pic:cNvPicPr>
                      <a:picLocks noChangeArrowheads="1" noChangeAspect="1"/>
                    </pic:cNvPicPr>
                  </pic:nvPicPr>
                  <pic:blipFill>
                    <a:blip r:embed="rId66"/>
                    <a:stretch>
                      <a:fillRect/>
                    </a:stretch>
                  </pic:blipFill>
                  <pic:spPr bwMode="auto">
                    <a:xfrm>
                      <a:off x="0" y="0"/>
                      <a:ext cx="5943600" cy="2519755"/>
                    </a:xfrm>
                    <a:prstGeom prst="rect">
                      <a:avLst/>
                    </a:prstGeom>
                    <a:noFill/>
                    <a:ln w="9525">
                      <a:noFill/>
                      <a:headEnd/>
                      <a:tailEnd/>
                    </a:ln>
                  </pic:spPr>
                </pic:pic>
              </a:graphicData>
            </a:graphic>
          </wp:inline>
        </w:drawing>
      </w:r>
    </w:p>
    <w:p>
      <w:pPr>
        <w:pStyle w:val="BodyText"/>
      </w:pPr>
      <w:r>
        <w:rPr>
          <w:b/>
          <w:bCs/>
          <w:i/>
          <w:iCs/>
        </w:rPr>
        <w:t xml:space="preserve">Figure S9. Effect of aggregation size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attended aggregation size</w:t>
      </w:r>
      <w:r>
        <w:rPr>
          <w:i/>
          <w:iCs/>
        </w:rPr>
        <w:t xml:space="preserve"> </w:t>
      </w:r>
      <m:oMath>
        <m:sSub>
          <m:e>
            <m:r>
              <m:t>n</m:t>
            </m:r>
          </m:e>
          <m:sub>
            <m:r>
              <m:t>a</m:t>
            </m:r>
            <m:r>
              <m:t>g</m:t>
            </m:r>
            <m:r>
              <m:t>g</m:t>
            </m:r>
          </m:sub>
        </m:sSub>
      </m:oMath>
      <w:r>
        <w:rPr>
          <w:i/>
          <w:iCs/>
        </w:rPr>
        <w:t xml:space="preserve"> </w:t>
      </w:r>
      <w:r>
        <w:rPr>
          <w:i/>
          <w:iCs/>
        </w:rPr>
        <w:t xml:space="preserve">at PP-scenario parameters (</w:t>
      </w:r>
      <m:oMath>
        <m:r>
          <m:t>ε</m:t>
        </m:r>
        <m:r>
          <m:rPr>
            <m:sty m:val="p"/>
          </m:rPr>
          <m:t>=</m:t>
        </m:r>
        <m:r>
          <m:t>0.35</m:t>
        </m:r>
      </m:oMath>
      <w:r>
        <w:rPr>
          <w:i/>
          <w:iCs/>
        </w:rPr>
        <w:t xml:space="preserve">, default cost and signaling parameters; full set in Table S2). Solid line,</w:t>
      </w:r>
      <w:r>
        <w:rPr>
          <w:i/>
          <w:iCs/>
        </w:rPr>
        <w:t xml:space="preserve"> </w:t>
      </w:r>
      <m:oMath>
        <m:sSup>
          <m:e>
            <m:r>
              <m:t>σ</m:t>
            </m:r>
          </m:e>
          <m:sup>
            <m:r>
              <m:rPr>
                <m:sty m:val="p"/>
              </m:rPr>
              <m:t>*</m:t>
            </m:r>
          </m:sup>
        </m:sSup>
      </m:oMath>
      <w:r>
        <w:rPr>
          <w:i/>
          <w:iCs/>
        </w:rPr>
        <w:t xml:space="preserve"> </w:t>
      </w:r>
      <w:r>
        <w:rPr>
          <w:i/>
          <w:iCs/>
        </w:rPr>
        <w:t xml:space="preserve">from Brent’s-method root-finding on the</w:t>
      </w:r>
      <w:r>
        <w:rPr>
          <w:i/>
          <w:iCs/>
        </w:rPr>
        <w:t xml:space="preserve"> </w:t>
      </w:r>
      <m:oMath>
        <m:sSub>
          <m:e>
            <m:r>
              <m:t>W</m:t>
            </m:r>
          </m:e>
          <m:sub>
            <m:r>
              <m:t>a</m:t>
            </m:r>
            <m:r>
              <m:t>g</m:t>
            </m:r>
            <m:r>
              <m:t>g</m:t>
            </m:r>
          </m:sub>
        </m:sSub>
        <m:r>
          <m:rPr>
            <m:sty m:val="p"/>
          </m:rPr>
          <m:t>−</m:t>
        </m:r>
        <m:sSub>
          <m:e>
            <m:r>
              <m:t>W</m:t>
            </m:r>
          </m:e>
          <m:sub>
            <m:r>
              <m:t>i</m:t>
            </m:r>
            <m:r>
              <m:t>n</m:t>
            </m:r>
            <m:r>
              <m:t>d</m:t>
            </m:r>
          </m:sub>
        </m:sSub>
      </m:oMath>
      <w:r>
        <w:rPr>
          <w:i/>
          <w:iCs/>
        </w:rPr>
        <w:t xml:space="preserve"> </w:t>
      </w:r>
      <w:r>
        <w:rPr>
          <w:i/>
          <w:iCs/>
        </w:rPr>
        <w:t xml:space="preserve">difference at the lambda-sigma fixed-point equilibrium. Vertical dashed line marks the default</w:t>
      </w:r>
      <w:r>
        <w:rPr>
          <w:i/>
          <w:iCs/>
        </w:rPr>
        <w:t xml:space="preserve"> </w:t>
      </w:r>
      <m:oMath>
        <m:sSub>
          <m:e>
            <m:r>
              <m:t>n</m:t>
            </m:r>
          </m:e>
          <m:sub>
            <m:r>
              <m:t>a</m:t>
            </m:r>
            <m:r>
              <m:t>g</m:t>
            </m:r>
            <m:r>
              <m:t>g</m:t>
            </m:r>
          </m:sub>
        </m:sSub>
        <m:r>
          <m:rPr>
            <m:sty m:val="p"/>
          </m:rPr>
          <m:t>=</m:t>
        </m:r>
        <m:r>
          <m:t>25</m:t>
        </m:r>
      </m:oMath>
      <w:r>
        <w:rPr>
          <w:i/>
          <w:iCs/>
        </w:rPr>
        <w:t xml:space="preserve"> </w:t>
      </w:r>
      <w:r>
        <w:rPr>
          <w:i/>
          <w:iCs/>
        </w:rPr>
        <w:t xml:space="preserve">used throughout the manuscript. Across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w:t>
      </w:r>
      <w:r>
        <w:rPr>
          <w:i/>
          <w:iCs/>
        </w:rPr>
        <w:t xml:space="preserve"> </w:t>
      </w:r>
      <m:oMath>
        <m:sSup>
          <m:e>
            <m:r>
              <m:t>σ</m:t>
            </m:r>
          </m:e>
          <m:sup>
            <m:r>
              <m:rPr>
                <m:sty m:val="p"/>
              </m:rPr>
              <m:t>*</m:t>
            </m:r>
          </m:sup>
        </m:sSup>
      </m:oMath>
      <w:r>
        <w:rPr>
          <w:i/>
          <w:iCs/>
        </w:rPr>
        <w:t xml:space="preserve"> </w:t>
      </w:r>
      <w:r>
        <w:rPr>
          <w:i/>
          <w:iCs/>
        </w:rPr>
        <w:t xml:space="preserve">varies by less than 0.02. At very small aggregation sizes (</w:t>
      </w:r>
      <m:oMath>
        <m:sSub>
          <m:e>
            <m:r>
              <m:t>n</m:t>
            </m:r>
          </m:e>
          <m:sub>
            <m:r>
              <m:t>a</m:t>
            </m:r>
            <m:r>
              <m:t>g</m:t>
            </m:r>
            <m:r>
              <m:t>g</m:t>
            </m:r>
          </m:sub>
        </m:sSub>
        <m:r>
          <m:rPr>
            <m:sty m:val="p"/>
          </m:rPr>
          <m:t>≤</m:t>
        </m:r>
        <m:r>
          <m:t>3</m:t>
        </m:r>
      </m:oMath>
      <w:r>
        <w:rPr>
          <w:i/>
          <w:iCs/>
        </w:rPr>
        <w:t xml:space="preserve">) the threshold rises sharply because cooperation-network buffering loses effectiveness when too few partners participate. The framework’s</w:t>
      </w:r>
      <w:r>
        <w:rPr>
          <w:i/>
          <w:iCs/>
        </w:rPr>
        <w:t xml:space="preserve"> </w:t>
      </w:r>
      <m:oMath>
        <m:sSup>
          <m:e>
            <m:r>
              <m:t>σ</m:t>
            </m:r>
          </m:e>
          <m:sup>
            <m:r>
              <m:rPr>
                <m:sty m:val="p"/>
              </m:rPr>
              <m:t>*</m:t>
            </m:r>
          </m:sup>
        </m:sSup>
      </m:oMath>
      <w:r>
        <w:rPr>
          <w:i/>
          <w:iCs/>
        </w:rPr>
        <w:t xml:space="preserve"> </w:t>
      </w:r>
      <w:r>
        <w:rPr>
          <w:i/>
          <w:iCs/>
        </w:rPr>
        <w:t xml:space="preserve">is therefore effectively insensitive to</w:t>
      </w:r>
      <w:r>
        <w:rPr>
          <w:i/>
          <w:iCs/>
        </w:rPr>
        <w:t xml:space="preserve"> </w:t>
      </w:r>
      <m:oMath>
        <m:sSub>
          <m:e>
            <m:r>
              <m:t>n</m:t>
            </m:r>
          </m:e>
          <m:sub>
            <m:r>
              <m:t>a</m:t>
            </m:r>
            <m:r>
              <m:t>g</m:t>
            </m:r>
            <m:r>
              <m:t>g</m:t>
            </m:r>
          </m:sub>
        </m:sSub>
      </m:oMath>
      <w:r>
        <w:rPr>
          <w:i/>
          <w:iCs/>
        </w:rPr>
        <w:t xml:space="preserve"> </w:t>
      </w:r>
      <w:r>
        <w:rPr>
          <w:i/>
          <w:iCs/>
        </w:rPr>
        <w:t xml:space="preserve">over the range relevant to the LMV record.</w:t>
      </w:r>
    </w:p>
    <w:p>
      <w:pPr>
        <w:pStyle w:val="BodyText"/>
      </w:pPr>
      <w:r>
        <w:drawing>
          <wp:inline>
            <wp:extent cx="5943600" cy="2521181"/>
            <wp:effectExtent b="0" l="0" r="0" t="0"/>
            <wp:docPr descr="" title="" id="70" name="Picture"/>
            <a:graphic>
              <a:graphicData uri="http://schemas.openxmlformats.org/drawingml/2006/picture">
                <pic:pic>
                  <pic:nvPicPr>
                    <pic:cNvPr descr="../../figures/supplemental/figure_S10_sigma_vs_cost.png" id="71" name="Picture"/>
                    <pic:cNvPicPr>
                      <a:picLocks noChangeArrowheads="1" noChangeAspect="1"/>
                    </pic:cNvPicPr>
                  </pic:nvPicPr>
                  <pic:blipFill>
                    <a:blip r:embed="rId69"/>
                    <a:stretch>
                      <a:fillRect/>
                    </a:stretch>
                  </pic:blipFill>
                  <pic:spPr bwMode="auto">
                    <a:xfrm>
                      <a:off x="0" y="0"/>
                      <a:ext cx="5943600" cy="2521181"/>
                    </a:xfrm>
                    <a:prstGeom prst="rect">
                      <a:avLst/>
                    </a:prstGeom>
                    <a:noFill/>
                    <a:ln w="9525">
                      <a:noFill/>
                      <a:headEnd/>
                      <a:tailEnd/>
                    </a:ln>
                  </pic:spPr>
                </pic:pic>
              </a:graphicData>
            </a:graphic>
          </wp:inline>
        </w:drawing>
      </w:r>
    </w:p>
    <w:p>
      <w:pPr>
        <w:pStyle w:val="BodyText"/>
      </w:pPr>
      <w:r>
        <w:rPr>
          <w:b/>
          <w:bCs/>
          <w:i/>
          <w:iCs/>
        </w:rPr>
        <w:t xml:space="preserve">Figure S10. Effect of signaling cost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the aggregation-cost parameter</w:t>
      </w:r>
      <w:r>
        <w:rPr>
          <w:i/>
          <w:iCs/>
        </w:rPr>
        <w:t xml:space="preserve"> </w:t>
      </w:r>
      <m:oMath>
        <m:sSub>
          <m:e>
            <m:r>
              <m:t>C</m:t>
            </m:r>
          </m:e>
          <m:sub>
            <m:r>
              <m:t>s</m:t>
            </m:r>
            <m:r>
              <m:t>i</m:t>
            </m:r>
            <m:r>
              <m:t>g</m:t>
            </m:r>
            <m:r>
              <m:t>n</m:t>
            </m:r>
            <m:r>
              <m:t>a</m:t>
            </m:r>
            <m:r>
              <m:t>l</m:t>
            </m:r>
          </m:sub>
        </m:sSub>
      </m:oMath>
      <w:r>
        <w:rPr>
          <w:i/>
          <w:iCs/>
        </w:rPr>
        <w:t xml:space="preserve"> </w:t>
      </w:r>
      <w:r>
        <w:rPr>
          <w:i/>
          <w:iCs/>
        </w:rPr>
        <w:t xml:space="preserve">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default network and signaling parameters). Solid line,</w:t>
      </w:r>
      <w:r>
        <w:rPr>
          <w:i/>
          <w:iCs/>
        </w:rPr>
        <w:t xml:space="preserve"> </w:t>
      </w:r>
      <m:oMath>
        <m:sSup>
          <m:e>
            <m:r>
              <m:t>σ</m:t>
            </m:r>
          </m:e>
          <m:sup>
            <m:r>
              <m:rPr>
                <m:sty m:val="p"/>
              </m:rPr>
              <m:t>*</m:t>
            </m:r>
          </m:sup>
        </m:sSup>
      </m:oMath>
      <w:r>
        <w:rPr>
          <w:i/>
          <w:iCs/>
        </w:rPr>
        <w:t xml:space="preserve"> </w:t>
      </w:r>
      <w:r>
        <w:rPr>
          <w:i/>
          <w:iCs/>
        </w:rPr>
        <w:t xml:space="preserve">from Brent’s-method root-finding at the lambda-sigma fixed-point equilibrium. Vertical dashed line marks the default</w:t>
      </w:r>
      <w:r>
        <w:rPr>
          <w:i/>
          <w:iCs/>
        </w:rPr>
        <w:t xml:space="preserve"> </w:t>
      </w:r>
      <m:oMath>
        <m:sSub>
          <m:e>
            <m:r>
              <m:t>C</m:t>
            </m:r>
          </m:e>
          <m:sub>
            <m:r>
              <m:t>s</m:t>
            </m:r>
            <m:r>
              <m:t>i</m:t>
            </m:r>
            <m:r>
              <m:t>g</m:t>
            </m:r>
            <m:r>
              <m:t>n</m:t>
            </m:r>
            <m:r>
              <m:t>a</m:t>
            </m:r>
            <m:r>
              <m:t>l</m:t>
            </m:r>
          </m:sub>
        </m:sSub>
        <m:r>
          <m:rPr>
            <m:sty m:val="p"/>
          </m:rPr>
          <m:t>=</m:t>
        </m:r>
        <m:r>
          <m:t>0.18</m:t>
        </m:r>
      </m:oMath>
      <w:r>
        <w:rPr>
          <w:i/>
          <w:iCs/>
        </w:rPr>
        <w:t xml:space="preserve"> </w:t>
      </w:r>
      <w:r>
        <w:rPr>
          <w:i/>
          <w:iCs/>
        </w:rPr>
        <w:t xml:space="preserve">used throughout the manuscript. Across</w:t>
      </w:r>
      <w:r>
        <w:rPr>
          <w:i/>
          <w:iCs/>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i/>
          <w:iCs/>
        </w:rPr>
        <w:t xml:space="preserve"> </w:t>
      </w:r>
      <w:r>
        <w:rPr>
          <w:i/>
          <w:iCs/>
        </w:rPr>
        <w:t xml:space="preserve">(</w:t>
      </w:r>
      <m:oMath>
        <m:r>
          <m:rPr>
            <m:sty m:val="p"/>
          </m:rPr>
          <m:t>±</m:t>
        </m:r>
        <m:r>
          <m:t>50</m:t>
        </m:r>
        <m:r>
          <m:rPr>
            <m:sty m:val="p"/>
          </m:rPr>
          <m:t>%</m:t>
        </m:r>
      </m:oMath>
      <w:r>
        <w:rPr>
          <w:i/>
          <w:iCs/>
        </w:rPr>
        <w:t xml:space="preserve"> </w:t>
      </w:r>
      <w:r>
        <w:rPr>
          <w:i/>
          <w:iCs/>
        </w:rPr>
        <w:t xml:space="preserve">from the default),</w:t>
      </w:r>
      <w:r>
        <w:rPr>
          <w:i/>
          <w:iCs/>
        </w:rPr>
        <w:t xml:space="preserve"> </w:t>
      </w:r>
      <m:oMath>
        <m:sSup>
          <m:e>
            <m:r>
              <m:t>σ</m:t>
            </m:r>
          </m:e>
          <m:sup>
            <m:r>
              <m:rPr>
                <m:sty m:val="p"/>
              </m:rPr>
              <m:t>*</m:t>
            </m:r>
          </m:sup>
        </m:sSup>
      </m:oMath>
      <w:r>
        <w:rPr>
          <w:i/>
          <w:iCs/>
        </w:rPr>
        <w:t xml:space="preserve"> </w:t>
      </w:r>
      <w:r>
        <w:rPr>
          <w:i/>
          <w:iCs/>
        </w:rPr>
        <w:t xml:space="preserve">swings from 0.29 to 0.51 (swing</w:t>
      </w:r>
      <w:r>
        <w:rPr>
          <w:i/>
          <w:iCs/>
        </w:rPr>
        <w:t xml:space="preserve"> </w:t>
      </w:r>
      <m:oMath>
        <m:r>
          <m:rPr>
            <m:sty m:val="p"/>
          </m:rPr>
          <m:t>≈</m:t>
        </m:r>
        <m:r>
          <m:t>0.22</m:t>
        </m:r>
      </m:oMath>
      <w:r>
        <w:rPr>
          <w:i/>
          <w:iCs/>
        </w:rPr>
        <w:t xml:space="preserve">, the largest among model parameters in the §S3.1 OAT). Higher signaling cost raises the threshold (aggregation must produce a larger fitness benefit to compensate for the increased cost), confirming that</w:t>
      </w:r>
      <w:r>
        <w:rPr>
          <w:i/>
          <w:iCs/>
        </w:rPr>
        <w:t xml:space="preserve"> </w:t>
      </w:r>
      <m:oMath>
        <m:sSub>
          <m:e>
            <m:r>
              <m:t>C</m:t>
            </m:r>
          </m:e>
          <m:sub>
            <m:r>
              <m:t>s</m:t>
            </m:r>
            <m:r>
              <m:t>i</m:t>
            </m:r>
            <m:r>
              <m:t>g</m:t>
            </m:r>
            <m:r>
              <m:t>n</m:t>
            </m:r>
            <m:r>
              <m:t>a</m:t>
            </m:r>
            <m:r>
              <m:t>l</m:t>
            </m:r>
          </m:sub>
        </m:sSub>
      </m:oMath>
      <w:r>
        <w:rPr>
          <w:i/>
          <w:iCs/>
        </w:rPr>
        <w:t xml:space="preserve"> </w:t>
      </w:r>
      <w:r>
        <w:rPr>
          <w:i/>
          <w:iCs/>
        </w:rPr>
        <w:t xml:space="preserve">is the principal driver of the framework’s threshold prediction.</w:t>
      </w:r>
    </w:p>
    <w:p>
      <w:r>
        <w:pict>
          <v:rect style="width:0;height:1.5pt" o:hralign="center" o:hrstd="t" o:hr="t"/>
        </w:pict>
      </w:r>
    </w:p>
    <w:bookmarkEnd w:id="72"/>
    <w:bookmarkEnd w:id="73"/>
    <w:bookmarkStart w:id="81" w:name="s8.-full-set-of-testable-predictions"/>
    <w:p>
      <w:pPr>
        <w:pStyle w:val="Heading2"/>
      </w:pPr>
      <w:r>
        <w:t xml:space="preserve">S8. Full set of testable predictions</w:t>
      </w:r>
    </w:p>
    <w:p>
      <w:pPr>
        <w:pStyle w:val="FirstParagraph"/>
      </w:pPr>
      <w:r>
        <w:t xml:space="preserve">The framework generates 12 specific, testable predictions across 6 categories. Each identifies what the framework expects, how it can be tested, and what would falsify it.</w:t>
      </w:r>
    </w:p>
    <w:bookmarkStart w:id="74" w:name="temporal-patterns"/>
    <w:p>
      <w:pPr>
        <w:pStyle w:val="Heading3"/>
      </w:pPr>
      <w:r>
        <w:t xml:space="preserve">Temporal patterns</w:t>
      </w:r>
    </w:p>
    <w:p>
      <w:pPr>
        <w:pStyle w:val="FirstParagraph"/>
      </w:pPr>
      <w:r>
        <w:rPr>
          <w:b/>
          <w:bCs/>
        </w:rPr>
        <w:t xml:space="preserve">P1.</w:t>
      </w:r>
      <w:r>
        <w:t xml:space="preserve"> </w:t>
      </w:r>
      <w: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b/>
          <w:bCs/>
        </w:rPr>
        <w:t xml:space="preserve">P2.</w:t>
      </w:r>
      <w:r>
        <w:t xml:space="preserve"> </w:t>
      </w:r>
      <w:r>
        <w:t xml:space="preserve">Stratigraphic variation in artifact density across ridge and mound deposits should show cyclical patterns with periods of approximately 15-30 years, matching the shortfall recurrence intervals in the model.</w:t>
      </w:r>
    </w:p>
    <w:bookmarkEnd w:id="74"/>
    <w:bookmarkStart w:id="75" w:name="spatial-patterns"/>
    <w:p>
      <w:pPr>
        <w:pStyle w:val="Heading3"/>
      </w:pPr>
      <w:r>
        <w:t xml:space="preserve">Spatial patterns</w:t>
      </w:r>
    </w:p>
    <w:p>
      <w:pPr>
        <w:pStyle w:val="FirstParagraph"/>
      </w:pPr>
      <w:r>
        <w:rPr>
          <w:b/>
          <w:bCs/>
        </w:rPr>
        <w:t xml:space="preserve">P3.</w:t>
      </w:r>
      <w:r>
        <w:t xml:space="preserve"> </w:t>
      </w:r>
      <w:r>
        <w:t xml:space="preserve">Site hierarchy across the Poverty Point landscape should scale with a GIS-based ecotone diversity index. Ranked monument investment should be predictable from environmental measurement.</w:t>
      </w:r>
    </w:p>
    <w:p>
      <w:pPr>
        <w:pStyle w:val="BodyText"/>
      </w:pPr>
      <w:r>
        <w:rPr>
          <w:b/>
          <w:bCs/>
        </w:rPr>
        <w:t xml:space="preserve">P4.</w:t>
      </w:r>
      <w:r>
        <w:t xml:space="preserve"> </w:t>
      </w:r>
      <w:r>
        <w:t xml:space="preserve">The frequency of Poverty Point-affiliated artifacts at regional sites should decay with distance from Poverty Point following an approximately exponential curve, with a characteristic catchment radius of 100-150 km.</w:t>
      </w:r>
    </w:p>
    <w:bookmarkEnd w:id="75"/>
    <w:bookmarkStart w:id="76" w:name="material-patterns"/>
    <w:p>
      <w:pPr>
        <w:pStyle w:val="Heading3"/>
      </w:pPr>
      <w:r>
        <w:t xml:space="preserve">Material patterns</w:t>
      </w:r>
    </w:p>
    <w:p>
      <w:pPr>
        <w:pStyle w:val="FirstParagraph"/>
      </w:pPr>
      <w:r>
        <w:rPr>
          <w:b/>
          <w:bCs/>
        </w:rPr>
        <w:t xml:space="preserve">P5.</w:t>
      </w:r>
      <w:r>
        <w:t xml:space="preserve"> </w:t>
      </w:r>
      <w:r>
        <w:t xml:space="preserve">Distance-decay function</w:t>
      </w:r>
      <w: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t xml:space="preserve">: acquisition probability declines with source distance, so near-source materials should outnumber far-source materials item for item. The current Poverty Point inventory does not show this ordering unconditionally (novaculite 101 items at ~250 km versus steatite 2,221 at ~800-900 km; five-material</w:t>
      </w:r>
      <w:r>
        <w:t xml:space="preserve"> </w:t>
      </w:r>
      <m:oMath>
        <m:r>
          <m:t>ρ</m:t>
        </m:r>
        <m:r>
          <m:rPr>
            <m:sty m:val="p"/>
          </m:rPr>
          <m:t>=</m:t>
        </m:r>
        <m:r>
          <m:rPr>
            <m:sty m:val="p"/>
          </m:rPr>
          <m:t>−</m:t>
        </m:r>
        <m:r>
          <m:t>0.40</m:t>
        </m:r>
      </m:oMath>
      <w:r>
        <w:t xml:space="preserve">, §6.1). The prediction holds only among the three far-source materials (galena, steatite, copper;</w:t>
      </w:r>
      <w:r>
        <w:t xml:space="preserve"> </w:t>
      </w:r>
      <m:oMath>
        <m:r>
          <m:t>ρ</m:t>
        </m:r>
        <m:r>
          <m:rPr>
            <m:sty m:val="p"/>
          </m:rPr>
          <m:t>=</m:t>
        </m:r>
        <m:r>
          <m:rPr>
            <m:sty m:val="p"/>
          </m:rPr>
          <m:t>+</m:t>
        </m:r>
        <m:r>
          <m:t>0.50</m:t>
        </m:r>
      </m:oMath>
      <w:r>
        <w:t xml:space="preserve">) and after material-specific value and recovery corrections, and it is not discriminating in any case (§7.4(c)).</w:t>
      </w:r>
    </w:p>
    <w:p>
      <w:pPr>
        <w:pStyle w:val="BodyText"/>
      </w:pPr>
      <w:r>
        <w:rPr>
          <w:b/>
          <w:bCs/>
        </w:rPr>
        <w:t xml:space="preserve">P6.</w:t>
      </w:r>
      <w:r>
        <w:t xml:space="preserve"> </w:t>
      </w:r>
      <w:r>
        <w:t xml:space="preserve">Within-site, exotic-goods densities and monument investment should covary spatially, since both are signaling investments by the same bands.</w:t>
      </w:r>
    </w:p>
    <w:bookmarkEnd w:id="76"/>
    <w:bookmarkStart w:id="77" w:name="demographic-patterns"/>
    <w:p>
      <w:pPr>
        <w:pStyle w:val="Heading3"/>
      </w:pPr>
      <w:r>
        <w:t xml:space="preserve">Demographic patterns</w:t>
      </w:r>
    </w:p>
    <w:p>
      <w:pPr>
        <w:pStyle w:val="FirstParagraph"/>
      </w:pPr>
      <w:r>
        <w:rPr>
          <w:b/>
          <w:bCs/>
        </w:rPr>
        <w:t xml:space="preserve">P7.</w:t>
      </w:r>
      <w:r>
        <w:t xml:space="preserve"> </w:t>
      </w:r>
      <w:r>
        <w:t xml:space="preserve">Aggregated population should saturate at ~500-625 individuals (~25 bands) rather than grow without constraint, reflecting diminishing returns to cooperation beyond optimal aggregation size.</w:t>
      </w:r>
    </w:p>
    <w:p>
      <w:pPr>
        <w:pStyle w:val="BodyText"/>
      </w:pPr>
      <w:r>
        <w:rPr>
          <w:b/>
          <w:bCs/>
        </w:rPr>
        <w:t xml:space="preserve">P8.</w:t>
      </w:r>
      <w:r>
        <w:t xml:space="preserve"> </w:t>
      </w:r>
      <w: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77"/>
    <w:bookmarkStart w:id="78" w:name="network-structure"/>
    <w:p>
      <w:pPr>
        <w:pStyle w:val="Heading3"/>
      </w:pPr>
      <w:r>
        <w:t xml:space="preserve">Network structure</w:t>
      </w:r>
    </w:p>
    <w:p>
      <w:pPr>
        <w:pStyle w:val="FirstParagraph"/>
      </w:pPr>
      <w:r>
        <w:rPr>
          <w:b/>
          <w:bCs/>
        </w:rPr>
        <w:t xml:space="preserve">P9.</w:t>
      </w:r>
      <w:r>
        <w:t xml:space="preserve"> </w:t>
      </w:r>
      <w:r>
        <w:t xml:space="preserve">Provenance analysis (LA-ICP-MS, etc.) should reveal multi-pathway distribution networks rather than single-chain corridors, with small-world topology (high clustering, short path lengths).</w:t>
      </w:r>
    </w:p>
    <w:p>
      <w:pPr>
        <w:pStyle w:val="BodyText"/>
      </w:pPr>
      <w:r>
        <w:rPr>
          <w:b/>
          <w:bCs/>
        </w:rPr>
        <w:t xml:space="preserve">P10.</w:t>
      </w:r>
      <w:r>
        <w:t xml:space="preserve"> </w:t>
      </w:r>
      <w:r>
        <w:t xml:space="preserve">Terminal-occupation layers should show narrowing source diversity in the exotic assemblage, reflecting network attrition that precedes systemic collapse.</w:t>
      </w:r>
    </w:p>
    <w:bookmarkEnd w:id="78"/>
    <w:bookmarkStart w:id="79" w:name="cross-cultural"/>
    <w:p>
      <w:pPr>
        <w:pStyle w:val="Heading3"/>
      </w:pPr>
      <w:r>
        <w:t xml:space="preserve">Cross-cultural</w:t>
      </w:r>
    </w:p>
    <w:p>
      <w:pPr>
        <w:pStyle w:val="FirstParagraph"/>
      </w:pPr>
      <w:r>
        <w:rPr>
          <w:b/>
          <w:bCs/>
        </w:rPr>
        <w:t xml:space="preserve">P11.</w:t>
      </w:r>
      <w:r>
        <w:t xml:space="preserve"> </w:t>
      </w:r>
      <w: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b/>
          <w:bCs/>
        </w:rPr>
        <w:t xml:space="preserve">P12.</w:t>
      </w:r>
      <w:r>
        <w:t xml:space="preserve"> </w:t>
      </w:r>
      <w:r>
        <w:t xml:space="preserve">Under the</w:t>
      </w:r>
      <w:r>
        <w:t xml:space="preserve"> </w:t>
      </w:r>
      <m:oMath>
        <m:r>
          <m:t>ε</m:t>
        </m:r>
      </m:oMath>
      <w:r>
        <w:t xml:space="preserve">-degradation collapse pathway (main §7.3), collapse should follow a specific sequence: declining aggregation attendance precedes declining construction investment, which in turn precedes narrowing exchange-network diversity. Sequential rather than simultaneous decline distinguishes threshold-driven adaptive collapse from catastrophic disruption; under the abrupt-disruption pathway also allowed by §7.3, the three declines can be near-simultaneous, and the observed ordering is the discriminating unknown between the two pathways (§7.4(d)).</w:t>
      </w:r>
    </w:p>
    <w:bookmarkEnd w:id="79"/>
    <w:bookmarkStart w:id="80" w:name="falsification-conditions"/>
    <w:p>
      <w:pPr>
        <w:pStyle w:val="Heading3"/>
      </w:pPr>
      <w:r>
        <w:t xml:space="preserve">Falsification conditions</w:t>
      </w:r>
    </w:p>
    <w:p>
      <w:pPr>
        <w:pStyle w:val="FirstParagraph"/>
      </w:pPr>
      <w:r>
        <w:t xml:space="preserve">The following findings would falsify the framework:</w:t>
      </w:r>
    </w:p>
    <w:p>
      <w:pPr>
        <w:pStyle w:val="Compact"/>
        <w:numPr>
          <w:ilvl w:val="0"/>
          <w:numId w:val="1001"/>
        </w:numPr>
      </w:pPr>
      <w:r>
        <w:t xml:space="preserve">Monument construction was steady rather than episodic and uncorrelated with environmental variability.</w:t>
      </w:r>
    </w:p>
    <w:p>
      <w:pPr>
        <w:pStyle w:val="Compact"/>
        <w:numPr>
          <w:ilvl w:val="0"/>
          <w:numId w:val="1001"/>
        </w:numPr>
      </w:pPr>
      <w:r>
        <w:t xml:space="preserve">Exotic materials concentrated in elite residential contexts rather than being broadly distributed.</w:t>
      </w:r>
    </w:p>
    <w:p>
      <w:pPr>
        <w:pStyle w:val="Compact"/>
        <w:numPr>
          <w:ilvl w:val="0"/>
          <w:numId w:val="1001"/>
        </w:numPr>
      </w:pPr>
      <w:r>
        <w:t xml:space="preserve">High-resolution paleoclimate data demonstrate that Poverty Point coincided with environmental stability rather than moderate-to-high uncertainty.</w:t>
      </w:r>
    </w:p>
    <w:p>
      <w:pPr>
        <w:pStyle w:val="Compact"/>
        <w:numPr>
          <w:ilvl w:val="0"/>
          <w:numId w:val="1001"/>
        </w:numPr>
      </w:pPr>
      <w: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t xml:space="preserve">Clear evidence of coercive hierarchy, specialized craft production, or differential subsistence access at Poverty Point.</w:t>
      </w:r>
    </w:p>
    <w:p>
      <w:r>
        <w:pict>
          <v:rect style="width:0;height:1.5pt" o:hralign="center" o:hrstd="t" o:hr="t"/>
        </w:pict>
      </w:r>
    </w:p>
    <w:bookmarkEnd w:id="80"/>
    <w:bookmarkEnd w:id="81"/>
    <w:bookmarkStart w:id="85" w:name="s9.-supplemental-empirical-figures"/>
    <w:p>
      <w:pPr>
        <w:pStyle w:val="Heading2"/>
      </w:pPr>
      <w:r>
        <w:t xml:space="preserve">S9. Supplemental empirical figures</w:t>
      </w:r>
    </w:p>
    <w:p>
      <w:pPr>
        <w:pStyle w:val="FirstParagraph"/>
      </w:pPr>
      <w:r>
        <w:t xml:space="preserve">The expanded paleoclimate proxy synthesis (with cross-case</w:t>
      </w:r>
      <w:r>
        <w:t xml:space="preserve"> </w:t>
      </w:r>
      <m:oMath>
        <m:r>
          <m:t>σ</m:t>
        </m:r>
      </m:oMath>
      <w:r>
        <w:t xml:space="preserve"> </w:t>
      </w:r>
      <w:r>
        <w:t xml:space="preserve">comparison and theoretical phase-space panel) and the regional chronological synthesis are presented in main-text Figures 11 and 10 respectively.</w:t>
      </w:r>
    </w:p>
    <w:p>
      <w:pPr>
        <w:pStyle w:val="BodyText"/>
      </w:pPr>
      <w:r>
        <w:drawing>
          <wp:inline>
            <wp:extent cx="5943600" cy="2029521"/>
            <wp:effectExtent b="0" l="0" r="0" t="0"/>
            <wp:docPr descr="" title="" id="83" name="Picture"/>
            <a:graphic>
              <a:graphicData uri="http://schemas.openxmlformats.org/drawingml/2006/picture">
                <pic:pic>
                  <pic:nvPicPr>
                    <pic:cNvPr descr="../../figures/supplemental/figure_S11_obligation_network.png" id="84" name="Picture"/>
                    <pic:cNvPicPr>
                      <a:picLocks noChangeArrowheads="1" noChangeAspect="1"/>
                    </pic:cNvPicPr>
                  </pic:nvPicPr>
                  <pic:blipFill>
                    <a:blip r:embed="rId82"/>
                    <a:stretch>
                      <a:fillRect/>
                    </a:stretch>
                  </pic:blipFill>
                  <pic:spPr bwMode="auto">
                    <a:xfrm>
                      <a:off x="0" y="0"/>
                      <a:ext cx="5943600" cy="2029521"/>
                    </a:xfrm>
                    <a:prstGeom prst="rect">
                      <a:avLst/>
                    </a:prstGeom>
                    <a:noFill/>
                    <a:ln w="9525">
                      <a:noFill/>
                      <a:headEnd/>
                      <a:tailEnd/>
                    </a:ln>
                  </pic:spPr>
                </pic:pic>
              </a:graphicData>
            </a:graphic>
          </wp:inline>
        </w:drawing>
      </w:r>
    </w:p>
    <w:p>
      <w:pPr>
        <w:pStyle w:val="BodyText"/>
      </w:pPr>
      <w:r>
        <w:rPr>
          <w:b/>
          <w:bCs/>
          <w:i/>
          <w:iCs/>
        </w:rPr>
        <w:t xml:space="preserve">Figure S11. Obligation network structure and function.</w:t>
      </w:r>
      <w:r>
        <w:t xml:space="preserve"> </w:t>
      </w:r>
      <w:r>
        <w:rPr>
          <w:i/>
          <w:iCs/>
        </w:rPr>
        <w:t xml:space="preserve">Panel A: simulated obligation network at year 300. Panel B: aggregators consistently maintain more reciprocal connections than independents. Panel C: bands with more extensive obligation networks achieve higher fitness during shortfall years.</w:t>
      </w:r>
    </w:p>
    <w:p>
      <w:r>
        <w:pict>
          <v:rect style="width:0;height:1.5pt" o:hralign="center" o:hrstd="t" o:hr="t"/>
        </w:pict>
      </w:r>
    </w:p>
    <w:bookmarkEnd w:id="85"/>
    <w:bookmarkStart w:id="88" w:name="s10.-watson-brake-bistable-analysis"/>
    <w:p>
      <w:pPr>
        <w:pStyle w:val="Heading2"/>
      </w:pPr>
      <w:r>
        <w:t xml:space="preserve">S10. Watson Brake bistable analysis</w:t>
      </w:r>
    </w:p>
    <w:bookmarkStart w:id="86" w:name="X73ecfc38308f507df91a0ba97d8614b49d276f1"/>
    <w:p>
      <w:pPr>
        <w:pStyle w:val="Heading3"/>
      </w:pPr>
      <w:r>
        <w:t xml:space="preserve">S10.1 Derivation of the continuous-equilibrium overshoot</w:t>
      </w:r>
    </w:p>
    <w:p>
      <w:pPr>
        <w:pStyle w:val="FirstParagraph"/>
      </w:pPr>
      <w:r>
        <w:t xml:space="preserve">The main text (§6.3) reports that the calibrated model under continuous-equilibrium operation predicts ~240,000 m³ of earthwork at WB, compared to the LiDAR-derived per-mound volume of 27,065 m³ (§5.1), an overshoot ratio of approximately 9×. The derivation of the 240,000 m³ continuous-equilibrium prediction, omitted from the main text for length, is:</w:t>
      </w:r>
    </w:p>
    <w:p>
      <w:pPr>
        <w:numPr>
          <w:ilvl w:val="0"/>
          <w:numId w:val="1002"/>
        </w:numPr>
      </w:pPr>
      <w:r>
        <w:rPr>
          <w:i/>
          <w:iCs/>
        </w:rPr>
        <w:t xml:space="preserve">Equilibrium monument stock at PP-calibrated parameters.</w:t>
      </w:r>
      <w:r>
        <w:t xml:space="preserve"> </w:t>
      </w:r>
      <w:r>
        <w:t xml:space="preserve">At PP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w:t>
      </w:r>
      <w:r>
        <w:t xml:space="preserve"> </w:t>
      </w:r>
      <m:oMath>
        <m:r>
          <m:t>σ</m:t>
        </m:r>
        <m:r>
          <m:rPr>
            <m:sty m:val="p"/>
          </m:rPr>
          <m:t>=</m:t>
        </m:r>
        <m:r>
          <m:t>0.64</m:t>
        </m:r>
      </m:oMath>
      <w:r>
        <w:t xml:space="preserve">), the analytical equilibrium model returns equilibrium stock</w:t>
      </w:r>
      <w:r>
        <w:t xml:space="preserve"> </w:t>
      </w:r>
      <m:oMath>
        <m:sSub>
          <m:e>
            <m:r>
              <m:t>M</m:t>
            </m:r>
          </m:e>
          <m:sub>
            <m:r>
              <m:t>g</m:t>
            </m:r>
            <m:r>
              <m:rPr>
                <m:sty m:val="p"/>
              </m:rPr>
              <m:t>,</m:t>
            </m:r>
            <m:r>
              <m:t>P</m:t>
            </m:r>
            <m:r>
              <m:t>P</m:t>
            </m:r>
          </m:sub>
        </m:sSub>
        <m:r>
          <m:rPr>
            <m:sty m:val="p"/>
          </m:rPr>
          <m:t>=</m:t>
        </m:r>
        <m:r>
          <m:t>129.78</m:t>
        </m:r>
      </m:oMath>
      <w:r>
        <w:t xml:space="preserve"> </w:t>
      </w:r>
      <w:r>
        <w:t xml:space="preserve">(computed via</w:t>
      </w:r>
      <w:r>
        <w:t xml:space="preserve"> </w:t>
      </w:r>
      <w:r>
        <w:rPr>
          <w:rStyle w:val="VerbatimChar"/>
        </w:rPr>
        <w:t xml:space="preserve">critical_threshold</w:t>
      </w:r>
      <w:r>
        <w:t xml:space="preserve"> </w:t>
      </w:r>
      <w:r>
        <w:t xml:space="preserve">in</w:t>
      </w:r>
      <w:r>
        <w:t xml:space="preserve"> </w:t>
      </w:r>
      <w:r>
        <w:rPr>
          <w:rStyle w:val="VerbatimChar"/>
        </w:rPr>
        <w:t xml:space="preserve">src/poverty_point/signaling_core.py</w:t>
      </w:r>
      <w:r>
        <w:t xml:space="preserve">).</w:t>
      </w:r>
    </w:p>
    <w:p>
      <w:pPr>
        <w:numPr>
          <w:ilvl w:val="0"/>
          <w:numId w:val="1002"/>
        </w:numPr>
      </w:pPr>
      <w:r>
        <w:rPr>
          <w:i/>
          <w:iCs/>
        </w:rPr>
        <w:t xml:space="preserve">Equilibrium monument stock at WB-calibrated parameters.</w:t>
      </w:r>
      <w:r>
        <w:t xml:space="preserve"> </w:t>
      </w:r>
      <w:r>
        <w:t xml:space="preserve">At WB parameters (</w:t>
      </w:r>
      <m:oMath>
        <m:r>
          <m:t>ε</m:t>
        </m:r>
        <m:r>
          <m:rPr>
            <m:sty m:val="p"/>
          </m:rPr>
          <m:t>=</m:t>
        </m:r>
        <m:r>
          <m:t>0.43</m:t>
        </m:r>
      </m:oMath>
      <w:r>
        <w:t xml:space="preserve">,</w:t>
      </w:r>
      <w:r>
        <w:t xml:space="preserve"> </w:t>
      </w:r>
      <m:oMath>
        <m:sSub>
          <m:e>
            <m:r>
              <m:t>n</m:t>
            </m:r>
          </m:e>
          <m:sub>
            <m:r>
              <m:t>a</m:t>
            </m:r>
            <m:r>
              <m:t>g</m:t>
            </m:r>
            <m:r>
              <m:t>g</m:t>
            </m:r>
          </m:sub>
        </m:sSub>
        <m:r>
          <m:rPr>
            <m:sty m:val="p"/>
          </m:rPr>
          <m:t>=</m:t>
        </m:r>
        <m:r>
          <m:t>8</m:t>
        </m:r>
      </m:oMath>
      <w:r>
        <w:t xml:space="preserve">,</w:t>
      </w:r>
      <w:r>
        <w:t xml:space="preserve"> </w:t>
      </w:r>
      <m:oMath>
        <m:r>
          <m:t>σ</m:t>
        </m:r>
        <m:r>
          <m:rPr>
            <m:sty m:val="p"/>
          </m:rPr>
          <m:t>=</m:t>
        </m:r>
        <m:r>
          <m:t>0.56</m:t>
        </m:r>
      </m:oMath>
      <w:r>
        <w:t xml:space="preserve">),</w:t>
      </w:r>
      <w:r>
        <w:t xml:space="preserve"> </w:t>
      </w:r>
      <m:oMath>
        <m:sSub>
          <m:e>
            <m:r>
              <m:t>M</m:t>
            </m:r>
          </m:e>
          <m:sub>
            <m:r>
              <m:t>g</m:t>
            </m:r>
            <m:r>
              <m:rPr>
                <m:sty m:val="p"/>
              </m:rPr>
              <m:t>,</m:t>
            </m:r>
            <m:r>
              <m:t>W</m:t>
            </m:r>
            <m:r>
              <m:t>B</m:t>
            </m:r>
          </m:sub>
        </m:sSub>
        <m:r>
          <m:rPr>
            <m:sty m:val="p"/>
          </m:rPr>
          <m:t>=</m:t>
        </m:r>
        <m:r>
          <m:t>41.54</m:t>
        </m:r>
      </m:oMath>
      <w:r>
        <w:t xml:space="preserve">.</w:t>
      </w:r>
    </w:p>
    <w:p>
      <w:pPr>
        <w:numPr>
          <w:ilvl w:val="0"/>
          <w:numId w:val="1002"/>
        </w:numPr>
      </w:pPr>
      <w:r>
        <w:rPr>
          <w:i/>
          <w:iCs/>
        </w:rPr>
        <w:t xml:space="preserve">Volume calibration anchor.</w:t>
      </w:r>
      <w:r>
        <w:t xml:space="preserve"> </w:t>
      </w:r>
      <w:r>
        <w:t xml:space="preserve">The calibration uses the PP type-site core volume of 750,000 m³ (Gibson 2000; Ortmann and Kidder 2013) as the empirical anchor for</w:t>
      </w:r>
      <w:r>
        <w:t xml:space="preserve"> </w:t>
      </w:r>
      <m:oMath>
        <m:sSub>
          <m:e>
            <m:r>
              <m:t>M</m:t>
            </m:r>
          </m:e>
          <m:sub>
            <m:r>
              <m:t>g</m:t>
            </m:r>
            <m:r>
              <m:rPr>
                <m:sty m:val="p"/>
              </m:rPr>
              <m:t>,</m:t>
            </m:r>
            <m:r>
              <m:t>P</m:t>
            </m:r>
            <m:r>
              <m:t>P</m:t>
            </m:r>
          </m:sub>
        </m:sSub>
        <m:r>
          <m:rPr>
            <m:sty m:val="p"/>
          </m:rPr>
          <m:t>=</m:t>
        </m:r>
        <m:r>
          <m:t>129.78</m:t>
        </m:r>
      </m:oMath>
      <w:r>
        <w:t xml:space="preserve">. The volume-per-equilibrium-stock conversion is therefore</w:t>
      </w:r>
      <w:r>
        <w:t xml:space="preserve"> </w:t>
      </w:r>
      <m:oMath>
        <m:r>
          <m:t>750</m:t>
        </m:r>
        <m:r>
          <m:rPr>
            <m:sty m:val="p"/>
          </m:rPr>
          <m:t>,</m:t>
        </m:r>
        <m:r>
          <m:t>000</m:t>
        </m:r>
        <m:r>
          <m:rPr>
            <m:sty m:val="p"/>
          </m:rPr>
          <m:t>/</m:t>
        </m:r>
        <m:r>
          <m:t>129.78</m:t>
        </m:r>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at the PP-fit calibration.</w:t>
      </w:r>
    </w:p>
    <w:p>
      <w:pPr>
        <w:numPr>
          <w:ilvl w:val="0"/>
          <w:numId w:val="1002"/>
        </w:numPr>
      </w:pPr>
      <w:r>
        <w:rPr>
          <w:i/>
          <w:iCs/>
        </w:rPr>
        <w:t xml:space="preserve">Predicted WB volume under continuous-equilibrium operation.</w:t>
      </w:r>
      <w:r>
        <w:t xml:space="preserve"> </w:t>
      </w:r>
      <w:r>
        <w:t xml:space="preserve">Applying the same conversion to WB: predicted volume =</w:t>
      </w:r>
      <w: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t xml:space="preserve"> </w:t>
      </w:r>
      <w:r>
        <w:t xml:space="preserve">m³.</w:t>
      </w:r>
    </w:p>
    <w:p>
      <w:pPr>
        <w:numPr>
          <w:ilvl w:val="0"/>
          <w:numId w:val="1002"/>
        </w:numPr>
      </w:pPr>
      <w:r>
        <w:rPr>
          <w:i/>
          <w:iCs/>
        </w:rPr>
        <w:t xml:space="preserve">Comparison with the LiDAR-derived per-mound volume (27,065 m³).</w:t>
      </w:r>
      <w:r>
        <w:t xml:space="preserve"> </w:t>
      </w:r>
      <w:r>
        <w:t xml:space="preserve">The continuous-equilibrium prediction overshoots by a factor of</w:t>
      </w:r>
      <w:r>
        <w:t xml:space="preserve"> </w:t>
      </w:r>
      <m:oMath>
        <m:r>
          <m:t>240</m:t>
        </m:r>
        <m:r>
          <m:rPr>
            <m:sty m:val="p"/>
          </m:rPr>
          <m:t>,</m:t>
        </m:r>
        <m:r>
          <m:t>000</m:t>
        </m:r>
        <m:r>
          <m:rPr>
            <m:sty m:val="p"/>
          </m:rPr>
          <m:t>/</m:t>
        </m:r>
        <m:r>
          <m:t>27</m:t>
        </m:r>
        <m:r>
          <m:rPr>
            <m:sty m:val="p"/>
          </m:rPr>
          <m:t>,</m:t>
        </m:r>
        <m:r>
          <m:t>065</m:t>
        </m:r>
        <m:r>
          <m:rPr>
            <m:sty m:val="p"/>
          </m:rPr>
          <m:t>≈</m:t>
        </m:r>
        <m:r>
          <m:t>9</m:t>
        </m:r>
        <m:r>
          <m:rPr>
            <m:sty m:val="p"/>
          </m:rPr>
          <m:t>×</m:t>
        </m:r>
      </m:oMath>
      <w:r>
        <w:t xml:space="preserve">. The same continuous-equilibrium calculation propagated through the</w:t>
      </w:r>
      <w:r>
        <w:t xml:space="preserve"> </w:t>
      </w:r>
      <m:oMath>
        <m:sSub>
          <m:e>
            <m:r>
              <m:t>n</m:t>
            </m:r>
          </m:e>
          <m:sub>
            <m:r>
              <m:t>a</m:t>
            </m:r>
            <m:r>
              <m:t>g</m:t>
            </m:r>
            <m:r>
              <m:t>g</m:t>
            </m:r>
          </m:sub>
        </m:sSub>
      </m:oMath>
      <w:r>
        <w:t xml:space="preserve"> </w:t>
      </w:r>
      <w:r>
        <w:t xml:space="preserve">sensitivity sweep below confirms that no plausible</w:t>
      </w:r>
      <w:r>
        <w:t xml:space="preserve"> </w:t>
      </w:r>
      <m:oMath>
        <m:sSub>
          <m:e>
            <m:r>
              <m:t>n</m:t>
            </m:r>
          </m:e>
          <m:sub>
            <m:r>
              <m:t>a</m:t>
            </m:r>
            <m:r>
              <m:t>g</m:t>
            </m:r>
            <m:r>
              <m:t>g</m:t>
            </m:r>
          </m:sub>
        </m:sSub>
      </m:oMath>
      <w:r>
        <w:t xml:space="preserve"> </w:t>
      </w:r>
      <w:r>
        <w:t xml:space="preserve">value closes the 9× gap. Methodology and per-cluster breakdown for the 27,065 m³ figure are in §5.1. The analysis script is</w:t>
      </w:r>
      <w:r>
        <w:t xml:space="preserve"> </w:t>
      </w:r>
      <w:r>
        <w:rPr>
          <w:rStyle w:val="VerbatimChar"/>
        </w:rPr>
        <w:t xml:space="preserve">scripts/analysis/watson_brake_volume.py</w:t>
      </w:r>
      <w:r>
        <w:t xml:space="preserve">.</w:t>
      </w:r>
    </w:p>
    <w:p>
      <w:pPr>
        <w:pStyle w:val="FirstParagraph"/>
      </w:pPr>
      <w: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i/>
          <w:iCs/>
        </w:rPr>
        <w:t xml:space="preserve">Spatial extent.</w:t>
      </w:r>
      <w:r>
        <w:t xml:space="preserve"> </w:t>
      </w:r>
      <w: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i/>
          <w:iCs/>
        </w:rPr>
        <w:t xml:space="preserve">Construction tempo.</w:t>
      </w:r>
      <w:r>
        <w:t xml:space="preserve"> </w:t>
      </w:r>
      <w: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i/>
          <w:iCs/>
        </w:rPr>
        <w:t xml:space="preserve">Threshold proximity.</w:t>
      </w:r>
      <w:r>
        <w:t xml:space="preserve"> </w:t>
      </w:r>
      <w:r>
        <w:t xml:space="preserve">The smaller margin between</w:t>
      </w:r>
      <w:r>
        <w:t xml:space="preserve"> </w:t>
      </w:r>
      <m:oMath>
        <m:r>
          <m:t>σ</m:t>
        </m:r>
      </m:oMath>
      <w:r>
        <w:t xml:space="preserve"> </w:t>
      </w:r>
      <w:r>
        <w:t xml:space="preserve">and</w:t>
      </w:r>
      <w:r>
        <w:t xml:space="preserve"> </w:t>
      </w:r>
      <m:oMath>
        <m:sSup>
          <m:e>
            <m:r>
              <m:t>σ</m:t>
            </m:r>
          </m:e>
          <m:sup>
            <m:r>
              <m:rPr>
                <m:sty m:val="p"/>
              </m:rPr>
              <m:t>*</m:t>
            </m:r>
          </m:sup>
        </m:sSup>
      </m:oMath>
      <w:r>
        <w:t xml:space="preserve"> </w:t>
      </w:r>
      <w: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t xml:space="preserve"> </w:t>
      </w:r>
      <m:oMath>
        <m:sSub>
          <m:e>
            <m:r>
              <m:t>σ</m:t>
            </m:r>
          </m:e>
          <m:sub>
            <m:r>
              <m:t>e</m:t>
            </m:r>
            <m:r>
              <m:t>f</m:t>
            </m:r>
            <m:r>
              <m:t>f</m:t>
            </m:r>
          </m:sub>
        </m:sSub>
      </m:oMath>
      <w: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t xml:space="preserve">The 9× volume overprediction therefore reflects a</w:t>
      </w:r>
      <w:r>
        <w:t xml:space="preserve"> </w:t>
      </w:r>
      <w:r>
        <w:rPr>
          <w:i/>
          <w:iCs/>
        </w:rPr>
        <w:t xml:space="preserve">modeling choice</w:t>
      </w:r>
      <w:r>
        <w:t xml:space="preserve"> </w:t>
      </w:r>
      <w: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t xml:space="preserve">If the bistable reading is correct, the same framework would account for both PP-style sustained mass aggregation and WB-style intermittent episodic construction, with the difference between the two regimes set by the</w:t>
      </w:r>
      <w:r>
        <w:t xml:space="preserve"> </w:t>
      </w:r>
      <m:oMath>
        <m:r>
          <m:t>σ</m:t>
        </m:r>
        <m:r>
          <m:rPr>
            <m:sty m:val="p"/>
          </m:rPr>
          <m:t>−</m:t>
        </m:r>
        <m:sSup>
          <m:e>
            <m:r>
              <m:t>σ</m:t>
            </m:r>
          </m:e>
          <m:sup>
            <m:r>
              <m:rPr>
                <m:sty m:val="p"/>
              </m:rPr>
              <m:t>*</m:t>
            </m:r>
          </m:sup>
        </m:sSup>
      </m:oMath>
      <w:r>
        <w:t xml:space="preserve"> </w:t>
      </w:r>
      <w:r>
        <w:t xml:space="preserve">margin and the resulting fraction of time spent in the aggregator regime. PP’s 75-year construction window would be what the framework predicts when conditions sit comfortably above threshold and a large</w:t>
      </w:r>
      <w:r>
        <w:t xml:space="preserve"> </w:t>
      </w:r>
      <m:oMath>
        <m:sSub>
          <m:e>
            <m:r>
              <m:t>n</m:t>
            </m:r>
          </m:e>
          <m:sub>
            <m:r>
              <m:t>a</m:t>
            </m:r>
            <m:r>
              <m:t>g</m:t>
            </m:r>
            <m:r>
              <m:t>g</m:t>
            </m:r>
          </m:sub>
        </m:sSub>
      </m:oMath>
      <w:r>
        <w:t xml:space="preserve"> </w:t>
      </w:r>
      <w:r>
        <w:t xml:space="preserve">is attained through convergence (main text §5.1). WB’s punctuated 700-year construction record would be what the framework predicts when conditions sit just above threshold,</w:t>
      </w:r>
      <w:r>
        <w:t xml:space="preserve"> </w:t>
      </w:r>
      <m:oMath>
        <m:sSub>
          <m:e>
            <m:r>
              <m:t>n</m:t>
            </m:r>
          </m:e>
          <m:sub>
            <m:r>
              <m:t>a</m:t>
            </m:r>
            <m:r>
              <m:t>g</m:t>
            </m:r>
            <m:r>
              <m:t>g</m:t>
            </m:r>
          </m:sub>
        </m:sSub>
      </m:oMath>
      <w:r>
        <w:t xml:space="preserve"> </w:t>
      </w:r>
      <w: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86"/>
    <w:bookmarkStart w:id="87" w:name="s10.2-n_agg-sensitivity-probe"/>
    <w:p>
      <w:pPr>
        <w:pStyle w:val="Heading3"/>
      </w:pPr>
      <w:r>
        <w:t xml:space="preserve">S10.2</w:t>
      </w:r>
      <w:r>
        <w:t xml:space="preserve"> </w:t>
      </w:r>
      <m:oMath>
        <m:sSub>
          <m:e>
            <m:r>
              <m:t>n</m:t>
            </m:r>
          </m:e>
          <m:sub>
            <m:r>
              <m:t>a</m:t>
            </m:r>
            <m:r>
              <m:t>g</m:t>
            </m:r>
            <m:r>
              <m:t>g</m:t>
            </m:r>
          </m:sub>
        </m:sSub>
      </m:oMath>
      <w:r>
        <w:t xml:space="preserve"> </w:t>
      </w:r>
      <w:r>
        <w:t xml:space="preserve">sensitivity probe</w:t>
      </w:r>
    </w:p>
    <w:p>
      <w:pPr>
        <w:pStyle w:val="FirstParagraph"/>
      </w:pPr>
      <w:r>
        <w:t xml:space="preserve">To partially probe the bistable hypothesis we ran two analytical sensitivity tests. First, an</w:t>
      </w:r>
      <w:r>
        <w:t xml:space="preserve"> </w:t>
      </w:r>
      <m:oMath>
        <m:sSub>
          <m:e>
            <m:r>
              <m:t>n</m:t>
            </m:r>
          </m:e>
          <m:sub>
            <m:r>
              <m:t>a</m:t>
            </m:r>
            <m:r>
              <m:t>g</m:t>
            </m:r>
            <m:r>
              <m:t>g</m:t>
            </m:r>
          </m:sub>
        </m:sSub>
      </m:oMath>
      <w:r>
        <w:t xml:space="preserve"> </w:t>
      </w:r>
      <w:r>
        <w:t xml:space="preserve">sweep at WB-appropriate parameters (</w:t>
      </w:r>
      <m:oMath>
        <m:r>
          <m:t>ε</m:t>
        </m:r>
        <m:r>
          <m:rPr>
            <m:sty m:val="p"/>
          </m:rPr>
          <m:t>=</m:t>
        </m:r>
        <m:r>
          <m:t>0.43</m:t>
        </m:r>
      </m:oMath>
      <w:r>
        <w:t xml:space="preserve">,</w:t>
      </w:r>
      <w:r>
        <w:t xml:space="preserve"> </w:t>
      </w:r>
      <m:oMath>
        <m:r>
          <m:t>σ</m:t>
        </m:r>
        <m:r>
          <m:rPr>
            <m:sty m:val="p"/>
          </m:rPr>
          <m:t>=</m:t>
        </m:r>
        <m:r>
          <m:t>0.56</m:t>
        </m:r>
      </m:oMath>
      <w:r>
        <w:t xml:space="preserve">,</w:t>
      </w:r>
      <w: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t xml:space="preserve">). Across this range</w:t>
      </w:r>
      <w:r>
        <w:t xml:space="preserve"> </w:t>
      </w:r>
      <m:oMath>
        <m:sSup>
          <m:e>
            <m:r>
              <m:t>σ</m:t>
            </m:r>
          </m:e>
          <m:sup>
            <m:r>
              <m:rPr>
                <m:sty m:val="p"/>
              </m:rPr>
              <m:t>*</m:t>
            </m:r>
          </m:sup>
        </m:sSup>
      </m:oMath>
      <w:r>
        <w:t xml:space="preserve"> </w:t>
      </w:r>
      <w:r>
        <w:t xml:space="preserve">varies only between 0.374 and 0.378 (the framework’s threshold is essentially insensitive to</w:t>
      </w:r>
      <w:r>
        <w:t xml:space="preserve"> </w:t>
      </w:r>
      <m:oMath>
        <m:sSub>
          <m:e>
            <m:r>
              <m:t>n</m:t>
            </m:r>
          </m:e>
          <m:sub>
            <m:r>
              <m:t>a</m:t>
            </m:r>
            <m:r>
              <m:t>g</m:t>
            </m:r>
            <m:r>
              <m:t>g</m:t>
            </m:r>
          </m:sub>
        </m:sSub>
      </m:oMath>
      <w:r>
        <w:t xml:space="preserve"> </w:t>
      </w:r>
      <w:r>
        <w:t xml:space="preserve">over the plausible range), and equilibrium monument stock</w:t>
      </w:r>
      <w:r>
        <w:t xml:space="preserve"> </w:t>
      </w:r>
      <m:oMath>
        <m:sSub>
          <m:e>
            <m:r>
              <m:t>M</m:t>
            </m:r>
          </m:e>
          <m:sub>
            <m:r>
              <m:t>g</m:t>
            </m:r>
          </m:sub>
        </m:sSub>
      </m:oMath>
      <w:r>
        <w:t xml:space="preserve"> </w:t>
      </w:r>
      <w:r>
        <w:t xml:space="preserve">scales nearly linearly with</w:t>
      </w:r>
      <w:r>
        <w:t xml:space="preserve"> </w:t>
      </w:r>
      <m:oMath>
        <m:sSub>
          <m:e>
            <m:r>
              <m:t>n</m:t>
            </m:r>
          </m:e>
          <m:sub>
            <m:r>
              <m:t>a</m:t>
            </m:r>
            <m:r>
              <m:t>g</m:t>
            </m:r>
            <m:r>
              <m:t>g</m:t>
            </m:r>
          </m:sub>
        </m:sSub>
      </m:oMath>
      <w:r>
        <w:t xml:space="preserve">:</w:t>
      </w:r>
      <w:r>
        <w:t xml:space="preserve"> </w:t>
      </w:r>
      <m:oMath>
        <m:sSub>
          <m:e>
            <m:r>
              <m:t>M</m:t>
            </m:r>
          </m:e>
          <m:sub>
            <m:r>
              <m:t>g</m:t>
            </m:r>
          </m:sub>
        </m:sSub>
        <m:r>
          <m:rPr>
            <m:sty m:val="p"/>
          </m:rPr>
          <m:t>=</m:t>
        </m:r>
        <m:r>
          <m:t>15.6</m:t>
        </m:r>
      </m:oMath>
      <w:r>
        <w:t xml:space="preserve"> </w:t>
      </w:r>
      <w:r>
        <w:t xml:space="preserve">at</w:t>
      </w:r>
      <w:r>
        <w:t xml:space="preserve"> </w:t>
      </w:r>
      <m:oMath>
        <m:sSub>
          <m:e>
            <m:r>
              <m:t>n</m:t>
            </m:r>
          </m:e>
          <m:sub>
            <m:r>
              <m:t>a</m:t>
            </m:r>
            <m:r>
              <m:t>g</m:t>
            </m:r>
            <m:r>
              <m:t>g</m:t>
            </m:r>
          </m:sub>
        </m:sSub>
        <m:r>
          <m:rPr>
            <m:sty m:val="p"/>
          </m:rPr>
          <m:t>=</m:t>
        </m:r>
        <m:r>
          <m:t>3</m:t>
        </m:r>
      </m:oMath>
      <w:r>
        <w:t xml:space="preserve">,</w:t>
      </w:r>
      <w:r>
        <w:t xml:space="preserve"> </w:t>
      </w:r>
      <m:oMath>
        <m:sSub>
          <m:e>
            <m:r>
              <m:t>M</m:t>
            </m:r>
          </m:e>
          <m:sub>
            <m:r>
              <m:t>g</m:t>
            </m:r>
          </m:sub>
        </m:sSub>
        <m:r>
          <m:rPr>
            <m:sty m:val="p"/>
          </m:rPr>
          <m:t>=</m:t>
        </m:r>
        <m:r>
          <m:t>41.6</m:t>
        </m:r>
      </m:oMath>
      <w:r>
        <w:t xml:space="preserve"> </w:t>
      </w:r>
      <w:r>
        <w:t xml:space="preserve">at</w:t>
      </w:r>
      <w:r>
        <w:t xml:space="preserve"> </w:t>
      </w:r>
      <m:oMath>
        <m:sSub>
          <m:e>
            <m:r>
              <m:t>n</m:t>
            </m:r>
          </m:e>
          <m:sub>
            <m:r>
              <m:t>a</m:t>
            </m:r>
            <m:r>
              <m:t>g</m:t>
            </m:r>
            <m:r>
              <m:t>g</m:t>
            </m:r>
          </m:sub>
        </m:sSub>
        <m:r>
          <m:rPr>
            <m:sty m:val="p"/>
          </m:rPr>
          <m:t>=</m:t>
        </m:r>
        <m:r>
          <m:t>8</m:t>
        </m:r>
      </m:oMath>
      <w:r>
        <w:t xml:space="preserve"> </w:t>
      </w:r>
      <w:r>
        <w:t xml:space="preserve">(the value used in main §6.3 and in the S10.1 derivation above), and</w:t>
      </w:r>
      <w:r>
        <w:t xml:space="preserve"> </w:t>
      </w:r>
      <m:oMath>
        <m:sSub>
          <m:e>
            <m:r>
              <m:t>M</m:t>
            </m:r>
          </m:e>
          <m:sub>
            <m:r>
              <m:t>g</m:t>
            </m:r>
          </m:sub>
        </m:sSub>
        <m:r>
          <m:rPr>
            <m:sty m:val="p"/>
          </m:rPr>
          <m:t>=</m:t>
        </m:r>
        <m:r>
          <m:t>129.8</m:t>
        </m:r>
      </m:oMath>
      <w:r>
        <w:t xml:space="preserve"> </w:t>
      </w:r>
      <w:r>
        <w:t xml:space="preserve">at</w:t>
      </w:r>
      <w:r>
        <w:t xml:space="preserve"> </w:t>
      </w:r>
      <m:oMath>
        <m:sSub>
          <m:e>
            <m:r>
              <m:t>n</m:t>
            </m:r>
          </m:e>
          <m:sub>
            <m:r>
              <m:t>a</m:t>
            </m:r>
            <m:r>
              <m:t>g</m:t>
            </m:r>
            <m:r>
              <m:t>g</m:t>
            </m:r>
          </m:sub>
        </m:sSub>
        <m:r>
          <m:rPr>
            <m:sty m:val="p"/>
          </m:rPr>
          <m:t>=</m:t>
        </m:r>
        <m:r>
          <m:t>25</m:t>
        </m:r>
      </m:oMath>
      <w:r>
        <w:t xml:space="preserve">. Applying the S10.1 conversion factor (</w:t>
      </w:r>
      <m:oMath>
        <m:r>
          <m:rPr>
            <m:sty m:val="p"/>
          </m:rPr>
          <m:t>∼</m:t>
        </m:r>
        <m:r>
          <m:t>5</m:t>
        </m:r>
        <m:r>
          <m:rPr>
            <m:sty m:val="p"/>
          </m:rPr>
          <m:t>,</m:t>
        </m:r>
        <m:r>
          <m:t>779</m:t>
        </m:r>
      </m:oMath>
      <w:r>
        <w:t xml:space="preserve"> </w:t>
      </w:r>
      <w:r>
        <w:t xml:space="preserve">m³/</w:t>
      </w:r>
      <m:oMath>
        <m:sSub>
          <m:e>
            <m:r>
              <m:t>M</m:t>
            </m:r>
          </m:e>
          <m:sub>
            <m:r>
              <m:t>g</m:t>
            </m:r>
          </m:sub>
        </m:sSub>
      </m:oMath>
      <w:r>
        <w:t xml:space="preserve"> </w:t>
      </w:r>
      <w:r>
        <w:t xml:space="preserve">unit), the predicted volume at</w:t>
      </w:r>
      <w:r>
        <w:t xml:space="preserve"> </w:t>
      </w:r>
      <m:oMath>
        <m:sSub>
          <m:e>
            <m:r>
              <m:t>n</m:t>
            </m:r>
          </m:e>
          <m:sub>
            <m:r>
              <m:t>a</m:t>
            </m:r>
            <m:r>
              <m:t>g</m:t>
            </m:r>
            <m:r>
              <m:t>g</m:t>
            </m:r>
          </m:sub>
        </m:sSub>
        <m:r>
          <m:rPr>
            <m:sty m:val="p"/>
          </m:rPr>
          <m:t>=</m:t>
        </m:r>
        <m:r>
          <m:t>3</m:t>
        </m:r>
      </m:oMath>
      <w:r>
        <w:t xml:space="preserve"> </w:t>
      </w:r>
      <w:r>
        <w:t xml:space="preserve">is</w:t>
      </w:r>
      <w:r>
        <w:t xml:space="preserve"> </w:t>
      </w:r>
      <m:oMath>
        <m:r>
          <m:t>15.6</m:t>
        </m:r>
        <m:r>
          <m:rPr>
            <m:sty m:val="p"/>
          </m:rPr>
          <m:t>×</m:t>
        </m:r>
        <m:r>
          <m:t>5</m:t>
        </m:r>
        <m:r>
          <m:rPr>
            <m:sty m:val="p"/>
          </m:rPr>
          <m:t>,</m:t>
        </m:r>
        <m:r>
          <m:t>779</m:t>
        </m:r>
        <m:r>
          <m:rPr>
            <m:sty m:val="p"/>
          </m:rPr>
          <m:t>≈</m:t>
        </m:r>
        <m:r>
          <m:t>90</m:t>
        </m:r>
        <m:r>
          <m:rPr>
            <m:sty m:val="p"/>
          </m:rPr>
          <m:t>,</m:t>
        </m:r>
        <m:r>
          <m:t>000</m:t>
        </m:r>
      </m:oMath>
      <w:r>
        <w:t xml:space="preserve"> </w:t>
      </w:r>
      <w: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t xml:space="preserve">Second, a stochastic-environment pilot at WB parameters. Treating the year-to-year regional environmental fluctuations as Gaussian noise around the central WB estimate (</w:t>
      </w:r>
      <m:oMath>
        <m:r>
          <m:t>σ</m:t>
        </m:r>
      </m:oMath>
      <w:r>
        <w:t xml:space="preserve"> </w:t>
      </w:r>
      <w:r>
        <w:t xml:space="preserve">mean 0.56, sd 0.13, derived from the main-text §6.2 paleoclimate confidence interval) and computing the fraction of years for which</w:t>
      </w:r>
      <w:r>
        <w:t xml:space="preserve"> </w:t>
      </w:r>
      <m:oMath>
        <m:sSub>
          <m:e>
            <m:r>
              <m:t>σ</m:t>
            </m:r>
          </m:e>
          <m:sub>
            <m:r>
              <m:t>e</m:t>
            </m:r>
            <m:r>
              <m:t>f</m:t>
            </m:r>
            <m:r>
              <m:t>f</m:t>
            </m:r>
          </m:sub>
        </m:sSub>
      </m:oMath>
      <w:r>
        <w:t xml:space="preserve"> </w:t>
      </w:r>
      <w:r>
        <w:t xml:space="preserve">exceeds the WB threshold</w:t>
      </w:r>
      <w:r>
        <w:t xml:space="preserve"> </w:t>
      </w:r>
      <m:oMath>
        <m:sSup>
          <m:e>
            <m:r>
              <m:t>σ</m:t>
            </m:r>
          </m:e>
          <m:sup>
            <m:r>
              <m:rPr>
                <m:sty m:val="p"/>
              </m:rPr>
              <m:t>*</m:t>
            </m:r>
          </m:sup>
        </m:sSup>
        <m:r>
          <m:rPr>
            <m:sty m:val="p"/>
          </m:rPr>
          <m:t>≈</m:t>
        </m:r>
        <m:r>
          <m:t>0.375</m:t>
        </m:r>
      </m:oMath>
      <w: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t xml:space="preserve"> </w:t>
      </w:r>
      <m:oMath>
        <m:r>
          <m:t>α</m:t>
        </m:r>
        <m:r>
          <m:rPr>
            <m:sty m:val="p"/>
          </m:rPr>
          <m:t>=</m:t>
        </m:r>
        <m:r>
          <m:t>2</m:t>
        </m:r>
      </m:oMath>
      <w:r>
        <w:t xml:space="preserve"> </w:t>
      </w:r>
      <w:r>
        <w:t xml:space="preserve">(§S17.2) produces ~25,000 m³ of cumulative investment, essentially matching the observed value within ~9%. Closing the gap therefore primarily requires the per-event labor-scaling extension. The bistable regime-switching mechanism contributes the episodic</w:t>
      </w:r>
      <w:r>
        <w:t xml:space="preserve"> </w:t>
      </w:r>
      <w:r>
        <w:rPr>
          <w:i/>
          <w:iCs/>
        </w:rPr>
        <w:t xml:space="preserve">tempo</w:t>
      </w:r>
      <w:r>
        <w:t xml:space="preserve"> </w:t>
      </w:r>
      <w:r>
        <w:t xml:space="preserve">(matching the 200+-year inter-stage gaps documented by Saunders et al. 2005) rather than the total volume. Both extensions are implemented in §S17.1 (regime switching) and §S17.2 (per-event labor scaling) below.</w:t>
      </w:r>
    </w:p>
    <w:p>
      <w:r>
        <w:pict>
          <v:rect style="width:0;height:1.5pt" o:hralign="center" o:hrstd="t" o:hr="t"/>
        </w:pict>
      </w:r>
    </w:p>
    <w:bookmarkEnd w:id="87"/>
    <w:bookmarkEnd w:id="88"/>
    <w:bookmarkStart w:id="89" w:name="X0769aa5741e11170a5f27a581a02296b6581b8e"/>
    <w:p>
      <w:pPr>
        <w:pStyle w:val="Heading2"/>
      </w:pPr>
      <w:r>
        <w:t xml:space="preserve">S11. Magnitude prediction: five gaps the framework does not address</w:t>
      </w:r>
    </w:p>
    <w:p>
      <w:pPr>
        <w:pStyle w:val="FirstParagraph"/>
      </w:pPr>
      <w:r>
        <w:t xml:space="preserve">The main text (§4.6, §5.1) summarizes that the framework correctly predicts the threshold-crossing condition (all eleven LMV sites in Table 2 above their site-specific</w:t>
      </w:r>
      <w:r>
        <w:t xml:space="preserve"> </w:t>
      </w:r>
      <m:oMath>
        <m:sSup>
          <m:e>
            <m:r>
              <m:t>σ</m:t>
            </m:r>
          </m:e>
          <m:sup>
            <m:r>
              <m:rPr>
                <m:sty m:val="p"/>
              </m:rPr>
              <m:t>*</m:t>
            </m:r>
          </m:sup>
        </m:sSup>
      </m:oMath>
      <w: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i/>
          <w:iCs/>
        </w:rPr>
        <w:t xml:space="preserve">Spatial network topology and routing.</w:t>
      </w:r>
      <w:r>
        <w:t xml:space="preserve"> </w:t>
      </w:r>
      <w: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i/>
          <w:iCs/>
        </w:rPr>
        <w:t xml:space="preserve">Carrying capacity at the gathering.</w:t>
      </w:r>
      <w:r>
        <w:t xml:space="preserve"> </w:t>
      </w:r>
      <w:r>
        <w:t xml:space="preserve">The ecotone parameter</w:t>
      </w:r>
      <w:r>
        <w:t xml:space="preserve"> </w:t>
      </w:r>
      <m:oMath>
        <m:r>
          <m:t>ε</m:t>
        </m:r>
      </m:oMath>
      <w:r>
        <w:t xml:space="preserve"> </w:t>
      </w:r>
      <w: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t xml:space="preserve"> </w:t>
      </w:r>
      <m:oMath>
        <m:r>
          <m:t>ε</m:t>
        </m:r>
      </m:oMath>
      <w:r>
        <w:t xml:space="preserve">. We do not explicitly model the population × duration × resource budget that determines this ceiling.</w:t>
      </w:r>
    </w:p>
    <w:p>
      <w:pPr>
        <w:numPr>
          <w:ilvl w:val="0"/>
          <w:numId w:val="1003"/>
        </w:numPr>
      </w:pPr>
      <w:r>
        <w:rPr>
          <w:i/>
          <w:iCs/>
        </w:rPr>
        <w:t xml:space="preserve">Path dependence and first-mover advantage.</w:t>
      </w:r>
      <w:r>
        <w:t xml:space="preserve"> </w:t>
      </w:r>
      <w: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i/>
          <w:iCs/>
        </w:rPr>
        <w:t xml:space="preserve">Temporal heterogeneity in</w:t>
      </w:r>
      <w:r>
        <w:rPr>
          <w:i/>
          <w:iCs/>
        </w:rPr>
        <w:t xml:space="preserve"> </w:t>
      </w:r>
      <m:oMath>
        <m:r>
          <m:t>σ</m:t>
        </m:r>
      </m:oMath>
      <w:r>
        <w:rPr>
          <w:i/>
          <w:iCs/>
        </w:rPr>
        <w:t xml:space="preserve">.</w:t>
      </w:r>
      <w:r>
        <w:t xml:space="preserve"> </w:t>
      </w:r>
      <w:r>
        <w:t xml:space="preserve">The Middle Archaic LMV sites (Watson Brake, Caney, Insley, Frenchman’s Bend, Lower Jackson) operated under mid-Holocene</w:t>
      </w:r>
      <w:r>
        <w:t xml:space="preserve"> </w:t>
      </w:r>
      <m:oMath>
        <m:r>
          <m:t>σ</m:t>
        </m:r>
        <m:r>
          <m:rPr>
            <m:sty m:val="p"/>
          </m:rPr>
          <m:t>≈</m:t>
        </m:r>
        <m:r>
          <m:t>0.56</m:t>
        </m:r>
      </m:oMath>
      <w:r>
        <w:t xml:space="preserve">. The Late Archaic sites (Poverty Point, J.W. Copes, Jaketown, Cowpen Slough) operated under</w:t>
      </w:r>
      <w:r>
        <w:t xml:space="preserve"> </w:t>
      </w:r>
      <m:oMath>
        <m:r>
          <m:t>σ</m:t>
        </m:r>
        <m:r>
          <m:rPr>
            <m:sty m:val="p"/>
          </m:rPr>
          <m:t>≈</m:t>
        </m:r>
        <m:r>
          <m:t>0.64</m:t>
        </m:r>
      </m:oMath>
      <w:r>
        <w:t xml:space="preserve">. Comparing all eleven sites against a single regional</w:t>
      </w:r>
      <w:r>
        <w:t xml:space="preserve"> </w:t>
      </w:r>
      <m:oMath>
        <m:r>
          <m:t>σ</m:t>
        </m:r>
      </m:oMath>
      <w:r>
        <w:t xml:space="preserve"> </w:t>
      </w:r>
      <w:r>
        <w:t xml:space="preserve">smooths over real environmental differences in their</w:t>
      </w:r>
      <w:r>
        <w:t xml:space="preserve"> </w:t>
      </w:r>
      <m:oMath>
        <m:r>
          <m:t>σ</m:t>
        </m:r>
        <m:r>
          <m:rPr>
            <m:sty m:val="p"/>
          </m:rPr>
          <m:t>−</m:t>
        </m:r>
        <m:sSup>
          <m:e>
            <m:r>
              <m:t>σ</m:t>
            </m:r>
          </m:e>
          <m:sup>
            <m:r>
              <m:rPr>
                <m:sty m:val="p"/>
              </m:rPr>
              <m:t>*</m:t>
            </m:r>
          </m:sup>
        </m:sSup>
      </m:oMath>
      <w:r>
        <w:t xml:space="preserve"> </w:t>
      </w:r>
      <w:r>
        <w:t xml:space="preserve">margins. A time-stratified analysis would tighten the cross-site comparison.</w:t>
      </w:r>
    </w:p>
    <w:p>
      <w:pPr>
        <w:numPr>
          <w:ilvl w:val="0"/>
          <w:numId w:val="1003"/>
        </w:numPr>
      </w:pPr>
      <w:r>
        <w:rPr>
          <w:i/>
          <w:iCs/>
        </w:rPr>
        <w:t xml:space="preserve">Reduction of structure to a single number.</w:t>
      </w:r>
      <w:r>
        <w:t xml:space="preserve"> </w:t>
      </w:r>
      <w:r>
        <w:t xml:space="preserve">The Shannon index reduces five zone weights to one scalar, washing out structural differences (one-dominant vs. evenly-distributed) that may matter for sustained aggregation. The EPA Level IV ecoregion measurement (S12) shows that two operationalizations of</w:t>
      </w:r>
      <w:r>
        <w:t xml:space="preserve"> </w:t>
      </w:r>
      <w:r>
        <w:t xml:space="preserve">“ecotone diversity”</w:t>
      </w:r>
      <w:r>
        <w:t xml:space="preserve"> </w:t>
      </w:r>
      <w:r>
        <w:t xml:space="preserve">give different rankings: Caney intersects the highest Level IV count (9), with Cowpen Slough (8) and Watson Brake (7) next, while Jaketown’s catchment is dominated by Northern Holocene Meander Belts (73a; ~81% of the 25 km buffer) consistent with its Yazoo Basin meander-belt setting. Yet Watson Brake’s monument scale is mid, Caney’s mid, Frenchman’s Bend’s small, and Poverty Point’s largest by orders of magnitude despite a more modest L4 count (4). There is no single</w:t>
      </w:r>
      <w:r>
        <w:t xml:space="preserve"> </w:t>
      </w:r>
      <m:oMath>
        <m:r>
          <m:t>ε</m:t>
        </m:r>
      </m:oMath>
      <w:r>
        <w:t xml:space="preserve"> </w:t>
      </w:r>
      <w:r>
        <w:t xml:space="preserve">that captures the relevant ecological-diversity dimension.</w:t>
      </w:r>
    </w:p>
    <w:p>
      <w:pPr>
        <w:pStyle w:val="FirstParagraph"/>
      </w:pPr>
      <w:r>
        <w:t xml:space="preserve">These five gaps explain why the framework correctly predicts the</w:t>
      </w:r>
      <w:r>
        <w:t xml:space="preserve"> </w:t>
      </w:r>
      <w:r>
        <w:rPr>
          <w:i/>
          <w:iCs/>
        </w:rPr>
        <w:t xml:space="preserve">threshold-crossing condition</w:t>
      </w:r>
      <w:r>
        <w:t xml:space="preserve"> </w:t>
      </w:r>
      <w:r>
        <w:t xml:space="preserve">but not the</w:t>
      </w:r>
      <w:r>
        <w:t xml:space="preserve"> </w:t>
      </w:r>
      <w:r>
        <w:rPr>
          <w:i/>
          <w:iCs/>
        </w:rPr>
        <w:t xml:space="preserve">magnitude variation</w:t>
      </w:r>
      <w:r>
        <w:t xml:space="preserve"> </w:t>
      </w:r>
      <w: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p>
      <w:r>
        <w:pict>
          <v:rect style="width:0;height:1.5pt" o:hralign="center" o:hrstd="t" o:hr="t"/>
        </w:pict>
      </w:r>
    </w:p>
    <w:bookmarkEnd w:id="89"/>
    <w:bookmarkStart w:id="90" w:name="Xe0ea6b23fc108217560814ad28b4dba14359c18"/>
    <w:p>
      <w:pPr>
        <w:pStyle w:val="Heading2"/>
      </w:pPr>
      <w:r>
        <w:t xml:space="preserve">S12. GIS-based ecotone diversity comparison (EPA Level IV ecoregions)</w:t>
      </w:r>
    </w:p>
    <w:p>
      <w:pPr>
        <w:pStyle w:val="FirstParagraph"/>
      </w:pPr>
      <w:r>
        <w:t xml:space="preserve">Two independent GIS-based diversity indices applied to each of the eleven Table 2 sites produce different rankings. Under the corrected zone coding (Table 2, coastal</w:t>
      </w:r>
      <w:r>
        <w:t xml:space="preserve"> </w:t>
      </w:r>
      <m:oMath>
        <m:r>
          <m:t>ε</m:t>
        </m:r>
        <m:r>
          <m:rPr>
            <m:sty m:val="p"/>
          </m:rPr>
          <m:t>=</m:t>
        </m:r>
        <m:r>
          <m:t>0.40</m:t>
        </m:r>
      </m:oMath>
      <w:r>
        <w:t xml:space="preserve">), the qualitative rubric correlates significantly with the Saucier-geomorphic index (</w:t>
      </w:r>
      <m:oMath>
        <m:r>
          <m:t>ρ</m:t>
        </m:r>
        <m:r>
          <m:rPr>
            <m:sty m:val="p"/>
          </m:rPr>
          <m:t>=</m:t>
        </m:r>
        <m:r>
          <m:t>0.70</m:t>
        </m:r>
      </m:oMath>
      <w:r>
        <w:t xml:space="preserve">,</w:t>
      </w:r>
      <w:r>
        <w:t xml:space="preserve"> </w:t>
      </w:r>
      <m:oMath>
        <m:r>
          <m:t>p</m:t>
        </m:r>
        <m:r>
          <m:rPr>
            <m:sty m:val="p"/>
          </m:rPr>
          <m:t>=</m:t>
        </m:r>
        <m:r>
          <m:t>0.016</m:t>
        </m:r>
      </m:oMath>
      <w:r>
        <w:t xml:space="preserve">) but not with the Level IV ecological index (</w:t>
      </w:r>
      <m:oMath>
        <m:r>
          <m:t>ρ</m:t>
        </m:r>
        <m:r>
          <m:rPr>
            <m:sty m:val="p"/>
          </m:rPr>
          <m:t>=</m:t>
        </m:r>
        <m:r>
          <m:t>0.12</m:t>
        </m:r>
      </m:oMath>
      <w:r>
        <w:t xml:space="preserve">,</w:t>
      </w:r>
      <w:r>
        <w:t xml:space="preserve"> </w:t>
      </w:r>
      <m:oMath>
        <m:r>
          <m:t>p</m:t>
        </m:r>
        <m:r>
          <m:rPr>
            <m:sty m:val="p"/>
          </m:rPr>
          <m:t>=</m:t>
        </m:r>
        <m:r>
          <m:t>0.73</m:t>
        </m:r>
      </m:oMath>
      <w:r>
        <w:t xml:space="preserve">). Full detail is given here; Table 3 in the main text reports the corresponding correlations against monument scale.</w:t>
      </w:r>
    </w:p>
    <w:p>
      <w:pPr>
        <w:pStyle w:val="BodyText"/>
      </w:pPr>
      <w: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t xml:space="preserve">Qualitative</w:t>
      </w:r>
      <w:r>
        <w:t xml:space="preserve"> </w:t>
      </w:r>
      <m:oMath>
        <m:r>
          <m:t>ε</m:t>
        </m:r>
      </m:oMath>
      <w:r>
        <w:t xml:space="preserve"> </w:t>
      </w:r>
      <w:r>
        <w:t xml:space="preserve">correlates moderately and significantly with GIS-measured geomorphic</w:t>
      </w:r>
      <w:r>
        <w:t xml:space="preserve"> </w:t>
      </w:r>
      <m:oMath>
        <m:r>
          <m:t>ε</m:t>
        </m:r>
      </m:oMath>
      <w:r>
        <w:t xml:space="preserve"> </w:t>
      </w:r>
      <w:r>
        <w:t xml:space="preserve">(Spearman</w:t>
      </w:r>
      <w:r>
        <w:t xml:space="preserve"> </w:t>
      </w:r>
      <m:oMath>
        <m:r>
          <m:t>ρ</m:t>
        </m:r>
        <m:r>
          <m:rPr>
            <m:sty m:val="p"/>
          </m:rPr>
          <m:t>=</m:t>
        </m:r>
        <m:r>
          <m:t>0.70</m:t>
        </m:r>
      </m:oMath>
      <w:r>
        <w:t xml:space="preserve">,</w:t>
      </w:r>
      <w:r>
        <w:t xml:space="preserve"> </w:t>
      </w:r>
      <m:oMath>
        <m:r>
          <m:t>p</m:t>
        </m:r>
        <m:r>
          <m:rPr>
            <m:sty m:val="p"/>
          </m:rPr>
          <m:t>=</m:t>
        </m:r>
        <m:r>
          <m:t>0.016</m:t>
        </m:r>
      </m:oMath>
      <w:r>
        <w:t xml:space="preserve">), confirming that the rubric captures the same gross depositional-age heterogeneity. It does not track the fine-grained EPA-L4</w:t>
      </w:r>
      <w:r>
        <w:t xml:space="preserve"> </w:t>
      </w:r>
      <m:oMath>
        <m:r>
          <m:t>ε</m:t>
        </m:r>
      </m:oMath>
      <w:r>
        <w:t xml:space="preserve">, however (</w:t>
      </w:r>
      <m:oMath>
        <m:r>
          <m:t>ρ</m:t>
        </m:r>
        <m:r>
          <m:rPr>
            <m:sty m:val="p"/>
          </m:rPr>
          <m:t>=</m:t>
        </m:r>
        <m:r>
          <m:t>0.12</m:t>
        </m:r>
      </m:oMath>
      <w:r>
        <w:t xml:space="preserve">,</w:t>
      </w:r>
      <w:r>
        <w:t xml:space="preserve"> </w:t>
      </w:r>
      <m:oMath>
        <m:r>
          <m:t>p</m:t>
        </m:r>
        <m:r>
          <m:rPr>
            <m:sty m:val="p"/>
          </m:rPr>
          <m:t>=</m:t>
        </m:r>
        <m:r>
          <m:t>0.73</m:t>
        </m:r>
      </m:oMath>
      <w:r>
        <w:t xml:space="preserve">). The contrast is one of scale: the qualitative rubric and the Saucier-geomorphic index both work at the coarse level of depositional-age classes, whereas the L4 classification subdivides the same landscape into many fine ecoregion types, and neither captures the canoe-day water-route catchment that the framework’s</w:t>
      </w:r>
      <w:r>
        <w:t xml:space="preserve"> </w:t>
      </w:r>
      <m:oMath>
        <m:r>
          <m:t>ε</m:t>
        </m:r>
      </m:oMath>
      <w:r>
        <w:t xml:space="preserve"> </w:t>
      </w:r>
      <w:r>
        <w:t xml:space="preserve">actually encodes (see §S17.4). The EPA L4 ranking is informative: Caney’s catchment intersects the highest count of distinct Level IV ecoregions (9), followed by Cowpen Slough (8) and Watson Brake (7); Frenchman’s Bend and Insley each intersect 6; Jaketown, Claiborne, and Cedarland each intersect 5; Poverty Point and Lower Jackson each intersect 4; and J.W. Copes intersects 2. Jaketown’s catchment is dominated by Northern Holocene Meander Belts (73a; ~1,590 km² of the 1,963 km² buffer, ~81%) and Northern Backswamps (73d; ~356 km²), consistent with its published Yazoo Basin meander-belt setting (Ford, Phillips, and Haag 1955). The coastal Pearl River sites (Claiborne and Cedarland) intersect 5 ecoregions each, one more than Poverty Point’s 4. The L4 measurement therefore ranks several interior sites (Caney, Cowpen Slough, Watson Brake) above Poverty Point at the 25-km scale, even though Poverty Point’s monument scale is two orders of magnitude larger. The static measures agree that the high-</w:t>
      </w:r>
      <m:oMath>
        <m:r>
          <m:t>ε</m:t>
        </m:r>
      </m:oMath>
      <w:r>
        <w:t xml:space="preserve"> </w:t>
      </w:r>
      <w:r>
        <w:t xml:space="preserve">band exists but disagree on which sites are most ecologically diverse, and none of them explains PP-style monument scale through terrestrial-buffer ecological diversity alone.</w:t>
      </w:r>
    </w:p>
    <w:p>
      <w:pPr>
        <w:pStyle w:val="BodyText"/>
      </w:pPr>
      <w:r>
        <w:t xml:space="preserve">The cross-LMV ecoregion map showing all eleven sites with 25-km foraging buffers on the EPA Level IV ecoregion polygon background is now main-text Figure 13.</w:t>
      </w:r>
    </w:p>
    <w:p>
      <w:pPr>
        <w:pStyle w:val="BodyText"/>
      </w:pPr>
      <w:r>
        <w:rPr>
          <w:b/>
          <w:bCs/>
        </w:rPr>
        <w:t xml:space="preserve">Category-level recalibration.</w:t>
      </w:r>
      <w:r>
        <w:t xml:space="preserve"> </w:t>
      </w:r>
      <w:r>
        <w:t xml:space="preserve">A reasonable concern about the L4-class Shannon analysis is that ecoregion classes are not equally distinct: an</w:t>
      </w:r>
      <w:r>
        <w:t xml:space="preserve"> </w:t>
      </w:r>
      <w:r>
        <w:t xml:space="preserve">“upland”</w:t>
      </w:r>
      <w:r>
        <w:t xml:space="preserve"> </w:t>
      </w:r>
      <w:r>
        <w:t xml:space="preserve">ecoregion is fundamentally different from a</w:t>
      </w:r>
      <w:r>
        <w:t xml:space="preserve"> </w:t>
      </w:r>
      <w:r>
        <w:t xml:space="preserve">“lowland alluvial”</w:t>
      </w:r>
      <w:r>
        <w:t xml:space="preserve"> </w:t>
      </w:r>
      <w: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and Watson Brake intersect 4 broad categories at the highest category-level entropy (</w:t>
      </w:r>
      <m:oMath>
        <m:sSub>
          <m:e>
            <m:r>
              <m:t>ε</m:t>
            </m:r>
          </m:e>
          <m:sub>
            <m:r>
              <m:t>c</m:t>
            </m:r>
            <m:r>
              <m:t>a</m:t>
            </m:r>
            <m:r>
              <m:t>t</m:t>
            </m:r>
          </m:sub>
        </m:sSub>
        <m:r>
          <m:rPr>
            <m:sty m:val="p"/>
          </m:rPr>
          <m:t>=</m:t>
        </m:r>
        <m:r>
          <m:t>0.314</m:t>
        </m:r>
      </m:oMath>
      <w:r>
        <w:t xml:space="preserve"> </w:t>
      </w:r>
      <w:r>
        <w:t xml:space="preserve">and</w:t>
      </w:r>
      <w:r>
        <w:t xml:space="preserve"> </w:t>
      </w:r>
      <m:oMath>
        <m:r>
          <m:t>0.311</m:t>
        </m:r>
      </m:oMath>
      <w:r>
        <w:t xml:space="preserve">), with Caney also at 4 categories (</w:t>
      </w:r>
      <m:oMath>
        <m:sSub>
          <m:e>
            <m:r>
              <m:t>ε</m:t>
            </m:r>
          </m:e>
          <m:sub>
            <m:r>
              <m:t>c</m:t>
            </m:r>
            <m:r>
              <m:t>a</m:t>
            </m:r>
            <m:r>
              <m:t>t</m:t>
            </m:r>
          </m:sub>
        </m:sSub>
        <m:r>
          <m:rPr>
            <m:sty m:val="p"/>
          </m:rPr>
          <m:t>=</m:t>
        </m:r>
        <m:r>
          <m:t>0.276</m:t>
        </m:r>
      </m:oMath>
      <w:r>
        <w:t xml:space="preserve">). Cowpen Slough, Insley, and Jaketown likewise intersect 4 categories but at lower entropy (</w:t>
      </w:r>
      <m:oMath>
        <m:sSub>
          <m:e>
            <m:r>
              <m:t>ε</m:t>
            </m:r>
          </m:e>
          <m:sub>
            <m:r>
              <m:t>c</m:t>
            </m:r>
            <m:r>
              <m:t>a</m:t>
            </m:r>
            <m:r>
              <m:t>t</m:t>
            </m:r>
          </m:sub>
        </m:sSub>
        <m:r>
          <m:rPr>
            <m:sty m:val="p"/>
          </m:rPr>
          <m:t>=</m:t>
        </m:r>
        <m:r>
          <m:t>0.22</m:t>
        </m:r>
      </m:oMath>
      <w:r>
        <w:t xml:space="preserve">,</w:t>
      </w:r>
      <w:r>
        <w:t xml:space="preserve"> </w:t>
      </w:r>
      <m:oMath>
        <m:r>
          <m:t>0.22</m:t>
        </m:r>
      </m:oMath>
      <w:r>
        <w:t xml:space="preserve">, and</w:t>
      </w:r>
      <w:r>
        <w:t xml:space="preserve"> </w:t>
      </w:r>
      <m:oMath>
        <m:r>
          <m:t>0.12</m:t>
        </m:r>
      </m:oMath>
      <w:r>
        <w:t xml:space="preserve">, the last dominated by a single meander-belt class). Poverty Point and Lower Jackson intersect 3 categories (Alluvial Active, Backswamp, Pleistocene Terrace) at</w:t>
      </w:r>
      <w:r>
        <w:t xml:space="preserve"> </w:t>
      </w:r>
      <m:oMath>
        <m:sSub>
          <m:e>
            <m:r>
              <m:t>ε</m:t>
            </m:r>
          </m:e>
          <m:sub>
            <m:r>
              <m:t>c</m:t>
            </m:r>
            <m:r>
              <m:t>a</m:t>
            </m:r>
            <m:r>
              <m:t>t</m:t>
            </m:r>
          </m:sub>
        </m:sSub>
        <m:r>
          <m:rPr>
            <m:sty m:val="p"/>
          </m:rPr>
          <m:t>≈</m:t>
        </m:r>
        <m:r>
          <m:t>0.24</m:t>
        </m:r>
      </m:oMath>
      <w:r>
        <w:t xml:space="preserve">; the coastal Pearl River pair (Claiborne and Cedarland) intersect 3 categories at</w:t>
      </w:r>
      <w:r>
        <w:t xml:space="preserve"> </w:t>
      </w:r>
      <m:oMath>
        <m:sSub>
          <m:e>
            <m:r>
              <m:t>ε</m:t>
            </m:r>
          </m:e>
          <m:sub>
            <m:r>
              <m:t>c</m:t>
            </m:r>
            <m:r>
              <m:t>a</m:t>
            </m:r>
            <m:r>
              <m:t>t</m:t>
            </m:r>
          </m:sub>
        </m:sSub>
        <m:r>
          <m:rPr>
            <m:sty m:val="p"/>
          </m:rPr>
          <m:t>≈</m:t>
        </m:r>
        <m:r>
          <m:t>0.22</m:t>
        </m:r>
      </m:oMath>
      <w:r>
        <w:t xml:space="preserve">; and J.W. Copes intersects 2 categories (</w:t>
      </w:r>
      <m:oMath>
        <m:sSub>
          <m:e>
            <m:r>
              <m:t>ε</m:t>
            </m:r>
          </m:e>
          <m:sub>
            <m:r>
              <m:t>c</m:t>
            </m:r>
            <m:r>
              <m:t>a</m:t>
            </m:r>
            <m:r>
              <m:t>t</m:t>
            </m:r>
          </m:sub>
        </m:sSub>
        <m:r>
          <m:rPr>
            <m:sty m:val="p"/>
          </m:rPr>
          <m:t>=</m:t>
        </m:r>
        <m:r>
          <m:t>0.14</m:t>
        </m:r>
      </m:oMath>
      <w:r>
        <w:t xml:space="preserve">). The category-level Spearman correlation between qualitative</w:t>
      </w:r>
      <w:r>
        <w:t xml:space="preserve"> </w:t>
      </w:r>
      <m:oMath>
        <m:r>
          <m:t>ε</m:t>
        </m:r>
      </m:oMath>
      <w:r>
        <w:t xml:space="preserve"> </w:t>
      </w:r>
      <w:r>
        <w:t xml:space="preserve">and category-</w:t>
      </w:r>
      <m:oMath>
        <m:r>
          <m:t>ε</m:t>
        </m:r>
      </m:oMath>
      <w:r>
        <w:t xml:space="preserve"> </w:t>
      </w:r>
      <w:r>
        <w:t xml:space="preserve">is</w:t>
      </w:r>
      <w:r>
        <w:t xml:space="preserve"> </w:t>
      </w:r>
      <m:oMath>
        <m:r>
          <m:t>ρ</m:t>
        </m:r>
        <m:r>
          <m:rPr>
            <m:sty m:val="p"/>
          </m:rPr>
          <m:t>=</m:t>
        </m:r>
        <m:r>
          <m:t>0.64</m:t>
        </m:r>
      </m:oMath>
      <w:r>
        <w:t xml:space="preserve"> </w:t>
      </w:r>
      <w:r>
        <w:t xml:space="preserve">(</w:t>
      </w:r>
      <m:oMath>
        <m:r>
          <m:t>p</m:t>
        </m:r>
        <m:r>
          <m:rPr>
            <m:sty m:val="p"/>
          </m:rPr>
          <m:t>=</m:t>
        </m:r>
        <m:r>
          <m:t>0.036</m:t>
        </m:r>
      </m:oMath>
      <w:r>
        <w:t xml:space="preserve">), and the L4-vs-category Spearman correlation is</w:t>
      </w:r>
      <w:r>
        <w:t xml:space="preserve"> </w:t>
      </w:r>
      <m:oMath>
        <m:r>
          <m:t>ρ</m:t>
        </m:r>
        <m:r>
          <m:rPr>
            <m:sty m:val="p"/>
          </m:rPr>
          <m:t>=</m:t>
        </m:r>
        <m:r>
          <m:t>0.58</m:t>
        </m:r>
      </m:oMath>
      <w:r>
        <w:t xml:space="preserve"> </w:t>
      </w:r>
      <w:r>
        <w:t xml:space="preserve">(</w:t>
      </w:r>
      <m:oMath>
        <m:r>
          <m:t>p</m:t>
        </m:r>
        <m:r>
          <m:rPr>
            <m:sty m:val="p"/>
          </m:rPr>
          <m:t>=</m:t>
        </m:r>
        <m:r>
          <m:t>0.060</m:t>
        </m:r>
      </m:oMath>
      <w:r>
        <w:t xml:space="preserve">), confirming that the category-level aggregation tracks both the rubric and the L4 index moderately while smoothing out subtype distinctions. The recalibration therefore moderately strengthens the qualitative rubric’s correspondence with the GIS measurement but</w:t>
      </w:r>
      <w:r>
        <w:t xml:space="preserve"> </w:t>
      </w:r>
      <w:r>
        <w:rPr>
          <w:i/>
          <w:iCs/>
        </w:rPr>
        <w:t xml:space="preserve">does not</w:t>
      </w:r>
      <w:r>
        <w:t xml:space="preserve"> </w:t>
      </w:r>
      <w: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t xml:space="preserve">The qualitative rubric, the Saucier-geomorphic, the EPA-L4, and the broad-category indices share a single fundamental limitation: they all measure raw zone count and area within a 25-km circular</w:t>
      </w:r>
      <w:r>
        <w:t xml:space="preserve"> </w:t>
      </w:r>
      <w:r>
        <w:rPr>
          <w:i/>
          <w:iCs/>
        </w:rPr>
        <w:t xml:space="preserve">terrestrial</w:t>
      </w:r>
      <w:r>
        <w:t xml:space="preserve"> </w:t>
      </w:r>
      <w:r>
        <w:t xml:space="preserve">buffer, not the covariance-based shortfall buffering that the framework’s</w:t>
      </w:r>
      <w:r>
        <w:t xml:space="preserve"> </w:t>
      </w:r>
      <m:oMath>
        <m:r>
          <m:t>ε</m:t>
        </m:r>
      </m:oMath>
      <w:r>
        <w:t xml:space="preserve"> </w:t>
      </w:r>
      <w: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t xml:space="preserve"> </w:t>
      </w:r>
      <w:r>
        <w:t xml:space="preserve">filter, coastal Pearl River pair does not) is the only inferential weight they carry.</w:t>
      </w:r>
    </w:p>
    <w:p>
      <w:pPr>
        <w:pStyle w:val="BodyText"/>
      </w:pPr>
      <w: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p>
      <w:r>
        <w:pict>
          <v:rect style="width:0;height:1.5pt" o:hralign="center" o:hrstd="t" o:hr="t"/>
        </w:pict>
      </w:r>
    </w:p>
    <w:bookmarkEnd w:id="90"/>
    <w:bookmarkStart w:id="91" w:name="X93a86e26ee9455cac49026e2f6b920d4c40c83f"/>
    <w:p>
      <w:pPr>
        <w:pStyle w:val="Heading2"/>
      </w:pPr>
      <w:r>
        <w:t xml:space="preserve">S13. Table 2 Monte Carlo perturbation analysis</w:t>
      </w:r>
    </w:p>
    <w:p>
      <w:pPr>
        <w:pStyle w:val="FirstParagraph"/>
      </w:pPr>
      <w:r>
        <w:t xml:space="preserve">Table 3 reports Spearman</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between the qualitative-rubric</w:t>
      </w:r>
      <w:r>
        <w:t xml:space="preserve"> </w:t>
      </w:r>
      <m:oMath>
        <m:r>
          <m:t>ε</m:t>
        </m:r>
      </m:oMath>
      <w:r>
        <w:t xml:space="preserve"> </w:t>
      </w:r>
      <w: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t xml:space="preserve"> </w:t>
      </w:r>
      <w:r>
        <w:t xml:space="preserve">uniform per weight, clipped to</w:t>
      </w:r>
      <w:r>
        <w:t xml:space="preserve"> </w:t>
      </w:r>
      <m:oMath>
        <m:r>
          <m:rPr>
            <m:sty m:val="p"/>
          </m:rPr>
          <m:t>[</m:t>
        </m:r>
        <m:r>
          <m:t>0</m:t>
        </m:r>
        <m:r>
          <m:rPr>
            <m:sty m:val="p"/>
          </m:rPr>
          <m:t>,</m:t>
        </m:r>
        <m:r>
          <m:t>1</m:t>
        </m:r>
        <m:r>
          <m:rPr>
            <m:sty m:val="p"/>
          </m:rPr>
          <m:t>]</m:t>
        </m:r>
      </m:oMath>
      <w:r>
        <w:t xml:space="preserve">, 1,000 draws;</w:t>
      </w:r>
      <w:r>
        <w:t xml:space="preserve"> </w:t>
      </w:r>
      <w:r>
        <w:rPr>
          <w:rStyle w:val="VerbatimChar"/>
        </w:rPr>
        <w:t xml:space="preserve">scripts/analysis/table2_weight_perturbation.py</w:t>
      </w:r>
      <w:r>
        <w:t xml:space="preserve">). Under the corrected zone coding (coastal</w:t>
      </w:r>
      <w:r>
        <w:t xml:space="preserve"> </w:t>
      </w:r>
      <m:oMath>
        <m:r>
          <m:t>ε</m:t>
        </m:r>
        <m:r>
          <m:rPr>
            <m:sty m:val="p"/>
          </m:rPr>
          <m:t>=</m:t>
        </m:r>
        <m:r>
          <m:t>0.40</m:t>
        </m:r>
      </m:oMath>
      <w:r>
        <w:t xml:space="preserve">), the ranking is only partially stable: Poverty Point ranks first in 86% of draws, but the coastal Pearl River pair (Claiborne and Cedarland) occupies the bottom two ranks in only 21% of draws (they now tie Jaketown at baseline), and the full eleven-site rank order is never preserved (0% of draws). Mean Spearman</w:t>
      </w:r>
      <w:r>
        <w:t xml:space="preserve"> </w:t>
      </w:r>
      <m:oMath>
        <m:r>
          <m:t>ρ</m:t>
        </m:r>
      </m:oMath>
      <w:r>
        <w:t xml:space="preserve"> </w:t>
      </w:r>
      <w:r>
        <w:t xml:space="preserve">across perturbations is</w:t>
      </w:r>
      <w:r>
        <w:t xml:space="preserve"> </w:t>
      </w:r>
      <m:oMath>
        <m:r>
          <m:rPr>
            <m:sty m:val="p"/>
          </m:rPr>
          <m:t>+</m:t>
        </m:r>
        <m:r>
          <m:t>0.16</m:t>
        </m:r>
      </m:oMath>
      <w:r>
        <w:t xml:space="preserve"> </w:t>
      </w:r>
      <w:r>
        <w:t xml:space="preserve">with a 95% interval of</w:t>
      </w:r>
      <w:r>
        <w:t xml:space="preserve"> </w:t>
      </w:r>
      <m:oMath>
        <m:r>
          <m:rPr>
            <m:sty m:val="p"/>
          </m:rPr>
          <m:t>−</m:t>
        </m:r>
        <m:r>
          <m:t>0.19</m:t>
        </m:r>
      </m:oMath>
      <w:r>
        <w:t xml:space="preserve"> </w:t>
      </w:r>
      <w:r>
        <w:t xml:space="preserve">to</w:t>
      </w:r>
      <w:r>
        <w:t xml:space="preserve"> </w:t>
      </w:r>
      <m:oMath>
        <m:r>
          <m:rPr>
            <m:sty m:val="p"/>
          </m:rPr>
          <m:t>+</m:t>
        </m:r>
        <m:r>
          <m:t>0.49</m:t>
        </m:r>
      </m:oMath>
      <w:r>
        <w:t xml:space="preserve">. The PP-first result is robust against the perturbation; the coastal-last result, which was robust under the original coastal coding (0.30), is not robust once the corrected coding credits the coastal pair’s Coastal Plain Upland access. The interior ordering is not stable in either coding. This pattern reinforces the §6.4 interpretation: the static rubric identifies Poverty Point’s top rank robustly, ecotone diversity admits multiple candidate sites without uniquely identifying the regional center, and the interior-versus-coastal discrimination rests on smaller margins under the corrected coding than the original presentation implied.</w:t>
      </w:r>
    </w:p>
    <w:p>
      <w:r>
        <w:pict>
          <v:rect style="width:0;height:1.5pt" o:hralign="center" o:hrstd="t" o:hr="t"/>
        </w:pict>
      </w:r>
    </w:p>
    <w:bookmarkEnd w:id="91"/>
    <w:bookmarkStart w:id="92" w:name="X212a8a5c68b94ccf018abad951e52510cd00633"/>
    <w:p>
      <w:pPr>
        <w:pStyle w:val="Heading2"/>
      </w:pPr>
      <w:r>
        <w:t xml:space="preserve">S14. Per-material exotic decomposition: extended discussion</w:t>
      </w:r>
    </w:p>
    <w:p>
      <w:pPr>
        <w:pStyle w:val="FirstParagraph"/>
      </w:pPr>
      <w:r>
        <w:t xml:space="preserve">The main text (§6.1) reports per-material model output (copper 106 ± 30, steatite 480 ± 116, galena 702 ± 188, novaculite 6,406 ± 1,923, crystal quartz 3,190 ± 898 acquisition events) against archaeological inventories (copper 155 objects, steatite 2,221 fragments, galena 740 masses and shaped objects, novaculite 101 chipped-stone items, crystal quartz 395 raw crystals). The first thing to note is that the per-material counts are not directly comparable across the model-archaeology boundary because the counting units differ. Four considerations bear on the comparison.</w:t>
      </w:r>
    </w:p>
    <w:p>
      <w:pPr>
        <w:pStyle w:val="BodyText"/>
      </w:pPr>
      <w:r>
        <w:rPr>
          <w:i/>
          <w:iCs/>
        </w:rPr>
        <w:t xml:space="preserve">Counting-unit non-comparability across materials.</w:t>
      </w:r>
      <w:r>
        <w:t xml:space="preserve"> </w:t>
      </w:r>
      <w:r>
        <w:t xml:space="preserve">Each call to the model’s</w:t>
      </w:r>
      <w:r>
        <w:t xml:space="preserve"> </w:t>
      </w:r>
      <w:r>
        <w:rPr>
          <w:rStyle w:val="VerbatimChar"/>
        </w:rPr>
        <w:t xml:space="preserve">acquire_exotic</w:t>
      </w:r>
      <w:r>
        <w:t xml:space="preserve"> </w:t>
      </w:r>
      <w:r>
        <w:t xml:space="preserve">routine increments the per-material counter by one, so the model</w:t>
      </w:r>
      <w:r>
        <w:t xml:space="preserve"> </w:t>
      </w:r>
      <w:r>
        <w:t xml:space="preserve">“item”</w:t>
      </w:r>
      <w:r>
        <w:t xml:space="preserve"> </w:t>
      </w:r>
      <w:r>
        <w:t xml:space="preserve">represents one acquisition event, equivalent to one imported</w:t>
      </w:r>
      <w:r>
        <w:t xml:space="preserve"> </w:t>
      </w:r>
      <w:r>
        <w:rPr>
          <w:i/>
          <w:iCs/>
        </w:rPr>
        <w:t xml:space="preserve">object</w:t>
      </w:r>
      <w:r>
        <w:t xml:space="preserve"> </w:t>
      </w:r>
      <w:r>
        <w:t xml:space="preserve">(one steatite bowl, one galena mass, one copper sheet or pendant). The archaeological counts use heterogeneous units. Steatite is reported as fragments (Webb 1982 describes the 2,221 figure as fragments representing several hundred vessels), and a single 30-50 cm steatite bowl breaks readily into many fragments under burial and excavation conditions. Copper is reported as objects, and galena as masses and shaped artifacts, so those two comparisons are closer to like-for-like.</w:t>
      </w:r>
    </w:p>
    <w:p>
      <w:pPr>
        <w:pStyle w:val="BodyText"/>
      </w:pPr>
      <w:r>
        <w:t xml:space="preserve">The remainder of this section discusses three further considerations under the assumption that the per-material comparison is conducted at</w:t>
      </w:r>
      <w:r>
        <w:t xml:space="preserve"> </w:t>
      </w:r>
      <w:r>
        <w:rPr>
          <w:i/>
          <w:iCs/>
        </w:rPr>
        <w:t xml:space="preserve">whatever</w:t>
      </w:r>
      <w:r>
        <w:t xml:space="preserve"> </w:t>
      </w:r>
      <w:r>
        <w:t xml:space="preserve">counting unit one chooses. The conclusions hold for any reasonable conversion.</w:t>
      </w:r>
    </w:p>
    <w:p>
      <w:pPr>
        <w:pStyle w:val="BodyText"/>
      </w:pPr>
      <w:r>
        <w:rPr>
          <w:i/>
          <w:iCs/>
        </w:rPr>
        <w:t xml:space="preserve">The far-source materials are consistent in like units.</w:t>
      </w:r>
      <w:r>
        <w:t xml:space="preserve"> </w:t>
      </w:r>
      <w:r>
        <w:t xml:space="preserve">Copper’s predictive interval contains the recovered count (</w:t>
      </w:r>
      <m:oMath>
        <m:r>
          <m:t>z</m:t>
        </m:r>
        <m:r>
          <m:rPr>
            <m:sty m:val="p"/>
          </m:rPr>
          <m:t>=</m:t>
        </m:r>
        <m:r>
          <m:rPr>
            <m:sty m:val="p"/>
          </m:rPr>
          <m:t>+</m:t>
        </m:r>
        <m:r>
          <m:t>1.6</m:t>
        </m:r>
      </m:oMath>
      <w:r>
        <w:t xml:space="preserve">), galena’s contains it near the center (</w:t>
      </w:r>
      <m:oMath>
        <m:r>
          <m:t>z</m:t>
        </m:r>
        <m:r>
          <m:rPr>
            <m:sty m:val="p"/>
          </m:rPr>
          <m:t>=</m:t>
        </m:r>
        <m:r>
          <m:rPr>
            <m:sty m:val="p"/>
          </m:rPr>
          <m:t>+</m:t>
        </m:r>
        <m:r>
          <m:t>0.2</m:t>
        </m:r>
      </m:oMath>
      <w:r>
        <w:t xml:space="preserve">), and steatite on a vessel basis falls inside the interval. These are the three materials whose acquisition the framework reads as band-level index signaling of long-distance network access, and they are the materials on which the model’s cost-driven acquisition rule and the record agree without correction.</w:t>
      </w:r>
    </w:p>
    <w:p>
      <w:pPr>
        <w:pStyle w:val="BodyText"/>
      </w:pPr>
      <w:r>
        <w:rPr>
          <w:i/>
          <w:iCs/>
        </w:rPr>
        <w:t xml:space="preserve">The near-source overshoot is the informative failure.</w:t>
      </w:r>
      <w:r>
        <w:t xml:space="preserve"> </w:t>
      </w:r>
      <w:r>
        <w:t xml:space="preserve">The model overpredicts novaculite by roughly 63× and crystal quartz by roughly 8×. Acquisition-versus-recovery slippage (the model predicts acquisition flow; archaeology records recovered discard) can absorb modest gaps but not two orders of magnitude, and novaculite is not preservation-limited. The structural reading is that the model’s per-band acquisition probability is a function of source distance and cost only: cheap nearby materials are acquired routinely in the model, while the record shows that near-source materials are rare at the type site (novaculite is ~5% of chipped stone at PP but &gt;80% at sites near the Ouachita source; Mitch 2023:145-146). Under the framework’s own signaling logic, deposition at the hub should track signal value, which rises with source distance and difficulty of acquisition; the model does not encode value-weighted retention, and this is where it fails. The failure is reported as a genuine misfit in §6.1, and adding a value-weighted retention term is identified as a model extension in §7.4 rather than applied post hoc here.</w:t>
      </w:r>
    </w:p>
    <w:p>
      <w:pPr>
        <w:pStyle w:val="BodyText"/>
      </w:pPr>
      <w:r>
        <w:rPr>
          <w:i/>
          <w:iCs/>
        </w:rPr>
        <w:t xml:space="preserve">The steatite-galena diagnostic.</w:t>
      </w:r>
      <w:r>
        <w:t xml:space="preserve"> </w:t>
      </w:r>
      <w:r>
        <w:t xml:space="preserve">The two materials sit at almost equal source distances (~900 km vs. ~800 km), so any distance-only acquisition function predicts comparable per-band rates, and the model indeed produces slightly more galena (702) than steatite (480). The archaeological record inverts this ratio: ~3× more steatite (2,221 fragments) than galena (740), or ~7× more if Webb’s bulk cache of ~2,724 additional fragments is included. Part of the inversion is the fragment-versus-vessel counting unit; the remainder, if any survives a fragments-per-vessel conversion, is consistent with steatite carrying elevated material-specific value driving acquisition above the distance-decay baseline. Steatite vessels at PP appear in bulk caches (Webb 1982) and in functional contexts that imply more than incidental ornament.</w:t>
      </w:r>
    </w:p>
    <w:p>
      <w:pPr>
        <w:pStyle w:val="BodyText"/>
      </w:pPr>
      <w:r>
        <w:t xml:space="preserve">The per-material breakdown is therefore best read as a partial consistency check, not a validation. The far-source, high-signal-value materials match in like units; the steatite fragment count is unit-mismatched; and the near-source materials expose a real structural limitation of the cost-driven acquisition rule that the joint Mahalanobis test in §6.1 registers as a strong rejection. We report the misfit as informative for model development rather than reconciling it.</w:t>
      </w:r>
    </w:p>
    <w:bookmarkEnd w:id="92"/>
    <w:bookmarkStart w:id="93" w:name="Xae4e2e09dac333b71eb214b52917dfa5d2cdd61"/>
    <w:p>
      <w:pPr>
        <w:pStyle w:val="Heading2"/>
      </w:pPr>
      <w:r>
        <w:t xml:space="preserve">S15. Modern hydrograph data: empirical test of the multi-drainage independence claim</w:t>
      </w:r>
    </w:p>
    <w:p>
      <w:pPr>
        <w:pStyle w:val="FirstParagraph"/>
      </w:pPr>
      <w:r>
        <w:t xml:space="preserve">The main text (§6.5) asserts that PP’s confluence position integrates four canoe-accessible drainages (Bayou Maçon, Mississippi, Tensas, Yazoo) with non-synchronized hydrographs. We test this empirically using USGS gauge records (</w:t>
      </w:r>
      <w:r>
        <w:rPr>
          <w:rStyle w:val="VerbatimChar"/>
        </w:rPr>
        <w:t xml:space="preserve">scripts/analysis/hydrograph_covariance.py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t xml:space="preserve">No four-gauge overlap exists (Bayou Maçon’s gauge was only operational 1985-1992, before the Mississippi gauge came online), so the four-drainage analysis is performed pairwise on each pair’s available overlap.</w:t>
      </w:r>
    </w:p>
    <w:p>
      <w:pPr>
        <w:pStyle w:val="BodyText"/>
      </w:pPr>
      <w:r>
        <w:rPr>
          <w:b/>
          <w:bCs/>
        </w:rPr>
        <w:t xml:space="preserve">Anomaly construction.</w:t>
      </w:r>
      <w:r>
        <w:t xml:space="preserve"> </w:t>
      </w:r>
      <w:r>
        <w:t xml:space="preserve">The framework’s question is whether two rivers go up and down together</w:t>
      </w:r>
      <w:r>
        <w:t xml:space="preserve"> </w:t>
      </w:r>
      <w:r>
        <w:rPr>
          <w:i/>
          <w:iCs/>
        </w:rPr>
        <w:t xml:space="preserve">after removing the predictable seasonal cycle</w:t>
      </w:r>
      <w: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t xml:space="preserve"> </w:t>
      </w:r>
      <m:oMath>
        <m:r>
          <m:rPr>
            <m:sty m:val="p"/>
          </m:rPr>
          <m:t>+</m:t>
        </m:r>
        <m:r>
          <m:t>0.01</m:t>
        </m:r>
      </m:oMath>
      <w:r>
        <w:t xml:space="preserve"> </w:t>
      </w:r>
      <w:r>
        <w:t xml:space="preserve">shift to handle zero-discharge months at the smaller drainages), and a monthly climatology was computed as the long-term mean log-discharge for each calendar month</w:t>
      </w:r>
      <w: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t xml:space="preserve"> </w:t>
      </w:r>
      <w:r>
        <w:t xml:space="preserve">over the full available record at that gauge. Anomalies were taken as residuals</w:t>
      </w:r>
      <w: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b/>
          <w:bCs/>
        </w:rPr>
        <w:t xml:space="preserve">Pairwise log-monthly-anomaly correlations</w:t>
      </w:r>
      <w:r>
        <w:t xml:space="preserve"> </w:t>
      </w:r>
      <w: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t xml:space="preserve">The empirical result modifies the framework’s four-drainage claim in a substantive way:</w:t>
      </w:r>
      <w:r>
        <w:t xml:space="preserve"> </w:t>
      </w:r>
      <w:r>
        <w:rPr>
          <w:b/>
          <w:bCs/>
        </w:rPr>
        <w:t xml:space="preserve">Bayou Maçon and the Tensas are not independent drainages</w:t>
      </w:r>
      <w:r>
        <w:t xml:space="preserve">. Their 90% Pearson correlation reflects their shared Macon-Ridge geomorphology and tightly-coupled precipitation forcing. From the framework’s covariance-based</w:t>
      </w:r>
      <w:r>
        <w:t xml:space="preserve"> </w:t>
      </w:r>
      <m:oMath>
        <m:r>
          <m:t>ε</m:t>
        </m:r>
      </m:oMath>
      <w:r>
        <w:t xml:space="preserve"> </w:t>
      </w:r>
      <w:r>
        <w:t xml:space="preserve">standpoint, Bayou Maçon plus the Tensas function as a single</w:t>
      </w:r>
      <w:r>
        <w:t xml:space="preserve"> </w:t>
      </w:r>
      <w:r>
        <w:t xml:space="preserve">“Macon Ridge drainage system”</w:t>
      </w:r>
      <w:r>
        <w:t xml:space="preserve"> </w:t>
      </w:r>
      <w:r>
        <w:t xml:space="preserve">rather than as two independent shortfall regimes. The genuinely independent drainage signals at PP’s catchment are therefore:</w:t>
      </w:r>
    </w:p>
    <w:p>
      <w:pPr>
        <w:pStyle w:val="Compact"/>
        <w:numPr>
          <w:ilvl w:val="0"/>
          <w:numId w:val="1004"/>
        </w:numPr>
      </w:pPr>
      <w:r>
        <w:t xml:space="preserve">The</w:t>
      </w:r>
      <w:r>
        <w:t xml:space="preserve"> </w:t>
      </w:r>
      <w:r>
        <w:rPr>
          <w:b/>
          <w:bCs/>
        </w:rPr>
        <w:t xml:space="preserve">Macon Ridge system</w:t>
      </w:r>
      <w:r>
        <w:t xml:space="preserve"> </w:t>
      </w:r>
      <w:r>
        <w:t xml:space="preserve">(Bayou Maçon + Tensas,</w:t>
      </w:r>
      <w:r>
        <w:t xml:space="preserve"> </w:t>
      </w:r>
      <m:oMath>
        <m:r>
          <m:t>r</m:t>
        </m:r>
        <m:r>
          <m:rPr>
            <m:sty m:val="p"/>
          </m:rPr>
          <m:t>≈</m:t>
        </m:r>
        <m:r>
          <m:t>0.90</m:t>
        </m:r>
      </m:oMath>
      <w:r>
        <w:t xml:space="preserve"> </w:t>
      </w:r>
      <w:r>
        <w:t xml:space="preserve">between them);</w:t>
      </w:r>
    </w:p>
    <w:p>
      <w:pPr>
        <w:pStyle w:val="Compact"/>
        <w:numPr>
          <w:ilvl w:val="0"/>
          <w:numId w:val="1004"/>
        </w:numPr>
      </w:pPr>
      <w:r>
        <w:t xml:space="preserve">The</w:t>
      </w:r>
      <w:r>
        <w:t xml:space="preserve"> </w:t>
      </w:r>
      <w:r>
        <w:rPr>
          <w:b/>
          <w:bCs/>
        </w:rPr>
        <w:t xml:space="preserve">Yazoo Basin</w:t>
      </w:r>
      <w:r>
        <w:t xml:space="preserve"> </w:t>
      </w:r>
      <w:r>
        <w:t xml:space="preserve">(uncorrelated with Mississippi,</w:t>
      </w:r>
      <w:r>
        <w:t xml:space="preserve"> </w:t>
      </w:r>
      <m:oMath>
        <m:r>
          <m:t>r</m:t>
        </m:r>
        <m:r>
          <m:rPr>
            <m:sty m:val="p"/>
          </m:rPr>
          <m:t>=</m:t>
        </m:r>
        <m:r>
          <m:t>0.11</m:t>
        </m:r>
      </m:oMath>
      <w:r>
        <w:t xml:space="preserve">);</w:t>
      </w:r>
    </w:p>
    <w:p>
      <w:pPr>
        <w:pStyle w:val="Compact"/>
        <w:numPr>
          <w:ilvl w:val="0"/>
          <w:numId w:val="1004"/>
        </w:numPr>
      </w:pPr>
      <w:r>
        <w:t xml:space="preserve">The</w:t>
      </w:r>
      <w:r>
        <w:t xml:space="preserve"> </w:t>
      </w:r>
      <w:r>
        <w:rPr>
          <w:b/>
          <w:bCs/>
        </w:rPr>
        <w:t xml:space="preserve">Mississippi mainstem</w:t>
      </w:r>
      <w:r>
        <w:t xml:space="preserve"> </w:t>
      </w:r>
      <w:r>
        <w:t xml:space="preserve">(continental snowmelt + storm-track signal, partly shared with the Tensas at</w:t>
      </w:r>
      <w:r>
        <w:t xml:space="preserve"> </w:t>
      </w:r>
      <m:oMath>
        <m:r>
          <m:t>r</m:t>
        </m:r>
        <m:r>
          <m:rPr>
            <m:sty m:val="p"/>
          </m:rPr>
          <m:t>=</m:t>
        </m:r>
        <m:r>
          <m:t>0.34</m:t>
        </m:r>
      </m:oMath>
      <w:r>
        <w:t xml:space="preserve">).</w:t>
      </w:r>
    </w:p>
    <w:p>
      <w:pPr>
        <w:pStyle w:val="FirstParagraph"/>
      </w:pPr>
      <w: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t xml:space="preserve"> </w:t>
      </w:r>
      <w:r>
        <w:t xml:space="preserve">“three vs one”</w:t>
      </w:r>
      <w:r>
        <w:t xml:space="preserve"> </w:t>
      </w:r>
      <w:r>
        <w:t xml:space="preserve">rather than</w:t>
      </w:r>
      <w:r>
        <w:t xml:space="preserve"> </w:t>
      </w:r>
      <w:r>
        <w:t xml:space="preserve">“four vs one.”</w:t>
      </w:r>
    </w:p>
    <w:p>
      <w:pPr>
        <w:pStyle w:val="BodyText"/>
      </w:pPr>
      <w:r>
        <w:rPr>
          <w:b/>
          <w:bCs/>
        </w:rPr>
        <w:t xml:space="preserve">Bottom-quartile co-incidence</w:t>
      </w:r>
      <w:r>
        <w:t xml:space="preserve"> </w:t>
      </w:r>
      <w: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t xml:space="preserve"> </w:t>
      </w:r>
      <m:oMath>
        <m:r>
          <m:t>ε</m:t>
        </m:r>
      </m:oMath>
      <w:r>
        <w:t xml:space="preserve"> </w:t>
      </w:r>
      <w:r>
        <w:t xml:space="preserve">advantage over other LMV sites.</w:t>
      </w:r>
    </w:p>
    <w:p>
      <w:r>
        <w:pict>
          <v:rect style="width:0;height:1.5pt" o:hralign="center" o:hrstd="t" o:hr="t"/>
        </w:pict>
      </w:r>
    </w:p>
    <w:bookmarkEnd w:id="93"/>
    <w:bookmarkStart w:id="94" w:name="Xf8019c3df050ee7c851b7155ab1292c8dda8ae8"/>
    <w:p>
      <w:pPr>
        <w:pStyle w:val="Heading2"/>
      </w:pPr>
      <w:r>
        <w:t xml:space="preserve">S16. Seasonal resource phenology and temporal staggering</w:t>
      </w:r>
    </w:p>
    <w:p>
      <w:pPr>
        <w:pStyle w:val="FirstParagraph"/>
      </w:pPr>
      <w:r>
        <w:t xml:space="preserve">The framework’s</w:t>
      </w:r>
      <w:r>
        <w:t xml:space="preserve"> </w:t>
      </w:r>
      <m:oMath>
        <m:r>
          <m:t>ε</m:t>
        </m:r>
      </m:oMath>
      <w:r>
        <w:t xml:space="preserve"> </w:t>
      </w:r>
      <w:r>
        <w:t xml:space="preserve">parameter encodes shortfall buffering through</w:t>
      </w:r>
      <w:r>
        <w:t xml:space="preserve"> </w:t>
      </w:r>
      <w:r>
        <w:rPr>
          <w:i/>
          <w:iCs/>
        </w:rPr>
        <w:t xml:space="preserve">negative covariance</w:t>
      </w:r>
      <w:r>
        <w:t xml:space="preserve"> </w:t>
      </w:r>
      <w: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t xml:space="preserve">The Lower Mississippi Valley supports a small number of well-documented seasonal resource peaks driven by independent climate and ecological mechanisms. Hardwood mast (hickory, pecan, acorn) peaks in September-November. Webb (1982:1) reports that</w:t>
      </w:r>
      <w:r>
        <w:t xml:space="preserve"> </w:t>
      </w:r>
      <w:r>
        <w:t xml:space="preserve">“fall and winter provide acorns and other nuts,”</w:t>
      </w:r>
      <w:r>
        <w:t xml:space="preserve"> </w:t>
      </w:r>
      <w:r>
        <w:t xml:space="preserve">and Thomas and Campbell (1978), summarized in Jackson (1986), attribute peak Poverty Point population to the fall mast harvest. Spring fish spawning runs (drum, gar, buffalo, catfish) peak February-May. Webb (1982:1) reports that</w:t>
      </w:r>
      <w:r>
        <w:t xml:space="preserve"> </w:t>
      </w:r>
      <w:r>
        <w:t xml:space="preserve">“spring and summer offer … most varieties of fish and crustaceans,”</w:t>
      </w:r>
      <w:r>
        <w:t xml:space="preserve"> </w:t>
      </w:r>
      <w: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t xml:space="preserve"> </w:t>
      </w:r>
      <w:r>
        <w:t xml:space="preserve">“millions of migratory waterfowl, ducks, geese, swans, pigeons”</w:t>
      </w:r>
      <w:r>
        <w:t xml:space="preserve"> </w:t>
      </w:r>
      <w: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t xml:space="preserve">This analysis is not a finished operationalization of</w:t>
      </w:r>
      <w:r>
        <w:t xml:space="preserve"> </w:t>
      </w:r>
      <m:oMath>
        <m:r>
          <m:t>ε</m:t>
        </m:r>
      </m:oMath>
      <w: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b/>
          <w:bCs/>
        </w:rPr>
        <w:t xml:space="preserve">Cross-site test against observed monument scale.</w:t>
      </w:r>
      <w:r>
        <w:t xml:space="preserve"> </w:t>
      </w:r>
      <w:r>
        <w:t xml:space="preserve">As a quantitative check, we asked whether substituting the phenology peak count for the static Shannon-derived</w:t>
      </w:r>
      <w:r>
        <w:t xml:space="preserve"> </w:t>
      </w:r>
      <m:oMath>
        <m:r>
          <m:t>ε</m:t>
        </m:r>
      </m:oMath>
      <w:r>
        <w:t xml:space="preserve"> </w:t>
      </w:r>
      <w:r>
        <w:t xml:space="preserve">in the Table 2 cross-site comparison improves the Spearman correlation against ordinal observed monument scale. Phenology peaks (1-5) were rescaled to</w:t>
      </w:r>
      <w:r>
        <w:t xml:space="preserve"> </w:t>
      </w:r>
      <m:oMath>
        <m:r>
          <m:t>ε</m:t>
        </m:r>
        <m:r>
          <m:rPr>
            <m:sty m:val="p"/>
          </m:rPr>
          <m:t>∈</m:t>
        </m:r>
        <m:r>
          <m:rPr>
            <m:sty m:val="p"/>
          </m:rPr>
          <m:t>[</m:t>
        </m:r>
        <m:r>
          <m:t>0.10</m:t>
        </m:r>
        <m:r>
          <m:rPr>
            <m:sty m:val="p"/>
          </m:rPr>
          <m:t>,</m:t>
        </m:r>
        <m:r>
          <m:t>0.50</m:t>
        </m:r>
        <m:r>
          <m:rPr>
            <m:sty m:val="p"/>
          </m:rPr>
          <m:t>]</m:t>
        </m:r>
      </m:oMath>
      <w:r>
        <w:t xml:space="preserve"> </w:t>
      </w:r>
      <w:r>
        <w:t xml:space="preserve">to match the framework’s tested</w:t>
      </w:r>
      <w:r>
        <w:t xml:space="preserve"> </w:t>
      </w:r>
      <m:oMath>
        <m:r>
          <m:t>ε</m:t>
        </m:r>
      </m:oMath>
      <w:r>
        <w:t xml:space="preserve"> </w:t>
      </w:r>
      <w:r>
        <w:t xml:space="preserve">range,</w:t>
      </w:r>
      <w:r>
        <w:t xml:space="preserve"> </w:t>
      </w:r>
      <m:oMath>
        <m:sSup>
          <m:e>
            <m:r>
              <m:t>σ</m:t>
            </m:r>
          </m:e>
          <m:sup>
            <m:r>
              <m:rPr>
                <m:sty m:val="p"/>
              </m:rPr>
              <m:t>*</m:t>
            </m:r>
          </m:sup>
        </m:sSup>
      </m:oMath>
      <w:r>
        <w:t xml:space="preserve"> </w:t>
      </w:r>
      <w:r>
        <w:t xml:space="preserve">was computed per site at</w:t>
      </w:r>
      <w:r>
        <w:t xml:space="preserve"> </w:t>
      </w:r>
      <m:oMath>
        <m:sSub>
          <m:e>
            <m:r>
              <m:t>n</m:t>
            </m:r>
          </m:e>
          <m:sub>
            <m:r>
              <m:t>a</m:t>
            </m:r>
            <m:r>
              <m:t>g</m:t>
            </m:r>
            <m:r>
              <m:t>g</m:t>
            </m:r>
          </m:sub>
        </m:sSub>
        <m:r>
          <m:rPr>
            <m:sty m:val="p"/>
          </m:rPr>
          <m:t>=</m:t>
        </m:r>
        <m:r>
          <m:t>25</m:t>
        </m:r>
      </m:oMath>
      <w:r>
        <w:t xml:space="preserve">, and</w:t>
      </w:r>
      <w:r>
        <w:t xml:space="preserve"> </w:t>
      </w:r>
      <m:oMath>
        <m:r>
          <m:t>σ</m:t>
        </m:r>
        <m:r>
          <m:rPr>
            <m:sty m:val="p"/>
          </m:rPr>
          <m:t>−</m:t>
        </m:r>
        <m:sSup>
          <m:e>
            <m:r>
              <m:t>σ</m:t>
            </m:r>
          </m:e>
          <m:sup>
            <m:r>
              <m:rPr>
                <m:sty m:val="p"/>
              </m:rPr>
              <m:t>*</m:t>
            </m:r>
          </m:sup>
        </m:sSup>
      </m:oMath>
      <w:r>
        <w:t xml:space="preserve"> </w:t>
      </w:r>
      <w:r>
        <w:t xml:space="preserve">margins were correlated with the ordinal scale (minimal = 0, small = 1, mid = 2, very large = 3) at the regional Late Archaic</w:t>
      </w:r>
      <w:r>
        <w:t xml:space="preserve"> </w:t>
      </w:r>
      <m:oMath>
        <m:r>
          <m:t>σ</m:t>
        </m:r>
        <m:r>
          <m:rPr>
            <m:sty m:val="p"/>
          </m:rPr>
          <m:t>=</m:t>
        </m:r>
        <m:r>
          <m:t>0.64</m:t>
        </m:r>
      </m:oMath>
      <w:r>
        <w:t xml:space="preserve">. The result: static-</w:t>
      </w:r>
      <m:oMath>
        <m:r>
          <m:t>ε</m:t>
        </m:r>
      </m:oMath>
      <w:r>
        <w:t xml:space="preserve"> </w:t>
      </w:r>
      <w:r>
        <w:t xml:space="preserve">gives</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Phenology-</w:t>
      </w:r>
      <m:oMath>
        <m:r>
          <m:t>ε</m:t>
        </m:r>
      </m:oMath>
      <w:r>
        <w:t xml:space="preserve"> </w:t>
      </w:r>
      <w:r>
        <w:t xml:space="preserve">gives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Neither operationalization significantly predicts ordinal monument scale at fixed</w:t>
      </w:r>
      <w:r>
        <w:t xml:space="preserve"> </w:t>
      </w:r>
      <m:oMath>
        <m:sSub>
          <m:e>
            <m:r>
              <m:t>n</m:t>
            </m:r>
          </m:e>
          <m:sub>
            <m:r>
              <m:t>a</m:t>
            </m:r>
            <m:r>
              <m:t>g</m:t>
            </m:r>
            <m:r>
              <m:t>g</m:t>
            </m:r>
          </m:sub>
        </m:sSub>
      </m:oMath>
      <w:r>
        <w:t xml:space="preserve">. The interpretation we report in main §7.1 is consistent with this null result: monument scale is not determined by</w:t>
      </w:r>
      <w:r>
        <w:t xml:space="preserve"> </w:t>
      </w:r>
      <m:oMath>
        <m:r>
          <m:t>ε</m:t>
        </m:r>
      </m:oMath>
      <w:r>
        <w:t xml:space="preserve"> </w:t>
      </w:r>
      <w:r>
        <w:t xml:space="preserve">alone but by attained</w:t>
      </w:r>
      <w:r>
        <w:t xml:space="preserve"> </w:t>
      </w:r>
      <m:oMath>
        <m:sSub>
          <m:e>
            <m:r>
              <m:t>n</m:t>
            </m:r>
          </m:e>
          <m:sub>
            <m:r>
              <m:t>a</m:t>
            </m:r>
            <m:r>
              <m:t>g</m:t>
            </m:r>
            <m:r>
              <m:t>g</m:t>
            </m:r>
          </m:sub>
        </m:sSub>
      </m:oMath>
      <w:r>
        <w:t xml:space="preserve"> </w:t>
      </w:r>
      <w:r>
        <w:t xml:space="preserve">via the contingent convergence dynamics that pulled bands to specific high-</w:t>
      </w:r>
      <m:oMath>
        <m:r>
          <m:t>ε</m:t>
        </m:r>
      </m:oMath>
      <w:r>
        <w:t xml:space="preserve"> </w:t>
      </w:r>
      <w:r>
        <w:t xml:space="preserve">locations.</w:t>
      </w:r>
    </w:p>
    <w:p>
      <w:pPr>
        <w:pStyle w:val="BodyText"/>
      </w:pPr>
      <w:r>
        <w:rPr>
          <w:b/>
          <w:bCs/>
        </w:rPr>
        <w:t xml:space="preserve">Enriched variance-based phenology epsilon.</w:t>
      </w:r>
      <w:r>
        <w:t xml:space="preserve"> </w:t>
      </w:r>
      <w:r>
        <w:t xml:space="preserve">The peak-count operationalization (Test A) is itself a static count and does not directly capture the framework’s</w:t>
      </w:r>
      <w:r>
        <w:t xml:space="preserve"> </w:t>
      </w:r>
      <w:r>
        <w:rPr>
          <w:i/>
          <w:iCs/>
        </w:rPr>
        <w:t xml:space="preserve">negative covariance</w:t>
      </w:r>
      <w:r>
        <w:t xml:space="preserve"> </w:t>
      </w:r>
      <w:r>
        <w:t xml:space="preserve">logic. We constructed a variance-based alternative (</w:t>
      </w:r>
      <w:r>
        <w:rPr>
          <w:rStyle w:val="VerbatimChar"/>
        </w:rPr>
        <w:t xml:space="preserve">scripts/analysis/phenology_variance_epsilon.py</w:t>
      </w:r>
      <w:r>
        <w:t xml:space="preserve">): a 1,000-year simulation in which each of the five resource-peak categories receives a stochastic productivity multiplier with category-pair correlations</w:t>
      </w:r>
      <w:r>
        <w:t xml:space="preserve"> </w:t>
      </w:r>
      <m:oMath>
        <m:r>
          <m:t>ρ</m:t>
        </m:r>
        <m:r>
          <m:rPr>
            <m:sty m:val="p"/>
          </m:rPr>
          <m:t>=</m:t>
        </m:r>
        <m:r>
          <m:t>0.30</m:t>
        </m:r>
      </m:oMath>
      <w:r>
        <w:t xml:space="preserve"> </w:t>
      </w:r>
      <w:r>
        <w:t xml:space="preserve">matching the S15 regional shortfall driver. For each site, total accessible productivity (weighted by the site’s HM/SFS/SA/FWA/WF flag vector) is computed for each year, and the variance-based</w:t>
      </w:r>
      <w:r>
        <w:t xml:space="preserve"> </w:t>
      </w:r>
      <m:oMath>
        <m:r>
          <m:t>ε</m:t>
        </m:r>
      </m:oMath>
      <w:r>
        <w:t xml:space="preserve"> </w:t>
      </w:r>
      <w: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t xml:space="preserve">Results (regional shortfall correlation</w:t>
      </w:r>
      <w:r>
        <w:t xml:space="preserve"> </w:t>
      </w:r>
      <m:oMath>
        <m:r>
          <m:t>ρ</m:t>
        </m:r>
        <m:r>
          <m:rPr>
            <m:sty m:val="p"/>
          </m:rPr>
          <m:t>=</m:t>
        </m:r>
        <m:r>
          <m:t>0.30</m:t>
        </m:r>
      </m:oMath>
      <w: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J.W. Copes</w:t>
            </w:r>
          </w:p>
        </w:tc>
        <w:tc>
          <w:tcPr/>
          <w:p>
            <w:pPr>
              <w:pStyle w:val="Compact"/>
            </w:pPr>
            <w:r>
              <w:t xml:space="preserve">4.00</w:t>
            </w:r>
          </w:p>
        </w:tc>
        <w:tc>
          <w:tcPr/>
          <w:p>
            <w:pPr>
              <w:pStyle w:val="Compact"/>
            </w:pPr>
            <w:r>
              <w:t xml:space="preserve">0.161</w:t>
            </w:r>
          </w:p>
        </w:tc>
        <w:tc>
          <w:tcPr/>
          <w:p>
            <w:pPr>
              <w:pStyle w:val="Compact"/>
            </w:pPr>
            <w:r>
              <w:t xml:space="preserve">0.376</w:t>
            </w:r>
          </w:p>
        </w:tc>
        <w:tc>
          <w:tcPr/>
          <w:p>
            <w:pPr>
              <w:pStyle w:val="Compact"/>
            </w:pPr>
            <w:r>
              <w:t xml:space="preserve">2.67</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Cowpen Slough</w:t>
            </w:r>
          </w:p>
        </w:tc>
        <w:tc>
          <w:tcPr/>
          <w:p>
            <w:pPr>
              <w:pStyle w:val="Compact"/>
            </w:pPr>
            <w:r>
              <w:t xml:space="preserve">3.00</w:t>
            </w:r>
          </w:p>
        </w:tc>
        <w:tc>
          <w:tcPr/>
          <w:p>
            <w:pPr>
              <w:pStyle w:val="Compact"/>
            </w:pPr>
            <w:r>
              <w:t xml:space="preserve">0.144</w:t>
            </w:r>
          </w:p>
        </w:tc>
        <w:tc>
          <w:tcPr/>
          <w:p>
            <w:pPr>
              <w:pStyle w:val="Compact"/>
            </w:pPr>
            <w:r>
              <w:t xml:space="preserve">0.392</w:t>
            </w:r>
          </w:p>
        </w:tc>
        <w:tc>
          <w:tcPr/>
          <w:p>
            <w:pPr>
              <w:pStyle w:val="Compact"/>
            </w:pPr>
            <w:r>
              <w:t xml:space="preserve">2.55</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t xml:space="preserve">The variance-based</w:t>
      </w:r>
      <w:r>
        <w:t xml:space="preserve"> </w:t>
      </w:r>
      <m:oMath>
        <m:r>
          <m:t>ε</m:t>
        </m:r>
      </m:oMath>
      <w:r>
        <w:t xml:space="preserve"> </w:t>
      </w:r>
      <w:r>
        <w:t xml:space="preserve">ranking places PP, Jaketown, and the multi-zone interior sites in the top band and Caney plus the coastal pair at the bottom, consistent with the framework’s negative-covariance logic. Spearman correlation against observed ordinal monument scale is</w:t>
      </w:r>
      <w:r>
        <w:t xml:space="preserve"> </w:t>
      </w:r>
      <m:oMath>
        <m:r>
          <m:t>ρ</m:t>
        </m:r>
        <m:r>
          <m:rPr>
            <m:sty m:val="p"/>
          </m:rPr>
          <m:t>=</m:t>
        </m:r>
        <m:r>
          <m:rPr>
            <m:sty m:val="p"/>
          </m:rPr>
          <m:t>+</m:t>
        </m:r>
        <m:r>
          <m:t>0.08</m:t>
        </m:r>
      </m:oMath>
      <w:r>
        <w:t xml:space="preserve"> </w:t>
      </w:r>
      <w:r>
        <w:t xml:space="preserve">(</w:t>
      </w:r>
      <m:oMath>
        <m:r>
          <m:t>p</m:t>
        </m:r>
        <m:r>
          <m:rPr>
            <m:sty m:val="p"/>
          </m:rPr>
          <m:t>=</m:t>
        </m:r>
        <m:r>
          <m:t>0.82</m:t>
        </m:r>
      </m:oMath>
      <w:r>
        <w:t xml:space="preserve">), again null. This third null result confirms the main §7.1 reading directly: monument scale is not what</w:t>
      </w:r>
      <w:r>
        <w:t xml:space="preserve"> </w:t>
      </w:r>
      <m:oMath>
        <m:r>
          <m:t>ε</m:t>
        </m:r>
      </m:oMath>
      <w:r>
        <w:t xml:space="preserve"> </w:t>
      </w:r>
      <w:r>
        <w:t xml:space="preserve">predicts at fixed</w:t>
      </w:r>
      <w:r>
        <w:t xml:space="preserve"> </w:t>
      </w:r>
      <m:oMath>
        <m:sSub>
          <m:e>
            <m:r>
              <m:t>n</m:t>
            </m:r>
          </m:e>
          <m:sub>
            <m:r>
              <m:t>a</m:t>
            </m:r>
            <m:r>
              <m:t>g</m:t>
            </m:r>
            <m:r>
              <m:t>g</m:t>
            </m:r>
          </m:sub>
        </m:sSub>
      </m:oMath>
      <w:r>
        <w:t xml:space="preserve">, regardless of which operationalization (static rubric, phenology peak count, or variance-based) one uses.</w:t>
      </w:r>
    </w:p>
    <w:p>
      <w:pPr>
        <w:pStyle w:val="BodyText"/>
      </w:pPr>
      <w:r>
        <w:t xml:space="preserve">What the variance-based</w:t>
      </w:r>
      <w:r>
        <w:t xml:space="preserve"> </w:t>
      </w:r>
      <m:oMath>
        <m:r>
          <m:t>ε</m:t>
        </m:r>
      </m:oMath>
      <w:r>
        <w:t xml:space="preserve"> </w:t>
      </w:r>
      <w:r>
        <w:rPr>
          <w:i/>
          <w:iCs/>
        </w:rPr>
        <w:t xml:space="preserve">does</w:t>
      </w:r>
      <w:r>
        <w:t xml:space="preserve"> </w:t>
      </w:r>
      <w:r>
        <w:t xml:space="preserve">support is the screening role:</w:t>
      </w:r>
      <w:r>
        <w:t xml:space="preserve"> </w:t>
      </w:r>
      <m:oMath>
        <m:sSub>
          <m:e>
            <m:r>
              <m:t>ε</m:t>
            </m:r>
          </m:e>
          <m:sub>
            <m:r>
              <m:t>v</m:t>
            </m:r>
            <m:r>
              <m:t>a</m:t>
            </m:r>
            <m:r>
              <m:t>r</m:t>
            </m:r>
          </m:sub>
        </m:sSub>
      </m:oMath>
      <w:r>
        <w:t xml:space="preserve"> </w:t>
      </w:r>
      <w:r>
        <w:t xml:space="preserve">at</w:t>
      </w:r>
      <w:r>
        <w:t xml:space="preserve"> </w:t>
      </w:r>
      <m:oMath>
        <m:r>
          <m:rPr>
            <m:sty m:val="p"/>
          </m:rPr>
          <m:t>∼</m:t>
        </m:r>
        <m:r>
          <m:t>0.16</m:t>
        </m:r>
      </m:oMath>
      <w:r>
        <w:t xml:space="preserve">-</w:t>
      </w:r>
      <m:oMath>
        <m:r>
          <m:t>0.17</m:t>
        </m:r>
      </m:oMath>
      <w:r>
        <w:t xml:space="preserve"> </w:t>
      </w:r>
      <w:r>
        <w:t xml:space="preserve">for PP, Jaketown, LJ, WB, and JWC,</w:t>
      </w:r>
      <w:r>
        <w:t xml:space="preserve"> </w:t>
      </w:r>
      <m:oMath>
        <m:r>
          <m:rPr>
            <m:sty m:val="p"/>
          </m:rPr>
          <m:t>∼</m:t>
        </m:r>
        <m:r>
          <m:t>0.14</m:t>
        </m:r>
      </m:oMath>
      <w:r>
        <w:t xml:space="preserve">-</w:t>
      </w:r>
      <m:oMath>
        <m:r>
          <m:t>0.15</m:t>
        </m:r>
      </m:oMath>
      <w:r>
        <w:t xml:space="preserve"> </w:t>
      </w:r>
      <w:r>
        <w:t xml:space="preserve">for the smaller interior sites, and</w:t>
      </w:r>
      <w:r>
        <w:t xml:space="preserve"> </w:t>
      </w:r>
      <m:oMath>
        <m:r>
          <m:rPr>
            <m:sty m:val="p"/>
          </m:rPr>
          <m:t>∼</m:t>
        </m:r>
        <m:r>
          <m:t>0.12</m:t>
        </m:r>
      </m:oMath>
      <w:r>
        <w:t xml:space="preserve">-</w:t>
      </w:r>
      <m:oMath>
        <m:r>
          <m:t>0.13</m:t>
        </m:r>
      </m:oMath>
      <w:r>
        <w:t xml:space="preserve"> </w:t>
      </w:r>
      <w:r>
        <w:t xml:space="preserve">for the coastal pair and Caney confirms the interior-vs-coastal discrimination that Table 2 carries, with Caney as the interior exception at the coastal level.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t xml:space="preserve">The full numerical output is in</w:t>
      </w:r>
      <w:r>
        <w:t xml:space="preserve"> </w:t>
      </w:r>
      <w:r>
        <w:rPr>
          <w:rStyle w:val="VerbatimChar"/>
        </w:rPr>
        <w:t xml:space="preserve">results/phenology/phenology_epsilon_test.json</w:t>
      </w:r>
      <w:r>
        <w:t xml:space="preserve"> </w:t>
      </w:r>
      <w:r>
        <w:t xml:space="preserve">(Test A) and</w:t>
      </w:r>
      <w:r>
        <w:t xml:space="preserve"> </w:t>
      </w:r>
      <w:r>
        <w:rPr>
          <w:rStyle w:val="VerbatimChar"/>
        </w:rPr>
        <w:t xml:space="preserve">results/phenology/phenology_variance_epsilon.json</w:t>
      </w:r>
      <w:r>
        <w:t xml:space="preserve"> </w:t>
      </w:r>
      <w:r>
        <w:t xml:space="preserve">(variance-based test).</w:t>
      </w:r>
    </w:p>
    <w:p>
      <w:pPr>
        <w:pStyle w:val="BodyText"/>
      </w:pPr>
      <w:r>
        <w:t xml:space="preserve">The seasonal phenology figure is presented as main-text Figure 15 (§6.7). See also §S16 below.</w:t>
      </w:r>
    </w:p>
    <w:p>
      <w:r>
        <w:pict>
          <v:rect style="width:0;height:1.5pt" o:hralign="center" o:hrstd="t" o:hr="t"/>
        </w:pict>
      </w:r>
    </w:p>
    <w:bookmarkEnd w:id="94"/>
    <w:bookmarkStart w:id="103" w:name="X36576ea3f795908e3034c54bbd7a9ce1f683672"/>
    <w:p>
      <w:pPr>
        <w:pStyle w:val="Heading2"/>
      </w:pPr>
      <w:r>
        <w:t xml:space="preserve">S17. Model components used in §6 and priority follow-up work</w:t>
      </w:r>
    </w:p>
    <w:p>
      <w:pPr>
        <w:pStyle w:val="FirstParagraph"/>
      </w:pPr>
      <w: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t xml:space="preserve"> </w:t>
      </w:r>
      <m:oMath>
        <m:sSub>
          <m:e>
            <m:r>
              <m:t>n</m:t>
            </m:r>
          </m:e>
          <m:sub>
            <m:r>
              <m:t>a</m:t>
            </m:r>
            <m:r>
              <m:t>g</m:t>
            </m:r>
            <m:r>
              <m:t>g</m:t>
            </m:r>
          </m:sub>
        </m:sSub>
      </m:oMath>
      <w:r>
        <w:t xml:space="preserve"> </w:t>
      </w:r>
      <w: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95" w:name="Xde57d3fc74c0c8da7e408217bf51105bc4f0e8f"/>
    <w:p>
      <w:pPr>
        <w:pStyle w:val="Heading3"/>
      </w:pPr>
      <w:r>
        <w:t xml:space="preserve">S17.1 Regime switching for the Watson Brake bistable closure</w:t>
      </w:r>
    </w:p>
    <w:p>
      <w:pPr>
        <w:pStyle w:val="FirstParagraph"/>
      </w:pPr>
      <w:r>
        <w:t xml:space="preserve">(Main text §6.3;</w:t>
      </w:r>
      <w:r>
        <w:t xml:space="preserve"> </w:t>
      </w:r>
      <w:r>
        <w:rPr>
          <w:i/>
          <w:iCs/>
        </w:rPr>
        <w:t xml:space="preserve">Continuous-equilibrium treatment</w:t>
      </w:r>
      <w:r>
        <w:t xml:space="preserve"> </w:t>
      </w:r>
      <w:r>
        <w:t xml:space="preserve">in main §7.4.)</w:t>
      </w:r>
      <w:r>
        <w:t xml:space="preserve"> </w:t>
      </w:r>
      <w:r>
        <w:rPr>
          <w:b/>
          <w:bCs/>
        </w:rPr>
        <w:t xml:space="preserve">Implemented in this revision (analytical-stochastic version). Central to the §6.3 closure.</w:t>
      </w:r>
      <w:r>
        <w:t xml:space="preserve"> </w:t>
      </w:r>
      <w:r>
        <w:t xml:space="preserve">A 700-year simulation samples</w:t>
      </w:r>
      <w: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t xml:space="preserve"> </w:t>
      </w:r>
      <w:r>
        <w:t xml:space="preserve">each year at WB parameters (</w:t>
      </w:r>
      <m:oMath>
        <m:sSub>
          <m:e>
            <m:r>
              <m:t>μ</m:t>
            </m:r>
          </m:e>
          <m:sub>
            <m:r>
              <m:t>e</m:t>
            </m:r>
            <m:r>
              <m:t>f</m:t>
            </m:r>
            <m:r>
              <m:t>f</m:t>
            </m:r>
          </m:sub>
        </m:sSub>
        <m:r>
          <m:rPr>
            <m:sty m:val="p"/>
          </m:rPr>
          <m:t>=</m:t>
        </m:r>
        <m:r>
          <m:t>0.319</m:t>
        </m:r>
      </m:oMath>
      <w:r>
        <w:t xml:space="preserve"> </w:t>
      </w:r>
      <w:r>
        <w:t xml:space="preserve">at</w:t>
      </w:r>
      <w:r>
        <w:t xml:space="preserve"> </w:t>
      </w:r>
      <m:oMath>
        <m:r>
          <m:t>σ</m:t>
        </m:r>
        <m:r>
          <m:rPr>
            <m:sty m:val="p"/>
          </m:rPr>
          <m:t>=</m:t>
        </m:r>
        <m:r>
          <m:t>0.56</m:t>
        </m:r>
      </m:oMath>
      <w:r>
        <w:t xml:space="preserve"> </w:t>
      </w:r>
      <w:r>
        <w:t xml:space="preserve">and</w:t>
      </w:r>
      <w:r>
        <w:t xml:space="preserve"> </w:t>
      </w:r>
      <m:oMath>
        <m:r>
          <m:t>ε</m:t>
        </m:r>
        <m:r>
          <m:rPr>
            <m:sty m:val="p"/>
          </m:rPr>
          <m:t>=</m:t>
        </m:r>
        <m:r>
          <m:t>0.43</m:t>
        </m:r>
      </m:oMath>
      <w:r>
        <w:t xml:space="preserve">), classifies each year above or below the analytical</w:t>
      </w:r>
      <w:r>
        <w:t xml:space="preserve"> </w:t>
      </w:r>
      <m:oMath>
        <m:sSup>
          <m:e>
            <m:r>
              <m:t>σ</m:t>
            </m:r>
          </m:e>
          <m:sup>
            <m:r>
              <m:rPr>
                <m:sty m:val="p"/>
              </m:rPr>
              <m:t>*</m:t>
            </m:r>
          </m:sup>
        </m:sSup>
        <m:r>
          <m:rPr>
            <m:sty m:val="p"/>
          </m:rPr>
          <m:t>=</m:t>
        </m:r>
        <m:r>
          <m:t>0.375</m:t>
        </m:r>
      </m:oMath>
      <w:r>
        <w:t xml:space="preserve">, requires a minimum-persistence run length</w:t>
      </w:r>
      <w:r>
        <w:t xml:space="preserve"> </w:t>
      </w:r>
      <m:oMath>
        <m:r>
          <m:t>K</m:t>
        </m:r>
      </m:oMath>
      <w:r>
        <w:t xml:space="preserve"> </w:t>
      </w:r>
      <w:r>
        <w:t xml:space="preserve">years to count as a regime transition (band-coordination delay), and accumulates monument volume during persistent above-threshold intervals at the per-event labor-scaled rate (per-event labor scaling at</w:t>
      </w:r>
      <w:r>
        <w:t xml:space="preserve"> </w:t>
      </w:r>
      <m:oMath>
        <m:r>
          <m:t>α</m:t>
        </m:r>
        <m:r>
          <m:rPr>
            <m:sty m:val="p"/>
          </m:rPr>
          <m:t>=</m:t>
        </m:r>
        <m:r>
          <m:t>2</m:t>
        </m:r>
      </m:oMath>
      <w:r>
        <w:t xml:space="preserve">; §S17.2). Sweeping</w:t>
      </w:r>
      <w:r>
        <w:t xml:space="preserve"> </w:t>
      </w:r>
      <m:oMath>
        <m:sSub>
          <m:e>
            <m:r>
              <m:t>σ</m:t>
            </m:r>
          </m:e>
          <m:sub>
            <m:r>
              <m:t>s</m:t>
            </m:r>
            <m:r>
              <m:t>d</m:t>
            </m:r>
          </m:sub>
        </m:sSub>
        <m:r>
          <m:rPr>
            <m:sty m:val="p"/>
          </m:rPr>
          <m:t>∈</m:t>
        </m:r>
        <m:r>
          <m:rPr>
            <m:sty m:val="p"/>
          </m:rPr>
          <m:t>[</m:t>
        </m:r>
        <m:r>
          <m:t>0.075</m:t>
        </m:r>
        <m:r>
          <m:rPr>
            <m:sty m:val="p"/>
          </m:rPr>
          <m:t>,</m:t>
        </m:r>
        <m:r>
          <m:t>0.20</m:t>
        </m:r>
        <m:r>
          <m:rPr>
            <m:sty m:val="p"/>
          </m:rPr>
          <m:t>]</m:t>
        </m:r>
      </m:oMath>
      <w:r>
        <w:t xml:space="preserve"> </w:t>
      </w:r>
      <w:r>
        <w:t xml:space="preserve">and</w:t>
      </w:r>
      <w:r>
        <w:t xml:space="preserve"> </w:t>
      </w:r>
      <m:oMath>
        <m:r>
          <m:t>K</m:t>
        </m:r>
        <m:r>
          <m:rPr>
            <m:sty m:val="p"/>
          </m:rPr>
          <m:t>∈</m:t>
        </m:r>
        <m:r>
          <m:rPr>
            <m:sty m:val="p"/>
          </m:rPr>
          <m:t>[</m:t>
        </m:r>
        <m:r>
          <m:t>1</m:t>
        </m:r>
        <m:r>
          <m:rPr>
            <m:sty m:val="p"/>
          </m:rPr>
          <m:t>,</m:t>
        </m:r>
        <m:r>
          <m:t>5</m:t>
        </m:r>
        <m:r>
          <m:rPr>
            <m:sty m:val="p"/>
          </m:rPr>
          <m:t>]</m:t>
        </m:r>
      </m:oMath>
      <w:r>
        <w:t xml:space="preserve"> </w:t>
      </w:r>
      <w: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0.44</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0.69</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0.20</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0.29</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0.38</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0.01</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0.02</w:t>
            </w:r>
          </w:p>
        </w:tc>
      </w:tr>
    </w:tbl>
    <w:p>
      <w:pPr>
        <w:pStyle w:val="BodyText"/>
      </w:pPr>
      <w:r>
        <w:t xml:space="preserve">Across the swept</w:t>
      </w:r>
      <w:r>
        <w:t xml:space="preserve"> </w:t>
      </w:r>
      <m:oMath>
        <m:r>
          <m:rPr>
            <m:sty m:val="p"/>
          </m:rPr>
          <m:t>(</m:t>
        </m:r>
        <m:sSub>
          <m:e>
            <m:r>
              <m:t>σ</m:t>
            </m:r>
          </m:e>
          <m:sub>
            <m:r>
              <m:t>s</m:t>
            </m:r>
            <m:r>
              <m:t>d</m:t>
            </m:r>
          </m:sub>
        </m:sSub>
        <m:r>
          <m:rPr>
            <m:sty m:val="p"/>
          </m:rPr>
          <m:t>,</m:t>
        </m:r>
        <m:r>
          <m:t>K</m:t>
        </m:r>
        <m:r>
          <m:rPr>
            <m:sty m:val="p"/>
          </m:rPr>
          <m:t>)</m:t>
        </m:r>
      </m:oMath>
      <w:r>
        <w:t xml:space="preserve"> </w:t>
      </w:r>
      <w:r>
        <w:t xml:space="preserve">grid at the LiDAR-derived per-mound WB volume of 27,065 m³ (§5.1), regime-switching predictions for cumulative WB volume span ~2,800 to ~89,000 m³ at</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sSub>
          <m:e>
            <m:r>
              <m:t>σ</m:t>
            </m:r>
          </m:e>
          <m:sub>
            <m:r>
              <m:t>s</m:t>
            </m:r>
            <m:r>
              <m:t>d</m:t>
            </m:r>
          </m:sub>
        </m:sSub>
        <m:r>
          <m:rPr>
            <m:sty m:val="p"/>
          </m:rPr>
          <m:t>∈</m:t>
        </m:r>
        <m:r>
          <m:rPr>
            <m:sty m:val="p"/>
          </m:rPr>
          <m:t>[</m:t>
        </m:r>
        <m:r>
          <m:t>0.075</m:t>
        </m:r>
        <m:r>
          <m:rPr>
            <m:sty m:val="p"/>
          </m:rPr>
          <m:t>,</m:t>
        </m:r>
        <m:r>
          <m:t>0.20</m:t>
        </m:r>
        <m:r>
          <m:rPr>
            <m:sty m:val="p"/>
          </m:rPr>
          <m:t>]</m:t>
        </m:r>
      </m:oMath>
      <w:r>
        <w:t xml:space="preserve">. The observed 27,065 m³ sits inside the K=2 sweep range (~12,000 to ~35,000 m³ across this</w:t>
      </w:r>
      <w:r>
        <w:t xml:space="preserve"> </w:t>
      </w:r>
      <m:oMath>
        <m:sSub>
          <m:e>
            <m:r>
              <m:t>σ</m:t>
            </m:r>
          </m:e>
          <m:sub>
            <m:r>
              <m:t>s</m:t>
            </m:r>
            <m:r>
              <m:t>d</m:t>
            </m:r>
          </m:sub>
        </m:sSub>
      </m:oMath>
      <w:r>
        <w:t xml:space="preserve"> </w:t>
      </w:r>
      <w:r>
        <w:t xml:space="preserve">range), with K=1 overshooting (~52,000 to ~89,000 m³) and K=3 undershooting (~2,800 to ~13,600 m³). The per-event labor-scaling extension (§S17.2) closes the WB gap essentially exactly (~25,000 m³ predicted, 0.91× of observed) independently of any specific</w:t>
      </w:r>
      <w:r>
        <w:t xml:space="preserve"> </w:t>
      </w:r>
      <m:oMath>
        <m:r>
          <m:t>K</m:t>
        </m:r>
      </m:oMath>
      <w:r>
        <w:t xml:space="preserve"> </w:t>
      </w:r>
      <w:r>
        <w:t xml:space="preserve">value sweep-selected against the volume observation. We therefore no longer treat the regime-switching closure as the principal reconciliation. The regime-switching extension’s substantive role in the framework is to account for the episodic</w:t>
      </w:r>
      <w:r>
        <w:t xml:space="preserve"> </w:t>
      </w:r>
      <w:r>
        <w:rPr>
          <w:i/>
          <w:iCs/>
        </w:rPr>
        <w:t xml:space="preserve">tempo</w:t>
      </w:r>
      <w:r>
        <w:t xml:space="preserve"> </w:t>
      </w:r>
      <w:r>
        <w:t xml:space="preserve">of WB construction (the 200+-year inter-stage gaps), which it does at any</w:t>
      </w:r>
      <w:r>
        <w:t xml:space="preserve"> </w:t>
      </w:r>
      <m:oMath>
        <m:r>
          <m:t>K</m:t>
        </m:r>
        <m:r>
          <m:rPr>
            <m:sty m:val="p"/>
          </m:rPr>
          <m:t>≥</m:t>
        </m:r>
        <m:r>
          <m:t>1</m:t>
        </m:r>
      </m:oMath>
      <w:r>
        <w:t xml:space="preserve"> </w:t>
      </w:r>
      <w:r>
        <w:t xml:space="preserve">given the WB threshold proximity. This episodic structure is the prediction the framework makes about WB irrespective of the volume figure. The independent ethnographic anchoring of</w:t>
      </w:r>
      <w:r>
        <w:t xml:space="preserve"> </w:t>
      </w:r>
      <m:oMath>
        <m:r>
          <m:t>K</m:t>
        </m:r>
      </m:oMath>
      <w:r>
        <w:t xml:space="preserve"> </w:t>
      </w:r>
      <w:r>
        <w:t xml:space="preserve">from multi-band cooperation timescales (Wiessner 2002:434-435; Kelly 2013:159-167) remains identified as priority follow-up.</w:t>
      </w:r>
    </w:p>
    <w:p>
      <w:pPr>
        <w:pStyle w:val="BodyText"/>
      </w:pPr>
      <w:r>
        <w:t xml:space="preserve">Reproducible from</w:t>
      </w:r>
      <w:r>
        <w:t xml:space="preserve"> </w:t>
      </w:r>
      <w:r>
        <w:rPr>
          <w:rStyle w:val="VerbatimChar"/>
        </w:rPr>
        <w:t xml:space="preserve">scripts/analysis/regime_switching_simulation.py</w:t>
      </w:r>
      <w:r>
        <w:t xml:space="preserve">, with outputs in</w:t>
      </w:r>
      <w:r>
        <w:t xml:space="preserve"> </w:t>
      </w:r>
      <w:r>
        <w:rPr>
          <w:rStyle w:val="VerbatimChar"/>
        </w:rPr>
        <w:t xml:space="preserve">results/sensitivity/regime_switching_wb.json</w:t>
      </w:r>
      <w:r>
        <w:t xml:space="preserve">. Full ABM-level regime-switching with endogenous strategy switching and explicit annual fitness comparison remains as future work.</w:t>
      </w:r>
    </w:p>
    <w:bookmarkEnd w:id="95"/>
    <w:bookmarkStart w:id="96" w:name="s17.2-per-event-labor-scaling"/>
    <w:p>
      <w:pPr>
        <w:pStyle w:val="Heading3"/>
      </w:pPr>
      <w:r>
        <w:t xml:space="preserve">S17.2 Per-event labor scaling</w:t>
      </w:r>
    </w:p>
    <w:p>
      <w:pPr>
        <w:pStyle w:val="FirstParagraph"/>
      </w:pPr>
      <w:r>
        <w:t xml:space="preserve">(Main text §6.1;</w:t>
      </w:r>
      <w:r>
        <w:t xml:space="preserve"> </w:t>
      </w:r>
      <w:r>
        <w:rPr>
          <w:i/>
          <w:iCs/>
        </w:rPr>
        <w:t xml:space="preserve">Labor-to-volume calibration</w:t>
      </w:r>
      <w:r>
        <w:t xml:space="preserve"> </w:t>
      </w:r>
      <w:r>
        <w:t xml:space="preserve">in main §7.4.)</w:t>
      </w:r>
      <w:r>
        <w:t xml:space="preserve"> </w:t>
      </w:r>
      <w:r>
        <w:rPr>
          <w:b/>
          <w:bCs/>
        </w:rPr>
        <w:t xml:space="preserve">Implemented in this revision. Central to the §6.3 Watson Brake closure and the §6.6 cross-LMV magnitude correlation.</w:t>
      </w:r>
      <w:r>
        <w:t xml:space="preserve"> </w:t>
      </w:r>
      <w:r>
        <w:t xml:space="preserve">We add a power-law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where</w:t>
      </w:r>
      <w:r>
        <w:t xml:space="preserve"> </w:t>
      </w:r>
      <m:oMath>
        <m:sSub>
          <m:e>
            <m:r>
              <m:t>b</m:t>
            </m:r>
          </m:e>
          <m:sub>
            <m:r>
              <m:t>0</m:t>
            </m:r>
          </m:sub>
        </m:sSub>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anchors PP to its observed 750,000 m³ and the exponent</w:t>
      </w:r>
      <w:r>
        <w:t xml:space="preserve"> </w:t>
      </w:r>
      <m:oMath>
        <m:r>
          <m:t>α</m:t>
        </m:r>
      </m:oMath>
      <w:r>
        <w:t xml:space="preserve"> </w:t>
      </w:r>
      <w:r>
        <w:t xml:space="preserve">encodes how strongly per-crew output scales with crew size. Sweeping</w:t>
      </w:r>
      <w: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t xml:space="preserve"> </w:t>
      </w:r>
      <w:r>
        <w:t xml:space="preserve">and comparing predicted-vs-observed volumes across the eleven LMV sites: the rank-correlation Spearman</w:t>
      </w:r>
      <w:r>
        <w:t xml:space="preserve"> </w:t>
      </w:r>
      <m:oMath>
        <m:r>
          <m:t>ρ</m:t>
        </m:r>
      </m:oMath>
      <w:r>
        <w:t xml:space="preserve"> </w:t>
      </w:r>
      <w:r>
        <w:t xml:space="preserve">is invariant at</w:t>
      </w:r>
      <w:r>
        <w:t xml:space="preserve"> </w:t>
      </w:r>
      <m:oMath>
        <m:r>
          <m:t>0.85</m:t>
        </m:r>
      </m:oMath>
      <w:r>
        <w:t xml:space="preserve">-</w:t>
      </w:r>
      <m:oMath>
        <m:r>
          <m:t>0.90</m:t>
        </m:r>
      </m:oMath>
      <w:r>
        <w:t xml:space="preserve"> </w:t>
      </w:r>
      <w:r>
        <w:t xml:space="preserve">(the scaling factor preserves relative ordering by design). The absolute calibration is closest at</w:t>
      </w:r>
      <w:r>
        <w:t xml:space="preserve"> </w:t>
      </w:r>
      <m:oMath>
        <m:r>
          <m:t>α</m:t>
        </m:r>
        <m:r>
          <m:rPr>
            <m:sty m:val="p"/>
          </m:rPr>
          <m:t>≈</m:t>
        </m:r>
        <m:r>
          <m:t>2.0</m:t>
        </m:r>
      </m:oMath>
      <w:r>
        <w:t xml:space="preserve">, where mean</w:t>
      </w:r>
      <w: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t xml:space="preserve"> </w:t>
      </w:r>
      <w:r>
        <w:t xml:space="preserve">across the sample (all sites within ~10</w:t>
      </w:r>
      <m:oMath>
        <m:sSup>
          <m:e>
            <m:r>
              <m:t>​</m:t>
            </m:r>
          </m:e>
          <m:sup>
            <m:r>
              <m:t>0.5</m:t>
            </m:r>
          </m:sup>
        </m:sSup>
      </m:oMath>
      <w:r>
        <w:t xml:space="preserve"> </w:t>
      </w:r>
      <w:r>
        <w:t xml:space="preserve">= 3</w:t>
      </w:r>
      <m:oMath>
        <m:r>
          <m:rPr>
            <m:sty m:val="p"/>
          </m:rPr>
          <m:t>×</m:t>
        </m:r>
      </m:oMath>
      <w:r>
        <w:t xml:space="preserve"> </w:t>
      </w:r>
      <w:r>
        <w:t xml:space="preserve">of observed volume; std of log-ratios is 0.54). At</w:t>
      </w:r>
      <w:r>
        <w:t xml:space="preserve"> </w:t>
      </w:r>
      <m:oMath>
        <m:r>
          <m:t>α</m:t>
        </m:r>
        <m:r>
          <m:rPr>
            <m:sty m:val="p"/>
          </m:rPr>
          <m:t>=</m:t>
        </m:r>
        <m:r>
          <m:t>2.0</m:t>
        </m:r>
      </m:oMath>
      <w: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t xml:space="preserve">). Insley drops from 180,000 m³ to ~10,400 m³ (vs observed 14,000 m³, ~0.7</w:t>
      </w:r>
      <m:oMath>
        <m:r>
          <m:rPr>
            <m:sty m:val="p"/>
          </m:rPr>
          <m:t>×</m:t>
        </m:r>
      </m:oMath>
      <w:r>
        <w:t xml:space="preserve">, slight underpredict).</w:t>
      </w:r>
    </w:p>
    <w:p>
      <w:pPr>
        <w:pStyle w:val="BodyText"/>
      </w:pPr>
      <w:r>
        <w:t xml:space="preserve">The interpretation requires honest framing. The rank-correlation invariance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w:t>
      </w:r>
      <w:r>
        <w:t xml:space="preserve">across all</w:t>
      </w:r>
      <w:r>
        <w:t xml:space="preserve"> </w:t>
      </w:r>
      <m:oMath>
        <m:r>
          <m:t>α</m:t>
        </m:r>
      </m:oMath>
      <w:r>
        <w:t xml:space="preserve">) reflects that the n-power scaling preserves rank order by construction. The absolute-volume agreement at</w:t>
      </w:r>
      <w:r>
        <w:t xml:space="preserve"> </w:t>
      </w:r>
      <m:oMath>
        <m:r>
          <m:t>α</m:t>
        </m:r>
        <m:r>
          <m:rPr>
            <m:sty m:val="p"/>
          </m:rPr>
          <m:t>=</m:t>
        </m:r>
        <m:r>
          <m:t>2.0</m:t>
        </m:r>
      </m:oMath>
      <w:r>
        <w:t xml:space="preserve"> </w:t>
      </w:r>
      <w:r>
        <w:t xml:space="preserve">is</w:t>
      </w:r>
      <w:r>
        <w:t xml:space="preserve"> </w:t>
      </w:r>
      <w:r>
        <w:rPr>
          <w:i/>
          <w:iCs/>
        </w:rPr>
        <w:t xml:space="preserve">not</w:t>
      </w:r>
      <w:r>
        <w:t xml:space="preserve"> </w:t>
      </w:r>
      <w:r>
        <w:t xml:space="preserve">a prediction:</w:t>
      </w:r>
      <w:r>
        <w:t xml:space="preserve"> </w:t>
      </w:r>
      <m:oMath>
        <m:r>
          <m:t>α</m:t>
        </m:r>
      </m:oMath>
      <w:r>
        <w:t xml:space="preserve"> </w:t>
      </w:r>
      <w:r>
        <w:t xml:space="preserve">was selected as the value that minimizes mean</w:t>
      </w:r>
      <w: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t xml:space="preserve"> </w:t>
      </w:r>
      <w: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t xml:space="preserve"> </w:t>
      </w:r>
      <w:r>
        <w:t xml:space="preserve">of observed is correct.</w:t>
      </w:r>
    </w:p>
    <w:p>
      <w:pPr>
        <w:pStyle w:val="BodyText"/>
      </w:pPr>
      <w:r>
        <w:t xml:space="preserve">The framework’s substantive claim is therefore (i) the rank-correlation invariant in</w:t>
      </w:r>
      <w:r>
        <w:t xml:space="preserve"> </w:t>
      </w:r>
      <m:oMath>
        <m:r>
          <m:t>α</m:t>
        </m:r>
      </m:oMath>
      <w:r>
        <w:t xml:space="preserve">, which establishes that the relative-ordering signal is in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structure rather than the labor-scaling exponent; and (ii) the WB-specific result at</w:t>
      </w:r>
      <w:r>
        <w:t xml:space="preserve"> </w:t>
      </w:r>
      <m:oMath>
        <m:r>
          <m:t>α</m:t>
        </m:r>
        <m:r>
          <m:rPr>
            <m:sty m:val="p"/>
          </m:rPr>
          <m:t>=</m:t>
        </m:r>
        <m:r>
          <m:t>2.0</m:t>
        </m:r>
      </m:oMath>
      <w:r>
        <w:t xml:space="preserve"> </w:t>
      </w:r>
      <w:r>
        <w:t xml:space="preserve">which closes the ~9</w:t>
      </w:r>
      <m:oMath>
        <m:r>
          <m:rPr>
            <m:sty m:val="p"/>
          </m:rPr>
          <m:t>×</m:t>
        </m:r>
      </m:oMath>
      <w:r>
        <w:t xml:space="preserve"> </w:t>
      </w:r>
      <w:r>
        <w:t xml:space="preserve">overprediction (240,000 vs LiDAR-derived 27,065 m³) subject to the labor-scaling assumption.</w:t>
      </w:r>
    </w:p>
    <w:p>
      <w:pPr>
        <w:pStyle w:val="BodyText"/>
      </w:pPr>
      <w:r>
        <w:rPr>
          <w:b/>
          <w:bCs/>
        </w:rPr>
        <w:t xml:space="preserve">Independent ethnographic anchoring of</w:t>
      </w:r>
      <w:r>
        <w:rPr>
          <w:b/>
          <w:bCs/>
        </w:rPr>
        <w:t xml:space="preserve"> </w:t>
      </w:r>
      <m:oMath>
        <m:r>
          <m:t>α</m:t>
        </m:r>
      </m:oMath>
      <w:r>
        <w:rPr>
          <w:b/>
          <w:bCs/>
        </w:rPr>
        <w:t xml:space="preserve">.</w:t>
      </w:r>
      <w:r>
        <w:t xml:space="preserve"> </w:t>
      </w:r>
      <w: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t xml:space="preserve"> </w:t>
      </w:r>
      <m:oMath>
        <m:r>
          <m:t>α</m:t>
        </m:r>
        <m:r>
          <m:rPr>
            <m:sty m:val="p"/>
          </m:rPr>
          <m:t>≈</m:t>
        </m:r>
        <m:r>
          <m:t>1</m:t>
        </m:r>
      </m:oMath>
      <w:r>
        <w:t xml:space="preserve"> </w:t>
      </w:r>
      <w:r>
        <w:t xml:space="preserve">in the framework’s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total m³ output scales linearly with crew size. The</w:t>
      </w:r>
      <w:r>
        <w:t xml:space="preserve"> </w:t>
      </w:r>
      <m:oMath>
        <m:r>
          <m:t>α</m:t>
        </m:r>
        <m:r>
          <m:rPr>
            <m:sty m:val="p"/>
          </m:rPr>
          <m:t>=</m:t>
        </m:r>
        <m:r>
          <m:t>2</m:t>
        </m:r>
      </m:oMath>
      <w:r>
        <w:t xml:space="preserve"> </w:t>
      </w:r>
      <w:r>
        <w:t xml:space="preserve">value selected here implies</w:t>
      </w:r>
      <w:r>
        <w:t xml:space="preserve"> </w:t>
      </w:r>
      <w:r>
        <w:rPr>
          <w:i/>
          <w:iCs/>
        </w:rPr>
        <w:t xml:space="preserve">superadditive</w:t>
      </w:r>
      <w:r>
        <w:t xml:space="preserve"> </w:t>
      </w:r>
      <w: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t xml:space="preserve"> </w:t>
      </w:r>
      <m:oMath>
        <m:r>
          <m:t>α</m:t>
        </m:r>
        <m:r>
          <m:rPr>
            <m:sty m:val="p"/>
          </m:rPr>
          <m:t>=</m:t>
        </m:r>
        <m:r>
          <m:t>1</m:t>
        </m:r>
      </m:oMath>
      <w:r>
        <w:t xml:space="preserve"> </w:t>
      </w:r>
      <w:r>
        <w:t xml:space="preserve">(Erasmus-grounded) leaves the framework overpredicting Watson Brake’s LiDAR-derived 27,065 m³ by approximately 2.8-fold (predicted ~77,000 m³). Restricting to</w:t>
      </w:r>
      <w:r>
        <w:t xml:space="preserve"> </w:t>
      </w:r>
      <m:oMath>
        <m:r>
          <m:t>α</m:t>
        </m:r>
        <m:r>
          <m:rPr>
            <m:sty m:val="p"/>
          </m:rPr>
          <m:t>=</m:t>
        </m:r>
        <m:r>
          <m:t>2</m:t>
        </m:r>
      </m:oMath>
      <w:r>
        <w:t xml:space="preserve"> </w:t>
      </w:r>
      <w: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t xml:space="preserve">Reproducible from</w:t>
      </w:r>
      <w:r>
        <w:t xml:space="preserve"> </w:t>
      </w:r>
      <w:r>
        <w:rPr>
          <w:rStyle w:val="VerbatimChar"/>
        </w:rPr>
        <w:t xml:space="preserve">scripts/analysis/per_event_labor_scaling.py</w:t>
      </w:r>
      <w:r>
        <w:t xml:space="preserve">, with outputs in</w:t>
      </w:r>
      <w:r>
        <w:t xml:space="preserve"> </w:t>
      </w:r>
      <w:r>
        <w:rPr>
          <w:rStyle w:val="VerbatimChar"/>
        </w:rPr>
        <w:t xml:space="preserve">results/sensitivity/per_event_labor_scaling.json</w:t>
      </w:r>
      <w:r>
        <w:t xml:space="preserve">.</w:t>
      </w:r>
    </w:p>
    <w:bookmarkEnd w:id="96"/>
    <w:bookmarkStart w:id="97" w:name="Xb22f72dfb61d671a9569575f81429ccb36a3121"/>
    <w:p>
      <w:pPr>
        <w:pStyle w:val="Heading3"/>
      </w:pPr>
      <w:r>
        <w:t xml:space="preserve">S17.3 Regional band allocation (minimal regional spatially-explicit model)</w:t>
      </w:r>
    </w:p>
    <w:p>
      <w:pPr>
        <w:pStyle w:val="FirstParagraph"/>
      </w:pPr>
      <w:r>
        <w:t xml:space="preserve">(Main text §7.1;</w:t>
      </w:r>
      <w:r>
        <w:t xml:space="preserve"> </w:t>
      </w:r>
      <w:r>
        <w:rPr>
          <w:i/>
          <w:iCs/>
        </w:rPr>
        <w:t xml:space="preserve">Single-site abstraction</w:t>
      </w:r>
      <w:r>
        <w:t xml:space="preserve"> </w:t>
      </w:r>
      <w:r>
        <w:t xml:space="preserve">in main §7.4.)</w:t>
      </w:r>
      <w:r>
        <w:t xml:space="preserve"> </w:t>
      </w:r>
      <w:r>
        <w:rPr>
          <w:b/>
          <w:bCs/>
        </w:rPr>
        <w:t xml:space="preserve">Minimal version implemented in this revision. Sensitivity demonstration for §6.6.</w:t>
      </w:r>
      <w:r>
        <w:t xml:space="preserve"> </w:t>
      </w:r>
      <w:r>
        <w:t xml:space="preserve">A regional band-allocation model with 50 bands, 11 candidate sites, canoe-day travel costs (~30 km/day), and a critical-mass network bonus once</w:t>
      </w:r>
      <w:r>
        <w:t xml:space="preserve"> </w:t>
      </w:r>
      <m:oMath>
        <m:sSub>
          <m:e>
            <m:r>
              <m:t>n</m:t>
            </m:r>
          </m:e>
          <m:sub>
            <m:r>
              <m:t>a</m:t>
            </m:r>
            <m:r>
              <m:t>g</m:t>
            </m:r>
            <m:r>
              <m:t>g</m:t>
            </m:r>
          </m:sub>
        </m:sSub>
        <m:r>
          <m:rPr>
            <m:sty m:val="p"/>
          </m:rPr>
          <m:t>≥</m:t>
        </m:r>
        <m:sSub>
          <m:e>
            <m:r>
              <m:t>N</m:t>
            </m:r>
          </m:e>
          <m:sub>
            <m:r>
              <m:t>t</m:t>
            </m:r>
            <m:r>
              <m:t>h</m:t>
            </m:r>
            <m:r>
              <m:t>r</m:t>
            </m:r>
            <m:r>
              <m:t>e</m:t>
            </m:r>
            <m:r>
              <m:t>s</m:t>
            </m:r>
            <m:r>
              <m:t>h</m:t>
            </m:r>
          </m:sub>
        </m:sSub>
      </m:oMath>
      <w:r>
        <w:t xml:space="preserve"> </w:t>
      </w:r>
      <w:r>
        <w:t xml:space="preserve">converges in three iterative rounds. At default parameters (NETWORK_BONUS = 0.05,</w:t>
      </w:r>
      <w:r>
        <w:t xml:space="preserve"> </w:t>
      </w:r>
      <m:oMath>
        <m:sSub>
          <m:e>
            <m:r>
              <m:t>N</m:t>
            </m:r>
          </m:e>
          <m:sub>
            <m:r>
              <m:t>t</m:t>
            </m:r>
            <m:r>
              <m:t>h</m:t>
            </m:r>
            <m:r>
              <m:t>r</m:t>
            </m:r>
            <m:r>
              <m:t>e</m:t>
            </m:r>
            <m:r>
              <m:t>s</m:t>
            </m:r>
            <m:r>
              <m:t>h</m:t>
            </m:r>
          </m:sub>
        </m:sSub>
        <m:r>
          <m:rPr>
            <m:sty m:val="p"/>
          </m:rPr>
          <m:t>=</m:t>
        </m:r>
        <m:r>
          <m:t>5</m:t>
        </m:r>
      </m:oMath>
      <w:r>
        <w:t xml:space="preserve">): winner-takes-most outcome with PP = 43 bands, Jaketown = 7 bands, all other interior sites = 0 bands. Spearman correlation of endogenized</w:t>
      </w:r>
      <w:r>
        <w:t xml:space="preserve"> </w:t>
      </w:r>
      <m:oMath>
        <m:sSub>
          <m:e>
            <m:r>
              <m:t>n</m:t>
            </m:r>
          </m:e>
          <m:sub>
            <m:r>
              <m:t>a</m:t>
            </m:r>
            <m:r>
              <m:t>g</m:t>
            </m:r>
            <m:r>
              <m:t>g</m:t>
            </m:r>
          </m:sub>
        </m:sSub>
      </m:oMath>
      <w:r>
        <w:t xml:space="preserve"> </w:t>
      </w:r>
      <w:r>
        <w:t xml:space="preserve">against observed monument scale:</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NS); against the convergence-model literature</w:t>
      </w:r>
      <w:r>
        <w:t xml:space="preserve"> </w:t>
      </w:r>
      <m:oMath>
        <m:sSub>
          <m:e>
            <m:r>
              <m:t>n</m:t>
            </m:r>
          </m:e>
          <m:sub>
            <m:r>
              <m:t>a</m:t>
            </m:r>
            <m:r>
              <m:t>g</m:t>
            </m:r>
            <m:r>
              <m:t>g</m:t>
            </m:r>
          </m:sub>
        </m:sSub>
      </m:oMath>
      <w:r>
        <w:t xml:space="preserve"> </w:t>
      </w:r>
      <w:r>
        <w:t xml:space="preserve">values:</w:t>
      </w:r>
      <w:r>
        <w:t xml:space="preserve"> </w:t>
      </w:r>
      <m:oMath>
        <m:r>
          <m:t>ρ</m:t>
        </m:r>
        <m:r>
          <m:rPr>
            <m:sty m:val="p"/>
          </m:rPr>
          <m:t>=</m:t>
        </m:r>
        <m:r>
          <m:rPr>
            <m:sty m:val="p"/>
          </m:rPr>
          <m:t>+</m:t>
        </m:r>
        <m:r>
          <m:t>0.65</m:t>
        </m:r>
      </m:oMath>
      <w:r>
        <w:t xml:space="preserve"> </w:t>
      </w:r>
      <w:r>
        <w:t xml:space="preserve">(</w:t>
      </w:r>
      <m:oMath>
        <m:r>
          <m:t>p</m:t>
        </m:r>
        <m:r>
          <m:rPr>
            <m:sty m:val="p"/>
          </m:rPr>
          <m:t>=</m:t>
        </m:r>
        <m:r>
          <m:t>0.03</m:t>
        </m:r>
      </m:oMath>
      <w:r>
        <w:t xml:space="preserve">).</w:t>
      </w:r>
    </w:p>
    <w:p>
      <w:pPr>
        <w:pStyle w:val="BodyText"/>
      </w:pPr>
      <w:r>
        <w:rPr>
          <w:b/>
          <w:bCs/>
        </w:rPr>
        <w:t xml:space="preserve">Parameter sensitivity.</w:t>
      </w:r>
      <w:r>
        <w:t xml:space="preserve"> </w:t>
      </w:r>
      <w:r>
        <w:t xml:space="preserve">A sensitivity sweep across NETWORK_BONUS</w:t>
      </w:r>
      <w: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t xml:space="preserve"> </w:t>
      </w:r>
      <w:r>
        <w:t xml:space="preserve">and</w:t>
      </w:r>
      <w: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t xml:space="preserve"> </w:t>
      </w:r>
      <w:r>
        <w:t xml:space="preserve">(20 cells) confirms the winner-takes-most outcome is robust to parameter choice: 17 of 20 cells produce the same PP = 43 / Jaketown = 7 split (ρ = +0.39 against observed scale), and the remaining 3 cells (those with</w:t>
      </w:r>
      <w:r>
        <w:t xml:space="preserve"> </w:t>
      </w:r>
      <m:oMath>
        <m:sSub>
          <m:e>
            <m:r>
              <m:t>N</m:t>
            </m:r>
          </m:e>
          <m:sub>
            <m:r>
              <m:t>t</m:t>
            </m:r>
            <m:r>
              <m:t>h</m:t>
            </m:r>
            <m:r>
              <m:t>r</m:t>
            </m:r>
            <m:r>
              <m:t>e</m:t>
            </m:r>
            <m:r>
              <m:t>s</m:t>
            </m:r>
            <m:r>
              <m:t>h</m:t>
            </m:r>
          </m:sub>
        </m:sSub>
        <m:r>
          <m:rPr>
            <m:sty m:val="p"/>
          </m:rPr>
          <m:t>=</m:t>
        </m:r>
        <m:r>
          <m:t>8</m:t>
        </m:r>
      </m:oMath>
      <w:r>
        <w:t xml:space="preserve"> </w:t>
      </w:r>
      <w: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t xml:space="preserve"> </w:t>
      </w:r>
      <w:r>
        <w:t xml:space="preserve">prediction is therefore not a parameter artifact: the qualitative result (PP as dominant regional attractor, Jaketown as secondary, all others as zero) holds across the tested parameter space. Reproducible from</w:t>
      </w:r>
      <w:r>
        <w:t xml:space="preserve"> </w:t>
      </w:r>
      <w:r>
        <w:rPr>
          <w:rStyle w:val="VerbatimChar"/>
        </w:rPr>
        <w:t xml:space="preserve">scripts/analysis/regional_band_allocation_sensitivity.py</w:t>
      </w:r>
      <w:r>
        <w:t xml:space="preserve">, with outputs in</w:t>
      </w:r>
      <w:r>
        <w:t xml:space="preserve"> </w:t>
      </w:r>
      <w:r>
        <w:rPr>
          <w:rStyle w:val="VerbatimChar"/>
        </w:rPr>
        <w:t xml:space="preserve">results/sensitivity/regional_band_allocation_sensitivity.json</w:t>
      </w:r>
      <w:r>
        <w:t xml:space="preserve">.</w:t>
      </w:r>
    </w:p>
    <w:p>
      <w:pPr>
        <w:pStyle w:val="BodyText"/>
      </w:pPr>
      <w:r>
        <w:t xml:space="preserve">The</w:t>
      </w:r>
      <w:r>
        <w:t xml:space="preserve"> </w:t>
      </w:r>
      <m:oMath>
        <m:r>
          <m:t>ρ</m:t>
        </m:r>
        <m:r>
          <m:rPr>
            <m:sty m:val="p"/>
          </m:rPr>
          <m:t>=</m:t>
        </m:r>
        <m:r>
          <m:rPr>
            <m:sty m:val="p"/>
          </m:rPr>
          <m:t>+</m:t>
        </m:r>
        <m:r>
          <m:t>0.39</m:t>
        </m:r>
      </m:oMath>
      <w:r>
        <w:t xml:space="preserve"> </w:t>
      </w:r>
      <w:r>
        <w:t xml:space="preserve">against observed scale is the framework’s genuine (n_agg-endogenized) magnitude-prediction power, substantially weaker than the</w:t>
      </w:r>
      <w:r>
        <w:t xml:space="preserve"> </w:t>
      </w:r>
      <m:oMath>
        <m:r>
          <m:t>ρ</m:t>
        </m:r>
        <m:r>
          <m:rPr>
            <m:sty m:val="p"/>
          </m:rPr>
          <m:t>=</m:t>
        </m:r>
        <m:r>
          <m:rPr>
            <m:sty m:val="p"/>
          </m:rPr>
          <m:t>+</m:t>
        </m:r>
        <m:r>
          <m:t>0.91</m:t>
        </m:r>
      </m:oMath>
      <w:r>
        <w:t xml:space="preserve"> </w:t>
      </w:r>
      <w:r>
        <w:t xml:space="preserve">that emerges when literature</w:t>
      </w:r>
      <w:r>
        <w:t xml:space="preserve"> </w:t>
      </w:r>
      <m:oMath>
        <m:sSub>
          <m:e>
            <m:r>
              <m:t>n</m:t>
            </m:r>
          </m:e>
          <m:sub>
            <m:r>
              <m:t>a</m:t>
            </m:r>
            <m:r>
              <m:t>g</m:t>
            </m:r>
            <m:r>
              <m:t>g</m:t>
            </m:r>
          </m:sub>
        </m:sSub>
      </m:oMath>
      <w:r>
        <w:t xml:space="preserve"> </w:t>
      </w:r>
      <w:r>
        <w:t xml:space="preserve">values are supplied as inputs (§S17.5 below). This confirms the partial-correlation finding directly: the framework’s</w:t>
      </w:r>
      <w:r>
        <w:t xml:space="preserve"> </w:t>
      </w:r>
      <m:oMath>
        <m:r>
          <m:t>ε</m:t>
        </m:r>
      </m:oMath>
      <w:r>
        <w:t xml:space="preserve"> </w:t>
      </w:r>
      <w:r>
        <w:t xml:space="preserve">predicts location of regional attractors but not the gradation of attained</w:t>
      </w:r>
      <w:r>
        <w:t xml:space="preserve"> </w:t>
      </w:r>
      <m:oMath>
        <m:sSub>
          <m:e>
            <m:r>
              <m:t>n</m:t>
            </m:r>
          </m:e>
          <m:sub>
            <m:r>
              <m:t>a</m:t>
            </m:r>
            <m:r>
              <m:t>g</m:t>
            </m:r>
            <m:r>
              <m:t>g</m:t>
            </m:r>
          </m:sub>
        </m:sSub>
      </m:oMath>
      <w:r>
        <w:t xml:space="preserve"> </w:t>
      </w:r>
      <w:r>
        <w:t xml:space="preserve">between PP and the smaller LMV monument-building sites. Reproducible from</w:t>
      </w:r>
      <w:r>
        <w:t xml:space="preserve"> </w:t>
      </w:r>
      <w:r>
        <w:rPr>
          <w:rStyle w:val="VerbatimChar"/>
        </w:rPr>
        <w:t xml:space="preserve">scripts/analysis/regional_band_allocation.py</w:t>
      </w:r>
      <w:r>
        <w:t xml:space="preserve"> </w:t>
      </w:r>
      <w:r>
        <w:t xml:space="preserve">and</w:t>
      </w:r>
      <w:r>
        <w:t xml:space="preserve"> </w:t>
      </w:r>
      <w:r>
        <w:rPr>
          <w:rStyle w:val="VerbatimChar"/>
        </w:rPr>
        <w:t xml:space="preserve">regional_band_allocation_sensitivity.py</w:t>
      </w:r>
      <w:r>
        <w:t xml:space="preserve">, with outputs in</w:t>
      </w:r>
      <w:r>
        <w:t xml:space="preserve"> </w:t>
      </w:r>
      <w:r>
        <w:rPr>
          <w:rStyle w:val="VerbatimChar"/>
        </w:rPr>
        <w:t xml:space="preserve">results/sensitivity/regional_band_allocation.json</w:t>
      </w:r>
      <w:r>
        <w:t xml:space="preserve"> </w:t>
      </w:r>
      <w:r>
        <w:t xml:space="preserve">and</w:t>
      </w:r>
      <w:r>
        <w:t xml:space="preserve"> </w:t>
      </w:r>
      <w:r>
        <w:rPr>
          <w:rStyle w:val="VerbatimChar"/>
        </w:rPr>
        <w:t xml:space="preserve">regional_band_allocation_sensitivity.json</w:t>
      </w:r>
      <w: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t xml:space="preserve"> </w:t>
      </w:r>
      <m:oMath>
        <m:sSub>
          <m:e>
            <m:r>
              <m:t>n</m:t>
            </m:r>
          </m:e>
          <m:sub>
            <m:r>
              <m:t>a</m:t>
            </m:r>
            <m:r>
              <m:t>g</m:t>
            </m:r>
            <m:r>
              <m:t>g</m:t>
            </m:r>
          </m:sub>
        </m:sSub>
      </m:oMath>
      <w:r>
        <w:t xml:space="preserve"> </w:t>
      </w:r>
      <w:r>
        <w:t xml:space="preserve">predictions matching the convergence-model values.</w:t>
      </w:r>
    </w:p>
    <w:bookmarkEnd w:id="97"/>
    <w:bookmarkStart w:id="98" w:name="X99de2ea1146afca61ca1bb737b1f0d9599c4879"/>
    <w:p>
      <w:pPr>
        <w:pStyle w:val="Heading3"/>
      </w:pPr>
      <w:r>
        <w:t xml:space="preserve">S17.4 Covariance-based, water-route-aware travel-time catchment</w:t>
      </w:r>
    </w:p>
    <w:p>
      <w:pPr>
        <w:pStyle w:val="FirstParagraph"/>
      </w:pPr>
      <w:r>
        <w:t xml:space="preserve">(Main text §6.5;</w:t>
      </w:r>
      <w:r>
        <w:t xml:space="preserve"> </w:t>
      </w:r>
      <w:r>
        <w:rPr>
          <w:i/>
          <w:iCs/>
        </w:rPr>
        <w:t xml:space="preserve">Ecotone operationalization</w:t>
      </w:r>
      <w:r>
        <w:t xml:space="preserve"> </w:t>
      </w:r>
      <w:r>
        <w:t xml:space="preserve">in main §7.4.)</w:t>
      </w:r>
      <w:r>
        <w:t xml:space="preserve"> </w:t>
      </w:r>
      <w:r>
        <w:rPr>
          <w:b/>
          <w:bCs/>
        </w:rPr>
        <w:t xml:space="preserve">Implemented in this revision. Central to the §6.5 multi-drainage analysis.</w:t>
      </w:r>
      <w:r>
        <w:t xml:space="preserve"> </w:t>
      </w:r>
      <w: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t xml:space="preserve"> </w:t>
      </w:r>
      <m:oMath>
        <m:r>
          <m:t>r</m:t>
        </m:r>
        <m:r>
          <m:rPr>
            <m:sty m:val="p"/>
          </m:rPr>
          <m:t>=</m:t>
        </m:r>
        <m:r>
          <m:t>0.11</m:t>
        </m:r>
      </m:oMath>
      <w:r>
        <w:t xml:space="preserve">, Mississippi-Tensas</w:t>
      </w:r>
      <w:r>
        <w:t xml:space="preserve"> </w:t>
      </w:r>
      <m:oMath>
        <m:r>
          <m:t>r</m:t>
        </m:r>
        <m:r>
          <m:rPr>
            <m:sty m:val="p"/>
          </m:rPr>
          <m:t>=</m:t>
        </m:r>
        <m:r>
          <m:t>0.34</m:t>
        </m:r>
      </m:oMath>
      <w:r>
        <w:t xml:space="preserve">, Tensas-Yazoo</w:t>
      </w:r>
      <w:r>
        <w:t xml:space="preserve"> </w:t>
      </w:r>
      <m:oMath>
        <m:r>
          <m:t>r</m:t>
        </m:r>
        <m:r>
          <m:rPr>
            <m:sty m:val="p"/>
          </m:rPr>
          <m:t>=</m:t>
        </m:r>
        <m:r>
          <m:t>0.54</m:t>
        </m:r>
      </m:oMath>
      <w:r>
        <w:t xml:space="preserve">, Bayou Maçon-Tensas</w:t>
      </w:r>
      <w:r>
        <w:t xml:space="preserve"> </w:t>
      </w:r>
      <m:oMath>
        <m:r>
          <m:t>r</m:t>
        </m:r>
        <m:r>
          <m:rPr>
            <m:sty m:val="p"/>
          </m:rPr>
          <m:t>=</m:t>
        </m:r>
        <m:r>
          <m:t>0.90</m:t>
        </m:r>
      </m:oMath>
      <w:r>
        <w:t xml:space="preserve">) is used to drive a 5,000-year stochastic simulation of correlated drainage productivity. The water-route</w:t>
      </w:r>
      <w:r>
        <w:t xml:space="preserve"> </w:t>
      </w:r>
      <m:oMath>
        <m:sSub>
          <m:e>
            <m:r>
              <m:t>ε</m:t>
            </m:r>
          </m:e>
          <m:sub>
            <m:r>
              <m:t>w</m:t>
            </m:r>
            <m:r>
              <m:t>r</m:t>
            </m:r>
          </m:sub>
        </m:sSub>
      </m:oMath>
      <w:r>
        <w:t xml:space="preserve"> </w:t>
      </w:r>
      <w:r>
        <w:t xml:space="preserve">is the variance reduction in total accessible productivity relative to a single-drainage baseline.</w:t>
      </w:r>
    </w:p>
    <w:p>
      <w:pPr>
        <w:pStyle w:val="BodyText"/>
      </w:pPr>
      <w:r>
        <w:t xml:space="preserve">Per-site water-route</w:t>
      </w:r>
      <w:r>
        <w:t xml:space="preserve"> </w:t>
      </w:r>
      <m:oMath>
        <m:r>
          <m:t>ε</m:t>
        </m:r>
      </m:oMath>
      <w:r>
        <w:t xml:space="preserve"> </w:t>
      </w:r>
      <w:r>
        <w:t xml:space="preserve">(</w:t>
      </w:r>
      <w:r>
        <w:rPr>
          <w:rStyle w:val="VerbatimChar"/>
        </w:rPr>
        <w:t xml:space="preserve">scripts/analysis/water_route_catchment_epsilon.py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([Bayou Maçon + Tensas clustered at</w:t>
            </w:r>
            <w:r>
              <w:t xml:space="preserve"> </w:t>
            </w:r>
            <m:oMath>
              <m:r>
                <m:t>r</m:t>
              </m:r>
              <m:r>
                <m:rPr>
                  <m:sty m:val="p"/>
                </m:rPr>
                <m:t>=</m:t>
              </m:r>
              <m:r>
                <m:t>0.90</m:t>
              </m:r>
            </m:oMath>
            <w:r>
              <w:t xml:space="preserve">], Mississippi, Yazoo, Macon Ridge upland)</w:t>
            </w:r>
          </w:p>
        </w:tc>
        <w:tc>
          <w:tcPr/>
          <w:p>
            <w:pPr>
              <w:pStyle w:val="Compact"/>
            </w:pPr>
            <w:r>
              <w:t xml:space="preserve">0.152</w:t>
            </w:r>
          </w:p>
        </w:tc>
      </w:tr>
      <w:tr>
        <w:tc>
          <w:tcPr/>
          <w:p>
            <w:pPr>
              <w:pStyle w:val="Compact"/>
            </w:pPr>
            <w:r>
              <w:t xml:space="preserve">Lower Jackson</w:t>
            </w:r>
          </w:p>
        </w:tc>
        <w:tc>
          <w:tcPr/>
          <w:p>
            <w:pPr>
              <w:pStyle w:val="Compact"/>
            </w:pPr>
            <w:r>
              <w:t xml:space="preserve">4 (same four regimes, partial access to the aquatic three)</w:t>
            </w:r>
          </w:p>
        </w:tc>
        <w:tc>
          <w:tcPr/>
          <w:p>
            <w:pPr>
              <w:pStyle w:val="Compact"/>
            </w:pPr>
            <w:r>
              <w:t xml:space="preserve">0.142</w:t>
            </w:r>
          </w:p>
        </w:tc>
      </w:tr>
      <w:tr>
        <w:tc>
          <w:tcPr/>
          <w:p>
            <w:pPr>
              <w:pStyle w:val="Compact"/>
            </w:pPr>
            <w:r>
              <w:t xml:space="preserve">Jaketown</w:t>
            </w:r>
          </w:p>
        </w:tc>
        <w:tc>
          <w:tcPr/>
          <w:p>
            <w:pPr>
              <w:pStyle w:val="Compact"/>
            </w:pPr>
            <w:r>
              <w:t xml:space="preserve">3 (Mississippi, Yazoo, Upland)</w:t>
            </w:r>
          </w:p>
        </w:tc>
        <w:tc>
          <w:tcPr/>
          <w:p>
            <w:pPr>
              <w:pStyle w:val="Compact"/>
            </w:pPr>
            <w:r>
              <w:t xml:space="preserve">0.149</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0.114</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0.114</w:t>
            </w:r>
          </w:p>
        </w:tc>
      </w:tr>
      <w:tr>
        <w:tc>
          <w:tcPr/>
          <w:p>
            <w:pPr>
              <w:pStyle w:val="Compact"/>
            </w:pPr>
            <w:r>
              <w:t xml:space="preserve">Insley</w:t>
            </w:r>
          </w:p>
        </w:tc>
        <w:tc>
          <w:tcPr/>
          <w:p>
            <w:pPr>
              <w:pStyle w:val="Compact"/>
            </w:pPr>
            <w:r>
              <w:t xml:space="preserve">2 ([BMacon + Tensas] partial + Upland)</w:t>
            </w:r>
          </w:p>
        </w:tc>
        <w:tc>
          <w:tcPr/>
          <w:p>
            <w:pPr>
              <w:pStyle w:val="Compact"/>
            </w:pPr>
            <w:r>
              <w:t xml:space="preserve">0.077</w:t>
            </w:r>
          </w:p>
        </w:tc>
      </w:tr>
      <w:tr>
        <w:tc>
          <w:tcPr/>
          <w:p>
            <w:pPr>
              <w:pStyle w:val="Compact"/>
            </w:pPr>
            <w:r>
              <w:t xml:space="preserve">Caney</w:t>
            </w:r>
          </w:p>
        </w:tc>
        <w:tc>
          <w:tcPr/>
          <w:p>
            <w:pPr>
              <w:pStyle w:val="Compact"/>
            </w:pPr>
            <w:r>
              <w:t xml:space="preserve">2 (Tensas-tributary partial + Upland)</w:t>
            </w:r>
          </w:p>
        </w:tc>
        <w:tc>
          <w:tcPr/>
          <w:p>
            <w:pPr>
              <w:pStyle w:val="Compact"/>
            </w:pPr>
            <w:r>
              <w:t xml:space="preserve">0.064</w:t>
            </w:r>
          </w:p>
        </w:tc>
      </w:tr>
      <w:tr>
        <w:tc>
          <w:tcPr/>
          <w:p>
            <w:pPr>
              <w:pStyle w:val="Compact"/>
            </w:pPr>
            <w:r>
              <w:t xml:space="preserve">J.W. Copes</w:t>
            </w:r>
          </w:p>
        </w:tc>
        <w:tc>
          <w:tcPr/>
          <w:p>
            <w:pPr>
              <w:pStyle w:val="Compact"/>
            </w:pPr>
            <w:r>
              <w:t xml:space="preserve">2 (Tensas + Upland partial)</w:t>
            </w:r>
          </w:p>
        </w:tc>
        <w:tc>
          <w:tcPr/>
          <w:p>
            <w:pPr>
              <w:pStyle w:val="Compact"/>
            </w:pPr>
            <w:r>
              <w:t xml:space="preserve">0.065</w:t>
            </w:r>
          </w:p>
        </w:tc>
      </w:tr>
      <w:tr>
        <w:tc>
          <w:tcPr/>
          <w:p>
            <w:pPr>
              <w:pStyle w:val="Compact"/>
            </w:pPr>
            <w:r>
              <w:t xml:space="preserve">Cowpen Slough</w:t>
            </w:r>
          </w:p>
        </w:tc>
        <w:tc>
          <w:tcPr/>
          <w:p>
            <w:pPr>
              <w:pStyle w:val="Compact"/>
            </w:pPr>
            <w:r>
              <w:t xml:space="preserve">1 (Red/Black ≈ Ouachita-system; marginal upland excluded per §6.5)</w:t>
            </w:r>
          </w:p>
        </w:tc>
        <w:tc>
          <w:tcPr/>
          <w:p>
            <w:pPr>
              <w:pStyle w:val="Compact"/>
            </w:pPr>
            <w:r>
              <w:t xml:space="preserve">0.006</w:t>
            </w:r>
          </w:p>
        </w:tc>
      </w:tr>
      <w:tr>
        <w:tc>
          <w:tcPr/>
          <w:p>
            <w:pPr>
              <w:pStyle w:val="Compact"/>
            </w:pPr>
            <w:r>
              <w:t xml:space="preserve">Claiborne, Cedarland</w:t>
            </w:r>
          </w:p>
        </w:tc>
        <w:tc>
          <w:tcPr/>
          <w:p>
            <w:pPr>
              <w:pStyle w:val="Compact"/>
            </w:pPr>
            <w:r>
              <w:t xml:space="preserve">2 (PearlGulf + Coastal Plain Upland partial)</w:t>
            </w:r>
          </w:p>
        </w:tc>
        <w:tc>
          <w:tcPr/>
          <w:p>
            <w:pPr>
              <w:pStyle w:val="Compact"/>
            </w:pPr>
            <w:r>
              <w:t xml:space="preserve">0.065</w:t>
            </w:r>
          </w:p>
        </w:tc>
      </w:tr>
    </w:tbl>
    <w:p>
      <w:pPr>
        <w:pStyle w:val="BodyText"/>
      </w:pPr>
      <w:r>
        <w:t xml:space="preserve">The water-route</w:t>
      </w:r>
      <w:r>
        <w:t xml:space="preserve"> </w:t>
      </w:r>
      <m:oMath>
        <m:r>
          <m:t>ε</m:t>
        </m:r>
      </m:oMath>
      <w:r>
        <w:t xml:space="preserve"> </w:t>
      </w:r>
      <w:r>
        <w:t xml:space="preserve">ranking places PP, Lower Jackson, and Jaketown in the top band (these three are the only sites with substantial multi-regime canoe access), Watson Brake and Frenchman’s Bend mid (Ouachita-system + upland), and the small-tributary interior sites lower. Cowpen Slough sits at the bottom of the interior ranking under the §6.5 single-regime coding (</w:t>
      </w:r>
      <m:oMath>
        <m:sSub>
          <m:e>
            <m:r>
              <m:t>ε</m:t>
            </m:r>
          </m:e>
          <m:sub>
            <m:r>
              <m:t>w</m:t>
            </m:r>
            <m:r>
              <m:t>r</m:t>
            </m:r>
          </m:sub>
        </m:sSub>
        <m:r>
          <m:rPr>
            <m:sty m:val="p"/>
          </m:rPr>
          <m:t>=</m:t>
        </m:r>
        <m:r>
          <m:t>0.006</m:t>
        </m:r>
      </m:oMath>
      <w:r>
        <w:t xml:space="preserve">). The coastal pair registers</w:t>
      </w:r>
      <w:r>
        <w:t xml:space="preserve"> </w:t>
      </w:r>
      <m:oMath>
        <m:sSub>
          <m:e>
            <m:r>
              <m:t>ε</m:t>
            </m:r>
          </m:e>
          <m:sub>
            <m:r>
              <m:t>w</m:t>
            </m:r>
            <m:r>
              <m:t>r</m:t>
            </m:r>
          </m:sub>
        </m:sSub>
        <m:r>
          <m:rPr>
            <m:sty m:val="p"/>
          </m:rPr>
          <m:t>=</m:t>
        </m:r>
        <m:r>
          <m:t>0.065</m:t>
        </m:r>
      </m:oMath>
      <w:r>
        <w:t xml:space="preserve"> </w:t>
      </w:r>
      <w:r>
        <w:t xml:space="preserve">from the Pearl-estuarine plus Coastal Plain Upland pairing, but both regimes are structurally distinct from the LMV interior, so the value is not directly comparable to the interior sites’.</w:t>
      </w:r>
    </w:p>
    <w:p>
      <w:pPr>
        <w:pStyle w:val="BodyText"/>
      </w:pPr>
      <w:r>
        <w:rPr>
          <w:b/>
          <w:bCs/>
        </w:rPr>
        <w:t xml:space="preserve">Joint test combining §S17.2 (per-event labor scaling at</w:t>
      </w:r>
      <w:r>
        <w:rPr>
          <w:b/>
          <w:bCs/>
        </w:rPr>
        <w:t xml:space="preserve"> </w:t>
      </w:r>
      <m:oMath>
        <m:r>
          <m:t>α</m:t>
        </m:r>
        <m:r>
          <m:rPr>
            <m:sty m:val="p"/>
          </m:rPr>
          <m:t>=</m:t>
        </m:r>
        <m:r>
          <m:t>2</m:t>
        </m:r>
      </m:oMath>
      <w:r>
        <w:rPr>
          <w:b/>
          <w:bCs/>
        </w:rPr>
        <w:t xml:space="preserve">), §S17.5 (per-site</w:t>
      </w:r>
      <w:r>
        <w:rPr>
          <w:b/>
          <w:bCs/>
        </w:rPr>
        <w:t xml:space="preserve"> </w:t>
      </w:r>
      <m:oMath>
        <m:sSub>
          <m:e>
            <m:r>
              <m:t>n</m:t>
            </m:r>
          </m:e>
          <m:sub>
            <m:r>
              <m:t>a</m:t>
            </m:r>
            <m:r>
              <m:t>g</m:t>
            </m:r>
            <m:r>
              <m:t>g</m:t>
            </m:r>
          </m:sub>
        </m:sSub>
      </m:oMath>
      <w:r>
        <w:rPr>
          <w:b/>
          <w:bCs/>
        </w:rPr>
        <w:t xml:space="preserve">), and the water-route</w:t>
      </w:r>
      <w:r>
        <w:rPr>
          <w:b/>
          <w:bCs/>
        </w:rPr>
        <w:t xml:space="preserve"> </w:t>
      </w:r>
      <m:oMath>
        <m:r>
          <m:t>ε</m:t>
        </m:r>
      </m:oMath>
      <w:r>
        <w:rPr>
          <w:b/>
          <w:bCs/>
        </w:rPr>
        <w:t xml:space="preserve"> </w:t>
      </w:r>
      <w:r>
        <w:rPr>
          <w:b/>
          <w:bCs/>
        </w:rPr>
        <w:t xml:space="preserve">developed here.</w:t>
      </w:r>
      <w:r>
        <w:t xml:space="preserve"> </w:t>
      </w:r>
      <w:r>
        <w:t xml:space="preserve">Combining the three implemented extensions: predicted volumes correlate with observed monument scale at Spearman</w:t>
      </w:r>
      <w:r>
        <w:t xml:space="preserve"> </w:t>
      </w:r>
      <m:oMath>
        <m:r>
          <m:t>ρ</m:t>
        </m:r>
        <m:r>
          <m:rPr>
            <m:sty m:val="p"/>
          </m:rPr>
          <m:t>=</m:t>
        </m:r>
        <m:r>
          <m:rPr>
            <m:sty m:val="p"/>
          </m:rPr>
          <m:t>+</m:t>
        </m:r>
        <m:r>
          <m:t>0.89</m:t>
        </m:r>
      </m:oMath>
      <w:r>
        <w:t xml:space="preserve"> </w:t>
      </w:r>
      <w:r>
        <w:t xml:space="preserve">(vs ordinal,</w:t>
      </w:r>
      <w:r>
        <w:t xml:space="preserve"> </w:t>
      </w:r>
      <m:oMath>
        <m:r>
          <m:t>p</m:t>
        </m:r>
        <m:r>
          <m:rPr>
            <m:sty m:val="p"/>
          </m:rPr>
          <m:t>&lt;</m:t>
        </m:r>
        <m:r>
          <m:t>0.001</m:t>
        </m:r>
      </m:oMath>
      <w:r>
        <w:t xml:space="preserve">) and</w:t>
      </w:r>
      <w:r>
        <w:t xml:space="preserve"> </w:t>
      </w:r>
      <m:oMath>
        <m:r>
          <m:t>ρ</m:t>
        </m:r>
        <m:r>
          <m:rPr>
            <m:sty m:val="p"/>
          </m:rPr>
          <m:t>=</m:t>
        </m:r>
        <m:r>
          <m:rPr>
            <m:sty m:val="p"/>
          </m:rPr>
          <m:t>+</m:t>
        </m:r>
        <m:r>
          <m:t>0.92</m:t>
        </m:r>
      </m:oMath>
      <w:r>
        <w:t xml:space="preserve"> </w:t>
      </w:r>
      <w:r>
        <w:t xml:space="preserve">(vs observed volume,</w:t>
      </w:r>
      <w:r>
        <w:t xml:space="preserve"> </w:t>
      </w:r>
      <m:oMath>
        <m:r>
          <m:t>p</m:t>
        </m:r>
        <m:r>
          <m:rPr>
            <m:sty m:val="p"/>
          </m:rPr>
          <m:t>&lt;</m:t>
        </m:r>
        <m:r>
          <m:t>0.001</m:t>
        </m:r>
      </m:oMath>
      <w:r>
        <w:t xml:space="preserve">). At the canoe-day catchment, the predicted PP volume = 750,000 m³ (calibration anchor); WB = 24,585 m³ (0.91× of LiDAR-derived per-mound 27,065 m³, §5.1); Insley = 10,375 m³ (0.7</w:t>
      </w:r>
      <m:oMath>
        <m:r>
          <m:rPr>
            <m:sty m:val="p"/>
          </m:rPr>
          <m:t>×</m:t>
        </m:r>
      </m:oMath>
      <w:r>
        <w:t xml:space="preserve"> </w:t>
      </w:r>
      <w:r>
        <w:t xml:space="preserve">observed 14,000 m³); Lower Jackson = 49 m³ (correctly identifies it as the smallest above-threshold site at</w:t>
      </w:r>
      <w:r>
        <w:t xml:space="preserve"> </w:t>
      </w:r>
      <m:oMath>
        <m:sSub>
          <m:e>
            <m:r>
              <m:t>n</m:t>
            </m:r>
          </m:e>
          <m:sub>
            <m:r>
              <m:t>a</m:t>
            </m:r>
            <m:r>
              <m:t>g</m:t>
            </m:r>
            <m:r>
              <m:t>g</m:t>
            </m:r>
          </m:sub>
        </m:sSub>
        <m:r>
          <m:rPr>
            <m:sty m:val="p"/>
          </m:rPr>
          <m:t>=</m:t>
        </m:r>
        <m:r>
          <m:t>1</m:t>
        </m:r>
      </m:oMath>
      <w:r>
        <w:t xml:space="preserve">). The water-route operationalization marginally improves the magnitude correlation over the static-rubric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but the substantial improvement comes from making the framework’s central</w:t>
      </w:r>
      <w:r>
        <w:t xml:space="preserve"> </w:t>
      </w:r>
      <m:oMath>
        <m:r>
          <m:t>ε</m:t>
        </m:r>
      </m:oMath>
      <w:r>
        <w:t xml:space="preserve"> </w:t>
      </w:r>
      <w:r>
        <w:t xml:space="preserve">claim</w:t>
      </w:r>
      <w:r>
        <w:t xml:space="preserve"> </w:t>
      </w:r>
      <w:r>
        <w:rPr>
          <w:i/>
          <w:iCs/>
        </w:rPr>
        <w:t xml:space="preserve">measured</w:t>
      </w:r>
      <w:r>
        <w:t xml:space="preserve"> </w:t>
      </w:r>
      <w:r>
        <w:t xml:space="preserve">rather than asserted: PP’s distinguishing feature is now the integration of three to four substantively independent shortfall regimes via canoe-day catchment, supported empirically by the S15 correlation matrix.</w:t>
      </w:r>
    </w:p>
    <w:p>
      <w:pPr>
        <w:pStyle w:val="BodyText"/>
      </w:pPr>
      <w:r>
        <w:t xml:space="preserve">Reproducible from</w:t>
      </w:r>
      <w:r>
        <w:t xml:space="preserve"> </w:t>
      </w:r>
      <w:r>
        <w:rPr>
          <w:rStyle w:val="VerbatimChar"/>
        </w:rPr>
        <w:t xml:space="preserve">scripts/analysis/water_route_catchment_epsilon.py</w:t>
      </w:r>
      <w:r>
        <w:t xml:space="preserve">, with outputs in</w:t>
      </w:r>
      <w:r>
        <w:t xml:space="preserve"> </w:t>
      </w:r>
      <w:r>
        <w:rPr>
          <w:rStyle w:val="VerbatimChar"/>
        </w:rPr>
        <w:t xml:space="preserve">results/sensitivity/water_route_epsilon.json</w:t>
      </w:r>
      <w: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98"/>
    <w:bookmarkStart w:id="99" w:name="X6e88c9cd923ecba424d25efe32d2f1b2164e0a7"/>
    <w:p>
      <w:pPr>
        <w:pStyle w:val="Heading3"/>
      </w:pPr>
      <w:r>
        <w:t xml:space="preserve">S17.5 Predicted equilibrium scale ratios under per-site</w:t>
      </w:r>
      <w:r>
        <w:t xml:space="preserve"> </w:t>
      </w:r>
      <m:oMath>
        <m:sSub>
          <m:e>
            <m:r>
              <m:t>n</m:t>
            </m:r>
          </m:e>
          <m:sub>
            <m:r>
              <m:t>a</m:t>
            </m:r>
            <m:r>
              <m:t>g</m:t>
            </m:r>
            <m:r>
              <m:t>g</m:t>
            </m:r>
          </m:sub>
        </m:sSub>
      </m:oMath>
      <w:r>
        <w:t xml:space="preserve"> </w:t>
      </w:r>
      <w:r>
        <w:t xml:space="preserve">and resolved</w:t>
      </w:r>
      <w:r>
        <w:t xml:space="preserve"> </w:t>
      </w:r>
      <m:oMath>
        <m:r>
          <m:t>ε</m:t>
        </m:r>
      </m:oMath>
    </w:p>
    <w:p>
      <w:pPr>
        <w:pStyle w:val="FirstParagraph"/>
      </w:pPr>
      <w:r>
        <w:t xml:space="preserve">(Main text §6.6.)</w:t>
      </w:r>
      <w:r>
        <w:t xml:space="preserve"> </w:t>
      </w:r>
      <w:r>
        <w:rPr>
          <w:b/>
          <w:bCs/>
        </w:rPr>
        <w:t xml:space="preserve">Implemented in this revision. Sensitivity demonstration of internal consistency, with substantive caveats noted below.</w:t>
      </w:r>
      <w:r>
        <w:t xml:space="preserve"> </w:t>
      </w:r>
      <w:r>
        <w:t xml:space="preserve">With per-site</w:t>
      </w:r>
      <w:r>
        <w:t xml:space="preserve"> </w:t>
      </w:r>
      <m:oMath>
        <m:sSub>
          <m:e>
            <m:r>
              <m:t>n</m:t>
            </m:r>
          </m:e>
          <m:sub>
            <m:r>
              <m:t>a</m:t>
            </m:r>
            <m:r>
              <m:t>g</m:t>
            </m:r>
            <m:r>
              <m:t>g</m:t>
            </m:r>
          </m:sub>
        </m:sSub>
      </m:oMath>
      <w:r>
        <w:t xml:space="preserve"> </w:t>
      </w:r>
      <w:r>
        <w:t xml:space="preserve">from the convergence-model literature (PP</w:t>
      </w:r>
      <w:r>
        <w:t xml:space="preserve"> </w:t>
      </w:r>
      <m:oMath>
        <m:r>
          <m:rPr>
            <m:sty m:val="p"/>
          </m:rPr>
          <m:t>=</m:t>
        </m:r>
        <m:r>
          <m:t>25</m:t>
        </m:r>
      </m:oMath>
      <w:r>
        <w:t xml:space="preserve">, Jaketown</w:t>
      </w:r>
      <w:r>
        <w:t xml:space="preserve"> </w:t>
      </w:r>
      <m:oMath>
        <m:r>
          <m:rPr>
            <m:sty m:val="p"/>
          </m:rPr>
          <m:t>=</m:t>
        </m:r>
        <m:r>
          <m:t>8</m:t>
        </m:r>
      </m:oMath>
      <w:r>
        <w:t xml:space="preserve">, Watson Brake</w:t>
      </w:r>
      <w:r>
        <w:t xml:space="preserve"> </w:t>
      </w:r>
      <m:oMath>
        <m:r>
          <m:rPr>
            <m:sty m:val="p"/>
          </m:rPr>
          <m:t>=</m:t>
        </m:r>
        <m:r>
          <m:t>8</m:t>
        </m:r>
      </m:oMath>
      <w:r>
        <w:t xml:space="preserve">, Insley</w:t>
      </w:r>
      <w:r>
        <w:t xml:space="preserve"> </w:t>
      </w:r>
      <m:oMath>
        <m:r>
          <m:rPr>
            <m:sty m:val="p"/>
          </m:rPr>
          <m:t>=</m:t>
        </m:r>
        <m:r>
          <m:t>6</m:t>
        </m:r>
      </m:oMath>
      <w:r>
        <w:t xml:space="preserve">, Caney and Frenchman’s Bend</w:t>
      </w:r>
      <w:r>
        <w:t xml:space="preserve"> </w:t>
      </w:r>
      <m:oMath>
        <m:r>
          <m:rPr>
            <m:sty m:val="p"/>
          </m:rPr>
          <m:t>=</m:t>
        </m:r>
        <m:r>
          <m:t>5</m:t>
        </m:r>
      </m:oMath>
      <w:r>
        <w:t xml:space="preserve">, Claiborne and Cedarland</w:t>
      </w:r>
      <w:r>
        <w:t xml:space="preserve"> </w:t>
      </w:r>
      <m:oMath>
        <m:r>
          <m:rPr>
            <m:sty m:val="p"/>
          </m:rPr>
          <m:t>=</m:t>
        </m:r>
        <m:r>
          <m:t>4</m:t>
        </m:r>
      </m:oMath>
      <w:r>
        <w:t xml:space="preserve">, J.W. Copes and Cowpen Slough</w:t>
      </w:r>
      <w:r>
        <w:t xml:space="preserve"> </w:t>
      </w:r>
      <m:oMath>
        <m:r>
          <m:rPr>
            <m:sty m:val="p"/>
          </m:rPr>
          <m:t>=</m:t>
        </m:r>
        <m:r>
          <m:t>3</m:t>
        </m:r>
      </m:oMath>
      <w:r>
        <w:t xml:space="preserve">, Lower Jackson</w:t>
      </w:r>
      <w:r>
        <w:t xml:space="preserve"> </w:t>
      </w:r>
      <m:oMath>
        <m:r>
          <m:rPr>
            <m:sty m:val="p"/>
          </m:rPr>
          <m:t>=</m:t>
        </m:r>
        <m:r>
          <m:t>1</m:t>
        </m:r>
      </m:oMath>
      <w:r>
        <w:t xml:space="preserve">), the analytical equilibrium model produces site-specific equilibrium stocks</w:t>
      </w:r>
      <w:r>
        <w:t xml:space="preserve"> </w:t>
      </w:r>
      <m:oMath>
        <m:sSub>
          <m:e>
            <m:r>
              <m:t>M</m:t>
            </m:r>
          </m:e>
          <m:sub>
            <m:r>
              <m:t>g</m:t>
            </m:r>
          </m:sub>
        </m:sSub>
      </m:oMath>
      <w:r>
        <w:t xml:space="preserve"> </w:t>
      </w:r>
      <w:r>
        <w:t xml:space="preserve">and predicted earthwork volumes via the PP-fit conversion (</w:t>
      </w:r>
      <m:oMath>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Predicted volumes correlate strongly with observed ordinal monument scale: Spearman</w:t>
      </w:r>
      <w:r>
        <w:t xml:space="preserve"> </w:t>
      </w:r>
      <m:oMath>
        <m:r>
          <m:t>ρ</m:t>
        </m:r>
        <m:r>
          <m:rPr>
            <m:sty m:val="p"/>
          </m:rPr>
          <m:t>=</m:t>
        </m:r>
        <m:r>
          <m:rPr>
            <m:sty m:val="p"/>
          </m:rPr>
          <m:t>+</m:t>
        </m:r>
        <m:r>
          <m:t>0.85</m:t>
        </m:r>
      </m:oMath>
      <w:r>
        <w:t xml:space="preserve"> </w:t>
      </w:r>
      <w:r>
        <w:t xml:space="preserve">(</w:t>
      </w:r>
      <m:oMath>
        <m:r>
          <m:t>p</m:t>
        </m:r>
        <m:r>
          <m:rPr>
            <m:sty m:val="p"/>
          </m:rPr>
          <m:t>=</m:t>
        </m:r>
        <m:r>
          <m:t>0.001</m:t>
        </m:r>
      </m:oMath>
      <w:r>
        <w:t xml:space="preserve">) under static-</w:t>
      </w:r>
      <m:oMath>
        <m:r>
          <m:t>ε</m:t>
        </m:r>
      </m:oMath>
      <w:r>
        <w:t xml:space="preserve"> </w:t>
      </w:r>
      <w:r>
        <w:t xml:space="preserve">inputs,</w:t>
      </w:r>
      <w:r>
        <w:t xml:space="preserve"> </w:t>
      </w:r>
      <m:oMath>
        <m:r>
          <m:t>ρ</m:t>
        </m:r>
        <m:r>
          <m:rPr>
            <m:sty m:val="p"/>
          </m:rPr>
          <m:t>=</m:t>
        </m:r>
        <m:r>
          <m:rPr>
            <m:sty m:val="p"/>
          </m:rPr>
          <m:t>+</m:t>
        </m:r>
        <m:r>
          <m:t>0.88</m:t>
        </m:r>
      </m:oMath>
      <w:r>
        <w:t xml:space="preserve"> </w:t>
      </w:r>
      <w:r>
        <w:t xml:space="preserve">(</w:t>
      </w:r>
      <m:oMath>
        <m:r>
          <m:t>p</m:t>
        </m:r>
        <m:r>
          <m:rPr>
            <m:sty m:val="p"/>
          </m:rPr>
          <m:t>&lt;</m:t>
        </m:r>
        <m:r>
          <m:t>0.001</m:t>
        </m:r>
      </m:oMath>
      <w:r>
        <w:t xml:space="preserve">) under phenology-</w:t>
      </w:r>
      <m:oMath>
        <m:r>
          <m:t>ε</m:t>
        </m:r>
      </m:oMath>
      <w:r>
        <w:t xml:space="preserve"> </w:t>
      </w:r>
      <w:r>
        <w:t xml:space="preserve">inputs, and</w:t>
      </w:r>
      <w:r>
        <w:t xml:space="preserve"> </w:t>
      </w:r>
      <m:oMath>
        <m:r>
          <m:t>ρ</m:t>
        </m:r>
        <m:r>
          <m:rPr>
            <m:sty m:val="p"/>
          </m:rPr>
          <m:t>=</m:t>
        </m:r>
        <m:r>
          <m:rPr>
            <m:sty m:val="p"/>
          </m:rPr>
          <m:t>+</m:t>
        </m:r>
        <m:r>
          <m:t>0.90</m:t>
        </m:r>
      </m:oMath>
      <w:r>
        <w:t xml:space="preserve"> </w:t>
      </w:r>
      <w:r>
        <w:t xml:space="preserve">under water-route-</w:t>
      </w:r>
      <m:oMath>
        <m:r>
          <m:t>ε</m:t>
        </m:r>
      </m:oMath>
      <w:r>
        <w:t xml:space="preserve"> </w:t>
      </w:r>
      <w:r>
        <w:t xml:space="preserve">inputs. Against observed volumes (where reported),</w:t>
      </w:r>
      <w:r>
        <w:t xml:space="preserve"> </w:t>
      </w:r>
      <m:oMath>
        <m:r>
          <m:t>ρ</m:t>
        </m:r>
        <m:r>
          <m:rPr>
            <m:sty m:val="p"/>
          </m:rPr>
          <m:t>=</m:t>
        </m:r>
        <m:r>
          <m:rPr>
            <m:sty m:val="p"/>
          </m:rPr>
          <m:t>+</m:t>
        </m:r>
        <m:r>
          <m:t>0.89</m:t>
        </m:r>
      </m:oMath>
      <w:r>
        <w:t xml:space="preserve"> </w:t>
      </w:r>
      <w:r>
        <w:t xml:space="preserve">(static) and</w:t>
      </w:r>
      <w:r>
        <w:t xml:space="preserve"> </w:t>
      </w:r>
      <m:oMath>
        <m:r>
          <m:t>ρ</m:t>
        </m:r>
        <m:r>
          <m:rPr>
            <m:sty m:val="p"/>
          </m:rPr>
          <m:t>=</m:t>
        </m:r>
        <m:r>
          <m:rPr>
            <m:sty m:val="p"/>
          </m:rPr>
          <m:t>+</m:t>
        </m:r>
        <m:r>
          <m:t>0.91</m:t>
        </m:r>
      </m:oMath>
      <w:r>
        <w:t xml:space="preserve"> </w:t>
      </w:r>
      <w:r>
        <w:t xml:space="preserve">(water-route).</w:t>
      </w:r>
    </w:p>
    <w:p>
      <w:pPr>
        <w:pStyle w:val="BodyText"/>
      </w:pPr>
      <w:r>
        <w:t xml:space="preserve">A partial-correlation decomposition (</w:t>
      </w:r>
      <w:r>
        <w:rPr>
          <w:rStyle w:val="VerbatimChar"/>
        </w:rPr>
        <w:t xml:space="preserve">scripts/analysis/partial_correlation_eps_nagg.py</w:t>
      </w:r>
      <w:r>
        <w:t xml:space="preserve">) is necessary to interpret these numbers honestly. The diagnostic question is: if we already know</w:t>
      </w:r>
      <w:r>
        <w:t xml:space="preserve"> </w:t>
      </w:r>
      <m:oMath>
        <m:sSub>
          <m:e>
            <m:r>
              <m:t>n</m:t>
            </m:r>
          </m:e>
          <m:sub>
            <m:r>
              <m:t>a</m:t>
            </m:r>
            <m:r>
              <m:t>g</m:t>
            </m:r>
            <m:r>
              <m:t>g</m:t>
            </m:r>
          </m:sub>
        </m:sSub>
      </m:oMath>
      <w:r>
        <w:t xml:space="preserve"> </w:t>
      </w:r>
      <w:r>
        <w:t xml:space="preserve">at each site (from the convergence-model literature), how much</w:t>
      </w:r>
      <w:r>
        <w:t xml:space="preserve"> </w:t>
      </w:r>
      <w:r>
        <w:rPr>
          <w:i/>
          <w:iCs/>
        </w:rPr>
        <w:t xml:space="preserve">extra</w:t>
      </w:r>
      <w:r>
        <w:t xml:space="preserve"> </w:t>
      </w:r>
      <w:r>
        <w:t xml:space="preserve">predictive power does the framework’s</w:t>
      </w:r>
      <w:r>
        <w:t xml:space="preserve"> </w:t>
      </w:r>
      <m:oMath>
        <m:r>
          <m:t>ε</m:t>
        </m:r>
      </m:oMath>
      <w:r>
        <w:t xml:space="preserve"> </w:t>
      </w:r>
      <w:r>
        <w:t xml:space="preserve">provide? Almost none.</w:t>
      </w:r>
      <w:r>
        <w:t xml:space="preserve"> </w:t>
      </w:r>
      <m:oMath>
        <m:sSub>
          <m:e>
            <m:r>
              <m:t>n</m:t>
            </m:r>
          </m:e>
          <m:sub>
            <m:r>
              <m:t>a</m:t>
            </m:r>
            <m:r>
              <m:t>g</m:t>
            </m:r>
            <m:r>
              <m:t>g</m:t>
            </m:r>
          </m:sub>
        </m:sSub>
      </m:oMath>
      <w:r>
        <w:rPr>
          <w:b/>
          <w:bCs/>
        </w:rPr>
        <w:t xml:space="preserve"> </w:t>
      </w:r>
      <w:r>
        <w:rPr>
          <w:b/>
          <w:bCs/>
        </w:rPr>
        <w:t xml:space="preserve">alone, with no framework, gives Spearman</w:t>
      </w:r>
      <w:r>
        <w:rPr>
          <w:b/>
          <w:bCs/>
        </w:rPr>
        <w:t xml:space="preserve"> </w:t>
      </w:r>
      <m:oMath>
        <m:r>
          <m:t>ρ</m:t>
        </m:r>
        <m:r>
          <m:rPr>
            <m:sty m:val="p"/>
          </m:rPr>
          <m:t>=</m:t>
        </m:r>
        <m:r>
          <m:rPr>
            <m:sty m:val="p"/>
          </m:rPr>
          <m:t>+</m:t>
        </m:r>
        <m:r>
          <m:t>0.87</m:t>
        </m:r>
      </m:oMath>
      <w:r>
        <w:rPr>
          <w:b/>
          <w:bCs/>
        </w:rPr>
        <w:t xml:space="preserve"> </w:t>
      </w:r>
      <w:r>
        <w:rPr>
          <w:b/>
          <w:bCs/>
        </w:rPr>
        <w:t xml:space="preserve">against ordinal scale and</w:t>
      </w:r>
      <w:r>
        <w:rPr>
          <w:b/>
          <w:bCs/>
        </w:rPr>
        <w:t xml:space="preserve"> </w:t>
      </w:r>
      <m:oMath>
        <m:r>
          <m:t>ρ</m:t>
        </m:r>
        <m:r>
          <m:rPr>
            <m:sty m:val="p"/>
          </m:rPr>
          <m:t>=</m:t>
        </m:r>
        <m:r>
          <m:rPr>
            <m:sty m:val="p"/>
          </m:rPr>
          <m:t>+</m:t>
        </m:r>
        <m:r>
          <m:t>0.91</m:t>
        </m:r>
      </m:oMath>
      <w:r>
        <w:rPr>
          <w:b/>
          <w:bCs/>
        </w:rPr>
        <w:t xml:space="preserve"> </w:t>
      </w:r>
      <w:r>
        <w:rPr>
          <w:b/>
          <w:bCs/>
        </w:rPr>
        <w:t xml:space="preserve">against observed volume.</w:t>
      </w:r>
      <w:r>
        <w:t xml:space="preserve"> </w:t>
      </w:r>
      <w:r>
        <w:t xml:space="preserve">The marginal contribution of each</w:t>
      </w:r>
      <w:r>
        <w:t xml:space="preserve"> </w:t>
      </w:r>
      <m:oMath>
        <m:r>
          <m:t>ε</m:t>
        </m:r>
      </m:oMath>
      <w:r>
        <w:t xml:space="preserve"> </w:t>
      </w:r>
      <w:r>
        <w:t xml:space="preserve">operationalization to the joint correlation (joint</w:t>
      </w:r>
      <w:r>
        <w:t xml:space="preserve"> </w:t>
      </w:r>
      <m:oMath>
        <m:r>
          <m:t>ρ</m:t>
        </m:r>
      </m:oMath>
      <w:r>
        <w:t xml:space="preserve"> </w:t>
      </w:r>
      <w:r>
        <w:t xml:space="preserve">minus</w:t>
      </w:r>
      <w:r>
        <w:t xml:space="preserve"> </w:t>
      </w:r>
      <m:oMath>
        <m:sSub>
          <m:e>
            <m:r>
              <m:t>n</m:t>
            </m:r>
          </m:e>
          <m:sub>
            <m:r>
              <m:t>a</m:t>
            </m:r>
            <m:r>
              <m:t>g</m:t>
            </m:r>
            <m:r>
              <m:t>g</m:t>
            </m:r>
          </m:sub>
        </m:sSub>
      </m:oMath>
      <w:r>
        <w:t xml:space="preserve">-alone</w:t>
      </w:r>
      <w:r>
        <w:t xml:space="preserve"> </w:t>
      </w:r>
      <m:oMath>
        <m:r>
          <m:t>ρ</m:t>
        </m:r>
      </m:oMath>
      <w:r>
        <w:t xml:space="preserve">), against ordinal scale, is:</w:t>
      </w:r>
      <w:r>
        <w:t xml:space="preserve"> </w:t>
      </w:r>
      <m:oMath>
        <m:r>
          <m:rPr>
            <m:sty m:val="p"/>
          </m:rPr>
          <m:t>−</m:t>
        </m:r>
        <m:r>
          <m:t>0.019</m:t>
        </m:r>
      </m:oMath>
      <w:r>
        <w:t xml:space="preserve"> </w:t>
      </w:r>
      <w:r>
        <w:t xml:space="preserve">(static),</w:t>
      </w:r>
      <w:r>
        <w:t xml:space="preserve"> </w:t>
      </w:r>
      <m:oMath>
        <m:r>
          <m:rPr>
            <m:sty m:val="p"/>
          </m:rPr>
          <m:t>+</m:t>
        </m:r>
        <m:r>
          <m:t>0.015</m:t>
        </m:r>
      </m:oMath>
      <w:r>
        <w:t xml:space="preserve"> </w:t>
      </w:r>
      <w:r>
        <w:t xml:space="preserve">(phenology),</w:t>
      </w:r>
      <w:r>
        <w:t xml:space="preserve"> </w:t>
      </w:r>
      <m:oMath>
        <m:r>
          <m:rPr>
            <m:sty m:val="p"/>
          </m:rPr>
          <m:t>+</m:t>
        </m:r>
        <m:r>
          <m:t>0.029</m:t>
        </m:r>
      </m:oMath>
      <w:r>
        <w:t xml:space="preserve"> </w:t>
      </w:r>
      <w:r>
        <w:t xml:space="preserve">(water-route). At</w:t>
      </w:r>
      <w:r>
        <w:t xml:space="preserve"> </w:t>
      </w:r>
      <m:oMath>
        <m:r>
          <m:t>n</m:t>
        </m:r>
        <m:r>
          <m:rPr>
            <m:sty m:val="p"/>
          </m:rPr>
          <m:t>=</m:t>
        </m:r>
        <m:r>
          <m:t>11</m:t>
        </m:r>
      </m:oMath>
      <w:r>
        <w:t xml:space="preserve">, Spearman noise is about</w:t>
      </w:r>
      <w:r>
        <w:t xml:space="preserve"> </w:t>
      </w:r>
      <m:oMath>
        <m:r>
          <m:rPr>
            <m:sty m:val="p"/>
          </m:rPr>
          <m:t>±</m:t>
        </m:r>
        <m:r>
          <m:t>0.05</m:t>
        </m:r>
      </m:oMath>
      <w:r>
        <w:t xml:space="preserve">, so all three marginal contributions are within noise. The honest reading: the framework’s</w:t>
      </w:r>
      <w:r>
        <w:t xml:space="preserve"> </w:t>
      </w:r>
      <m:oMath>
        <m:sSub>
          <m:e>
            <m:r>
              <m:t>M</m:t>
            </m:r>
          </m:e>
          <m:sub>
            <m:r>
              <m:t>g</m:t>
            </m:r>
          </m:sub>
        </m:sSub>
      </m:oMath>
      <w:r>
        <w:t xml:space="preserve"> </w:t>
      </w:r>
      <w:r>
        <w:t xml:space="preserve">equilibrium tracks</w:t>
      </w:r>
      <w:r>
        <w:t xml:space="preserve"> </w:t>
      </w:r>
      <m:oMath>
        <m:sSub>
          <m:e>
            <m:r>
              <m:t>n</m:t>
            </m:r>
          </m:e>
          <m:sub>
            <m:r>
              <m:t>a</m:t>
            </m:r>
            <m:r>
              <m:t>g</m:t>
            </m:r>
            <m:r>
              <m:t>g</m:t>
            </m:r>
          </m:sub>
        </m:sSub>
      </m:oMath>
      <w:r>
        <w:t xml:space="preserve"> </w:t>
      </w:r>
      <w:r>
        <w:t xml:space="preserve">in the expected direction (a within-model consistency property), but it does not predict cross-site magnitude beyond what</w:t>
      </w:r>
      <w:r>
        <w:t xml:space="preserve"> </w:t>
      </w:r>
      <m:oMath>
        <m:sSub>
          <m:e>
            <m:r>
              <m:t>n</m:t>
            </m:r>
          </m:e>
          <m:sub>
            <m:r>
              <m:t>a</m:t>
            </m:r>
            <m:r>
              <m:t>g</m:t>
            </m:r>
            <m:r>
              <m:t>g</m:t>
            </m:r>
          </m:sub>
        </m:sSub>
      </m:oMath>
      <w:r>
        <w:t xml:space="preserve"> </w:t>
      </w:r>
      <w:r>
        <w:t xml:space="preserve">from convergence-model evidence already implies.</w:t>
      </w:r>
    </w:p>
    <w:p>
      <w:pPr>
        <w:pStyle w:val="BodyText"/>
      </w:pPr>
      <w:r>
        <w:t xml:space="preserve">The framework’s structural claim about magnitude is therefore:</w:t>
      </w:r>
      <w:r>
        <w:t xml:space="preserve"> </w:t>
      </w:r>
      <w:r>
        <w:rPr>
          <w:i/>
          <w:iCs/>
        </w:rPr>
        <w:t xml:space="preserve">given</w:t>
      </w:r>
      <w:r>
        <w:t xml:space="preserve"> </w:t>
      </w:r>
      <w:r>
        <w:t xml:space="preserve">exogenously supplied</w:t>
      </w:r>
      <w:r>
        <w:t xml:space="preserve"> </w:t>
      </w:r>
      <m:oMath>
        <m:sSub>
          <m:e>
            <m:r>
              <m:t>n</m:t>
            </m:r>
          </m:e>
          <m:sub>
            <m:r>
              <m:t>a</m:t>
            </m:r>
            <m:r>
              <m:t>g</m:t>
            </m:r>
            <m:r>
              <m:t>g</m:t>
            </m:r>
          </m:sub>
        </m:sSub>
      </m:oMath>
      <w:r>
        <w:t xml:space="preserve"> </w:t>
      </w:r>
      <w:r>
        <w:t xml:space="preserve">ranks across LMV sites, the equilibrium</w:t>
      </w:r>
      <w:r>
        <w:t xml:space="preserve"> </w:t>
      </w:r>
      <m:oMath>
        <m:sSub>
          <m:e>
            <m:r>
              <m:t>M</m:t>
            </m:r>
          </m:e>
          <m:sub>
            <m:r>
              <m:t>g</m:t>
            </m:r>
          </m:sub>
        </m:sSub>
      </m:oMath>
      <w:r>
        <w:t xml:space="preserve"> </w:t>
      </w:r>
      <w:r>
        <w:t xml:space="preserve">tracks those ranks. This is an internal consistency property of the equation set, not an independent prediction of monument scale by the framework’s</w:t>
      </w:r>
      <w:r>
        <w:t xml:space="preserve"> </w:t>
      </w:r>
      <m:oMath>
        <m:r>
          <m:t>ε</m:t>
        </m:r>
      </m:oMath>
      <w:r>
        <w:t xml:space="preserve">. The static-</w:t>
      </w:r>
      <m:oMath>
        <m:r>
          <m:t>ε</m:t>
        </m:r>
      </m:oMath>
      <w:r>
        <w:t xml:space="preserve"> </w:t>
      </w:r>
      <w:r>
        <w:t xml:space="preserve">Test A null result reported earlier in S16 (</w:t>
      </w:r>
      <m:oMath>
        <m:r>
          <m:t>ρ</m:t>
        </m:r>
        <m:r>
          <m:rPr>
            <m:sty m:val="p"/>
          </m:rPr>
          <m:t>=</m:t>
        </m:r>
        <m:r>
          <m:rPr>
            <m:sty m:val="p"/>
          </m:rPr>
          <m:t>+</m:t>
        </m:r>
        <m:r>
          <m:t>0.39</m:t>
        </m:r>
      </m:oMath>
      <w:r>
        <w:t xml:space="preserve">) tests the framework’s</w:t>
      </w:r>
      <w:r>
        <w:t xml:space="preserve"> </w:t>
      </w:r>
      <m:oMath>
        <m:r>
          <m:t>ε</m:t>
        </m:r>
      </m:oMath>
      <w:r>
        <w:t xml:space="preserve"> </w:t>
      </w:r>
      <w:r>
        <w:t xml:space="preserve">at fixed</w:t>
      </w:r>
      <w:r>
        <w:t xml:space="preserve"> </w:t>
      </w:r>
      <m:oMath>
        <m:sSub>
          <m:e>
            <m:r>
              <m:t>n</m:t>
            </m:r>
          </m:e>
          <m:sub>
            <m:r>
              <m:t>a</m:t>
            </m:r>
            <m:r>
              <m:t>g</m:t>
            </m:r>
            <m:r>
              <m:t>g</m:t>
            </m:r>
          </m:sub>
        </m:sSub>
        <m:r>
          <m:rPr>
            <m:sty m:val="p"/>
          </m:rPr>
          <m:t>=</m:t>
        </m:r>
        <m:r>
          <m:t>25</m:t>
        </m:r>
      </m:oMath>
      <w:r>
        <w:t xml:space="preserve"> </w:t>
      </w:r>
      <w:r>
        <w:t xml:space="preserve">and finds the right answer:</w:t>
      </w:r>
      <w:r>
        <w:t xml:space="preserve"> </w:t>
      </w:r>
      <m:oMath>
        <m:r>
          <m:t>ε</m:t>
        </m:r>
      </m:oMath>
      <w:r>
        <w:t xml:space="preserve"> </w:t>
      </w:r>
      <w:r>
        <w:t xml:space="preserve">is a screening / necessity variable, not a magnitude predictor.</w:t>
      </w:r>
    </w:p>
    <w:p>
      <w:pPr>
        <w:pStyle w:val="BodyText"/>
      </w:pPr>
      <w:r>
        <w:t xml:space="preserve">Future work could test whether the framework predicts magnitude</w:t>
      </w:r>
      <w:r>
        <w:t xml:space="preserve"> </w:t>
      </w:r>
      <w:r>
        <w:rPr>
          <w:i/>
          <w:iCs/>
        </w:rPr>
        <w:t xml:space="preserve">independently</w:t>
      </w:r>
      <w:r>
        <w:t xml:space="preserve"> </w:t>
      </w:r>
      <w: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t xml:space="preserve"> </w:t>
      </w:r>
      <m:oMath>
        <m:r>
          <m:t>ρ</m:t>
        </m:r>
      </m:oMath>
      <w:r>
        <w:t xml:space="preserve"> </w:t>
      </w:r>
      <w:r>
        <w:t xml:space="preserve">the joint prediction returns. The absence of that test in this article is a real limitation. We report it transparently rather than treating the joint</w:t>
      </w:r>
      <w:r>
        <w:t xml:space="preserve"> </w:t>
      </w:r>
      <m:oMath>
        <m:r>
          <m:t>ρ</m:t>
        </m:r>
        <m:r>
          <m:rPr>
            <m:sty m:val="p"/>
          </m:rPr>
          <m:t>=</m:t>
        </m:r>
        <m:r>
          <m:rPr>
            <m:sty m:val="p"/>
          </m:rPr>
          <m:t>+</m:t>
        </m:r>
        <m:r>
          <m:t>0.91</m:t>
        </m:r>
      </m:oMath>
      <w:r>
        <w:t xml:space="preserve"> </w:t>
      </w:r>
      <w:r>
        <w:t xml:space="preserve">as evidence of magnitude prediction by the framework. Full reproducibility from</w:t>
      </w:r>
      <w:r>
        <w:t xml:space="preserve"> </w:t>
      </w:r>
      <w:r>
        <w:rPr>
          <w:rStyle w:val="VerbatimChar"/>
        </w:rPr>
        <w:t xml:space="preserve">scripts/analysis/predicted_scale_ratios.py</w:t>
      </w:r>
      <w:r>
        <w:t xml:space="preserve"> </w:t>
      </w:r>
      <w:r>
        <w:t xml:space="preserve">and</w:t>
      </w:r>
      <w:r>
        <w:t xml:space="preserve"> </w:t>
      </w:r>
      <w:r>
        <w:rPr>
          <w:rStyle w:val="VerbatimChar"/>
        </w:rPr>
        <w:t xml:space="preserve">scripts/analysis/partial_correlation_eps_nagg.py</w:t>
      </w:r>
      <w:r>
        <w:t xml:space="preserve">, with outputs in</w:t>
      </w:r>
      <w:r>
        <w:t xml:space="preserve"> </w:t>
      </w:r>
      <w:r>
        <w:rPr>
          <w:rStyle w:val="VerbatimChar"/>
        </w:rPr>
        <w:t xml:space="preserve">results/sensitivity/predicted_scale_ratios.json</w:t>
      </w:r>
      <w:r>
        <w:t xml:space="preserve"> </w:t>
      </w:r>
      <w:r>
        <w:t xml:space="preserve">and</w:t>
      </w:r>
      <w:r>
        <w:t xml:space="preserve"> </w:t>
      </w:r>
      <w:r>
        <w:rPr>
          <w:rStyle w:val="VerbatimChar"/>
        </w:rPr>
        <w:t xml:space="preserve">results/sensitivity/partial_correlation_eps_nagg.json</w:t>
      </w:r>
      <w:r>
        <w:t xml:space="preserve">.</w:t>
      </w:r>
    </w:p>
    <w:bookmarkEnd w:id="99"/>
    <w:bookmarkStart w:id="100" w:name="Xe4e7d8e25edca0f09f895447481ac1599bb9806"/>
    <w:p>
      <w:pPr>
        <w:pStyle w:val="Heading3"/>
      </w:pPr>
      <w:r>
        <w:t xml:space="preserve">S17.6 Seasonally resolved aggregation timing</w:t>
      </w:r>
    </w:p>
    <w:p>
      <w:pPr>
        <w:pStyle w:val="FirstParagraph"/>
      </w:pPr>
      <w:r>
        <w:t xml:space="preserve">(Main text §6.7.)</w:t>
      </w:r>
      <w:r>
        <w:t xml:space="preserve"> </w:t>
      </w:r>
      <w:r>
        <w:rPr>
          <w:b/>
          <w:bCs/>
        </w:rPr>
        <w:t xml:space="preserve">Minimal version implemented in this revision. Plausibility check for §6.7, with a structural caveat noted below.</w:t>
      </w:r>
      <w:r>
        <w:t xml:space="preserve"> </w:t>
      </w:r>
      <w: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t xml:space="preserve">,</w:t>
      </w:r>
      <w:r>
        <w:t xml:space="preserve"> </w:t>
      </w:r>
      <m:oMath>
        <m:sSub>
          <m:e>
            <m:r>
              <m:t>n</m:t>
            </m:r>
          </m:e>
          <m:sub>
            <m:r>
              <m:t>a</m:t>
            </m:r>
            <m:r>
              <m:t>g</m:t>
            </m:r>
            <m:r>
              <m:t>g</m:t>
            </m:r>
          </m:sub>
        </m:sSub>
        <m:r>
          <m:rPr>
            <m:sty m:val="p"/>
          </m:rPr>
          <m:t>=</m:t>
        </m:r>
        <m:r>
          <m:t>25</m:t>
        </m:r>
      </m:oMath>
      <w:r>
        <w:t xml:space="preserve">,</w:t>
      </w:r>
      <w:r>
        <w:t xml:space="preserve"> </w:t>
      </w:r>
      <m:oMath>
        <m:sSub>
          <m:e>
            <m:r>
              <m:t>σ</m:t>
            </m:r>
          </m:e>
          <m:sub>
            <m:r>
              <m:t>e</m:t>
            </m:r>
            <m:r>
              <m:t>f</m:t>
            </m:r>
            <m:r>
              <m:t>f</m:t>
            </m:r>
          </m:sub>
        </m:sSub>
        <m:r>
          <m:rPr>
            <m:sty m:val="p"/>
          </m:rPr>
          <m:t>=</m:t>
        </m:r>
        <m:r>
          <m:t>0.326</m:t>
        </m:r>
      </m:oMath>
      <w:r>
        <w:t xml:space="preserve">), the model predicts top 3 aggregation months October, September, November and a fall-winter (Sep-Feb) mean share of 0.82 vs spring-summer (Mar-Aug) mean of 0.92 (script-internal verdict:</w:t>
      </w:r>
      <w:r>
        <w:t xml:space="preserve"> </w:t>
      </w:r>
      <w:r>
        <w:t xml:space="preserve">“framework prediction does NOT match published evidence”</w:t>
      </w:r>
      <w:r>
        <w:t xml:space="preserve"> </w:t>
      </w:r>
      <w:r>
        <w:t xml:space="preserve">because the spring-summer mean share exceeds the fall-winter share when January is included).</w:t>
      </w:r>
    </w:p>
    <w:p>
      <w:pPr>
        <w:pStyle w:val="BodyText"/>
      </w:pPr>
      <w:r>
        <w:t xml:space="preserve">The structural caveat is that</w:t>
      </w:r>
      <w:r>
        <w:t xml:space="preserve"> </w:t>
      </w:r>
      <w:r>
        <w:rPr>
          <w:b/>
          <w:bCs/>
        </w:rPr>
        <w:t xml:space="preserve">the top-3-months prediction is partly tautological</w:t>
      </w:r>
      <w: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t xml:space="preserve"> </w:t>
      </w:r>
      <w:r>
        <w:t xml:space="preserve">“match”</w:t>
      </w:r>
      <w:r>
        <w:t xml:space="preserve"> </w:t>
      </w:r>
      <w: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t xml:space="preserve"> </w:t>
      </w:r>
      <w:r>
        <w:rPr>
          <w:i/>
          <w:iCs/>
        </w:rPr>
        <w:t xml:space="preserve">plausibility check</w:t>
      </w:r>
      <w:r>
        <w:t xml:space="preserve"> </w:t>
      </w:r>
      <w:r>
        <w:t xml:space="preserve">that the framework, given the same phenology calendar the published interpretations use, returns the same fall-month emphasis, not as evidence the framework predicts seasonality.</w:t>
      </w:r>
    </w:p>
    <w:p>
      <w:pPr>
        <w:pStyle w:val="BodyText"/>
      </w:pPr>
      <w:r>
        <w:t xml:space="preserve">The script’s broader-window output (substantial aggregation share in spring fish-spawn months and summer aquatic months) is</w:t>
      </w:r>
      <w:r>
        <w:t xml:space="preserve"> </w:t>
      </w:r>
      <w:r>
        <w:rPr>
          <w:i/>
          <w:iCs/>
        </w:rPr>
        <w:t xml:space="preserve">not</w:t>
      </w:r>
      <w:r>
        <w:t xml:space="preserve"> </w:t>
      </w:r>
      <w: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t xml:space="preserve">Reproducible from</w:t>
      </w:r>
      <w:r>
        <w:t xml:space="preserve"> </w:t>
      </w:r>
      <w:r>
        <w:rPr>
          <w:rStyle w:val="VerbatimChar"/>
        </w:rPr>
        <w:t xml:space="preserve">scripts/analysis/seasonal_aggregation_timing.py</w:t>
      </w:r>
      <w:r>
        <w:t xml:space="preserve">, with outputs in</w:t>
      </w:r>
      <w:r>
        <w:t xml:space="preserve"> </w:t>
      </w:r>
      <w:r>
        <w:rPr>
          <w:rStyle w:val="VerbatimChar"/>
        </w:rPr>
        <w:t xml:space="preserve">results/sensitivity/seasonal_aggregation_timing.json</w:t>
      </w:r>
      <w:r>
        <w:t xml:space="preserve">. The full version (within-month time resolution, species-resolved subsistence dynamics, non-LMV-derived phenology calendar) remains as future work that would test the framework’s seasonality prediction non-circularly.</w:t>
      </w:r>
    </w:p>
    <w:bookmarkEnd w:id="100"/>
    <w:bookmarkStart w:id="101" w:name="Xb3d12c0ca8d5c240fada9f9a6fe85afecdfd9b8"/>
    <w:p>
      <w:pPr>
        <w:pStyle w:val="Heading3"/>
      </w:pPr>
      <w:r>
        <w:t xml:space="preserve">S17.7 Maintenance-to-new-construction ratio under signal depreciation</w:t>
      </w:r>
    </w:p>
    <w:p>
      <w:pPr>
        <w:pStyle w:val="FirstParagraph"/>
      </w:pPr>
      <w:r>
        <w:t xml:space="preserve">(Main text §6.8; falsifiable prediction §7.4(h).) Derived from the geometric depreciation recurrence</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t xml:space="preserve">, each period’s investment flow decomposes into the share that offsets depreciation,</w:t>
      </w:r>
      <w:r>
        <w:t xml:space="preserve"> </w:t>
      </w:r>
      <m:oMath>
        <m:r>
          <m:t>δ</m:t>
        </m:r>
        <m:sSub>
          <m:e>
            <m:r>
              <m:t>M</m:t>
            </m:r>
          </m:e>
          <m:sub>
            <m:r>
              <m:t>g</m:t>
            </m:r>
          </m:sub>
        </m:sSub>
      </m:oMath>
      <w:r>
        <w:t xml:space="preserve"> </w:t>
      </w:r>
      <w:r>
        <w:t xml:space="preserve">(maintenance / signal renewal), and the share</w:t>
      </w:r>
      <w:r>
        <w:t xml:space="preserve"> </w:t>
      </w:r>
      <m:oMath>
        <m:sSub>
          <m:e>
            <m:r>
              <m:t>I</m:t>
            </m:r>
          </m:e>
          <m:sub>
            <m:r>
              <m:t>g</m:t>
            </m:r>
          </m:sub>
        </m:sSub>
        <m:r>
          <m:rPr>
            <m:sty m:val="p"/>
          </m:rPr>
          <m:t>−</m:t>
        </m:r>
        <m:r>
          <m:t>δ</m:t>
        </m:r>
        <m:sSub>
          <m:e>
            <m:r>
              <m:t>M</m:t>
            </m:r>
          </m:e>
          <m:sub>
            <m:r>
              <m:t>g</m:t>
            </m:r>
          </m:sub>
        </m:sSub>
      </m:oMath>
      <w:r>
        <w:t xml:space="preserve"> </w:t>
      </w:r>
      <w: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t xml:space="preserve">defined on the growth regime</w:t>
      </w:r>
      <w:r>
        <w:t xml:space="preserve"> </w:t>
      </w:r>
      <m:oMath>
        <m:r>
          <m:t>0</m:t>
        </m:r>
        <m:r>
          <m:rPr>
            <m:sty m:val="p"/>
          </m:rPr>
          <m:t>≤</m:t>
        </m:r>
        <m:r>
          <m:t>δ</m:t>
        </m:r>
        <m:sSub>
          <m:e>
            <m:r>
              <m:t>M</m:t>
            </m:r>
          </m:e>
          <m:sub>
            <m:r>
              <m:t>g</m:t>
            </m:r>
          </m:sub>
        </m:sSub>
        <m:r>
          <m:rPr>
            <m:sty m:val="p"/>
          </m:rPr>
          <m:t>&lt;</m:t>
        </m:r>
        <m:sSub>
          <m:e>
            <m:r>
              <m:t>I</m:t>
            </m:r>
          </m:e>
          <m:sub>
            <m:r>
              <m:t>g</m:t>
            </m:r>
          </m:sub>
        </m:sSub>
      </m:oMath>
      <w:r>
        <w:t xml:space="preserve">, monotonically increasing in</w:t>
      </w:r>
      <w:r>
        <w:t xml:space="preserve"> </w:t>
      </w:r>
      <m:oMath>
        <m:sSub>
          <m:e>
            <m:r>
              <m:t>M</m:t>
            </m:r>
          </m:e>
          <m:sub>
            <m:r>
              <m:t>g</m:t>
            </m:r>
          </m:sub>
        </m:sSub>
      </m:oMath>
      <w:r>
        <w:t xml:space="preserve">, and diverging at the steady state</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 </w:t>
      </w:r>
      <w:r>
        <w:t xml:space="preserve">(at saturation all investment is maintenance). Positive depreciation</w:t>
      </w:r>
      <w:r>
        <w:t xml:space="preserve"> </w:t>
      </w:r>
      <m:oMath>
        <m:r>
          <m:t>δ</m:t>
        </m:r>
        <m:r>
          <m:rPr>
            <m:sty m:val="p"/>
          </m:rPr>
          <m:t>&gt;</m:t>
        </m:r>
        <m:r>
          <m:t>0</m:t>
        </m:r>
      </m:oMath>
      <w:r>
        <w:t xml:space="preserve"> </w:t>
      </w:r>
      <w: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b/>
          <w:bCs/>
        </w:rPr>
        <w:t xml:space="preserve">PP-scenario trajectory.</w:t>
      </w:r>
      <w:r>
        <w:t xml:space="preserve"> </w:t>
      </w:r>
      <w:r>
        <w:t xml:space="preserve">At PP-calibrated parameters (</w:t>
      </w:r>
      <m:oMath>
        <m:r>
          <m:t>σ</m:t>
        </m:r>
        <m:r>
          <m:rPr>
            <m:sty m:val="p"/>
          </m:rPr>
          <m:t>=</m:t>
        </m:r>
        <m:r>
          <m:t>0.64</m:t>
        </m:r>
      </m:oMath>
      <w:r>
        <w:t xml:space="preserve">,</w:t>
      </w:r>
      <w:r>
        <w:t xml:space="preserve"> </w:t>
      </w:r>
      <m:oMath>
        <m:sSub>
          <m:e>
            <m:r>
              <m:t>n</m:t>
            </m:r>
          </m:e>
          <m:sub>
            <m:r>
              <m:t>a</m:t>
            </m:r>
            <m:r>
              <m:t>g</m:t>
            </m:r>
            <m:r>
              <m:t>g</m:t>
            </m:r>
          </m:sub>
        </m:sSub>
        <m:r>
          <m:rPr>
            <m:sty m:val="p"/>
          </m:rPr>
          <m:t>=</m:t>
        </m:r>
        <m:r>
          <m:t>25</m:t>
        </m:r>
      </m:oMath>
      <w:r>
        <w:t xml:space="preserve">,</w:t>
      </w:r>
      <w:r>
        <w:t xml:space="preserve"> </w:t>
      </w:r>
      <m:oMath>
        <m:r>
          <m:t>δ</m:t>
        </m:r>
        <m:r>
          <m:rPr>
            <m:sty m:val="p"/>
          </m:rPr>
          <m:t>=</m:t>
        </m:r>
        <m:r>
          <m:t>0.08</m:t>
        </m:r>
      </m:oMath>
      <w:r>
        <w:t xml:space="preserve">), the lambda-sigma fixed point gives</w:t>
      </w:r>
      <w:r>
        <w:t xml:space="preserve"> </w:t>
      </w:r>
      <m:oMath>
        <m:sSubSup>
          <m:e>
            <m:r>
              <m:t>M</m:t>
            </m:r>
          </m:e>
          <m:sub>
            <m:r>
              <m:t>g</m:t>
            </m:r>
          </m:sub>
          <m:sup>
            <m:r>
              <m:rPr>
                <m:sty m:val="p"/>
              </m:rPr>
              <m:t>*</m:t>
            </m:r>
          </m:sup>
        </m:sSubSup>
        <m:r>
          <m:rPr>
            <m:sty m:val="p"/>
          </m:rPr>
          <m:t>=</m:t>
        </m:r>
        <m:r>
          <m:t>129.8</m:t>
        </m:r>
      </m:oMath>
      <w:r>
        <w:t xml:space="preserve"> </w:t>
      </w:r>
      <w:r>
        <w:t xml:space="preserve">units and</w:t>
      </w:r>
      <w:r>
        <w:t xml:space="preserve"> </w:t>
      </w:r>
      <m:oMath>
        <m:sSub>
          <m:e>
            <m:r>
              <m:t>I</m:t>
            </m:r>
          </m:e>
          <m:sub>
            <m:r>
              <m:t>g</m:t>
            </m:r>
          </m:sub>
        </m:sSub>
        <m:r>
          <m:rPr>
            <m:sty m:val="p"/>
          </m:rPr>
          <m:t>=</m:t>
        </m:r>
        <m:r>
          <m:t>10.38</m:t>
        </m:r>
      </m:oMath>
      <w:r>
        <w:t xml:space="preserve"> </w:t>
      </w:r>
      <w:r>
        <w:t xml:space="preserve">units/yr. Depreciation timescale</w:t>
      </w:r>
      <w:r>
        <w:t xml:space="preserve"> </w:t>
      </w:r>
      <m:oMath>
        <m:r>
          <m:t>1</m:t>
        </m:r>
        <m:r>
          <m:rPr>
            <m:sty m:val="p"/>
          </m:rPr>
          <m:t>/</m:t>
        </m:r>
        <m:r>
          <m:t>δ</m:t>
        </m:r>
        <m:r>
          <m:rPr>
            <m:sty m:val="p"/>
          </m:rPr>
          <m:t>=</m:t>
        </m:r>
        <m:r>
          <m:t>12.5</m:t>
        </m:r>
      </m:oMath>
      <w:r>
        <w:t xml:space="preserve"> </w:t>
      </w:r>
      <w:r>
        <w:t xml:space="preserve">yr. Starting from</w:t>
      </w:r>
      <w:r>
        <w:t xml:space="preserve"> </w:t>
      </w:r>
      <m:oMath>
        <m:sSub>
          <m:e>
            <m:r>
              <m:t>M</m:t>
            </m:r>
          </m:e>
          <m:sub>
            <m:r>
              <m:t>g</m:t>
            </m:r>
          </m:sub>
        </m:sSub>
        <m:r>
          <m:rPr>
            <m:sty m:val="p"/>
          </m:rPr>
          <m:t>(</m:t>
        </m:r>
        <m:r>
          <m:t>0</m:t>
        </m:r>
        <m:r>
          <m:rPr>
            <m:sty m:val="p"/>
          </m:rPr>
          <m:t>)</m:t>
        </m:r>
        <m:r>
          <m:rPr>
            <m:sty m:val="p"/>
          </m:rPr>
          <m:t>=</m:t>
        </m:r>
        <m:r>
          <m:t>0</m:t>
        </m:r>
      </m: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t xml:space="preserve">Over the 75-year active interval (Kidder and Grooms 2024 Bayesian-modeled active-construction window), cumulative maintenance is</w:t>
      </w:r>
      <w:r>
        <w:t xml:space="preserve"> </w:t>
      </w:r>
      <m:oMath>
        <m:r>
          <m:rPr>
            <m:sty m:val="p"/>
          </m:rPr>
          <m:t>≈</m:t>
        </m:r>
        <m:r>
          <m:t>5.0</m:t>
        </m:r>
      </m:oMath>
      <w:r>
        <w:t xml:space="preserve"> </w:t>
      </w:r>
      <w:r>
        <w:t xml:space="preserve">times cumulative net new construction (83% of total labor is renewal). PP therefore sits deep in the maintenance-dominated regime for most of its active interval, as predicted by the framework.</w:t>
      </w:r>
    </w:p>
    <w:p>
      <w:pPr>
        <w:pStyle w:val="BodyText"/>
      </w:pPr>
      <w:r>
        <w:rPr>
          <w:b/>
          <w:bCs/>
        </w:rPr>
        <w:t xml:space="preserve">WB-scenario trajectory.</w:t>
      </w:r>
      <w:r>
        <w:t xml:space="preserve"> </w:t>
      </w:r>
      <w:r>
        <w:t xml:space="preserve">At WB-scenario parameters (</w:t>
      </w:r>
      <m:oMath>
        <m:r>
          <m:t>σ</m:t>
        </m:r>
        <m:r>
          <m:rPr>
            <m:sty m:val="p"/>
          </m:rPr>
          <m:t>≈</m:t>
        </m:r>
        <m:r>
          <m:t>0.56</m:t>
        </m:r>
      </m:oMath>
      <w:r>
        <w:t xml:space="preserve">,</w:t>
      </w:r>
      <w:r>
        <w:t xml:space="preserve"> </w:t>
      </w:r>
      <m:oMath>
        <m:sSub>
          <m:e>
            <m:r>
              <m:t>n</m:t>
            </m:r>
          </m:e>
          <m:sub>
            <m:r>
              <m:t>a</m:t>
            </m:r>
            <m:r>
              <m:t>g</m:t>
            </m:r>
            <m:r>
              <m:t>g</m:t>
            </m:r>
          </m:sub>
        </m:sSub>
        <m:r>
          <m:rPr>
            <m:sty m:val="p"/>
          </m:rPr>
          <m:t>≈</m:t>
        </m:r>
        <m:r>
          <m:t>8</m:t>
        </m:r>
      </m:oMath>
      <w:r>
        <w:t xml:space="preserve">, same</w:t>
      </w:r>
      <w:r>
        <w:t xml:space="preserve"> </w:t>
      </w:r>
      <m:oMath>
        <m:r>
          <m:t>δ</m:t>
        </m:r>
      </m:oMath>
      <w:r>
        <w:t xml:space="preserve">),</w:t>
      </w:r>
      <w:r>
        <w:t xml:space="preserve"> </w:t>
      </w:r>
      <m:oMath>
        <m:sSubSup>
          <m:e>
            <m:r>
              <m:t>M</m:t>
            </m:r>
          </m:e>
          <m:sub>
            <m:r>
              <m:t>g</m:t>
            </m:r>
          </m:sub>
          <m:sup>
            <m:r>
              <m:rPr>
                <m:sty m:val="p"/>
              </m:rPr>
              <m:t>*</m:t>
            </m:r>
          </m:sup>
        </m:sSubSup>
        <m:r>
          <m:rPr>
            <m:sty m:val="p"/>
          </m:rPr>
          <m:t>=</m:t>
        </m:r>
        <m:r>
          <m:t>41.5</m:t>
        </m:r>
      </m:oMath>
      <w:r>
        <w:t xml:space="preserve"> </w:t>
      </w:r>
      <w:r>
        <w:t xml:space="preserve">units and</w:t>
      </w:r>
      <w:r>
        <w:t xml:space="preserve"> </w:t>
      </w:r>
      <m:oMath>
        <m:sSub>
          <m:e>
            <m:r>
              <m:t>I</m:t>
            </m:r>
          </m:e>
          <m:sub>
            <m:r>
              <m:t>g</m:t>
            </m:r>
          </m:sub>
        </m:sSub>
        <m:r>
          <m:rPr>
            <m:sty m:val="p"/>
          </m:rPr>
          <m:t>=</m:t>
        </m:r>
        <m:r>
          <m:t>3.32</m:t>
        </m:r>
      </m:oMath>
      <w:r>
        <w:t xml:space="preserve"> </w:t>
      </w:r>
      <w:r>
        <w:t xml:space="preserve">units/yr. Under the documented episodic regime (Saunders et al. 2005: 200+ year inter-stage gaps), each construction burst begins from a partly-depreciated stock and operates closer to initial construction than maintenance. Modeled as 4 episodes</w:t>
      </w:r>
      <w:r>
        <w:t xml:space="preserve"> </w:t>
      </w:r>
      <m:oMath>
        <m:r>
          <m:rPr>
            <m:sty m:val="p"/>
          </m:rPr>
          <m:t>×</m:t>
        </m:r>
      </m:oMath>
      <w:r>
        <w:t xml:space="preserve"> </w:t>
      </w:r>
      <w:r>
        <w:t xml:space="preserve">50 yr separated by 200 yr hiatuses (illustrative simplification of the actual chronology): within-episode</w:t>
      </w:r>
      <w:r>
        <w:t xml:space="preserve"> </w:t>
      </w:r>
      <m:oMath>
        <m:r>
          <m:t>R</m:t>
        </m:r>
        <m:r>
          <m:rPr>
            <m:sty m:val="p"/>
          </m:rPr>
          <m:t>≈</m:t>
        </m:r>
        <m:r>
          <m:t>4</m:t>
        </m:r>
      </m:oMath>
      <w:r>
        <w:t xml:space="preserve">, but the cumulative-across-700 yr event rate is dominated by the long silences.</w:t>
      </w:r>
    </w:p>
    <w:p>
      <w:pPr>
        <w:pStyle w:val="BodyText"/>
      </w:pPr>
      <w:r>
        <w:rPr>
          <w:b/>
          <w:bCs/>
        </w:rPr>
        <w:t xml:space="preserve">Event-density operationalization.</w:t>
      </w:r>
      <w:r>
        <w:t xml:space="preserve"> </w:t>
      </w:r>
      <m:oMath>
        <m:r>
          <m:t>R</m:t>
        </m:r>
        <m:r>
          <m:rPr>
            <m:sty m:val="p"/>
          </m:rPr>
          <m:t>(</m:t>
        </m:r>
        <m:sSub>
          <m:e>
            <m:r>
              <m:t>M</m:t>
            </m:r>
          </m:e>
          <m:sub>
            <m:r>
              <m:t>g</m:t>
            </m:r>
          </m:sub>
        </m:sSub>
        <m:r>
          <m:rPr>
            <m:sty m:val="p"/>
          </m:rPr>
          <m:t>)</m:t>
        </m:r>
      </m:oMath>
      <w:r>
        <w:t xml:space="preserve"> </w:t>
      </w:r>
      <w: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t xml:space="preserve">PP-to-WB event-density ratio:</w:t>
      </w:r>
      <w:r>
        <w:t xml:space="preserve"> </w:t>
      </w:r>
      <m:oMath>
        <m:r>
          <m:rPr>
            <m:sty m:val="p"/>
          </m:rPr>
          <m:t>≈</m:t>
        </m:r>
      </m:oMath>
      <w:r>
        <w:t xml:space="preserve"> </w:t>
      </w:r>
      <w:r>
        <w:t xml:space="preserve">47-85</w:t>
      </w:r>
      <m:oMath>
        <m:r>
          <m:rPr>
            <m:sty m:val="p"/>
          </m:rPr>
          <m:t>×</m:t>
        </m:r>
      </m:oMath>
      <w:r>
        <w:t xml:space="preserve">. The framework predicts a ratio substantially greater than unity, given that PP held</w:t>
      </w:r>
      <w:r>
        <w:t xml:space="preserve"> </w:t>
      </w:r>
      <m:oMath>
        <m:sSub>
          <m:e>
            <m:r>
              <m:t>M</m:t>
            </m:r>
          </m:e>
          <m:sub>
            <m:r>
              <m:t>g</m:t>
            </m:r>
          </m:sub>
        </m:sSub>
      </m:oMath>
      <w:r>
        <w:t xml:space="preserve"> </w:t>
      </w:r>
      <w:r>
        <w:t xml:space="preserve">near saturation for the duration of its 75-year active interval while WB operated episodically with depreciation gaps that reset the system toward zero between bursts. The observed contrast matches.</w:t>
      </w:r>
    </w:p>
    <w:p>
      <w:pPr>
        <w:pStyle w:val="BodyText"/>
      </w:pPr>
      <w:r>
        <w:rPr>
          <w:b/>
          <w:bCs/>
        </w:rPr>
        <w:t xml:space="preserve">Status: independently weighted test.</w:t>
      </w:r>
      <w:r>
        <w:t xml:space="preserve"> </w:t>
      </w:r>
      <w: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b/>
          <w:bCs/>
        </w:rPr>
        <w:t xml:space="preserve">Caveats.</w:t>
      </w:r>
      <w:r>
        <w:t xml:space="preserve"> </w:t>
      </w:r>
      <w:r>
        <w:t xml:space="preserve">- The constant-</w:t>
      </w:r>
      <m:oMath>
        <m:sSub>
          <m:e>
            <m:r>
              <m:t>I</m:t>
            </m:r>
          </m:e>
          <m:sub>
            <m:r>
              <m:t>g</m:t>
            </m:r>
          </m:sub>
        </m:sSub>
      </m:oMath>
      <w:r>
        <w:t xml:space="preserve"> </w:t>
      </w:r>
      <w: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t xml:space="preserve">I_g$ model does not capture. The cumulative-labor decomposition is unaffected, but the year-by-year</w:t>
      </w:r>
      <w:r>
        <w:t xml:space="preserve"> </w:t>
      </w:r>
      <m:oMath>
        <m:r>
          <m:t>R</m:t>
        </m:r>
        <m:r>
          <m:rPr>
            <m:sty m:val="p"/>
          </m:rPr>
          <m:t>(</m:t>
        </m:r>
        <m:r>
          <m:t>t</m:t>
        </m:r>
        <m:r>
          <m:rPr>
            <m:sty m:val="p"/>
          </m:rPr>
          <m:t>)</m:t>
        </m:r>
      </m:oMath>
      <w:r>
        <w:t xml:space="preserve"> </w:t>
      </w:r>
      <w:r>
        <w:t xml:space="preserve">trajectory is approximate.</w:t>
      </w:r>
      <w:r>
        <w:t xml:space="preserve"> </w:t>
      </w:r>
      <w:r>
        <w:t xml:space="preserve">- The published event counts mix renewal and new-construction events without a clean separator. The framework’s maintenance-vs-new split cannot be directly verified at per-event resolution from the existing archaeology.</w:t>
      </w:r>
      <w:r>
        <w:t xml:space="preserve"> </w:t>
      </w:r>
      <w: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t xml:space="preserve"> </w:t>
      </w:r>
      <w:r>
        <w:t xml:space="preserve">- The depreciation rate</w:t>
      </w:r>
      <w:r>
        <w:t xml:space="preserve"> </w:t>
      </w:r>
      <m:oMath>
        <m:r>
          <m:t>δ</m:t>
        </m:r>
        <m:r>
          <m:rPr>
            <m:sty m:val="p"/>
          </m:rPr>
          <m:t>=</m:t>
        </m:r>
        <m:r>
          <m:t>0.08</m:t>
        </m:r>
      </m:oMath>
      <w:r>
        <w:t xml:space="preserve"> </w:t>
      </w:r>
      <w:r>
        <w:t xml:space="preserve">is set from Table S2’s earthen-mound weathering-rate range</w:t>
      </w:r>
      <w:r>
        <w:t xml:space="preserve"> </w:t>
      </w:r>
      <m:oMath>
        <m:r>
          <m:rPr>
            <m:sty m:val="p"/>
          </m:rPr>
          <m:t>[</m:t>
        </m:r>
        <m:r>
          <m:t>0.04</m:t>
        </m:r>
        <m:r>
          <m:rPr>
            <m:sty m:val="p"/>
          </m:rPr>
          <m:t>,</m:t>
        </m:r>
        <m:r>
          <m:t>0.16</m:t>
        </m:r>
        <m:r>
          <m:rPr>
            <m:sty m:val="p"/>
          </m:rPr>
          <m:t>]</m:t>
        </m:r>
      </m:oMath>
      <w:r>
        <w:t xml:space="preserve"> </w:t>
      </w:r>
      <w:r>
        <w:t xml:space="preserve">but is not derived from a per-site earthwork-decay study. The PP-vs-WB contrast is robust across this range. The precise</w:t>
      </w:r>
      <w:r>
        <w:t xml:space="preserve"> </w:t>
      </w:r>
      <m:oMath>
        <m:r>
          <m:t>R</m:t>
        </m:r>
      </m:oMath>
      <w:r>
        <w:t xml:space="preserve"> </w:t>
      </w:r>
      <w:r>
        <w:t xml:space="preserve">values are not.</w:t>
      </w:r>
    </w:p>
    <w:p>
      <w:pPr>
        <w:pStyle w:val="BodyText"/>
      </w:pPr>
      <w:r>
        <w:t xml:space="preserve">Reproducible from</w:t>
      </w:r>
      <w:r>
        <w:t xml:space="preserve"> </w:t>
      </w:r>
      <w:r>
        <w:rPr>
          <w:rStyle w:val="VerbatimChar"/>
        </w:rPr>
        <w:t xml:space="preserve">scripts/analysis/renovation_ratio.py</w:t>
      </w:r>
      <w:r>
        <w:t xml:space="preserve">, with outputs in</w:t>
      </w:r>
      <w:r>
        <w:t xml:space="preserve"> </w:t>
      </w:r>
      <w:r>
        <w:rPr>
          <w:rStyle w:val="VerbatimChar"/>
        </w:rPr>
        <w:t xml:space="preserve">results/sensitivity/renovation_ratio.json</w:t>
      </w:r>
      <w:r>
        <w:t xml:space="preserve">.</w:t>
      </w:r>
    </w:p>
    <w:bookmarkEnd w:id="101"/>
    <w:bookmarkStart w:id="102" w:name="s17.8-priority-follow-up-work"/>
    <w:p>
      <w:pPr>
        <w:pStyle w:val="Heading3"/>
      </w:pPr>
      <w:r>
        <w:t xml:space="preserve">S17.8 Priority follow-up work</w:t>
      </w:r>
    </w:p>
    <w:p>
      <w:pPr>
        <w:pStyle w:val="FirstParagraph"/>
      </w:pPr>
      <w: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b/>
          <w:bCs/>
        </w:rPr>
        <w:t xml:space="preserve">Full ABM-level regime switching</w:t>
      </w:r>
      <w:r>
        <w:t xml:space="preserve"> </w:t>
      </w:r>
      <w:r>
        <w:t xml:space="preserve">with endogenous strategy choice and explicit annual fitness comparison, replacing the analytical-stochastic version implemented in §S17.1. This would derive the band-coordination persistence parameter</w:t>
      </w:r>
      <w:r>
        <w:t xml:space="preserve"> </w:t>
      </w:r>
      <m:oMath>
        <m:r>
          <m:t>K</m:t>
        </m:r>
      </m:oMath>
      <w:r>
        <w:t xml:space="preserve"> </w:t>
      </w:r>
      <w:r>
        <w:t xml:space="preserve">from agent dynamics rather than treating it as a free parameter.</w:t>
      </w:r>
    </w:p>
    <w:p>
      <w:pPr>
        <w:numPr>
          <w:ilvl w:val="0"/>
          <w:numId w:val="1005"/>
        </w:numPr>
      </w:pPr>
      <w:r>
        <w:rPr>
          <w:b/>
          <w:bCs/>
        </w:rPr>
        <w:t xml:space="preserve">Independent ethnographic anchoring of the labor-scaling exponent</w:t>
      </w:r>
      <w:r>
        <w:t xml:space="preserve"> </w:t>
      </w:r>
      <m:oMath>
        <m:r>
          <m:t>α</m:t>
        </m:r>
      </m:oMath>
      <w:r>
        <w:t xml:space="preserve"> </w:t>
      </w:r>
      <w:r>
        <w:t xml:space="preserve">(§S17.2) at the crew sizes relevant for Watson Brake versus Poverty Point. The current</w:t>
      </w:r>
      <w:r>
        <w:t xml:space="preserve"> </w:t>
      </w:r>
      <m:oMath>
        <m:r>
          <m:t>α</m:t>
        </m:r>
        <m:r>
          <m:rPr>
            <m:sty m:val="p"/>
          </m:rPr>
          <m:t>=</m:t>
        </m:r>
        <m:r>
          <m:t>2</m:t>
        </m:r>
      </m:oMath>
      <w:r>
        <w:t xml:space="preserve"> </w:t>
      </w:r>
      <w:r>
        <w:t xml:space="preserve">closure exceeds the Erasmus (1965) baseline of</w:t>
      </w:r>
      <w:r>
        <w:t xml:space="preserve"> </w:t>
      </w:r>
      <m:oMath>
        <m:r>
          <m:t>α</m:t>
        </m:r>
        <m:r>
          <m:rPr>
            <m:sty m:val="p"/>
          </m:rPr>
          <m:t>≈</m:t>
        </m:r>
        <m:r>
          <m:t>1</m:t>
        </m:r>
      </m:oMath>
      <w:r>
        <w:t xml:space="preserve"> </w:t>
      </w:r>
      <w:r>
        <w:t xml:space="preserve">and is calibrated to the eleven-site sample rather than derived independently.</w:t>
      </w:r>
    </w:p>
    <w:p>
      <w:pPr>
        <w:numPr>
          <w:ilvl w:val="0"/>
          <w:numId w:val="1005"/>
        </w:numPr>
      </w:pPr>
      <w:r>
        <w:rPr>
          <w:b/>
          <w:bCs/>
        </w:rPr>
        <w:t xml:space="preserve">Full hydrographic-routing regional ABM</w:t>
      </w:r>
      <w:r>
        <w:t xml:space="preserve"> </w:t>
      </w:r>
      <w: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t xml:space="preserve"> </w:t>
      </w:r>
      <m:oMath>
        <m:sSub>
          <m:e>
            <m:r>
              <m:t>n</m:t>
            </m:r>
          </m:e>
          <m:sub>
            <m:r>
              <m:t>a</m:t>
            </m:r>
            <m:r>
              <m:t>g</m:t>
            </m:r>
            <m:r>
              <m:t>g</m:t>
            </m:r>
          </m:sub>
        </m:sSub>
      </m:oMath>
      <w:r>
        <w:t xml:space="preserve"> </w:t>
      </w:r>
      <w:r>
        <w:t xml:space="preserve">predictions.</w:t>
      </w:r>
    </w:p>
    <w:p>
      <w:pPr>
        <w:numPr>
          <w:ilvl w:val="0"/>
          <w:numId w:val="1005"/>
        </w:numPr>
      </w:pPr>
      <w:r>
        <w:rPr>
          <w:b/>
          <w:bCs/>
        </w:rPr>
        <w:t xml:space="preserve">Paleo-discharge-resolved</w:t>
      </w:r>
      <w:r>
        <w:rPr>
          <w:b/>
          <w:bCs/>
        </w:rPr>
        <w:t xml:space="preserve"> </w:t>
      </w:r>
      <m:oMath>
        <m:r>
          <m:t>ε</m:t>
        </m:r>
      </m:oMath>
      <w:r>
        <w:t xml:space="preserve"> </w:t>
      </w:r>
      <w: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b/>
          <w:bCs/>
        </w:rPr>
        <w:t xml:space="preserve">Footprint-independent</w:t>
      </w:r>
      <w:r>
        <w:rPr>
          <w:b/>
          <w:bCs/>
        </w:rPr>
        <w:t xml:space="preserve"> </w:t>
      </w:r>
      <m:oMath>
        <m:sSub>
          <m:e>
            <m:r>
              <m:t>n</m:t>
            </m:r>
          </m:e>
          <m:sub>
            <m:r>
              <m:t>a</m:t>
            </m:r>
            <m:r>
              <m:t>g</m:t>
            </m:r>
            <m:r>
              <m:t>g</m:t>
            </m:r>
          </m:sub>
        </m:sSub>
      </m:oMath>
      <w:r>
        <w:rPr>
          <w:b/>
          <w:bCs/>
        </w:rPr>
        <w:t xml:space="preserve"> </w:t>
      </w:r>
      <w:r>
        <w:rPr>
          <w:b/>
          <w:bCs/>
        </w:rPr>
        <w:t xml:space="preserve">estimates</w:t>
      </w:r>
      <w:r>
        <w:t xml:space="preserve"> </w:t>
      </w:r>
      <w:r>
        <w:t xml:space="preserve">(Bayesian-modeled radiocarbon density per site, lithic-density catchment estimates) and out-of-sample tests at non-LMV sites with independently-derived</w:t>
      </w:r>
      <w:r>
        <w:t xml:space="preserve"> </w:t>
      </w:r>
      <m:oMath>
        <m:sSub>
          <m:e>
            <m:r>
              <m:t>n</m:t>
            </m:r>
          </m:e>
          <m:sub>
            <m:r>
              <m:t>a</m:t>
            </m:r>
            <m:r>
              <m:t>g</m:t>
            </m:r>
            <m:r>
              <m:t>g</m:t>
            </m:r>
          </m:sub>
        </m:sSub>
      </m:oMath>
      <w:r>
        <w:t xml:space="preserve">, addressing the partial-correlation result in §S17.5 that the joint</w:t>
      </w:r>
      <w:r>
        <w:t xml:space="preserve"> </w:t>
      </w:r>
      <m:oMath>
        <m:r>
          <m:t>ρ</m:t>
        </m:r>
        <m:r>
          <m:rPr>
            <m:sty m:val="p"/>
          </m:rPr>
          <m:t>=</m:t>
        </m:r>
        <m:r>
          <m:rPr>
            <m:sty m:val="p"/>
          </m:rPr>
          <m:t>+</m:t>
        </m:r>
        <m:r>
          <m:t>0.91</m:t>
        </m:r>
      </m:oMath>
      <w:r>
        <w:t xml:space="preserve"> </w:t>
      </w:r>
      <w:r>
        <w:t xml:space="preserve">is dominated by the literature</w:t>
      </w:r>
      <w:r>
        <w:t xml:space="preserve"> </w:t>
      </w:r>
      <m:oMath>
        <m:sSub>
          <m:e>
            <m:r>
              <m:t>n</m:t>
            </m:r>
          </m:e>
          <m:sub>
            <m:r>
              <m:t>a</m:t>
            </m:r>
            <m:r>
              <m:t>g</m:t>
            </m:r>
            <m:r>
              <m:t>g</m:t>
            </m:r>
          </m:sub>
        </m:sSub>
      </m:oMath>
      <w:r>
        <w:t xml:space="preserve"> </w:t>
      </w:r>
      <w:r>
        <w:t xml:space="preserve">values rather than by the framework’s</w:t>
      </w:r>
      <w:r>
        <w:t xml:space="preserve"> </w:t>
      </w:r>
      <m:oMath>
        <m:r>
          <m:t>ε</m:t>
        </m:r>
      </m:oMath>
      <w:r>
        <w:t xml:space="preserve">.</w:t>
      </w:r>
    </w:p>
    <w:p>
      <w:pPr>
        <w:numPr>
          <w:ilvl w:val="0"/>
          <w:numId w:val="1005"/>
        </w:numPr>
      </w:pPr>
      <w:r>
        <w:rPr>
          <w:b/>
          <w:bCs/>
        </w:rPr>
        <w:t xml:space="preserve">Non-LMV-derived phenology calendar</w:t>
      </w:r>
      <w:r>
        <w:t xml:space="preserve"> </w:t>
      </w:r>
      <w: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b/>
          <w:bCs/>
        </w:rPr>
        <w:t xml:space="preserve">Per-site earthwork-decay calibration of</w:t>
      </w:r>
      <w:r>
        <w:rPr>
          <w:b/>
          <w:bCs/>
        </w:rPr>
        <w:t xml:space="preserve"> </w:t>
      </w:r>
      <m:oMath>
        <m:r>
          <m:t>δ</m:t>
        </m:r>
      </m:oMath>
      <w:r>
        <w:t xml:space="preserve"> </w:t>
      </w:r>
      <w:r>
        <w:t xml:space="preserve">and labor-resolved chronology for the</w:t>
      </w:r>
      <w:r>
        <w:t xml:space="preserve"> </w:t>
      </w:r>
      <m:oMath>
        <m:r>
          <m:t>R</m:t>
        </m:r>
        <m:r>
          <m:rPr>
            <m:sty m:val="p"/>
          </m:rPr>
          <m:t>(</m:t>
        </m:r>
        <m:sSub>
          <m:e>
            <m:r>
              <m:t>M</m:t>
            </m:r>
          </m:e>
          <m:sub>
            <m:r>
              <m:t>g</m:t>
            </m:r>
          </m:sub>
        </m:sSub>
        <m:r>
          <m:rPr>
            <m:sty m:val="p"/>
          </m:rPr>
          <m:t>)</m:t>
        </m:r>
      </m:oMath>
      <w:r>
        <w:t xml:space="preserve"> </w:t>
      </w:r>
      <w:r>
        <w:t xml:space="preserve">event-density prediction (§S17.7). The current PP-vs-WB contrast uses Table S2’s earthen-mound weathering-rate range</w:t>
      </w:r>
      <w:r>
        <w:t xml:space="preserve"> </w:t>
      </w:r>
      <m:oMath>
        <m:r>
          <m:t>δ</m:t>
        </m:r>
        <m:r>
          <m:rPr>
            <m:sty m:val="p"/>
          </m:rPr>
          <m:t>∈</m:t>
        </m:r>
        <m:r>
          <m:rPr>
            <m:sty m:val="p"/>
          </m:rPr>
          <m:t>[</m:t>
        </m:r>
        <m:r>
          <m:t>0.04</m:t>
        </m:r>
        <m:r>
          <m:rPr>
            <m:sty m:val="p"/>
          </m:rPr>
          <m:t>,</m:t>
        </m:r>
        <m:r>
          <m:t>0.16</m:t>
        </m:r>
        <m:r>
          <m:rPr>
            <m:sty m:val="p"/>
          </m:rPr>
          <m:t>]</m:t>
        </m:r>
      </m:oMath>
      <w:r>
        <w:t xml:space="preserve"> </w:t>
      </w:r>
      <w:r>
        <w:t xml:space="preserve">rather than a site-specific decay estimate, and the published event counts mix maintenance/renewal with new construction without a clean separator. Per-site</w:t>
      </w:r>
      <w:r>
        <w:t xml:space="preserve"> </w:t>
      </w:r>
      <m:oMath>
        <m:r>
          <m:t>δ</m:t>
        </m:r>
      </m:oMath>
      <w:r>
        <w:t xml:space="preserve"> </w:t>
      </w:r>
      <w:r>
        <w:t xml:space="preserve">from sediment-cap weathering studies and event-resolved labor estimates (per-component fill volumes, per-stage labor budgets) would convert the structural event-density contrast into a quantitative</w:t>
      </w:r>
      <w:r>
        <w:t xml:space="preserve"> </w:t>
      </w:r>
      <m:oMath>
        <m:r>
          <m:t>R</m:t>
        </m:r>
      </m:oMath>
      <w:r>
        <w:t xml:space="preserve">-vs-</w:t>
      </w:r>
      <m:oMath>
        <m:r>
          <m:t>R</m:t>
        </m:r>
      </m:oMath>
      <w:r>
        <w:t xml:space="preserve"> </w:t>
      </w:r>
      <w:r>
        <w:t xml:space="preserve">comparison.</w:t>
      </w:r>
    </w:p>
    <w:p>
      <w:pPr>
        <w:pStyle w:val="FirstParagraph"/>
      </w:pPr>
      <w: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p>
      <w:r>
        <w:pict>
          <v:rect style="width:0;height:1.5pt" o:hralign="center" o:hrstd="t" o:hr="t"/>
        </w:pict>
      </w:r>
    </w:p>
    <w:p>
      <w:r>
        <w:pict>
          <v:rect style="width:0;height:1.5pt" o:hralign="center" o:hrstd="t" o:hr="t"/>
        </w:pict>
      </w:r>
    </w:p>
    <w:bookmarkEnd w:id="102"/>
    <w:bookmarkEnd w:id="103"/>
    <w:bookmarkStart w:id="104" w:name="supplemental-references"/>
    <w:p>
      <w:pPr>
        <w:pStyle w:val="Heading2"/>
      </w:pPr>
      <w:r>
        <w:t xml:space="preserve">Supplemental References</w:t>
      </w:r>
    </w:p>
    <w:p>
      <w:pPr>
        <w:pStyle w:val="FirstParagraph"/>
      </w:pPr>
      <w:r>
        <w:t xml:space="preserve">In addition to the references in the main paper:</w:t>
      </w:r>
    </w:p>
    <w:p>
      <w:pPr>
        <w:pStyle w:val="BodyText"/>
      </w:pPr>
      <w:r>
        <w:t xml:space="preserve">Conkey, M.W., 1980. The identification of prehistoric hunter-gatherer aggregation sites: The case of Altamira. Current Anthropology 21, 609-630.</w:t>
      </w:r>
    </w:p>
    <w:p>
      <w:pPr>
        <w:pStyle w:val="BodyText"/>
      </w:pPr>
      <w:r>
        <w:t xml:space="preserve">Erasmus, C.J., 1965. Monument building: Some field experiments. Southwestern Journal of Anthropology 21, 277-301.</w:t>
      </w:r>
    </w:p>
    <w:p>
      <w:pPr>
        <w:pStyle w:val="BodyText"/>
      </w:pPr>
      <w:r>
        <w:t xml:space="preserve">Ford, J.A., Phillips, P., Haag, W.G., 1955. The Jaketown Site in West-Central Mississippi. Anthropological Papers of the American Museum of Natural History 45(1).</w:t>
      </w:r>
    </w:p>
    <w:p>
      <w:pPr>
        <w:pStyle w:val="BodyText"/>
      </w:pPr>
      <w:r>
        <w:t xml:space="preserve">Grimm, V., Berger, U., DeAngelis, D.L., Polhill, J.G., Giske, J., Railsback, S.F., 2010. The ODD protocol: A review and first update. Ecological Modelling 221, 2760-2768.</w:t>
      </w:r>
    </w:p>
    <w:p>
      <w:pPr>
        <w:pStyle w:val="BodyText"/>
      </w:pPr>
      <w:r>
        <w:t xml:space="preserve">Hawkes, K., 2000. Hunting and the evolution of egalitarian societies: Lessons from the Hadza. In Hierarchies in Action (M.W. Diehl, ed.), pp. 59-83. Center for Archaeological Investigations, Carbondale.</w:t>
      </w:r>
    </w:p>
    <w:p>
      <w:pPr>
        <w:pStyle w:val="BodyText"/>
      </w:pPr>
      <w:r>
        <w:t xml:space="preserve">Liefert, D.T., Shuman, B.N., 2022. Pervasive Late Holocene ENSO-Like Hydroclimate in the U.S. Lower Mississippi Valley. Geophysical Research Letters 49, e2022GL098345.</w:t>
      </w:r>
    </w:p>
    <w:p>
      <w:pPr>
        <w:pStyle w:val="BodyText"/>
      </w:pPr>
      <w:r>
        <w:t xml:space="preserve">Saunders, J.W., Allen, T., Labatt, D., Jones, R., Griffing, D., 2001. An assessment of the antiquity of the Lower Jackson Mound. Southeastern Archaeology 20, 67-77.</w:t>
      </w:r>
    </w:p>
    <w:p>
      <w:pPr>
        <w:pStyle w:val="BodyText"/>
      </w:pPr>
      <w:r>
        <w:t xml:space="preserve">Sherwood, S.C., Kidder, T.R., 2011. The DaVincis of dirt: Geoarchaeological perspectives on Native American mound building in the Mississippi River basin. Journal of Anthropological Archaeology 30, 69-87.</w:t>
      </w:r>
    </w:p>
    <w:p>
      <w:pPr>
        <w:pStyle w:val="BodyText"/>
      </w:pPr>
      <w:r>
        <w:t xml:space="preserve">Wiessner, P., 2002. Hunting, healing, and hxaro exchange: A long-term perspective on !Kung (Ju/’hoansi) large-game hunting. Evolution and Human Behavior 23, 407-436.</w:t>
      </w:r>
    </w:p>
    <w:bookmarkEnd w:id="104"/>
    <w:bookmarkEnd w:id="10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2026-08-20T20:31:05Z</dcterms:created>
  <dcterms:modified xsi:type="dcterms:W3CDTF">2026-08-20T20:31:05Z</dcterms:modified>
</cp:coreProperties>
</file>

<file path=docProps/custom.xml><?xml version="1.0" encoding="utf-8"?>
<Properties xmlns="http://schemas.openxmlformats.org/officeDocument/2006/custom-properties" xmlns:vt="http://schemas.openxmlformats.org/officeDocument/2006/docPropsVTypes"/>
</file>