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a6004f5551c2b0e3a47e9a02ffe5d96c935eddd"/>
    <w:p>
      <w:pPr>
        <w:pStyle w:val="Heading1"/>
      </w:pPr>
      <w:r>
        <w:rPr>
          <w:rFonts w:ascii="Times New Roman" w:hAnsi="Times New Roman"/>
          <w:b/>
          <w:i w:val="0"/>
          <w:color w:val="000000"/>
          <w:sz w:val="28"/>
          <w:u w:val="none"/>
        </w:rPr>
        <w:t xml:space="preserve">Supplemental Material for</w:t>
      </w:r>
      <w:r>
        <w:rPr>
          <w:rFonts w:ascii="Times New Roman" w:hAnsi="Times New Roman"/>
          <w:b/>
          <w:i w:val="0"/>
          <w:color w:val="000000"/>
          <w:sz w:val="28"/>
          <w:u w:val="none"/>
        </w:rPr>
        <w:t xml:space="preserve"> </w:t>
      </w:r>
      <w:r>
        <w:rPr>
          <w:rFonts w:ascii="Times New Roman" w:hAnsi="Times New Roman"/>
          <w:b/>
          <w:i w:val="0"/>
          <w:iCs/>
          <w:color w:val="000000"/>
          <w:sz w:val="28"/>
          <w:u w:val="none"/>
        </w:rPr>
        <w:t xml:space="preserve">Signaling under environmental uncertainty: A multilevel-selection threshold model for Poverty Point</w:t>
      </w:r>
    </w:p>
    <w:p>
      <w:pPr>
        <w:pStyle w:val="FirstParagraph"/>
      </w:pPr>
      <w:r>
        <w:rPr>
          <w:rFonts w:ascii="Times New Roman" w:hAnsi="Times New Roman"/>
          <w:color w:val="000000"/>
          <w:sz w:val="22"/>
        </w:rP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bookmarkStart w:id="15" w:name="Xf5b680c1329f9f1d755046d9b6764fc8f262881"/>
    <w:p>
      <w:pPr>
        <w:pStyle w:val="Heading2"/>
      </w:pPr>
      <w:r>
        <w:rPr>
          <w:rFonts w:ascii="Times New Roman" w:hAnsi="Times New Roman"/>
          <w:b w:val="0"/>
          <w:i/>
          <w:color w:val="000000"/>
          <w:sz w:val="24"/>
          <w:u w:val="none"/>
        </w:rPr>
        <w:t xml:space="preserve">S1. ODD Protocol: Complete Model Specification</w:t>
      </w:r>
    </w:p>
    <w:p>
      <w:pPr>
        <w:pStyle w:val="FirstParagraph"/>
      </w:pPr>
      <w:r>
        <w:rPr>
          <w:rFonts w:ascii="Times New Roman" w:hAnsi="Times New Roman"/>
          <w:color w:val="000000"/>
          <w:sz w:val="22"/>
        </w:rPr>
        <w:t xml:space="preserve">The model is documented under the</w:t>
      </w:r>
      <w:r>
        <w:rPr>
          <w:rFonts w:ascii="Times New Roman" w:hAnsi="Times New Roman"/>
          <w:color w:val="000000"/>
          <w:sz w:val="22"/>
        </w:rPr>
        <w:t xml:space="preserve"> </w:t>
      </w:r>
      <w:r>
        <w:rPr>
          <w:rFonts w:ascii="Times New Roman" w:hAnsi="Times New Roman"/>
          <w:b/>
          <w:bCs/>
          <w:color w:val="000000"/>
          <w:sz w:val="22"/>
        </w:rPr>
        <w:t xml:space="preserve">ODD protocol</w:t>
      </w:r>
      <w:r>
        <w:rPr>
          <w:rFonts w:ascii="Times New Roman" w:hAnsi="Times New Roman"/>
          <w:color w:val="000000"/>
          <w:sz w:val="22"/>
        </w:rPr>
        <w:t xml:space="preserve"> </w:t>
      </w:r>
      <w:r>
        <w:rPr>
          <w:rFonts w:ascii="Times New Roman" w:hAnsi="Times New Roman"/>
          <w:color w:val="000000"/>
          <w:sz w:val="22"/>
        </w:rP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rPr>
          <w:rFonts w:ascii="Times New Roman" w:hAnsi="Times New Roman"/>
          <w:color w:val="000000"/>
          <w:sz w:val="22"/>
        </w:rPr>
        <w:t xml:space="preserve">The model is specified following the ODD (Overview, Design concepts, Details) protocol (Grimm et al. 2010). Source code is available at https://github.com/clipo/poverty-point.</w:t>
      </w:r>
    </w:p>
    <w:bookmarkStart w:id="9" w:name="s1.1-purpose-and-patterns"/>
    <w:p>
      <w:pPr>
        <w:pStyle w:val="Heading3"/>
      </w:pPr>
      <w:r>
        <w:rPr>
          <w:rFonts w:ascii="Times New Roman" w:hAnsi="Times New Roman"/>
          <w:b w:val="0"/>
          <w:i w:val="0"/>
          <w:color w:val="000000"/>
          <w:sz w:val="22"/>
          <w:u w:val="single"/>
        </w:rPr>
        <w:t xml:space="preserve">S1.1 Purpose and patterns</w:t>
      </w:r>
    </w:p>
    <w:p>
      <w:pPr>
        <w:pStyle w:val="FirstParagraph"/>
      </w:pPr>
      <w:r>
        <w:rPr>
          <w:rFonts w:ascii="Times New Roman" w:hAnsi="Times New Roman"/>
          <w:b/>
          <w:bCs/>
          <w:color w:val="000000"/>
          <w:sz w:val="22"/>
        </w:rPr>
        <w:t xml:space="preserve">Purpose.</w:t>
      </w:r>
      <w:r>
        <w:rPr>
          <w:rFonts w:ascii="Times New Roman" w:hAnsi="Times New Roman"/>
          <w:color w:val="000000"/>
          <w:sz w:val="22"/>
        </w:rPr>
        <w:t xml:space="preserve"> </w:t>
      </w:r>
      <w:r>
        <w:rPr>
          <w:rFonts w:ascii="Times New Roman" w:hAnsi="Times New Roman"/>
          <w:color w:val="000000"/>
          <w:sz w:val="22"/>
        </w:rP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rFonts w:ascii="Times New Roman" w:hAnsi="Times New Roman"/>
          <w:b/>
          <w:bCs/>
          <w:color w:val="000000"/>
          <w:sz w:val="22"/>
        </w:rPr>
        <w:t xml:space="preserve">Patterns to reproduce.</w:t>
      </w:r>
      <w:r>
        <w:rPr>
          <w:rFonts w:ascii="Times New Roman" w:hAnsi="Times New Roman"/>
          <w:color w:val="000000"/>
          <w:sz w:val="22"/>
        </w:rPr>
        <w:t xml:space="preserve"> </w:t>
      </w:r>
      <w:r>
        <w:rPr>
          <w:rFonts w:ascii="Times New Roman" w:hAnsi="Times New Roman"/>
          <w:color w:val="000000"/>
          <w:sz w:val="22"/>
        </w:rP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rPr>
          <w:rFonts w:ascii="Times New Roman" w:hAnsi="Times New Roman"/>
          <w:b w:val="0"/>
          <w:i w:val="0"/>
          <w:color w:val="000000"/>
          <w:sz w:val="22"/>
          <w:u w:val="single"/>
        </w:rPr>
        <w:t xml:space="preserve">S1.2 Entities, state variables, scales</w:t>
      </w:r>
    </w:p>
    <w:p>
      <w:pPr>
        <w:pStyle w:val="FirstParagraph"/>
      </w:pPr>
      <w:r>
        <w:rPr>
          <w:rFonts w:ascii="Times New Roman" w:hAnsi="Times New Roman"/>
          <w:color w:val="000000"/>
          <w:sz w:val="22"/>
        </w:rPr>
        <w:t xml:space="preserve">The principal entity is the</w:t>
      </w:r>
      <w:r>
        <w:rPr>
          <w:rFonts w:ascii="Times New Roman" w:hAnsi="Times New Roman"/>
          <w:color w:val="000000"/>
          <w:sz w:val="22"/>
        </w:rPr>
        <w:t xml:space="preserve"> </w:t>
      </w:r>
      <w:r>
        <w:rPr>
          <w:rFonts w:ascii="Times New Roman" w:hAnsi="Times New Roman"/>
          <w:b/>
          <w:bCs/>
          <w:color w:val="000000"/>
          <w:sz w:val="22"/>
        </w:rPr>
        <w:t xml:space="preserve">band</w:t>
      </w:r>
      <w:r>
        <w:rPr>
          <w:rFonts w:ascii="Times New Roman" w:hAnsi="Times New Roman"/>
          <w:color w:val="000000"/>
          <w:sz w:val="22"/>
        </w:rPr>
        <w:t xml:space="preserve">, a small cooperative unit of 15-30 individuals.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 time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has state variables: location</w:t>
      </w:r>
      <w:r>
        <w:rPr>
          <w:rFonts w:ascii="Times New Roman" w:hAnsi="Times New Roman"/>
          <w:color w:val="000000"/>
          <w:sz w:val="22"/>
        </w:rPr>
        <w:t xml:space="preserve"> </w:t>
      </w:r>
      <m:oMath>
        <m:r>
          <m:rPr>
            <m:sty m:val="p"/>
          </m:rPr>
          <m:t>(</m:t>
        </m:r>
        <m:sSub>
          <m:e>
            <m:r>
              <m:t>x</m:t>
            </m:r>
          </m:e>
          <m:sub>
            <m:r>
              <m:t>i</m:t>
            </m:r>
          </m:sub>
        </m:sSub>
        <m:r>
          <m:rPr>
            <m:sty m:val="p"/>
          </m:rPr>
          <m:t>,</m:t>
        </m:r>
        <m:sSub>
          <m:e>
            <m:r>
              <m:t>y</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(spatial); resources</w:t>
      </w:r>
      <w:r>
        <w:rPr>
          <w:rFonts w:ascii="Times New Roman" w:hAnsi="Times New Roman"/>
          <w:color w:val="000000"/>
          <w:sz w:val="22"/>
        </w:rPr>
        <w:t xml:space="preserve"> </w:t>
      </w:r>
      <m:oMath>
        <m:sSub>
          <m:e>
            <m:r>
              <m:t>R</m:t>
            </m:r>
          </m:e>
          <m:sub>
            <m:r>
              <m:t>i</m:t>
            </m:r>
          </m:sub>
        </m:sSub>
      </m:oMath>
      <w:r>
        <w:rPr>
          <w:rFonts w:ascii="Times New Roman" w:hAnsi="Times New Roman"/>
          <w:color w:val="000000"/>
          <w:sz w:val="22"/>
        </w:rPr>
        <w:t xml:space="preserve"> </w:t>
      </w:r>
      <w:r>
        <w:rPr>
          <w:rFonts w:ascii="Times New Roman" w:hAnsi="Times New Roman"/>
          <w:color w:val="000000"/>
          <w:sz w:val="22"/>
        </w:rPr>
        <w:t xml:space="preserve">(normalized to 0-1); strategy</w:t>
      </w:r>
      <w:r>
        <w:rPr>
          <w:rFonts w:ascii="Times New Roman" w:hAnsi="Times New Roman"/>
          <w:color w:val="000000"/>
          <w:sz w:val="22"/>
        </w:rPr>
        <w:t xml:space="preserve"> </w:t>
      </w:r>
      <m:oMath>
        <m:sSub>
          <m:e>
            <m:r>
              <m:t>s</m:t>
            </m:r>
          </m:e>
          <m:sub>
            <m:r>
              <m:t>i</m:t>
            </m:r>
          </m:sub>
        </m:sSub>
        <m:r>
          <m:rPr>
            <m:sty m:val="p"/>
          </m:rPr>
          <m:t>∈</m:t>
        </m:r>
        <m:r>
          <m:rPr>
            <m:sty m:val="p"/>
          </m:rPr>
          <m:t>{</m:t>
        </m:r>
      </m:oMath>
      <w:r>
        <w:rPr>
          <w:rFonts w:ascii="Times New Roman" w:hAnsi="Times New Roman"/>
          <w:color w:val="000000"/>
          <w:sz w:val="22"/>
        </w:rPr>
        <w:t xml:space="preserve">aggregator, independent</w:t>
      </w:r>
      <m:oMath>
        <m:r>
          <m:rPr>
            <m:sty m:val="p"/>
          </m:rPr>
          <m:t>}</m:t>
        </m:r>
      </m:oMath>
      <w:r>
        <w:rPr>
          <w:rFonts w:ascii="Times New Roman" w:hAnsi="Times New Roman"/>
          <w:color w:val="000000"/>
          <w:sz w:val="22"/>
        </w:rPr>
        <w:t xml:space="preserve">; quality</w:t>
      </w:r>
      <w:r>
        <w:rPr>
          <w:rFonts w:ascii="Times New Roman" w:hAnsi="Times New Roman"/>
          <w:color w:val="000000"/>
          <w:sz w:val="22"/>
        </w:rPr>
        <w:t xml:space="preserve"> </w:t>
      </w:r>
      <m:oMath>
        <m:sSub>
          <m:e>
            <m:r>
              <m:t>q</m:t>
            </m:r>
          </m:e>
          <m:sub>
            <m:r>
              <m:t>i</m:t>
            </m:r>
          </m:sub>
        </m:sSub>
      </m:oMath>
      <w:r>
        <w:rPr>
          <w:rFonts w:ascii="Times New Roman" w:hAnsi="Times New Roman"/>
          <w:color w:val="000000"/>
          <w:sz w:val="22"/>
        </w:rPr>
        <w:t xml:space="preserve"> </w:t>
      </w:r>
      <w:r>
        <w:rPr>
          <w:rFonts w:ascii="Times New Roman" w:hAnsi="Times New Roman"/>
          <w:color w:val="000000"/>
          <w:sz w:val="22"/>
        </w:rPr>
        <w:t xml:space="preserve">(productive capacity, drawn from a uniform distribution on</w:t>
      </w:r>
      <w:r>
        <w:rPr>
          <w:rFonts w:ascii="Times New Roman" w:hAnsi="Times New Roman"/>
          <w:color w:val="000000"/>
          <w:sz w:val="22"/>
        </w:rP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rPr>
          <w:rFonts w:ascii="Times New Roman" w:hAnsi="Times New Roman"/>
          <w:color w:val="000000"/>
          <w:sz w:val="22"/>
        </w:rP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rPr>
          <w:rFonts w:ascii="Times New Roman" w:hAnsi="Times New Roman"/>
          <w:color w:val="000000"/>
          <w:sz w:val="22"/>
        </w:rPr>
        <w:t xml:space="preserve"> </w:t>
      </w:r>
      <m:oMath>
        <m:sSub>
          <m:e>
            <m:r>
              <m:t>I</m:t>
            </m:r>
          </m:e>
          <m:sub>
            <m:r>
              <m:t>i</m:t>
            </m:r>
          </m:sub>
        </m:sSub>
      </m:oMath>
      <w:r>
        <w:rPr>
          <w:rFonts w:ascii="Times New Roman" w:hAnsi="Times New Roman"/>
          <w:color w:val="000000"/>
          <w:sz w:val="22"/>
        </w:rPr>
        <w:t xml:space="preserve">; exotic holdings vector</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by source; obligation network edges</w:t>
      </w:r>
      <w:r>
        <w:rPr>
          <w:rFonts w:ascii="Times New Roman" w:hAnsi="Times New Roman"/>
          <w:color w:val="000000"/>
          <w:sz w:val="22"/>
        </w:rPr>
        <w:t xml:space="preserve"> </w:t>
      </w:r>
      <m:oMath>
        <m:sSub>
          <m:e>
            <m:r>
              <m:t>O</m:t>
            </m:r>
          </m:e>
          <m:sub>
            <m:r>
              <m:t>i</m:t>
            </m:r>
            <m:r>
              <m:t>j</m:t>
            </m:r>
          </m:sub>
        </m:sSub>
      </m:oMath>
      <w:r>
        <w:rPr>
          <w:rFonts w:ascii="Times New Roman" w:hAnsi="Times New Roman"/>
          <w:color w:val="000000"/>
          <w:sz w:val="22"/>
        </w:rPr>
        <w:t xml:space="preserve"> </w:t>
      </w:r>
      <w:r>
        <w:rPr>
          <w:rFonts w:ascii="Times New Roman" w:hAnsi="Times New Roman"/>
          <w:color w:val="000000"/>
          <w:sz w:val="22"/>
        </w:rPr>
        <w:t xml:space="preserve">to other bands; prestige</w:t>
      </w:r>
      <w:r>
        <w:rPr>
          <w:rFonts w:ascii="Times New Roman" w:hAnsi="Times New Roman"/>
          <w:color w:val="000000"/>
          <w:sz w:val="22"/>
        </w:rPr>
        <w:t xml:space="preserve"> </w:t>
      </w:r>
      <m:oMath>
        <m:sSub>
          <m:e>
            <m:r>
              <m:t>P</m:t>
            </m:r>
          </m:e>
          <m:sub>
            <m:r>
              <m:t>i</m:t>
            </m:r>
          </m:sub>
        </m:sSub>
      </m:oMath>
      <w:r>
        <w:rPr>
          <w:rFonts w:ascii="Times New Roman" w:hAnsi="Times New Roman"/>
          <w:color w:val="000000"/>
          <w:sz w:val="22"/>
        </w:rPr>
        <w:t xml:space="preserve">. The aggregation site has cumulative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aggregation history, and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rPr>
          <w:rFonts w:ascii="Times New Roman" w:hAnsi="Times New Roman"/>
          <w:b w:val="0"/>
          <w:i w:val="0"/>
          <w:color w:val="000000"/>
          <w:sz w:val="22"/>
          <w:u w:val="single"/>
        </w:rPr>
        <w:t xml:space="preserve">S1.3 Process overview and scheduling</w:t>
      </w:r>
    </w:p>
    <w:p>
      <w:pPr>
        <w:pStyle w:val="FirstParagraph"/>
      </w:pPr>
      <w:r>
        <w:rPr>
          <w:rFonts w:ascii="Times New Roman" w:hAnsi="Times New Roman"/>
          <w:color w:val="000000"/>
          <w:sz w:val="22"/>
        </w:rPr>
        <w:t xml:space="preserve">Each year:</w:t>
      </w:r>
      <w:r>
        <w:rPr>
          <w:rFonts w:ascii="Times New Roman" w:hAnsi="Times New Roman"/>
          <w:color w:val="000000"/>
          <w:sz w:val="22"/>
        </w:rPr>
        <w:t xml:space="preserve"> </w:t>
      </w:r>
      <w:r>
        <w:rPr>
          <w:rFonts w:ascii="Times New Roman" w:hAnsi="Times New Roman"/>
          <w:color w:val="000000"/>
          <w:sz w:val="22"/>
        </w:rPr>
        <w:t xml:space="preserve">1.</w:t>
      </w:r>
      <w:r>
        <w:rPr>
          <w:rFonts w:ascii="Times New Roman" w:hAnsi="Times New Roman"/>
          <w:color w:val="000000"/>
          <w:sz w:val="22"/>
        </w:rPr>
        <w:t xml:space="preserve"> </w:t>
      </w:r>
      <w:r>
        <w:rPr>
          <w:rFonts w:ascii="Times New Roman" w:hAnsi="Times New Roman"/>
          <w:b/>
          <w:bCs/>
          <w:color w:val="000000"/>
          <w:sz w:val="22"/>
        </w:rPr>
        <w:t xml:space="preserve">Environmental update:</w:t>
      </w:r>
      <w:r>
        <w:rPr>
          <w:rFonts w:ascii="Times New Roman" w:hAnsi="Times New Roman"/>
          <w:color w:val="000000"/>
          <w:sz w:val="22"/>
        </w:rPr>
        <w:t xml:space="preserve"> </w:t>
      </w:r>
      <w:r>
        <w:rPr>
          <w:rFonts w:ascii="Times New Roman" w:hAnsi="Times New Roman"/>
          <w:color w:val="000000"/>
          <w:sz w:val="22"/>
        </w:rPr>
        <w:t xml:space="preserve">sample seasonal productivity for each zone. Sample shortfall events (frequency, magnitude) and propagate through zone productivities.</w:t>
      </w:r>
      <w:r>
        <w:rPr>
          <w:rFonts w:ascii="Times New Roman" w:hAnsi="Times New Roman"/>
          <w:color w:val="000000"/>
          <w:sz w:val="22"/>
        </w:rPr>
        <w:t xml:space="preserve"> </w:t>
      </w:r>
      <w:r>
        <w:rPr>
          <w:rFonts w:ascii="Times New Roman" w:hAnsi="Times New Roman"/>
          <w:color w:val="000000"/>
          <w:sz w:val="22"/>
        </w:rPr>
        <w:t xml:space="preserve">2.</w:t>
      </w:r>
      <w:r>
        <w:rPr>
          <w:rFonts w:ascii="Times New Roman" w:hAnsi="Times New Roman"/>
          <w:color w:val="000000"/>
          <w:sz w:val="22"/>
        </w:rPr>
        <w:t xml:space="preserve"> </w:t>
      </w:r>
      <w:r>
        <w:rPr>
          <w:rFonts w:ascii="Times New Roman" w:hAnsi="Times New Roman"/>
          <w:b/>
          <w:bCs/>
          <w:color w:val="000000"/>
          <w:sz w:val="22"/>
        </w:rPr>
        <w:t xml:space="preserve">Strategy decision:</w:t>
      </w:r>
      <w:r>
        <w:rPr>
          <w:rFonts w:ascii="Times New Roman" w:hAnsi="Times New Roman"/>
          <w:color w:val="000000"/>
          <w:sz w:val="22"/>
        </w:rPr>
        <w:t xml:space="preserve"> </w:t>
      </w:r>
      <w:r>
        <w:rPr>
          <w:rFonts w:ascii="Times New Roman" w:hAnsi="Times New Roman"/>
          <w:color w:val="000000"/>
          <w:sz w:val="22"/>
        </w:rPr>
        <w:t xml:space="preserve">each band computes expected</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given current</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 network state, and monument stock, then chooses the higher-fitness strategy with stochastic perturbation.</w:t>
      </w:r>
      <w:r>
        <w:rPr>
          <w:rFonts w:ascii="Times New Roman" w:hAnsi="Times New Roman"/>
          <w:color w:val="000000"/>
          <w:sz w:val="22"/>
        </w:rPr>
        <w:t xml:space="preserve"> </w:t>
      </w:r>
      <w:r>
        <w:rPr>
          <w:rFonts w:ascii="Times New Roman" w:hAnsi="Times New Roman"/>
          <w:color w:val="000000"/>
          <w:sz w:val="22"/>
        </w:rPr>
        <w:t xml:space="preserve">3.</w:t>
      </w:r>
      <w:r>
        <w:rPr>
          <w:rFonts w:ascii="Times New Roman" w:hAnsi="Times New Roman"/>
          <w:color w:val="000000"/>
          <w:sz w:val="22"/>
        </w:rPr>
        <w:t xml:space="preserve"> </w:t>
      </w:r>
      <w:r>
        <w:rPr>
          <w:rFonts w:ascii="Times New Roman" w:hAnsi="Times New Roman"/>
          <w:b/>
          <w:bCs/>
          <w:color w:val="000000"/>
          <w:sz w:val="22"/>
        </w:rPr>
        <w:t xml:space="preserve">Travel and aggregation:</w:t>
      </w:r>
      <w:r>
        <w:rPr>
          <w:rFonts w:ascii="Times New Roman" w:hAnsi="Times New Roman"/>
          <w:color w:val="000000"/>
          <w:sz w:val="22"/>
        </w:rPr>
        <w:t xml:space="preserve"> </w:t>
      </w:r>
      <w:r>
        <w:rPr>
          <w:rFonts w:ascii="Times New Roman" w:hAnsi="Times New Roman"/>
          <w:color w:val="000000"/>
          <w:sz w:val="22"/>
        </w:rPr>
        <w:t xml:space="preserve">aggregators incur travel cost</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arrive at site, gain access to ecotone resources.</w:t>
      </w:r>
      <w:r>
        <w:rPr>
          <w:rFonts w:ascii="Times New Roman" w:hAnsi="Times New Roman"/>
          <w:color w:val="000000"/>
          <w:sz w:val="22"/>
        </w:rPr>
        <w:t xml:space="preserve"> </w:t>
      </w:r>
      <w:r>
        <w:rPr>
          <w:rFonts w:ascii="Times New Roman" w:hAnsi="Times New Roman"/>
          <w:color w:val="000000"/>
          <w:sz w:val="22"/>
        </w:rPr>
        <w:t xml:space="preserve">4.</w:t>
      </w:r>
      <w:r>
        <w:rPr>
          <w:rFonts w:ascii="Times New Roman" w:hAnsi="Times New Roman"/>
          <w:color w:val="000000"/>
          <w:sz w:val="22"/>
        </w:rPr>
        <w:t xml:space="preserve"> </w:t>
      </w:r>
      <w:r>
        <w:rPr>
          <w:rFonts w:ascii="Times New Roman" w:hAnsi="Times New Roman"/>
          <w:b/>
          <w:bCs/>
          <w:color w:val="000000"/>
          <w:sz w:val="22"/>
        </w:rPr>
        <w:t xml:space="preserve">Monument investment:</w:t>
      </w:r>
      <w:r>
        <w:rPr>
          <w:rFonts w:ascii="Times New Roman" w:hAnsi="Times New Roman"/>
          <w:color w:val="000000"/>
          <w:sz w:val="22"/>
        </w:rPr>
        <w:t xml:space="preserve"> </w:t>
      </w:r>
      <w:r>
        <w:rPr>
          <w:rFonts w:ascii="Times New Roman" w:hAnsi="Times New Roman"/>
          <w:color w:val="000000"/>
          <w:sz w:val="22"/>
        </w:rPr>
        <w:t xml:space="preserve">bands with</w:t>
      </w:r>
      <w:r>
        <w:rPr>
          <w:rFonts w:ascii="Times New Roman" w:hAnsi="Times New Roman"/>
          <w:color w:val="000000"/>
          <w:sz w:val="22"/>
        </w:rPr>
        <w:t xml:space="preserve"> </w:t>
      </w:r>
      <m:oMath>
        <m:sSub>
          <m:e>
            <m:r>
              <m:t>R</m:t>
            </m:r>
          </m:e>
          <m:sub>
            <m:r>
              <m:t>i</m:t>
            </m:r>
          </m:sub>
        </m:sSub>
        <m:r>
          <m:rPr>
            <m:sty m:val="p"/>
          </m:rPr>
          <m:t>&gt;</m:t>
        </m:r>
        <m:r>
          <m:t>0.3</m:t>
        </m:r>
      </m:oMath>
      <w:r>
        <w:rPr>
          <w:rFonts w:ascii="Times New Roman" w:hAnsi="Times New Roman"/>
          <w:color w:val="000000"/>
          <w:sz w:val="22"/>
        </w:rPr>
        <w:t xml:space="preserve"> </w:t>
      </w:r>
      <w:r>
        <w:rPr>
          <w:rFonts w:ascii="Times New Roman" w:hAnsi="Times New Roman"/>
          <w:color w:val="000000"/>
          <w:sz w:val="22"/>
        </w:rPr>
        <w:t xml:space="preserve">contribute</w:t>
      </w:r>
      <w:r>
        <w:rPr>
          <w:rFonts w:ascii="Times New Roman" w:hAnsi="Times New Roman"/>
          <w:color w:val="000000"/>
          <w:sz w:val="22"/>
        </w:rP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rPr>
          <w:rFonts w:ascii="Times New Roman" w:hAnsi="Times New Roman"/>
          <w:color w:val="000000"/>
          <w:sz w:val="22"/>
        </w:rPr>
        <w:t xml:space="preserve">. Both individual prestige and site-level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increment.</w:t>
      </w:r>
      <w:r>
        <w:rPr>
          <w:rFonts w:ascii="Times New Roman" w:hAnsi="Times New Roman"/>
          <w:color w:val="000000"/>
          <w:sz w:val="22"/>
        </w:rPr>
        <w:t xml:space="preserve"> </w:t>
      </w:r>
      <w:r>
        <w:rPr>
          <w:rFonts w:ascii="Times New Roman" w:hAnsi="Times New Roman"/>
          <w:color w:val="000000"/>
          <w:sz w:val="22"/>
        </w:rPr>
        <w:t xml:space="preserve">5.</w:t>
      </w:r>
      <w:r>
        <w:rPr>
          <w:rFonts w:ascii="Times New Roman" w:hAnsi="Times New Roman"/>
          <w:color w:val="000000"/>
          <w:sz w:val="22"/>
        </w:rPr>
        <w:t xml:space="preserve"> </w:t>
      </w:r>
      <w:r>
        <w:rPr>
          <w:rFonts w:ascii="Times New Roman" w:hAnsi="Times New Roman"/>
          <w:b/>
          <w:bCs/>
          <w:color w:val="000000"/>
          <w:sz w:val="22"/>
        </w:rPr>
        <w:t xml:space="preserve">Obligation formation:</w:t>
      </w:r>
      <w:r>
        <w:rPr>
          <w:rFonts w:ascii="Times New Roman" w:hAnsi="Times New Roman"/>
          <w:color w:val="000000"/>
          <w:sz w:val="22"/>
        </w:rPr>
        <w:t xml:space="preserve"> </w:t>
      </w:r>
      <w:r>
        <w:rPr>
          <w:rFonts w:ascii="Times New Roman" w:hAnsi="Times New Roman"/>
          <w:color w:val="000000"/>
          <w:sz w:val="22"/>
        </w:rPr>
        <w:t xml:space="preserve">each pair of co-attending bands has 20-30% probability of new tie or strengthening existing tie.</w:t>
      </w:r>
      <w:r>
        <w:rPr>
          <w:rFonts w:ascii="Times New Roman" w:hAnsi="Times New Roman"/>
          <w:color w:val="000000"/>
          <w:sz w:val="22"/>
        </w:rPr>
        <w:t xml:space="preserve"> </w:t>
      </w:r>
      <w:r>
        <w:rPr>
          <w:rFonts w:ascii="Times New Roman" w:hAnsi="Times New Roman"/>
          <w:color w:val="000000"/>
          <w:sz w:val="22"/>
        </w:rPr>
        <w:t xml:space="preserve">6.</w:t>
      </w:r>
      <w:r>
        <w:rPr>
          <w:rFonts w:ascii="Times New Roman" w:hAnsi="Times New Roman"/>
          <w:color w:val="000000"/>
          <w:sz w:val="22"/>
        </w:rPr>
        <w:t xml:space="preserve"> </w:t>
      </w:r>
      <w:r>
        <w:rPr>
          <w:rFonts w:ascii="Times New Roman" w:hAnsi="Times New Roman"/>
          <w:b/>
          <w:bCs/>
          <w:color w:val="000000"/>
          <w:sz w:val="22"/>
        </w:rPr>
        <w:t xml:space="preserve">Exotic acquisition / divestment:</w:t>
      </w:r>
      <w:r>
        <w:rPr>
          <w:rFonts w:ascii="Times New Roman" w:hAnsi="Times New Roman"/>
          <w:color w:val="000000"/>
          <w:sz w:val="22"/>
        </w:rPr>
        <w:t xml:space="preserve"> </w:t>
      </w:r>
      <w:r>
        <w:rPr>
          <w:rFonts w:ascii="Times New Roman" w:hAnsi="Times New Roman"/>
          <w:color w:val="000000"/>
          <w:sz w:val="22"/>
        </w:rPr>
        <w:t xml:space="preserve">acquisition probability per source</w:t>
      </w:r>
      <w:r>
        <w:rPr>
          <w:rFonts w:ascii="Times New Roman" w:hAnsi="Times New Roman"/>
          <w:color w:val="000000"/>
          <w:sz w:val="22"/>
        </w:rPr>
        <w:t xml:space="preserve"> </w:t>
      </w:r>
      <m:oMath>
        <m:r>
          <m:t>j</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rPr>
          <w:rFonts w:ascii="Times New Roman" w:hAnsi="Times New Roman"/>
          <w:color w:val="000000"/>
          <w:sz w:val="22"/>
        </w:rPr>
        <w:t xml:space="preserve">. Divestment via gifting and ritual deposition propagates obligations.</w:t>
      </w:r>
      <w:r>
        <w:rPr>
          <w:rFonts w:ascii="Times New Roman" w:hAnsi="Times New Roman"/>
          <w:color w:val="000000"/>
          <w:sz w:val="22"/>
        </w:rPr>
        <w:t xml:space="preserve"> </w:t>
      </w:r>
      <w:r>
        <w:rPr>
          <w:rFonts w:ascii="Times New Roman" w:hAnsi="Times New Roman"/>
          <w:color w:val="000000"/>
          <w:sz w:val="22"/>
        </w:rPr>
        <w:t xml:space="preserve">7.</w:t>
      </w:r>
      <w:r>
        <w:rPr>
          <w:rFonts w:ascii="Times New Roman" w:hAnsi="Times New Roman"/>
          <w:color w:val="000000"/>
          <w:sz w:val="22"/>
        </w:rPr>
        <w:t xml:space="preserve"> </w:t>
      </w:r>
      <w:r>
        <w:rPr>
          <w:rFonts w:ascii="Times New Roman" w:hAnsi="Times New Roman"/>
          <w:b/>
          <w:bCs/>
          <w:color w:val="000000"/>
          <w:sz w:val="22"/>
        </w:rPr>
        <w:t xml:space="preserve">Foraging and shortfall impact:</w:t>
      </w:r>
      <w:r>
        <w:rPr>
          <w:rFonts w:ascii="Times New Roman" w:hAnsi="Times New Roman"/>
          <w:color w:val="000000"/>
          <w:sz w:val="22"/>
        </w:rPr>
        <w:t xml:space="preserve"> </w:t>
      </w:r>
      <w:r>
        <w:rPr>
          <w:rFonts w:ascii="Times New Roman" w:hAnsi="Times New Roman"/>
          <w:color w:val="000000"/>
          <w:sz w:val="22"/>
        </w:rPr>
        <w:t xml:space="preserve">payoff modulated by</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for aggregators and full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independents, with vulnerability</w:t>
      </w:r>
      <w:r>
        <w:rPr>
          <w:rFonts w:ascii="Times New Roman" w:hAnsi="Times New Roman"/>
          <w:color w:val="000000"/>
          <w:sz w:val="22"/>
        </w:rPr>
        <w:t xml:space="preserve"> </w:t>
      </w:r>
      <m:oMath>
        <m:r>
          <m:t>α</m:t>
        </m:r>
        <m:r>
          <m:rPr>
            <m:sty m:val="p"/>
          </m:rPr>
          <m:t>(</m:t>
        </m:r>
        <m:sSub>
          <m:e>
            <m:r>
              <m:t>k</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applied.</w:t>
      </w:r>
      <w:r>
        <w:rPr>
          <w:rFonts w:ascii="Times New Roman" w:hAnsi="Times New Roman"/>
          <w:color w:val="000000"/>
          <w:sz w:val="22"/>
        </w:rPr>
        <w:t xml:space="preserve"> </w:t>
      </w:r>
      <w:r>
        <w:rPr>
          <w:rFonts w:ascii="Times New Roman" w:hAnsi="Times New Roman"/>
          <w:color w:val="000000"/>
          <w:sz w:val="22"/>
        </w:rPr>
        <w:t xml:space="preserve">8.</w:t>
      </w:r>
      <w:r>
        <w:rPr>
          <w:rFonts w:ascii="Times New Roman" w:hAnsi="Times New Roman"/>
          <w:color w:val="000000"/>
          <w:sz w:val="22"/>
        </w:rPr>
        <w:t xml:space="preserve"> </w:t>
      </w:r>
      <w:r>
        <w:rPr>
          <w:rFonts w:ascii="Times New Roman" w:hAnsi="Times New Roman"/>
          <w:b/>
          <w:bCs/>
          <w:color w:val="000000"/>
          <w:sz w:val="22"/>
        </w:rPr>
        <w:t xml:space="preserve">Reproduction:</w:t>
      </w:r>
      <w:r>
        <w:rPr>
          <w:rFonts w:ascii="Times New Roman" w:hAnsi="Times New Roman"/>
          <w:color w:val="000000"/>
          <w:sz w:val="22"/>
        </w:rPr>
        <w:t xml:space="preserve"> </w:t>
      </w:r>
      <w:r>
        <w:rPr>
          <w:rFonts w:ascii="Times New Roman" w:hAnsi="Times New Roman"/>
          <w:color w:val="000000"/>
          <w:sz w:val="22"/>
        </w:rPr>
        <w:t xml:space="preserve">stochastic births/deaths proportional to fitness and resources, with band fission when size exceeds 30.</w:t>
      </w:r>
    </w:p>
    <w:bookmarkEnd w:id="11"/>
    <w:bookmarkStart w:id="12" w:name="s1.4-design-concepts"/>
    <w:p>
      <w:pPr>
        <w:pStyle w:val="Heading3"/>
      </w:pPr>
      <w:r>
        <w:rPr>
          <w:rFonts w:ascii="Times New Roman" w:hAnsi="Times New Roman"/>
          <w:b w:val="0"/>
          <w:i w:val="0"/>
          <w:color w:val="000000"/>
          <w:sz w:val="22"/>
          <w:u w:val="single"/>
        </w:rPr>
        <w:t xml:space="preserve">S1.4 Design concepts</w:t>
      </w:r>
    </w:p>
    <w:p>
      <w:pPr>
        <w:pStyle w:val="FirstParagraph"/>
      </w:pPr>
      <w:r>
        <w:rPr>
          <w:rFonts w:ascii="Times New Roman" w:hAnsi="Times New Roman"/>
          <w:b/>
          <w:bCs/>
          <w:color w:val="000000"/>
          <w:sz w:val="22"/>
        </w:rPr>
        <w:t xml:space="preserve">Emergence.</w:t>
      </w:r>
      <w:r>
        <w:rPr>
          <w:rFonts w:ascii="Times New Roman" w:hAnsi="Times New Roman"/>
          <w:color w:val="000000"/>
          <w:sz w:val="22"/>
        </w:rPr>
        <w:t xml:space="preserve"> </w:t>
      </w:r>
      <w:r>
        <w:rPr>
          <w:rFonts w:ascii="Times New Roman" w:hAnsi="Times New Roman"/>
          <w:color w:val="000000"/>
          <w:sz w:val="22"/>
        </w:rPr>
        <w:t xml:space="preserve">Phase transitions in strategy frequency, monument accumulation, and network structure emerge from individual fitness comparisons. They are not built in.</w:t>
      </w:r>
    </w:p>
    <w:p>
      <w:pPr>
        <w:pStyle w:val="BodyText"/>
      </w:pPr>
      <w:r>
        <w:rPr>
          <w:rFonts w:ascii="Times New Roman" w:hAnsi="Times New Roman"/>
          <w:b/>
          <w:bCs/>
          <w:color w:val="000000"/>
          <w:sz w:val="22"/>
        </w:rPr>
        <w:t xml:space="preserve">Adaptation.</w:t>
      </w:r>
      <w:r>
        <w:rPr>
          <w:rFonts w:ascii="Times New Roman" w:hAnsi="Times New Roman"/>
          <w:color w:val="000000"/>
          <w:sz w:val="22"/>
        </w:rPr>
        <w:t xml:space="preserve"> </w:t>
      </w:r>
      <w:r>
        <w:rPr>
          <w:rFonts w:ascii="Times New Roman" w:hAnsi="Times New Roman"/>
          <w:color w:val="000000"/>
          <w:sz w:val="22"/>
        </w:rPr>
        <w:t xml:space="preserve">Bands adapt by choosing the higher-fitness strategy, with switching frequency dampened to reflect ethnographic inertia in lifeway change.</w:t>
      </w:r>
    </w:p>
    <w:p>
      <w:pPr>
        <w:pStyle w:val="BodyText"/>
      </w:pPr>
      <w:r>
        <w:rPr>
          <w:rFonts w:ascii="Times New Roman" w:hAnsi="Times New Roman"/>
          <w:b/>
          <w:bCs/>
          <w:color w:val="000000"/>
          <w:sz w:val="22"/>
        </w:rPr>
        <w:t xml:space="preserve">Sensing.</w:t>
      </w:r>
      <w:r>
        <w:rPr>
          <w:rFonts w:ascii="Times New Roman" w:hAnsi="Times New Roman"/>
          <w:color w:val="000000"/>
          <w:sz w:val="22"/>
        </w:rPr>
        <w:t xml:space="preserve"> </w:t>
      </w:r>
      <w:r>
        <w:rPr>
          <w:rFonts w:ascii="Times New Roman" w:hAnsi="Times New Roman"/>
          <w:color w:val="000000"/>
          <w:sz w:val="22"/>
        </w:rPr>
        <w:t xml:space="preserve">Bands sense local resource conditions, their own state, and (for aggregators) the visible monument stock and obligation network at the aggregation site.</w:t>
      </w:r>
    </w:p>
    <w:p>
      <w:pPr>
        <w:pStyle w:val="BodyText"/>
      </w:pPr>
      <w:r>
        <w:rPr>
          <w:rFonts w:ascii="Times New Roman" w:hAnsi="Times New Roman"/>
          <w:b/>
          <w:bCs/>
          <w:color w:val="000000"/>
          <w:sz w:val="22"/>
        </w:rPr>
        <w:t xml:space="preserve">Stochasticity.</w:t>
      </w:r>
      <w:r>
        <w:rPr>
          <w:rFonts w:ascii="Times New Roman" w:hAnsi="Times New Roman"/>
          <w:color w:val="000000"/>
          <w:sz w:val="22"/>
        </w:rPr>
        <w:t xml:space="preserve"> </w:t>
      </w:r>
      <w:r>
        <w:rPr>
          <w:rFonts w:ascii="Times New Roman" w:hAnsi="Times New Roman"/>
          <w:color w:val="000000"/>
          <w:sz w:val="22"/>
        </w:rPr>
        <w:t xml:space="preserve">Shortfall years, productivity sampling, partner formation, and exotic acquisition all incorporate stochasticity, producing replicate-to-replicate variation.</w:t>
      </w:r>
    </w:p>
    <w:p>
      <w:pPr>
        <w:pStyle w:val="BodyText"/>
      </w:pPr>
      <w:r>
        <w:rPr>
          <w:rFonts w:ascii="Times New Roman" w:hAnsi="Times New Roman"/>
          <w:b/>
          <w:bCs/>
          <w:color w:val="000000"/>
          <w:sz w:val="22"/>
        </w:rPr>
        <w:t xml:space="preserve">Observation.</w:t>
      </w:r>
      <w:r>
        <w:rPr>
          <w:rFonts w:ascii="Times New Roman" w:hAnsi="Times New Roman"/>
          <w:color w:val="000000"/>
          <w:sz w:val="22"/>
        </w:rPr>
        <w:t xml:space="preserve"> </w:t>
      </w:r>
      <w:r>
        <w:rPr>
          <w:rFonts w:ascii="Times New Roman" w:hAnsi="Times New Roman"/>
          <w:color w:val="000000"/>
          <w:sz w:val="22"/>
        </w:rPr>
        <w:t xml:space="preserve">At each year we record strategy frequencies, monument totals, exotic counts by source, network density, and population size.</w:t>
      </w:r>
    </w:p>
    <w:p>
      <w:pPr>
        <w:pStyle w:val="BodyText"/>
      </w:pPr>
      <m:oMath>
        <m:r>
          <m:t>σ</m:t>
        </m:r>
      </m:oMath>
      <w:r>
        <w:rPr>
          <w:rFonts w:ascii="Times New Roman" w:hAnsi="Times New Roman"/>
          <w:b/>
          <w:bCs/>
          <w:color w:val="000000"/>
          <w:sz w:val="22"/>
        </w:rPr>
        <w:t xml:space="preserve"> </w:t>
      </w:r>
      <w:r>
        <w:rPr>
          <w:rFonts w:ascii="Times New Roman" w:hAnsi="Times New Roman"/>
          <w:b/>
          <w:bCs/>
          <w:color w:val="000000"/>
          <w:sz w:val="22"/>
        </w:rPr>
        <w:t xml:space="preserve">versus</w:t>
      </w:r>
      <w:r>
        <w:rPr>
          <w:rFonts w:ascii="Times New Roman" w:hAnsi="Times New Roman"/>
          <w:b/>
          <w:bCs/>
          <w:color w:val="000000"/>
          <w:sz w:val="22"/>
        </w:rPr>
        <w:t xml:space="preserve"> </w:t>
      </w:r>
      <m:oMath>
        <m:sSub>
          <m:e>
            <m:r>
              <m:t>σ</m:t>
            </m:r>
          </m:e>
          <m:sub>
            <m:r>
              <m:t>e</m:t>
            </m:r>
            <m:r>
              <m:t>f</m:t>
            </m:r>
            <m:r>
              <m:t>f</m:t>
            </m:r>
          </m:sub>
        </m:sSub>
      </m:oMath>
      <w:r>
        <w:rPr>
          <w:rFonts w:ascii="Times New Roman" w:hAnsi="Times New Roman"/>
          <w:b/>
          <w:bCs/>
          <w:color w:val="000000"/>
          <w:sz w:val="22"/>
        </w:rPr>
        <w:t xml:space="preserve"> </w:t>
      </w:r>
      <w:r>
        <w:rPr>
          <w:rFonts w:ascii="Times New Roman" w:hAnsi="Times New Roman"/>
          <w:b/>
          <w:bCs/>
          <w:color w:val="000000"/>
          <w:sz w:val="22"/>
        </w:rPr>
        <w:t xml:space="preserve">naming convention.</w:t>
      </w:r>
      <w:r>
        <w:rPr>
          <w:rFonts w:ascii="Times New Roman" w:hAnsi="Times New Roman"/>
          <w:color w:val="000000"/>
          <w:sz w:val="22"/>
        </w:rPr>
        <w:t xml:space="preserve"> </w:t>
      </w:r>
      <w:r>
        <w:rPr>
          <w:rFonts w:ascii="Times New Roman" w:hAnsi="Times New Roman"/>
          <w:color w:val="000000"/>
          <w:sz w:val="22"/>
        </w:rPr>
        <w:t xml:space="preserve">Three closely related quantities appear throughout this article and the code, and we are explicit about each here because the convention is otherwise easy to confuse. (1)</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the regional composite uncertainty, defined below as</w:t>
      </w:r>
      <w:r>
        <w:rPr>
          <w:rFonts w:ascii="Times New Roman" w:hAnsi="Times New Roman"/>
          <w:color w:val="000000"/>
          <w:sz w:val="22"/>
        </w:rPr>
        <w:t xml:space="preserve"> </w:t>
      </w:r>
      <m:oMath>
        <m:r>
          <m:t>m</m:t>
        </m:r>
        <m:r>
          <m:rPr>
            <m:sty m:val="p"/>
          </m:rPr>
          <m:t>⋅</m:t>
        </m:r>
        <m:rad>
          <m:radPr>
            <m:degHide m:val="on"/>
          </m:radPr>
          <m:deg/>
          <m:e>
            <m:r>
              <m:t>20</m:t>
            </m:r>
            <m:r>
              <m:rPr>
                <m:sty m:val="p"/>
              </m:rPr>
              <m:t>/</m:t>
            </m:r>
            <m:r>
              <m:t>T</m:t>
            </m:r>
          </m:e>
        </m:rad>
      </m:oMath>
      <w:r>
        <w:rPr>
          <w:rFonts w:ascii="Times New Roman" w:hAnsi="Times New Roman"/>
          <w:color w:val="000000"/>
          <w:sz w:val="22"/>
        </w:rPr>
        <w:t xml:space="preserve">. It is the quantity that depends only on shortfall recurrence and magnitude, not on site geography. (2)</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analytical</w:t>
      </w:r>
      <w:r>
        <w:rPr>
          <w:rFonts w:ascii="Times New Roman" w:hAnsi="Times New Roman"/>
          <w:color w:val="000000"/>
          <w:sz w:val="22"/>
        </w:rPr>
        <w:t xml:space="preserve"> </w:t>
      </w:r>
      <w:r>
        <w:rPr>
          <w:rFonts w:ascii="Times New Roman" w:hAnsi="Times New Roman"/>
          <w:i/>
          <w:iCs/>
          <w:color w:val="000000"/>
          <w:sz w:val="22"/>
        </w:rPr>
        <w:t xml:space="preserve">effective</w:t>
      </w:r>
      <w:r>
        <w:rPr>
          <w:rFonts w:ascii="Times New Roman" w:hAnsi="Times New Roman"/>
          <w:color w:val="000000"/>
          <w:sz w:val="22"/>
        </w:rPr>
        <w:t xml:space="preserve"> </w:t>
      </w:r>
      <w:r>
        <w:rPr>
          <w:rFonts w:ascii="Times New Roman" w:hAnsi="Times New Roman"/>
          <w:color w:val="000000"/>
          <w:sz w:val="22"/>
        </w:rPr>
        <w:t xml:space="preserve">uncertainty experienced by aggregator bands at a high-</w:t>
      </w:r>
      <m:oMath>
        <m:r>
          <m:t>ε</m:t>
        </m:r>
      </m:oMath>
      <w:r>
        <w:rPr>
          <w:rFonts w:ascii="Times New Roman" w:hAnsi="Times New Roman"/>
          <w:color w:val="000000"/>
          <w:sz w:val="22"/>
        </w:rPr>
        <w:t xml:space="preserve"> </w:t>
      </w:r>
      <w:r>
        <w:rPr>
          <w:rFonts w:ascii="Times New Roman" w:hAnsi="Times New Roman"/>
          <w:color w:val="000000"/>
          <w:sz w:val="22"/>
        </w:rPr>
        <w:t xml:space="preserve">gathering site. It is what enters the survival term in</w:t>
      </w:r>
      <w:r>
        <w:rPr>
          <w:rFonts w:ascii="Times New Roman" w:hAnsi="Times New Roman"/>
          <w:color w:val="000000"/>
          <w:sz w:val="22"/>
        </w:rPr>
        <w:t xml:space="preserve"> </w:t>
      </w:r>
      <w:r>
        <w:rPr>
          <w:rStyle w:val="VerbatimChar"/>
          <w:rFonts w:ascii="Times New Roman" w:hAnsi="Times New Roman"/>
          <w:color w:val="000000"/>
          <w:sz w:val="22"/>
        </w:rPr>
        <w:t xml:space="preserve">aggregation_expected_fitness</w:t>
      </w:r>
      <w:r>
        <w:rPr>
          <w:rFonts w:ascii="Times New Roman" w:hAnsi="Times New Roman"/>
          <w:color w:val="000000"/>
          <w:sz w:val="22"/>
        </w:rPr>
        <w:t xml:space="preserve"> </w:t>
      </w:r>
      <w:r>
        <w:rPr>
          <w:rFonts w:ascii="Times New Roman" w:hAnsi="Times New Roman"/>
          <w:color w:val="000000"/>
          <w:sz w:val="22"/>
        </w:rPr>
        <w:t xml:space="preserve">(signaling_core.py) and the analytical threshold-proximity computation. (3) The sweep variable in the §4.3 ablation and §S7.1 tables, labeled either</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target”</w:t>
      </w:r>
      <w:r>
        <w:rPr>
          <w:rFonts w:ascii="Times New Roman" w:hAnsi="Times New Roman"/>
          <w:color w:val="000000"/>
          <w:sz w:val="22"/>
        </w:rPr>
        <w:t xml:space="preserve"> </w:t>
      </w:r>
      <w:r>
        <w:rPr>
          <w:rFonts w:ascii="Times New Roman" w:hAnsi="Times New Roman"/>
          <w:color w:val="000000"/>
          <w:sz w:val="22"/>
        </w:rPr>
        <w:t xml:space="preserve">or</w:t>
      </w:r>
      <w:r>
        <w:rPr>
          <w:rFonts w:ascii="Times New Roman" w:hAnsi="Times New Roman"/>
          <w:color w:val="000000"/>
          <w:sz w:val="22"/>
        </w:rPr>
        <w:t xml:space="preserve"> </w:t>
      </w:r>
      <w:r>
        <w:rPr>
          <w:rFonts w:ascii="Times New Roman" w:hAnsi="Times New Roman"/>
          <w:color w:val="000000"/>
          <w:sz w:val="22"/>
        </w:rPr>
        <w:t xml:space="preserve">“realized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depending on context, is on the same numerical scale as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script</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signal_conditional_ablation_sweep.py</w:t>
      </w:r>
      <w:r>
        <w:rPr>
          <w:rFonts w:ascii="Times New Roman" w:hAnsi="Times New Roman"/>
          <w:color w:val="000000"/>
          <w:sz w:val="22"/>
        </w:rPr>
        <w:t xml:space="preserve"> </w:t>
      </w:r>
      <w:r>
        <w:rPr>
          <w:rFonts w:ascii="Times New Roman" w:hAnsi="Times New Roman"/>
          <w:color w:val="000000"/>
          <w:sz w:val="22"/>
        </w:rPr>
        <w:t xml:space="preserve">inverts the relation</w:t>
      </w:r>
      <w:r>
        <w:rPr>
          <w:rFonts w:ascii="Times New Roman" w:hAnsi="Times New Roman"/>
          <w:color w:val="000000"/>
          <w:sz w:val="22"/>
        </w:rPr>
        <w:t xml:space="preserve"> </w:t>
      </w:r>
      <m:oMath>
        <m:sSub>
          <m:e>
            <m:r>
              <m:t>σ</m:t>
            </m:r>
          </m:e>
          <m:sub>
            <m:r>
              <m:t>e</m:t>
            </m:r>
            <m:r>
              <m:t>f</m:t>
            </m:r>
            <m:r>
              <m:t>f</m:t>
            </m:r>
            <m:r>
              <m:rPr>
                <m:sty m:val="p"/>
              </m:rPr>
              <m:t>,</m:t>
            </m:r>
            <m:r>
              <m:rPr>
                <m:nor/>
                <m:sty m:val="p"/>
              </m:rPr>
              <m:t>target</m:t>
            </m:r>
          </m:sub>
        </m:sSub>
        <m:r>
          <m:rPr>
            <m:sty m:val="p"/>
          </m:rPr>
          <m:t>=</m:t>
        </m:r>
        <m:r>
          <m:t>m</m:t>
        </m:r>
        <m:rad>
          <m:radPr>
            <m:degHide m:val="on"/>
          </m:radPr>
          <m:deg/>
          <m:e>
            <m:r>
              <m:t>20</m:t>
            </m:r>
            <m:r>
              <m:rPr>
                <m:sty m:val="p"/>
              </m:rPr>
              <m:t>/</m:t>
            </m:r>
            <m:r>
              <m:t>T</m:t>
            </m:r>
          </m:e>
        </m:rad>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recurrence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that achieves the target, runs the simulation at that</w:t>
      </w:r>
      <w:r>
        <w:rPr>
          <w:rFonts w:ascii="Times New Roman" w:hAnsi="Times New Roman"/>
          <w:color w:val="000000"/>
          <w:sz w:val="22"/>
        </w:rPr>
        <w:t xml:space="preserve"> </w:t>
      </w:r>
      <m:oMath>
        <m:r>
          <m:t>T</m:t>
        </m:r>
      </m:oMath>
      <w:r>
        <w:rPr>
          <w:rFonts w:ascii="Times New Roman" w:hAnsi="Times New Roman"/>
          <w:color w:val="000000"/>
          <w:sz w:val="22"/>
        </w:rPr>
        <w:t xml:space="preserve">, and reports</w:t>
      </w:r>
      <w:r>
        <w:rPr>
          <w:rFonts w:ascii="Times New Roman" w:hAnsi="Times New Roman"/>
          <w:color w:val="000000"/>
          <w:sz w:val="22"/>
        </w:rPr>
        <w:t xml:space="preserve"> </w:t>
      </w:r>
      <w:r>
        <w:rPr>
          <w:rStyle w:val="VerbatimChar"/>
          <w:rFonts w:ascii="Times New Roman" w:hAnsi="Times New Roman"/>
          <w:color w:val="000000"/>
          <w:sz w:val="22"/>
        </w:rPr>
        <w:t xml:space="preserve">mean_effective_sigma</w:t>
      </w:r>
      <w:r>
        <w:rPr>
          <w:rFonts w:ascii="Times New Roman" w:hAnsi="Times New Roman"/>
          <w:color w:val="000000"/>
          <w:sz w:val="22"/>
        </w:rPr>
        <w:t xml:space="preserve"> </w:t>
      </w:r>
      <w:r>
        <w:rPr>
          <w:rFonts w:ascii="Times New Roman" w:hAnsi="Times New Roman"/>
          <w:color w:val="000000"/>
          <w:sz w:val="22"/>
        </w:rPr>
        <w:t xml:space="preserve">from</w:t>
      </w:r>
      <w:r>
        <w:rPr>
          <w:rFonts w:ascii="Times New Roman" w:hAnsi="Times New Roman"/>
          <w:color w:val="000000"/>
          <w:sz w:val="22"/>
        </w:rPr>
        <w:t xml:space="preserve"> </w:t>
      </w:r>
      <w:r>
        <w:rPr>
          <w:rStyle w:val="VerbatimChar"/>
          <w:rFonts w:ascii="Times New Roman" w:hAnsi="Times New Roman"/>
          <w:color w:val="000000"/>
          <w:sz w:val="22"/>
        </w:rPr>
        <w:t xml:space="preserve">IntegratedSimulation._calculate_effective_sigma</w:t>
      </w:r>
      <w:r>
        <w:rPr>
          <w:rFonts w:ascii="Times New Roman" w:hAnsi="Times New Roman"/>
          <w:color w:val="000000"/>
          <w:sz w:val="22"/>
        </w:rPr>
        <w:t xml:space="preserve">, which returns the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(with a small CV adjustment) rather than</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The discount</w:t>
      </w:r>
      <w:r>
        <w:rPr>
          <w:rFonts w:ascii="Times New Roman" w:hAnsi="Times New Roman"/>
          <w:color w:val="000000"/>
          <w:sz w:val="22"/>
        </w:rPr>
        <w:t xml:space="preserve"> </w:t>
      </w:r>
      <m:oMath>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then applied inside the analytical fitness call. The §S7.1 table labels and Figure 7 x-axis therefore report a quantity that is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even though they use the</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label. The analytical threshold</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for</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is also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(because</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critical_threshold(epsilon=0.35)</w:t>
      </w:r>
      <w:r>
        <w:rPr>
          <w:rFonts w:ascii="Times New Roman" w:hAnsi="Times New Roman"/>
          <w:color w:val="000000"/>
          <w:sz w:val="22"/>
        </w:rPr>
        <w:t xml:space="preserve"> </w:t>
      </w:r>
      <w:r>
        <w:rPr>
          <w:rFonts w:ascii="Times New Roman" w:hAnsi="Times New Roman"/>
          <w:color w:val="000000"/>
          <w:sz w:val="22"/>
        </w:rPr>
        <w:t xml:space="preserve">returns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which the survival differential vanishes, evaluated against raw</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entering the discount). Within the §S7.1 / Figure 7 analysis, the convention is therefore internally consistent: the sweep variable, the threshold, and the realized values are all on the raw-</w:t>
      </w:r>
      <m:oMath>
        <m:r>
          <m:t>σ</m:t>
        </m:r>
      </m:oMath>
      <w:r>
        <w:rPr>
          <w:rFonts w:ascii="Times New Roman" w:hAnsi="Times New Roman"/>
          <w:color w:val="000000"/>
          <w:sz w:val="22"/>
        </w:rPr>
        <w:t xml:space="preserve"> </w:t>
      </w:r>
      <w:r>
        <w:rPr>
          <w:rFonts w:ascii="Times New Roman" w:hAnsi="Times New Roman"/>
          <w:color w:val="000000"/>
          <w:sz w:val="22"/>
        </w:rPr>
        <w:t xml:space="preserve">scale, and the label</w:t>
      </w:r>
      <w:r>
        <w:rPr>
          <w:rFonts w:ascii="Times New Roman" w:hAnsi="Times New Roman"/>
          <w:color w:val="000000"/>
          <w:sz w:val="22"/>
        </w:rPr>
        <w:t xml:space="preserve"> </w:t>
      </w:r>
      <w:r>
        <w:rPr>
          <w:rFonts w:ascii="Times New Roman" w:hAnsi="Times New Roman"/>
          <w:color w:val="000000"/>
          <w:sz w:val="22"/>
        </w:rPr>
        <w:t xml:space="preserve">“</w:t>
      </w:r>
      <m:oMath>
        <m:sSub>
          <m:e>
            <m:r>
              <m:t>σ</m:t>
            </m:r>
          </m:e>
          <m:sub>
            <m:r>
              <m:t>e</m:t>
            </m:r>
            <m:r>
              <m:t>f</m:t>
            </m:r>
            <m:r>
              <m:t>f</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is shorthand for</w:t>
      </w:r>
      <w:r>
        <w:rPr>
          <w:rFonts w:ascii="Times New Roman" w:hAnsi="Times New Roman"/>
          <w:color w:val="000000"/>
          <w:sz w:val="22"/>
        </w:rPr>
        <w:t xml:space="preserve"> </w:t>
      </w:r>
      <w:r>
        <w:rPr>
          <w:rFonts w:ascii="Times New Roman" w:hAnsi="Times New Roman"/>
          <w:color w:val="000000"/>
          <w:sz w:val="22"/>
        </w:rPr>
        <w:t xml:space="preserve">“the raw-</w:t>
      </w:r>
      <m:oMath>
        <m:r>
          <m:t>σ</m:t>
        </m:r>
      </m:oMath>
      <w:r>
        <w:rPr>
          <w:rFonts w:ascii="Times New Roman" w:hAnsi="Times New Roman"/>
          <w:color w:val="000000"/>
          <w:sz w:val="22"/>
        </w:rPr>
        <w:t xml:space="preserve"> </w:t>
      </w:r>
      <w:r>
        <w:rPr>
          <w:rFonts w:ascii="Times New Roman" w:hAnsi="Times New Roman"/>
          <w:color w:val="000000"/>
          <w:sz w:val="22"/>
        </w:rPr>
        <w:t xml:space="preserve">value at which the discount-adjusted survival term would correspond to ecotone advantage</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Outside of §S7.1 / Figure 7, when we write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in the main text we mean the analytical</w:t>
      </w:r>
      <w:r>
        <w:rPr>
          <w:rFonts w:ascii="Times New Roman" w:hAnsi="Times New Roman"/>
          <w:color w:val="000000"/>
          <w:sz w:val="22"/>
        </w:rPr>
        <w:t xml:space="preserve"> </w:t>
      </w:r>
      <m:oMath>
        <m:r>
          <m:t>σ</m:t>
        </m:r>
        <m:r>
          <m:rPr>
            <m:sty m:val="p"/>
          </m:rPr>
          <m:t>(</m:t>
        </m:r>
        <m:r>
          <m:t>1</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quantity proper. The contexts are clearly separated by which table or figure is being referenced.</w:t>
      </w:r>
    </w:p>
    <w:p>
      <w:pPr>
        <w:pStyle w:val="BodyText"/>
      </w:pPr>
      <w:r>
        <w:rPr>
          <w:rFonts w:ascii="Times New Roman" w:hAnsi="Times New Roman"/>
          <w:b/>
          <w:bCs/>
          <w:color w:val="000000"/>
          <w:sz w:val="22"/>
        </w:rPr>
        <w:t xml:space="preserve">Composite uncertainty derivation.</w:t>
      </w:r>
      <w:r>
        <w:rPr>
          <w:rFonts w:ascii="Times New Roman" w:hAnsi="Times New Roman"/>
          <w:color w:val="000000"/>
          <w:sz w:val="22"/>
        </w:rPr>
        <w:t xml:space="preserve"> </w:t>
      </w:r>
      <w:r>
        <w:rPr>
          <w:rFonts w:ascii="Times New Roman" w:hAnsi="Times New Roman"/>
          <w:color w:val="000000"/>
          <w:sz w:val="22"/>
        </w:rPr>
        <w:t xml:space="preserve">In plain terms: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summarizes how much annual productivity bounces around year to year, combining how often shortfalls occur (mean recurrence</w:t>
      </w:r>
      <w:r>
        <w:rPr>
          <w:rFonts w:ascii="Times New Roman" w:hAnsi="Times New Roman"/>
          <w:color w:val="000000"/>
          <w:sz w:val="22"/>
        </w:rPr>
        <w:t xml:space="preserve"> </w:t>
      </w:r>
      <m:oMath>
        <m:r>
          <m:t>T</m:t>
        </m:r>
      </m:oMath>
      <w:r>
        <w:rPr>
          <w:rFonts w:ascii="Times New Roman" w:hAnsi="Times New Roman"/>
          <w:color w:val="000000"/>
          <w:sz w:val="22"/>
        </w:rPr>
        <w:t xml:space="preserve">) with how severe each one is (magnitude</w:t>
      </w:r>
      <w:r>
        <w:rPr>
          <w:rFonts w:ascii="Times New Roman" w:hAnsi="Times New Roman"/>
          <w:color w:val="000000"/>
          <w:sz w:val="22"/>
        </w:rPr>
        <w:t xml:space="preserve"> </w:t>
      </w:r>
      <m:oMath>
        <m:r>
          <m:t>m</m:t>
        </m:r>
      </m:oMath>
      <w:r>
        <w:rPr>
          <w:rFonts w:ascii="Times New Roman" w:hAnsi="Times New Roman"/>
          <w:color w:val="000000"/>
          <w:sz w:val="22"/>
        </w:rPr>
        <w:t xml:space="preserve">). The derivation: shortfalls arrive at random with mean spacing</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years (a Poisson process with rate</w:t>
      </w:r>
      <w:r>
        <w:rPr>
          <w:rFonts w:ascii="Times New Roman" w:hAnsi="Times New Roman"/>
          <w:color w:val="000000"/>
          <w:sz w:val="22"/>
        </w:rPr>
        <w:t xml:space="preserve"> </w:t>
      </w:r>
      <m:oMath>
        <m:sSub>
          <m:e>
            <m:r>
              <m:t>λ</m:t>
            </m:r>
          </m:e>
          <m:sub>
            <m:r>
              <m:t>s</m:t>
            </m:r>
          </m:sub>
        </m:sSub>
        <m:r>
          <m:rPr>
            <m:sty m:val="p"/>
          </m:rPr>
          <m:t>=</m:t>
        </m:r>
        <m:r>
          <m:t>1</m:t>
        </m:r>
        <m:r>
          <m:rPr>
            <m:sty m:val="p"/>
          </m:rPr>
          <m:t>/</m:t>
        </m:r>
        <m:r>
          <m:t>T</m:t>
        </m:r>
      </m:oMath>
      <w:r>
        <w:rPr>
          <w:rFonts w:ascii="Times New Roman" w:hAnsi="Times New Roman"/>
          <w:color w:val="000000"/>
          <w:sz w:val="22"/>
        </w:rPr>
        <w:t xml:space="preserve">), and each shortfall reduces annual productivity by a multiplicative factor</w:t>
      </w:r>
      <w:r>
        <w:rPr>
          <w:rFonts w:ascii="Times New Roman" w:hAnsi="Times New Roman"/>
          <w:color w:val="000000"/>
          <w:sz w:val="22"/>
        </w:rPr>
        <w:t xml:space="preserve"> </w:t>
      </w:r>
      <m:oMath>
        <m:r>
          <m:t>m</m:t>
        </m:r>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(so a</w:t>
      </w:r>
      <w:r>
        <w:rPr>
          <w:rFonts w:ascii="Times New Roman" w:hAnsi="Times New Roman"/>
          <w:color w:val="000000"/>
          <w:sz w:val="22"/>
        </w:rPr>
        <w:t xml:space="preserve"> </w:t>
      </w:r>
      <w:r>
        <w:rPr>
          <w:rFonts w:ascii="Times New Roman" w:hAnsi="Times New Roman"/>
          <w:color w:val="000000"/>
          <w:sz w:val="22"/>
        </w:rPr>
        <w:t xml:space="preserve">“magnitude 0.45”</w:t>
      </w:r>
      <w:r>
        <w:rPr>
          <w:rFonts w:ascii="Times New Roman" w:hAnsi="Times New Roman"/>
          <w:color w:val="000000"/>
          <w:sz w:val="22"/>
        </w:rPr>
        <w:t xml:space="preserve"> </w:t>
      </w:r>
      <w:r>
        <w:rPr>
          <w:rFonts w:ascii="Times New Roman" w:hAnsi="Times New Roman"/>
          <w:color w:val="000000"/>
          <w:sz w:val="22"/>
        </w:rPr>
        <w:t xml:space="preserve">shortfall produces 55% of normal productivity in that year). The expected number of shortfalls in any year is</w:t>
      </w:r>
      <w:r>
        <w:rPr>
          <w:rFonts w:ascii="Times New Roman" w:hAnsi="Times New Roman"/>
          <w:color w:val="000000"/>
          <w:sz w:val="22"/>
        </w:rPr>
        <w:t xml:space="preserve"> </w:t>
      </w:r>
      <m:oMath>
        <m:r>
          <m:t>1</m:t>
        </m:r>
        <m:r>
          <m:rPr>
            <m:sty m:val="p"/>
          </m:rPr>
          <m:t>/</m:t>
        </m:r>
        <m:r>
          <m:t>T</m:t>
        </m:r>
      </m:oMath>
      <w:r>
        <w:rPr>
          <w:rFonts w:ascii="Times New Roman" w:hAnsi="Times New Roman"/>
          <w:color w:val="000000"/>
          <w:sz w:val="22"/>
        </w:rPr>
        <w:t xml:space="preserve">, and the variance of annual productivity loss across many years is</w:t>
      </w:r>
      <w:r>
        <w:rPr>
          <w:rFonts w:ascii="Times New Roman" w:hAnsi="Times New Roman"/>
          <w:color w:val="000000"/>
          <w:sz w:val="22"/>
        </w:rP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rPr>
          <w:rFonts w:ascii="Times New Roman" w:hAnsi="Times New Roman"/>
          <w:color w:val="000000"/>
          <w:sz w:val="22"/>
        </w:rPr>
        <w:t xml:space="preserve"> </w:t>
      </w:r>
      <w:r>
        <w:rPr>
          <w:rFonts w:ascii="Times New Roman" w:hAnsi="Times New Roman"/>
          <w:color w:val="000000"/>
          <w:sz w:val="22"/>
        </w:rPr>
        <w:t xml:space="preserve">(to leading order, treating shortfalls as independent annual events). The standard deviation of annual loss is therefore</w:t>
      </w:r>
      <w:r>
        <w:rPr>
          <w:rFonts w:ascii="Times New Roman" w:hAnsi="Times New Roman"/>
          <w:color w:val="000000"/>
          <w:sz w:val="22"/>
        </w:rPr>
        <w:t xml:space="preserve"> </w:t>
      </w:r>
      <m:oMath>
        <m:sSub>
          <m:e>
            <m:r>
              <m:t>σ</m:t>
            </m:r>
          </m:e>
          <m:sub>
            <m:r>
              <m:rPr>
                <m:nor/>
                <m:sty m:val="p"/>
              </m:rPr>
              <m:t>annual</m:t>
            </m:r>
          </m:sub>
        </m:sSub>
        <m:r>
          <m:rPr>
            <m:sty m:val="p"/>
          </m:rPr>
          <m:t>=</m:t>
        </m:r>
        <m:r>
          <m:t>m</m:t>
        </m:r>
        <m:r>
          <m:rPr>
            <m:sty m:val="p"/>
          </m:rPr>
          <m:t>/</m:t>
        </m:r>
        <m:rad>
          <m:radPr>
            <m:degHide m:val="on"/>
          </m:radPr>
          <m:deg/>
          <m:e>
            <m:r>
              <m:t>T</m:t>
            </m:r>
          </m:e>
        </m:rad>
      </m:oMath>
      <w:r>
        <w:rPr>
          <w:rFonts w:ascii="Times New Roman" w:hAnsi="Times New Roman"/>
          <w:color w:val="000000"/>
          <w:sz w:val="22"/>
        </w:rPr>
        <w:t xml:space="preserve">.</w:t>
      </w:r>
    </w:p>
    <w:p>
      <w:pPr>
        <w:pStyle w:val="BodyText"/>
      </w:pPr>
      <w:r>
        <w:rPr>
          <w:rFonts w:ascii="Times New Roman" w:hAnsi="Times New Roman"/>
          <w:color w:val="000000"/>
          <w:sz w:val="22"/>
        </w:rPr>
        <w:t xml:space="preserve">For interpretive convenience we work in units anchored at a 20-year reference recurrence: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rPr>
          <w:rFonts w:ascii="Times New Roman" w:hAnsi="Times New Roman"/>
          <w:color w:val="000000"/>
          <w:sz w:val="22"/>
        </w:rPr>
        <w:t xml:space="preserve">. This rescaling makes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equal to</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years (a typical Late Archaic shortfall interval inferred from paleotempestology and drought reconstructions), so that a magnitude-0.45 shortfall recurring every 20 years produces</w:t>
      </w:r>
      <w:r>
        <w:rPr>
          <w:rFonts w:ascii="Times New Roman" w:hAnsi="Times New Roman"/>
          <w:color w:val="000000"/>
          <w:sz w:val="22"/>
        </w:rPr>
        <w:t xml:space="preserve"> </w:t>
      </w:r>
      <m:oMath>
        <m:r>
          <m:t>σ</m:t>
        </m:r>
        <m:r>
          <m:rPr>
            <m:sty m:val="p"/>
          </m:rPr>
          <m:t>=</m:t>
        </m:r>
        <m:r>
          <m:t>0.45</m:t>
        </m:r>
      </m:oMath>
      <w:r>
        <w:rPr>
          <w:rFonts w:ascii="Times New Roman" w:hAnsi="Times New Roman"/>
          <w:color w:val="000000"/>
          <w:sz w:val="22"/>
        </w:rPr>
        <w:t xml:space="preserve">. The choice of 20 years as the reference is a convention. It does not affect the</w:t>
      </w:r>
      <w:r>
        <w:rPr>
          <w:rFonts w:ascii="Times New Roman" w:hAnsi="Times New Roman"/>
          <w:color w:val="000000"/>
          <w:sz w:val="22"/>
        </w:rPr>
        <w:t xml:space="preserve"> </w:t>
      </w:r>
      <w:r>
        <w:rPr>
          <w:rFonts w:ascii="Times New Roman" w:hAnsi="Times New Roman"/>
          <w:i/>
          <w:iCs/>
          <w:color w:val="000000"/>
          <w:sz w:val="22"/>
        </w:rPr>
        <w:t xml:space="preserve">ratio</w:t>
      </w:r>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across cases or the location of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when both are computed in the same units.</w:t>
      </w:r>
    </w:p>
    <w:p>
      <w:pPr>
        <w:pStyle w:val="BodyText"/>
      </w:pPr>
      <w:r>
        <w:rPr>
          <w:rFonts w:ascii="Times New Roman" w:hAnsi="Times New Roman"/>
          <w:color w:val="000000"/>
          <w:sz w:val="22"/>
        </w:rPr>
        <w:t xml:space="preserve">For Poverty Point, frequency</w:t>
      </w:r>
      <w:r>
        <w:rPr>
          <w:rFonts w:ascii="Times New Roman" w:hAnsi="Times New Roman"/>
          <w:color w:val="000000"/>
          <w:sz w:val="22"/>
        </w:rPr>
        <w:t xml:space="preserve"> </w:t>
      </w:r>
      <m:oMath>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years (combining drought and hurricane cycles) and magnitude</w:t>
      </w:r>
      <w:r>
        <w:rPr>
          <w:rFonts w:ascii="Times New Roman" w:hAnsi="Times New Roman"/>
          <w:color w:val="000000"/>
          <w:sz w:val="22"/>
        </w:rPr>
        <w:t xml:space="preserve"> </w:t>
      </w:r>
      <m:oMath>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yield</w:t>
      </w:r>
      <w:r>
        <w:rPr>
          <w:rFonts w:ascii="Times New Roman" w:hAnsi="Times New Roman"/>
          <w:color w:val="000000"/>
          <w:sz w:val="22"/>
        </w:rPr>
        <w:t xml:space="preserve"> </w:t>
      </w:r>
      <m:oMath>
        <m:r>
          <m:t>σ</m:t>
        </m:r>
        <m:r>
          <m:rPr>
            <m:sty m:val="p"/>
          </m:rPr>
          <m:t>=</m:t>
        </m:r>
        <m:r>
          <m:t>0.45</m:t>
        </m:r>
        <m:r>
          <m:rPr>
            <m:sty m:val="p"/>
          </m:rPr>
          <m:t>⋅</m:t>
        </m:r>
        <m:rad>
          <m:radPr>
            <m:degHide m:val="on"/>
          </m:radPr>
          <m:deg/>
          <m:e>
            <m:r>
              <m:t>2</m:t>
            </m:r>
          </m:e>
        </m:rad>
        <m:r>
          <m:rPr>
            <m:sty m:val="p"/>
          </m:rPr>
          <m:t>≈</m:t>
        </m:r>
        <m:r>
          <m:t>0.64</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Normalization invariance.</w:t>
      </w:r>
      <w:r>
        <w:rPr>
          <w:rFonts w:ascii="Times New Roman" w:hAnsi="Times New Roman"/>
          <w:color w:val="000000"/>
          <w:sz w:val="22"/>
        </w:rPr>
        <w:t xml:space="preserve"> </w:t>
      </w:r>
      <w:r>
        <w:rPr>
          <w:rFonts w:ascii="Times New Roman" w:hAnsi="Times New Roman"/>
          <w:color w:val="000000"/>
          <w:sz w:val="22"/>
        </w:rPr>
        <w:t xml:space="preserve">The 20-year reference window is a unit choice, not a substantive parameter. Different reference choices rescale both</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the same factor, so the comparison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vs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that the §6.2 threshold-proximity test depends on is preserved. Formally: under any alternative reference</w:t>
      </w:r>
      <w:r>
        <w:rPr>
          <w:rFonts w:ascii="Times New Roman" w:hAnsi="Times New Roman"/>
          <w:color w:val="000000"/>
          <w:sz w:val="22"/>
        </w:rPr>
        <w:t xml:space="preserve"> </w:t>
      </w:r>
      <m:oMath>
        <m:sSubSup>
          <m:e>
            <m:r>
              <m:t>T</m:t>
            </m:r>
          </m:e>
          <m:sub>
            <m:r>
              <m:t>0</m:t>
            </m:r>
          </m:sub>
          <m:sup>
            <m:r>
              <m:rPr>
                <m:sty m:val="p"/>
              </m:rPr>
              <m:t>′</m:t>
            </m:r>
          </m:sup>
        </m:sSubSup>
      </m:oMath>
      <w:r>
        <w:rPr>
          <w:rFonts w:ascii="Times New Roman" w:hAnsi="Times New Roman"/>
          <w:color w:val="000000"/>
          <w:sz w:val="22"/>
        </w:rPr>
        <w:t xml:space="preserve">, both quantities rescale by</w:t>
      </w:r>
      <w:r>
        <w:rPr>
          <w:rFonts w:ascii="Times New Roman" w:hAnsi="Times New Roman"/>
          <w:color w:val="000000"/>
          <w:sz w:val="22"/>
        </w:rP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rPr>
          <w:rFonts w:ascii="Times New Roman" w:hAnsi="Times New Roman"/>
          <w:color w:val="000000"/>
          <w:sz w:val="22"/>
        </w:rPr>
        <w:t xml:space="preserve">, so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invariant.</w:t>
      </w:r>
    </w:p>
    <w:p>
      <w:pPr>
        <w:pStyle w:val="BodyText"/>
      </w:pPr>
      <w:r>
        <w:rPr>
          <w:rFonts w:ascii="Times New Roman" w:hAnsi="Times New Roman"/>
          <w:color w:val="000000"/>
          <w:sz w:val="22"/>
        </w:rP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rPr>
          <w:rFonts w:ascii="Times New Roman" w:hAnsi="Times New Roman"/>
          <w:color w:val="000000"/>
          <w:sz w:val="22"/>
        </w:rPr>
        <w:t xml:space="preserve">The case classification (Poverty Point above threshold) and the ratio are preserved exactly across the reference-window choices. Because the §6.2 Bayesian threshold-proximity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depends only on the ratio (both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rescale by the same factor under any consistent normalization), the posterior probability</w:t>
      </w:r>
      <w:r>
        <w:rPr>
          <w:rFonts w:ascii="Times New Roman" w:hAnsi="Times New Roman"/>
          <w:color w:val="000000"/>
          <w:sz w:val="22"/>
        </w:rPr>
        <w:t xml:space="preserve"> </w:t>
      </w:r>
      <m:oMath>
        <m:r>
          <m:t>P</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is invariant under the choice of reference window. The 20-year reference is a parameterization convention for interpretability (</w:t>
      </w:r>
      <m:oMath>
        <m:r>
          <m:t>σ</m:t>
        </m:r>
        <m:r>
          <m:rPr>
            <m:sty m:val="p"/>
          </m:rPr>
          <m:t>=</m:t>
        </m:r>
        <m:r>
          <m:t>m</m:t>
        </m:r>
      </m:oMath>
      <w:r>
        <w:rPr>
          <w:rFonts w:ascii="Times New Roman" w:hAnsi="Times New Roman"/>
          <w:color w:val="000000"/>
          <w:sz w:val="22"/>
        </w:rPr>
        <w:t xml:space="preserve"> </w:t>
      </w:r>
      <w:r>
        <w:rPr>
          <w:rFonts w:ascii="Times New Roman" w:hAnsi="Times New Roman"/>
          <w:color w:val="000000"/>
          <w:sz w:val="22"/>
        </w:rPr>
        <w:t xml:space="preserve">when</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The substantive comparison is preserved.</w:t>
      </w:r>
    </w:p>
    <w:bookmarkEnd w:id="12"/>
    <w:bookmarkStart w:id="13" w:name="s1.5-initialization"/>
    <w:p>
      <w:pPr>
        <w:pStyle w:val="Heading3"/>
      </w:pPr>
      <w:r>
        <w:rPr>
          <w:rFonts w:ascii="Times New Roman" w:hAnsi="Times New Roman"/>
          <w:b w:val="0"/>
          <w:i w:val="0"/>
          <w:color w:val="000000"/>
          <w:sz w:val="22"/>
          <w:u w:val="single"/>
        </w:rPr>
        <w:t xml:space="preserve">S1.5 Initialization</w:t>
      </w:r>
    </w:p>
    <w:p>
      <w:pPr>
        <w:pStyle w:val="FirstParagraph"/>
      </w:pPr>
      <w:r>
        <w:rPr>
          <w:rFonts w:ascii="Times New Roman" w:hAnsi="Times New Roman"/>
          <w:color w:val="000000"/>
          <w:sz w:val="22"/>
        </w:rP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rPr>
          <w:rFonts w:ascii="Times New Roman" w:hAnsi="Times New Roman"/>
          <w:b w:val="0"/>
          <w:i w:val="0"/>
          <w:color w:val="000000"/>
          <w:sz w:val="22"/>
          <w:u w:val="single"/>
        </w:rPr>
        <w:t xml:space="preserve">S1.6 Submodels</w:t>
      </w:r>
    </w:p>
    <w:p>
      <w:pPr>
        <w:pStyle w:val="FirstParagraph"/>
      </w:pPr>
      <w:r>
        <w:rPr>
          <w:rFonts w:ascii="Times New Roman" w:hAnsi="Times New Roman"/>
          <w:color w:val="000000"/>
          <w:sz w:val="22"/>
        </w:rP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rFonts w:ascii="Times New Roman" w:hAnsi="Times New Roman"/>
          <w:i/>
          <w:iCs/>
          <w:color w:val="000000"/>
          <w:sz w:val="22"/>
        </w:rPr>
        <w:t xml:space="preserve">Signal-conditional partner formation.</w:t>
      </w:r>
      <w:r>
        <w:rPr>
          <w:rFonts w:ascii="Times New Roman" w:hAnsi="Times New Roman"/>
          <w:color w:val="000000"/>
          <w:sz w:val="22"/>
        </w:rPr>
        <w:t xml:space="preserve"> </w:t>
      </w:r>
      <w:r>
        <w:rPr>
          <w:rFonts w:ascii="Times New Roman" w:hAnsi="Times New Roman"/>
          <w:color w:val="000000"/>
          <w:sz w:val="22"/>
        </w:rPr>
        <w:t xml:space="preserve">For each band</w:t>
      </w:r>
      <w:r>
        <w:rPr>
          <w:rFonts w:ascii="Times New Roman" w:hAnsi="Times New Roman"/>
          <w:color w:val="000000"/>
          <w:sz w:val="22"/>
        </w:rPr>
        <w:t xml:space="preserve"> </w:t>
      </w:r>
      <m:oMath>
        <m:r>
          <m:t>i</m:t>
        </m:r>
      </m:oMath>
      <w:r>
        <w:rPr>
          <w:rFonts w:ascii="Times New Roman" w:hAnsi="Times New Roman"/>
          <w:color w:val="000000"/>
          <w:sz w:val="22"/>
        </w:rPr>
        <w:t xml:space="preserve"> </w:t>
      </w:r>
      <w:r>
        <w:rPr>
          <w:rFonts w:ascii="Times New Roman" w:hAnsi="Times New Roman"/>
          <w:color w:val="000000"/>
          <w:sz w:val="22"/>
        </w:rPr>
        <w:t xml:space="preserve">attending the aggregation, a display level</w:t>
      </w:r>
      <w:r>
        <w:rPr>
          <w:rFonts w:ascii="Times New Roman" w:hAnsi="Times New Roman"/>
          <w:color w:val="000000"/>
          <w:sz w:val="22"/>
        </w:rPr>
        <w:t xml:space="preserve"> </w:t>
      </w:r>
      <m:oMath>
        <m:sSub>
          <m:e>
            <m:r>
              <m:t>d</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computed by summing two quantities on different native scales:</w:t>
      </w:r>
      <w:r>
        <w:rPr>
          <w:rFonts w:ascii="Times New Roman" w:hAnsi="Times New Roman"/>
          <w:color w:val="000000"/>
          <w:sz w:val="22"/>
        </w:rPr>
        <w:t xml:space="preserve"> </w:t>
      </w:r>
      <m:oMath>
        <m:sSub>
          <m:e>
            <m:r>
              <m:rPr>
                <m:nor/>
                <m:sty m:val="p"/>
              </m:rPr>
              <m:t>display</m:t>
            </m:r>
          </m:e>
          <m:sub>
            <m:r>
              <m:t>i</m:t>
            </m:r>
          </m:sub>
        </m:sSub>
        <m:r>
          <m:rPr>
            <m:sty m:val="p"/>
          </m:rPr>
          <m:t>=</m:t>
        </m:r>
        <m:sSub>
          <m:e>
            <m:r>
              <m:t>M</m:t>
            </m:r>
          </m:e>
          <m:sub>
            <m:r>
              <m:t>i</m:t>
            </m:r>
          </m:sub>
        </m:sSub>
        <m:r>
          <m:rPr>
            <m:sty m:val="p"/>
          </m:rPr>
          <m:t>+</m:t>
        </m:r>
        <m:sSub>
          <m:e>
            <m:r>
              <m:t>E</m:t>
            </m:r>
          </m:e>
          <m:sub>
            <m:r>
              <m:t>i</m:t>
            </m:r>
          </m:sub>
        </m:sSub>
      </m:oMath>
      <w:r>
        <w:rPr>
          <w:rFonts w:ascii="Times New Roman" w:hAnsi="Times New Roman"/>
          <w:color w:val="000000"/>
          <w:sz w:val="22"/>
        </w:rPr>
        <w:t xml:space="preserve">, where</w:t>
      </w:r>
      <w:r>
        <w:rPr>
          <w:rFonts w:ascii="Times New Roman" w:hAnsi="Times New Roman"/>
          <w:color w:val="000000"/>
          <w:sz w:val="22"/>
        </w:rPr>
        <w:t xml:space="preserve"> </w:t>
      </w:r>
      <m:oMath>
        <m:sSub>
          <m:e>
            <m:r>
              <m:t>M</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cumulative monument-contribution score (continuous fitness-fraction units; on the order of</w:t>
      </w:r>
      <w:r>
        <w:rPr>
          <w:rFonts w:ascii="Times New Roman" w:hAnsi="Times New Roman"/>
          <w:color w:val="000000"/>
          <w:sz w:val="22"/>
        </w:rPr>
        <w:t xml:space="preserve"> </w:t>
      </w:r>
      <m:oMath>
        <m:sSup>
          <m:e>
            <m:r>
              <m:t>10</m:t>
            </m:r>
          </m:e>
          <m:sup>
            <m:r>
              <m:t>0</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at PP scale) and</w:t>
      </w:r>
      <w:r>
        <w:rPr>
          <w:rFonts w:ascii="Times New Roman" w:hAnsi="Times New Roman"/>
          <w:color w:val="000000"/>
          <w:sz w:val="22"/>
        </w:rPr>
        <w:t xml:space="preserve"> </w:t>
      </w:r>
      <m:oMath>
        <m:sSub>
          <m:e>
            <m:r>
              <m:t>E</m:t>
            </m:r>
          </m:e>
          <m:sub>
            <m:r>
              <m:t>i</m:t>
            </m:r>
          </m:sub>
        </m:sSub>
      </m:oMath>
      <w:r>
        <w:rPr>
          <w:rFonts w:ascii="Times New Roman" w:hAnsi="Times New Roman"/>
          <w:color w:val="000000"/>
          <w:sz w:val="22"/>
        </w:rPr>
        <w:t xml:space="preserve"> </w:t>
      </w:r>
      <w:r>
        <w:rPr>
          <w:rFonts w:ascii="Times New Roman" w:hAnsi="Times New Roman"/>
          <w:color w:val="000000"/>
          <w:sz w:val="22"/>
        </w:rPr>
        <w:t xml:space="preserve">is the band’s total exotic-item count (integer count; on the order of</w:t>
      </w:r>
      <w:r>
        <w:rPr>
          <w:rFonts w:ascii="Times New Roman" w:hAnsi="Times New Roman"/>
          <w:color w:val="000000"/>
          <w:sz w:val="22"/>
        </w:rPr>
        <w:t xml:space="preserve"> </w:t>
      </w:r>
      <m:oMath>
        <m:sSup>
          <m:e>
            <m:r>
              <m:t>10</m:t>
            </m:r>
          </m:e>
          <m:sup>
            <m:r>
              <m:t>1</m:t>
            </m:r>
          </m:sup>
        </m:sSup>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10</m:t>
            </m:r>
          </m:e>
          <m:sup>
            <m:r>
              <m:t>3</m:t>
            </m:r>
          </m:sup>
        </m:sSup>
      </m:oMath>
      <w:r>
        <w:rPr>
          <w:rFonts w:ascii="Times New Roman" w:hAnsi="Times New Roman"/>
          <w:color w:val="000000"/>
          <w:sz w:val="22"/>
        </w:rPr>
        <w:t xml:space="preserve"> </w:t>
      </w:r>
      <w:r>
        <w:rPr>
          <w:rFonts w:ascii="Times New Roman" w:hAnsi="Times New Roman"/>
          <w:color w:val="000000"/>
          <w:sz w:val="22"/>
        </w:rPr>
        <w:t xml:space="preserve">at PP scale). The additive combination places these on the same axis without scale-matching, which we acknowledge as a model-implementation choice rather than a derivation. The combined display is then normalized within the attending cohort,</w:t>
      </w:r>
      <w:r>
        <w:rPr>
          <w:rFonts w:ascii="Times New Roman" w:hAnsi="Times New Roman"/>
          <w:color w:val="000000"/>
          <w:sz w:val="22"/>
        </w:rPr>
        <w:t xml:space="preserve"> </w:t>
      </w:r>
      <m:oMath>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and the per-band tie-formation probability is</w:t>
      </w:r>
      <w:r>
        <w:rPr>
          <w:rFonts w:ascii="Times New Roman" w:hAnsi="Times New Roman"/>
          <w:color w:val="000000"/>
          <w:sz w:val="22"/>
        </w:rPr>
        <w:t xml:space="preserve"> </w:t>
      </w:r>
      <m:oMath>
        <m:r>
          <m:t>0.20</m:t>
        </m:r>
        <m:r>
          <m:rPr>
            <m:sty m:val="p"/>
          </m:rPr>
          <m:t>+</m:t>
        </m:r>
        <m:r>
          <m:t>0.20</m:t>
        </m:r>
        <m:r>
          <m:rPr>
            <m:sty m:val="p"/>
          </m:rPr>
          <m:t>⋅</m:t>
        </m:r>
        <m:sSub>
          <m:e>
            <m:r>
              <m:t>d</m:t>
            </m:r>
          </m:e>
          <m:sub>
            <m:r>
              <m:t>i</m:t>
            </m:r>
          </m:sub>
        </m:sSub>
        <m:r>
          <m:rPr>
            <m:sty m:val="p"/>
          </m:rPr>
          <m:t>/</m:t>
        </m:r>
        <m:sSub>
          <m:e>
            <m:r>
              <m:rPr>
                <m:sty m:val="p"/>
              </m:rPr>
              <m:t>max</m:t>
            </m:r>
          </m:e>
          <m:sub>
            <m:r>
              <m:t>j</m:t>
            </m:r>
          </m:sub>
        </m:sSub>
        <m:sSub>
          <m:e>
            <m:r>
              <m:t>d</m:t>
            </m:r>
          </m:e>
          <m:sub>
            <m:r>
              <m:t>j</m:t>
            </m:r>
          </m:sub>
        </m:sSub>
      </m:oMath>
      <w:r>
        <w:rPr>
          <w:rFonts w:ascii="Times New Roman" w:hAnsi="Times New Roman"/>
          <w:color w:val="000000"/>
          <w:sz w:val="22"/>
        </w:rPr>
        <w:t xml:space="preserve"> </w:t>
      </w:r>
      <w:r>
        <w:rPr>
          <w:rFonts w:ascii="Times New Roman" w:hAnsi="Times New Roman"/>
          <w:color w:val="000000"/>
          <w:sz w:val="22"/>
        </w:rPr>
        <w:t xml:space="preserve">(so high-display bands form ties at</w:t>
      </w:r>
      <w:r>
        <w:rPr>
          <w:rFonts w:ascii="Times New Roman" w:hAnsi="Times New Roman"/>
          <w:color w:val="000000"/>
          <w:sz w:val="22"/>
        </w:rPr>
        <w:t xml:space="preserve"> </w:t>
      </w:r>
      <m:oMath>
        <m:r>
          <m:rPr>
            <m:sty m:val="p"/>
          </m:rPr>
          <m:t>∼</m:t>
        </m:r>
        <m:r>
          <m:t>40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 aggregation versus</w:t>
      </w:r>
      <w:r>
        <w:rPr>
          <w:rFonts w:ascii="Times New Roman" w:hAnsi="Times New Roman"/>
          <w:color w:val="000000"/>
          <w:sz w:val="22"/>
        </w:rPr>
        <w:t xml:space="preserve"> </w:t>
      </w:r>
      <m:oMath>
        <m:r>
          <m:rPr>
            <m:sty m:val="p"/>
          </m:rPr>
          <m:t>∼</m:t>
        </m:r>
        <m:r>
          <m:t>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the lowest-display attendees). When a tie forms, the partner is drawn from co-attending bands with weights</w:t>
      </w:r>
      <w:r>
        <w:rPr>
          <w:rFonts w:ascii="Times New Roman" w:hAnsi="Times New Roman"/>
          <w:color w:val="000000"/>
          <w:sz w:val="22"/>
        </w:rPr>
        <w:t xml:space="preserve"> </w:t>
      </w:r>
      <m:oMath>
        <m:r>
          <m:t>0.5</m:t>
        </m:r>
        <m:r>
          <m:rPr>
            <m:sty m:val="p"/>
          </m:rPr>
          <m:t>+</m:t>
        </m:r>
        <m:sSub>
          <m:e>
            <m:r>
              <m:t>d</m:t>
            </m:r>
          </m:e>
          <m:sub>
            <m:r>
              <m:t>j</m:t>
            </m:r>
          </m:sub>
        </m:sSub>
        <m:r>
          <m:rPr>
            <m:sty m:val="p"/>
          </m:rPr>
          <m:t>/</m:t>
        </m:r>
        <m:sSub>
          <m:e>
            <m:r>
              <m:rPr>
                <m:sty m:val="p"/>
              </m:rPr>
              <m:t>max</m:t>
            </m:r>
          </m:e>
          <m:sub>
            <m:r>
              <m:t>k</m:t>
            </m:r>
          </m:sub>
        </m:sSub>
        <m:sSub>
          <m:e>
            <m:r>
              <m:t>d</m:t>
            </m:r>
          </m:e>
          <m:sub>
            <m:r>
              <m:t>k</m:t>
            </m:r>
          </m:sub>
        </m:sSub>
      </m:oMath>
      <w:r>
        <w:rPr>
          <w:rFonts w:ascii="Times New Roman" w:hAnsi="Times New Roman"/>
          <w:color w:val="000000"/>
          <w:sz w:val="22"/>
        </w:rPr>
        <w:t xml:space="preserve">, so candidates’ displays scale partner-choice weight from</w:t>
      </w:r>
      <w:r>
        <w:rPr>
          <w:rFonts w:ascii="Times New Roman" w:hAnsi="Times New Roman"/>
          <w:color w:val="000000"/>
          <w:sz w:val="22"/>
        </w:rPr>
        <w:t xml:space="preserve"> </w:t>
      </w:r>
      <m:oMath>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low-display partners to</w:t>
      </w:r>
      <w:r>
        <w:rPr>
          <w:rFonts w:ascii="Times New Roman" w:hAnsi="Times New Roman"/>
          <w:color w:val="000000"/>
          <w:sz w:val="22"/>
        </w:rPr>
        <w:t xml:space="preserve"> </w:t>
      </w:r>
      <m:oMath>
        <m:r>
          <m:t>1.5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max-display partners. The additive</w:t>
      </w:r>
      <w:r>
        <w:rPr>
          <w:rFonts w:ascii="Times New Roman" w:hAnsi="Times New Roman"/>
          <w:color w:val="000000"/>
          <w:sz w:val="22"/>
        </w:rPr>
        <w:t xml:space="preserve"> </w:t>
      </w:r>
      <m:oMath>
        <m:r>
          <m:t>M</m:t>
        </m:r>
        <m:r>
          <m:rPr>
            <m:sty m:val="p"/>
          </m:rPr>
          <m:t>+</m:t>
        </m:r>
        <m:r>
          <m:t>E</m:t>
        </m:r>
      </m:oMath>
      <w:r>
        <w:rPr>
          <w:rFonts w:ascii="Times New Roman" w:hAnsi="Times New Roman"/>
          <w:color w:val="000000"/>
          <w:sz w:val="22"/>
        </w:rPr>
        <w:t xml:space="preserve"> </w:t>
      </w:r>
      <w:r>
        <w:rPr>
          <w:rFonts w:ascii="Times New Roman" w:hAnsi="Times New Roman"/>
          <w:color w:val="000000"/>
          <w:sz w:val="22"/>
        </w:rPr>
        <w:t xml:space="preserve">combination matters quantitatively because at high-exotic-count bands the integer exotic count can numerically dominate the monument contribution. This is partially offset by the per-cohort normalization (each cohort has its own scale). A sensitivity probe in §S3.1 reports the threshold-location robustness to an alternative formulation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E</m:t>
        </m:r>
      </m:oMath>
      <w:r>
        <w:rPr>
          <w:rFonts w:ascii="Times New Roman" w:hAnsi="Times New Roman"/>
          <w:color w:val="000000"/>
          <w:sz w:val="22"/>
        </w:rPr>
        <w:t xml:space="preserve"> </w:t>
      </w:r>
      <w:r>
        <w:rPr>
          <w:rFonts w:ascii="Times New Roman" w:hAnsi="Times New Roman"/>
          <w:color w:val="000000"/>
          <w:sz w:val="22"/>
        </w:rPr>
        <w:t xml:space="preserve">are separately z-scored before summing.</w:t>
      </w:r>
    </w:p>
    <w:p>
      <w:pPr>
        <w:pStyle w:val="BodyText"/>
      </w:pPr>
      <w:r>
        <w:rPr>
          <w:rFonts w:ascii="Times New Roman" w:hAnsi="Times New Roman"/>
          <w:i/>
          <w:iCs/>
          <w:color w:val="000000"/>
          <w:sz w:val="22"/>
        </w:rPr>
        <w:t xml:space="preserve">Tie-strength-weighted shortfall help.</w:t>
      </w:r>
      <w:r>
        <w:rPr>
          <w:rFonts w:ascii="Times New Roman" w:hAnsi="Times New Roman"/>
          <w:color w:val="000000"/>
          <w:sz w:val="22"/>
        </w:rPr>
        <w:t xml:space="preserve"> </w:t>
      </w:r>
      <w:r>
        <w:rPr>
          <w:rFonts w:ascii="Times New Roman" w:hAnsi="Times New Roman"/>
          <w:color w:val="000000"/>
          <w:sz w:val="22"/>
        </w:rP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w:t>
      </w:r>
      <w:r>
        <w:rPr>
          <w:rFonts w:ascii="Times New Roman" w:hAnsi="Times New Roman"/>
          <w:color w:val="000000"/>
          <w:sz w:val="22"/>
        </w:rPr>
        <w:t xml:space="preserve"> </w:t>
      </w:r>
      <m:oMath>
        <m:r>
          <m:rPr>
            <m:sty m:val="p"/>
          </m:rPr>
          <m:t>×</m:t>
        </m:r>
        <m:r>
          <m:t>0.7</m:t>
        </m:r>
      </m:oMath>
      <w:r>
        <w:rPr>
          <w:rFonts w:ascii="Times New Roman" w:hAnsi="Times New Roman"/>
          <w:color w:val="000000"/>
          <w:sz w:val="22"/>
        </w:rPr>
        <w:t xml:space="preserve"> </w:t>
      </w:r>
      <w:r>
        <w:rPr>
          <w:rFonts w:ascii="Times New Roman" w:hAnsi="Times New Roman"/>
          <w:color w:val="000000"/>
          <w:sz w:val="22"/>
        </w:rPr>
        <w:t xml:space="preserve">and removes it if strength falls below 0.05 (existing</w:t>
      </w:r>
      <w:r>
        <w:rPr>
          <w:rFonts w:ascii="Times New Roman" w:hAnsi="Times New Roman"/>
          <w:color w:val="000000"/>
          <w:sz w:val="22"/>
        </w:rPr>
        <w:t xml:space="preserve"> </w:t>
      </w:r>
      <w:r>
        <w:rPr>
          <w:rStyle w:val="VerbatimChar"/>
          <w:rFonts w:ascii="Times New Roman" w:hAnsi="Times New Roman"/>
          <w:color w:val="000000"/>
          <w:sz w:val="22"/>
        </w:rPr>
        <w:t xml:space="preserve">call_obligation</w:t>
      </w:r>
      <w:r>
        <w:rPr>
          <w:rFonts w:ascii="Times New Roman" w:hAnsi="Times New Roman"/>
          <w:color w:val="000000"/>
          <w:sz w:val="22"/>
        </w:rPr>
        <w:t xml:space="preserve"> </w:t>
      </w:r>
      <w:r>
        <w:rPr>
          <w:rFonts w:ascii="Times New Roman" w:hAnsi="Times New Roman"/>
          <w:color w:val="000000"/>
          <w:sz w:val="22"/>
        </w:rPr>
        <w:t xml:space="preserve">behavior; help_received =</w:t>
      </w:r>
      <w:r>
        <w:rPr>
          <w:rFonts w:ascii="Times New Roman" w:hAnsi="Times New Roman"/>
          <w:color w:val="000000"/>
          <w:sz w:val="22"/>
        </w:rPr>
        <w:t xml:space="preserve"> </w:t>
      </w:r>
      <m:oMath>
        <m:r>
          <m:rPr>
            <m:sty m:val="p"/>
          </m:rPr>
          <m:t>min</m:t>
        </m:r>
      </m:oMath>
      <w:r>
        <w:rPr>
          <w:rFonts w:ascii="Times New Roman" w:hAnsi="Times New Roman"/>
          <w:color w:val="000000"/>
          <w:sz w:val="22"/>
        </w:rPr>
        <w:t xml:space="preserve">(remaining_need, strength</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w:t>
      </w:r>
    </w:p>
    <w:p>
      <w:pPr>
        <w:pStyle w:val="BodyText"/>
      </w:pPr>
      <w:r>
        <w:rPr>
          <w:rFonts w:ascii="Times New Roman" w:hAnsi="Times New Roman"/>
          <w:i/>
          <w:iCs/>
          <w:color w:val="000000"/>
          <w:sz w:val="22"/>
        </w:rPr>
        <w:t xml:space="preserve">Network-density coupling to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r>
          <m:rPr>
            <m:sty m:val="p"/>
          </m:rPr>
          <m:t>|</m:t>
        </m:r>
        <m:sSub>
          <m:e>
            <m:r>
              <m:t>O</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band’s obligation count,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the fraction of potential ties realized,</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is the network-buffering coupling strength, and</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capped at 0.95 to prevent</w:t>
      </w:r>
      <w:r>
        <w:rPr>
          <w:rFonts w:ascii="Times New Roman" w:hAnsi="Times New Roman"/>
          <w:color w:val="000000"/>
          <w:sz w:val="22"/>
        </w:rPr>
        <w:t xml:space="preserve"> </w:t>
      </w:r>
      <m:oMath>
        <m:sSub>
          <m:e>
            <m:r>
              <m:t>σ</m:t>
            </m:r>
          </m:e>
          <m:sub>
            <m:r>
              <m:t>e</m:t>
            </m:r>
            <m:r>
              <m:t>f</m:t>
            </m:r>
            <m:r>
              <m:t>f</m:t>
            </m:r>
          </m:sub>
        </m:sSub>
        <m:r>
          <m:rPr>
            <m:sty m:val="p"/>
          </m:rPr>
          <m:t>→</m:t>
        </m:r>
        <m:r>
          <m:t>0</m:t>
        </m:r>
      </m:oMath>
      <w:r>
        <w:rPr>
          <w:rFonts w:ascii="Times New Roman" w:hAnsi="Times New Roman"/>
          <w:color w:val="000000"/>
          <w:sz w:val="22"/>
        </w:rPr>
        <w:t xml:space="preserve">. At canonical PP-scenario parameters (</w:t>
      </w:r>
      <m:oMath>
        <m:r>
          <m:t>ε</m:t>
        </m:r>
        <m:r>
          <m:rPr>
            <m:sty m:val="p"/>
          </m:rPr>
          <m:t>=</m:t>
        </m:r>
        <m:r>
          <m:t>0.35</m:t>
        </m:r>
      </m:oMath>
      <w:r>
        <w:rPr>
          <w:rFonts w:ascii="Times New Roman" w:hAnsi="Times New Roman"/>
          <w:color w:val="000000"/>
          <w:sz w:val="22"/>
        </w:rPr>
        <w:t xml:space="preserve">), bands with high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achieve</w:t>
      </w:r>
      <w:r>
        <w:rPr>
          <w:rFonts w:ascii="Times New Roman" w:hAnsi="Times New Roman"/>
          <w:color w:val="000000"/>
          <w:sz w:val="22"/>
        </w:rPr>
        <w:t xml:space="preserve"> </w:t>
      </w:r>
      <m:oMath>
        <m:sSub>
          <m:e>
            <m:r>
              <m:t>ε</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up to</w:t>
      </w:r>
      <w:r>
        <w:rPr>
          <w:rFonts w:ascii="Times New Roman" w:hAnsi="Times New Roman"/>
          <w:color w:val="000000"/>
          <w:sz w:val="22"/>
        </w:rPr>
        <w:t xml:space="preserve"> </w:t>
      </w:r>
      <m:oMath>
        <m:r>
          <m:rPr>
            <m:sty m:val="p"/>
          </m:rPr>
          <m:t>∼</m:t>
        </m:r>
        <m:r>
          <m:t>0.675</m:t>
        </m:r>
      </m:oMath>
      <w:r>
        <w:rPr>
          <w:rFonts w:ascii="Times New Roman" w:hAnsi="Times New Roman"/>
          <w:color w:val="000000"/>
          <w:sz w:val="22"/>
        </w:rPr>
        <w:t xml:space="preserve">, a substantial increase from the base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parameter drives. The</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choice is canonical for these runs. §S3.1 reports an OAT sensitivity sweep on</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across the range</w:t>
      </w:r>
      <w:r>
        <w:rPr>
          <w:rFonts w:ascii="Times New Roman" w:hAnsi="Times New Roman"/>
          <w:color w:val="000000"/>
          <w:sz w:val="22"/>
        </w:rPr>
        <w:t xml:space="preserve"> </w:t>
      </w:r>
      <m:oMath>
        <m:r>
          <m:rPr>
            <m:sty m:val="p"/>
          </m:rPr>
          <m:t>[</m:t>
        </m:r>
        <m:r>
          <m:t>0.25</m:t>
        </m:r>
        <m:r>
          <m:rPr>
            <m:sty m:val="p"/>
          </m:rPr>
          <m:t>,</m:t>
        </m:r>
        <m:r>
          <m:t>0.75</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showing a moderate threshold shift (</w:t>
      </w:r>
      <m:oMath>
        <m:r>
          <m:rPr>
            <m:sty m:val="p"/>
          </m:rPr>
          <m:t>Δ</m:t>
        </m:r>
        <m:sSup>
          <m:e>
            <m:r>
              <m:t>σ</m:t>
            </m:r>
          </m:e>
          <m:sup>
            <m:r>
              <m:rPr>
                <m:sty m:val="p"/>
              </m:rPr>
              <m:t>*</m:t>
            </m:r>
          </m:sup>
        </m:sSup>
        <m:r>
          <m:rPr>
            <m:sty m:val="p"/>
          </m:rPr>
          <m:t>≈</m:t>
        </m:r>
        <m:r>
          <m:rPr>
            <m:sty m:val="p"/>
          </m:rPr>
          <m:t>±</m:t>
        </m:r>
        <m:r>
          <m:t>0.02</m:t>
        </m:r>
      </m:oMath>
      <w:r>
        <w:rPr>
          <w:rFonts w:ascii="Times New Roman" w:hAnsi="Times New Roman"/>
          <w:color w:val="000000"/>
          <w:sz w:val="22"/>
        </w:rPr>
        <w:t xml:space="preserve">) that does not reverse the qualitative phase-transition signature.</w:t>
      </w:r>
    </w:p>
    <w:p>
      <w:pPr>
        <w:pStyle w:val="BodyText"/>
      </w:pPr>
      <w:r>
        <w:rPr>
          <w:rFonts w:ascii="Times New Roman" w:hAnsi="Times New Roman"/>
          <w:i/>
          <w:iCs/>
          <w:color w:val="000000"/>
          <w:sz w:val="22"/>
        </w:rPr>
        <w:t xml:space="preserve">Exotic acquisition.</w:t>
      </w:r>
      <w:r>
        <w:rPr>
          <w:rFonts w:ascii="Times New Roman" w:hAnsi="Times New Roman"/>
          <w:color w:val="000000"/>
          <w:sz w:val="22"/>
        </w:rPr>
        <w:t xml:space="preserve"> </w:t>
      </w:r>
      <w:r>
        <w:rPr>
          <w:rFonts w:ascii="Times New Roman" w:hAnsi="Times New Roman"/>
          <w:color w:val="000000"/>
          <w:sz w:val="22"/>
        </w:rPr>
        <w:t xml:space="preserve">During each aggregation year, each aggregator band iterates through the available exotic material classes (copper, steatite, galena, novaculite, crystal quartz) and computes a per-material acquisition probability:</w:t>
      </w:r>
    </w:p>
    <w:p>
      <w:pPr>
        <w:pStyle w:val="BodyText"/>
      </w:pPr>
      <m:oMathPara>
        <m:oMathParaPr>
          <m:jc m:val="center"/>
        </m:oMathParaPr>
        <m:oMath>
          <m:sSub>
            <m:e>
              <m:r>
                <m:t>p</m:t>
              </m:r>
            </m:e>
            <m:sub>
              <m:r>
                <m:rPr>
                  <m:nor/>
                  <m:sty m:val="p"/>
                </m:rPr>
                <m:t>acq</m:t>
              </m:r>
              <m:r>
                <m:rPr>
                  <m:sty m:val="p"/>
                </m:rPr>
                <m:t>,</m:t>
              </m:r>
              <m:r>
                <m:t>m</m:t>
              </m:r>
            </m:sub>
          </m:sSub>
          <m:r>
            <m:rPr>
              <m:sty m:val="p"/>
            </m:rPr>
            <m:t>=</m:t>
          </m:r>
          <m:sSub>
            <m:e>
              <m:r>
                <m:t>b</m:t>
              </m:r>
            </m:e>
            <m:sub>
              <m:r>
                <m:rPr>
                  <m:nor/>
                  <m:sty m:val="p"/>
                </m:rPr>
                <m:t>base</m:t>
              </m:r>
            </m:sub>
          </m:sSub>
          <m:r>
            <m:rPr>
              <m:sty m:val="p"/>
            </m:rPr>
            <m:t>⋅</m:t>
          </m:r>
          <m:r>
            <m:rPr>
              <m:sty m:val="p"/>
            </m:rPr>
            <m:t>exp</m:t>
          </m:r>
          <m:r>
            <m:t>​</m:t>
          </m:r>
          <m:d>
            <m:dPr>
              <m:begChr m:val="("/>
              <m:sepChr m:val=""/>
              <m:endChr m:val=")"/>
              <m:grow/>
            </m:dPr>
            <m:e>
              <m:r>
                <m:rPr>
                  <m:sty m:val="p"/>
                </m:rPr>
                <m:t>−</m:t>
              </m:r>
              <m:f>
                <m:fPr>
                  <m:type m:val="bar"/>
                </m:fPr>
                <m:num>
                  <m:sSub>
                    <m:e>
                      <m:r>
                        <m:t>d</m:t>
                      </m:r>
                    </m:e>
                    <m:sub>
                      <m:r>
                        <m:t>m</m:t>
                      </m:r>
                    </m:sub>
                  </m:sSub>
                </m:num>
                <m:den>
                  <m:sSub>
                    <m:e>
                      <m:r>
                        <m:t>λ</m:t>
                      </m:r>
                    </m:e>
                    <m:sub>
                      <m:r>
                        <m:t>d</m:t>
                      </m:r>
                    </m:sub>
                  </m:sSub>
                </m:den>
              </m:f>
            </m:e>
          </m:d>
          <m:r>
            <m:rPr>
              <m:sty m:val="p"/>
            </m:rPr>
            <m:t>⋅</m:t>
          </m:r>
          <m:r>
            <m:rPr>
              <m:sty m:val="p"/>
            </m:rPr>
            <m:t>min</m:t>
          </m:r>
          <m:r>
            <m:t>​</m:t>
          </m:r>
          <m:d>
            <m:dPr>
              <m:begChr m:val="("/>
              <m:sepChr m:val=""/>
              <m:endChr m:val=")"/>
              <m:grow/>
            </m:dPr>
            <m:e>
              <m:f>
                <m:fPr>
                  <m:type m:val="bar"/>
                </m:fPr>
                <m:num>
                  <m:sSub>
                    <m:e>
                      <m:r>
                        <m:t>v</m:t>
                      </m:r>
                    </m:e>
                    <m:sub>
                      <m:r>
                        <m:t>m</m:t>
                      </m:r>
                    </m:sub>
                  </m:sSub>
                </m:num>
                <m:den>
                  <m:sSub>
                    <m:e>
                      <m:r>
                        <m:t>c</m:t>
                      </m:r>
                    </m:e>
                    <m:sub>
                      <m:r>
                        <m:t>m</m:t>
                      </m:r>
                    </m:sub>
                  </m:sSub>
                  <m:r>
                    <m:rPr>
                      <m:sty m:val="p"/>
                    </m:rPr>
                    <m:t>+</m:t>
                  </m:r>
                  <m:r>
                    <m:t>0.01</m:t>
                  </m:r>
                </m:den>
              </m:f>
              <m:r>
                <m:rPr>
                  <m:sty m:val="p"/>
                </m:rPr>
                <m:t>,</m:t>
              </m:r>
              <m:r>
                <m:t> </m:t>
              </m:r>
              <m:r>
                <m:t>2.0</m:t>
              </m:r>
            </m:e>
          </m:d>
        </m:oMath>
      </m:oMathPara>
    </w:p>
    <w:p>
      <w:pPr>
        <w:pStyle w:val="FirstParagraph"/>
      </w:pPr>
      <w:r>
        <w:rPr>
          <w:rFonts w:ascii="Times New Roman" w:hAnsi="Times New Roman"/>
          <w:color w:val="000000"/>
          <w:sz w:val="22"/>
        </w:rPr>
        <w:t xml:space="preserve">where</w:t>
      </w:r>
      <w:r>
        <w:rPr>
          <w:rFonts w:ascii="Times New Roman" w:hAnsi="Times New Roman"/>
          <w:color w:val="000000"/>
          <w:sz w:val="22"/>
        </w:rPr>
        <w:t xml:space="preserve"> </w:t>
      </w:r>
      <m:oMath>
        <m:sSub>
          <m:e>
            <m:r>
              <m:t>b</m:t>
            </m:r>
          </m:e>
          <m:sub>
            <m:r>
              <m:rPr>
                <m:nor/>
                <m:sty m:val="p"/>
              </m:rPr>
              <m:t>base</m:t>
            </m:r>
          </m:sub>
        </m:sSub>
        <m:r>
          <m:rPr>
            <m:sty m:val="p"/>
          </m:rPr>
          <m:t>=</m:t>
        </m:r>
        <m:r>
          <m:t>0.25</m:t>
        </m:r>
        <m:r>
          <m:rPr>
            <m:sty m:val="p"/>
          </m:rPr>
          <m:t>⋅</m:t>
        </m:r>
        <m:r>
          <m:rPr>
            <m:sty m:val="p"/>
          </m:rPr>
          <m:t>(</m:t>
        </m:r>
        <m:r>
          <m:t>1</m:t>
        </m:r>
        <m:r>
          <m:rPr>
            <m:sty m:val="p"/>
          </m:rPr>
          <m:t>+</m:t>
        </m:r>
        <m:r>
          <m:t>q</m:t>
        </m:r>
        <m:r>
          <m:rPr>
            <m:sty m:val="p"/>
          </m:rPr>
          <m:t>/</m:t>
        </m:r>
        <m:r>
          <m:rPr>
            <m:sty m:val="p"/>
          </m:rPr>
          <m:t>(</m:t>
        </m:r>
        <m:r>
          <m:t>1</m:t>
        </m:r>
        <m:r>
          <m:rPr>
            <m:sty m:val="p"/>
          </m:rPr>
          <m:t>+</m:t>
        </m:r>
        <m:r>
          <m:t>q</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r>
          <m:t>q</m:t>
        </m:r>
      </m:oMath>
      <w:r>
        <w:rPr>
          <w:rFonts w:ascii="Times New Roman" w:hAnsi="Times New Roman"/>
          <w:color w:val="000000"/>
          <w:sz w:val="22"/>
        </w:rPr>
        <w:t xml:space="preserve"> </w:t>
      </w:r>
      <w:r>
        <w:rPr>
          <w:rFonts w:ascii="Times New Roman" w:hAnsi="Times New Roman"/>
          <w:color w:val="000000"/>
          <w:sz w:val="22"/>
        </w:rPr>
        <w:t xml:space="preserve">the band’s quality (so</w:t>
      </w:r>
      <w:r>
        <w:rPr>
          <w:rFonts w:ascii="Times New Roman" w:hAnsi="Times New Roman"/>
          <w:color w:val="000000"/>
          <w:sz w:val="22"/>
        </w:rPr>
        <w:t xml:space="preserve"> </w:t>
      </w:r>
      <m:oMath>
        <m:sSub>
          <m:e>
            <m:r>
              <m:t>b</m:t>
            </m:r>
          </m:e>
          <m:sub>
            <m:r>
              <m:rPr>
                <m:nor/>
                <m:sty m:val="p"/>
              </m:rPr>
              <m:t>base</m:t>
            </m:r>
          </m:sub>
        </m:sSub>
        <m:r>
          <m:rPr>
            <m:sty m:val="p"/>
          </m:rPr>
          <m:t>∈</m:t>
        </m:r>
        <m:r>
          <m:rPr>
            <m:sty m:val="p"/>
          </m:rPr>
          <m:t>[</m:t>
        </m:r>
        <m:r>
          <m:t>0.25</m:t>
        </m:r>
        <m:r>
          <m:rPr>
            <m:sty m:val="p"/>
          </m:rPr>
          <m:t>,</m:t>
        </m:r>
        <m:r>
          <m:t>0.50</m:t>
        </m:r>
        <m:r>
          <m:rPr>
            <m:sty m:val="p"/>
          </m:rPr>
          <m:t>]</m:t>
        </m:r>
      </m:oMath>
      <w:r>
        <w:rPr>
          <w:rFonts w:ascii="Times New Roman" w:hAnsi="Times New Roman"/>
          <w:color w:val="000000"/>
          <w:sz w:val="22"/>
        </w:rPr>
        <w:t xml:space="preserve">),</w:t>
      </w:r>
      <w:r>
        <w:rPr>
          <w:rFonts w:ascii="Times New Roman" w:hAnsi="Times New Roman"/>
          <w:color w:val="000000"/>
          <w:sz w:val="22"/>
        </w:rPr>
        <w:t xml:space="preserve"> </w:t>
      </w:r>
      <m:oMath>
        <m:sSub>
          <m:e>
            <m:r>
              <m:t>d</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distance from the source,</w:t>
      </w:r>
      <w:r>
        <w:rPr>
          <w:rFonts w:ascii="Times New Roman" w:hAnsi="Times New Roman"/>
          <w:color w:val="000000"/>
          <w:sz w:val="22"/>
        </w:rPr>
        <w:t xml:space="preserve"> </w:t>
      </w:r>
      <m:oMath>
        <m:sSub>
          <m:e>
            <m:r>
              <m:t>λ</m:t>
            </m:r>
          </m:e>
          <m:sub>
            <m:r>
              <m:t>d</m:t>
            </m:r>
          </m:sub>
        </m:sSub>
        <m:r>
          <m:rPr>
            <m:sty m:val="p"/>
          </m:rPr>
          <m:t>=</m:t>
        </m:r>
        <m:r>
          <m:t>500</m:t>
        </m:r>
      </m:oMath>
      <w:r>
        <w:rPr>
          <w:rFonts w:ascii="Times New Roman" w:hAnsi="Times New Roman"/>
          <w:color w:val="000000"/>
          <w:sz w:val="22"/>
        </w:rPr>
        <w:t xml:space="preserve"> </w:t>
      </w:r>
      <w:r>
        <w:rPr>
          <w:rFonts w:ascii="Times New Roman" w:hAnsi="Times New Roman"/>
          <w:color w:val="000000"/>
          <w:sz w:val="22"/>
        </w:rPr>
        <w:t xml:space="preserve">km is the distance-decay scale,</w:t>
      </w:r>
      <w:r>
        <w:rPr>
          <w:rFonts w:ascii="Times New Roman" w:hAnsi="Times New Roman"/>
          <w:color w:val="000000"/>
          <w:sz w:val="22"/>
        </w:rPr>
        <w:t xml:space="preserve"> </w:t>
      </w:r>
      <m:oMath>
        <m:sSub>
          <m:e>
            <m:r>
              <m:t>v</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signaling value coded in the parameter file, and</w:t>
      </w:r>
      <w:r>
        <w:rPr>
          <w:rFonts w:ascii="Times New Roman" w:hAnsi="Times New Roman"/>
          <w:color w:val="000000"/>
          <w:sz w:val="22"/>
        </w:rPr>
        <w:t xml:space="preserve"> </w:t>
      </w:r>
      <m:oMath>
        <m:sSub>
          <m:e>
            <m:r>
              <m:t>c</m:t>
            </m:r>
          </m:e>
          <m:sub>
            <m:r>
              <m:t>m</m:t>
            </m:r>
          </m:sub>
        </m:sSub>
      </m:oMath>
      <w:r>
        <w:rPr>
          <w:rFonts w:ascii="Times New Roman" w:hAnsi="Times New Roman"/>
          <w:color w:val="000000"/>
          <w:sz w:val="22"/>
        </w:rPr>
        <w:t xml:space="preserve"> </w:t>
      </w:r>
      <w:r>
        <w:rPr>
          <w:rFonts w:ascii="Times New Roman" w:hAnsi="Times New Roman"/>
          <w:color w:val="000000"/>
          <w:sz w:val="22"/>
        </w:rPr>
        <w:t xml:space="preserve">is the per-material acquisition cost. The value/cost ratio is capped at</w:t>
      </w:r>
      <w:r>
        <w:rPr>
          <w:rFonts w:ascii="Times New Roman" w:hAnsi="Times New Roman"/>
          <w:color w:val="000000"/>
          <w:sz w:val="22"/>
        </w:rPr>
        <w:t xml:space="preserve"> </w:t>
      </w:r>
      <m:oMath>
        <m:r>
          <m:t>2.0</m:t>
        </m:r>
      </m:oMath>
      <w:r>
        <w:rPr>
          <w:rFonts w:ascii="Times New Roman" w:hAnsi="Times New Roman"/>
          <w:color w:val="000000"/>
          <w:sz w:val="22"/>
        </w:rPr>
        <w:t xml:space="preserve"> </w:t>
      </w:r>
      <w:r>
        <w:rPr>
          <w:rFonts w:ascii="Times New Roman" w:hAnsi="Times New Roman"/>
          <w:color w:val="000000"/>
          <w:sz w:val="22"/>
        </w:rPr>
        <w:t xml:space="preserve">to prevent any single low-cost material from saturating the per-band acquisition budget. The total</w:t>
      </w:r>
      <w:r>
        <w:rPr>
          <w:rFonts w:ascii="Times New Roman" w:hAnsi="Times New Roman"/>
          <w:color w:val="000000"/>
          <w:sz w:val="22"/>
        </w:rPr>
        <w:t xml:space="preserve"> </w:t>
      </w:r>
      <m:oMath>
        <m:sSub>
          <m:e>
            <m:r>
              <m:t>p</m:t>
            </m:r>
          </m:e>
          <m:sub>
            <m:r>
              <m:rPr>
                <m:nor/>
                <m:sty m:val="p"/>
              </m:rPr>
              <m:t>acq</m:t>
            </m:r>
            <m:r>
              <m:rPr>
                <m:sty m:val="p"/>
              </m:rPr>
              <m:t>,</m:t>
            </m:r>
            <m:r>
              <m:t>m</m:t>
            </m:r>
          </m:sub>
        </m:sSub>
      </m:oMath>
      <w:r>
        <w:rPr>
          <w:rFonts w:ascii="Times New Roman" w:hAnsi="Times New Roman"/>
          <w:color w:val="000000"/>
          <w:sz w:val="22"/>
        </w:rPr>
        <w:t xml:space="preserve"> </w:t>
      </w:r>
      <w:r>
        <w:rPr>
          <w:rFonts w:ascii="Times New Roman" w:hAnsi="Times New Roman"/>
          <w:color w:val="000000"/>
          <w:sz w:val="22"/>
        </w:rPr>
        <w:t xml:space="preserve">is then capped at</w:t>
      </w:r>
      <w:r>
        <w:rPr>
          <w:rFonts w:ascii="Times New Roman" w:hAnsi="Times New Roman"/>
          <w:color w:val="000000"/>
          <w:sz w:val="22"/>
        </w:rPr>
        <w:t xml:space="preserve"> </w:t>
      </w:r>
      <m:oMath>
        <m:r>
          <m:t>0.5</m:t>
        </m:r>
      </m:oMath>
      <w:r>
        <w:rPr>
          <w:rFonts w:ascii="Times New Roman" w:hAnsi="Times New Roman"/>
          <w:color w:val="000000"/>
          <w:sz w:val="22"/>
        </w:rPr>
        <w:t xml:space="preserve">, and after the first successful acquisition in a given material the loop breaks (one material per aggregation year per band). This per-call cap is a model-implementation choice rather than a parameter. It bounds the per-year acquisition rate to one material acquisition event regardless of how strongly the per-material probabilities multiply. Per-band cumulative exotic counts at the end of the simulation reflect the integral of these per-year per-material acquisition events.</w:t>
      </w:r>
    </w:p>
    <w:p>
      <w:pPr>
        <w:pStyle w:val="BodyText"/>
      </w:pPr>
      <w:r>
        <w:rPr>
          <w:rFonts w:ascii="Times New Roman" w:hAnsi="Times New Roman"/>
          <w:color w:val="000000"/>
          <w:sz w:val="22"/>
        </w:rPr>
        <w:t xml:space="preserve">The signal-blind alternative (uniform 30% pair probability, single random shortfall call, no</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remains available in the code via the</w:t>
      </w:r>
      <w:r>
        <w:rPr>
          <w:rFonts w:ascii="Times New Roman" w:hAnsi="Times New Roman"/>
          <w:color w:val="000000"/>
          <w:sz w:val="22"/>
        </w:rPr>
        <w:t xml:space="preserve"> </w:t>
      </w:r>
      <w:r>
        <w:rPr>
          <w:rStyle w:val="VerbatimChar"/>
          <w:rFonts w:ascii="Times New Roman" w:hAnsi="Times New Roman"/>
          <w:color w:val="000000"/>
          <w:sz w:val="22"/>
        </w:rPr>
        <w:t xml:space="preserve">signal_conditional_partners</w:t>
      </w:r>
      <w:r>
        <w:rPr>
          <w:rFonts w:ascii="Times New Roman" w:hAnsi="Times New Roman"/>
          <w:color w:val="000000"/>
          <w:sz w:val="22"/>
        </w:rPr>
        <w:t xml:space="preserve"> </w:t>
      </w:r>
      <w:r>
        <w:rPr>
          <w:rFonts w:ascii="Times New Roman" w:hAnsi="Times New Roman"/>
          <w:color w:val="000000"/>
          <w:sz w:val="22"/>
        </w:rPr>
        <w:t xml:space="preserve">flag for ablation comparisons. The default in current calibration runs is signal-conditional mode.</w:t>
      </w:r>
    </w:p>
    <w:bookmarkEnd w:id="14"/>
    <w:bookmarkEnd w:id="15"/>
    <w:bookmarkStart w:id="23" w:name="X5da86dd822f4b8656cb6ddfa7e05813dd4f053e"/>
    <w:p>
      <w:pPr>
        <w:pStyle w:val="Heading2"/>
      </w:pPr>
      <w:r>
        <w:rPr>
          <w:rFonts w:ascii="Times New Roman" w:hAnsi="Times New Roman"/>
          <w:b w:val="0"/>
          <w:i/>
          <w:color w:val="000000"/>
          <w:sz w:val="24"/>
          <w:u w:val="none"/>
        </w:rPr>
        <w:t xml:space="preserve">S2. Parameter Estimation and Justification</w:t>
      </w:r>
    </w:p>
    <w:p>
      <w:pPr>
        <w:pStyle w:val="FirstParagraph"/>
      </w:pPr>
      <w:r>
        <w:rPr>
          <w:rFonts w:ascii="Times New Roman" w:hAnsi="Times New Roman"/>
          <w:color w:val="000000"/>
          <w:sz w:val="22"/>
        </w:rP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rPr>
          <w:rFonts w:ascii="Times New Roman" w:hAnsi="Times New Roman"/>
          <w:b w:val="0"/>
          <w:i w:val="0"/>
          <w:color w:val="000000"/>
          <w:sz w:val="22"/>
          <w:u w:val="single"/>
        </w:rP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sSub>
                <m:e>
                  <m:r>
                    <m:t>μ</m:t>
                  </m:r>
                </m:e>
                <m:sub>
                  <m:r>
                    <m:t>c</m:t>
                  </m:r>
                </m:sub>
              </m:sSub>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rPr>
          <w:rFonts w:ascii="Times New Roman" w:hAnsi="Times New Roman"/>
          <w:b w:val="0"/>
          <w:i w:val="0"/>
          <w:color w:val="000000"/>
          <w:sz w:val="22"/>
          <w:u w:val="single"/>
        </w:rPr>
        <w:t xml:space="preserve">Cost parameters</w:t>
      </w:r>
    </w:p>
    <w:p>
      <w:pPr>
        <w:pStyle w:val="FirstParagraph"/>
      </w:pPr>
      <w:r>
        <w:rPr>
          <w:rFonts w:ascii="Times New Roman" w:hAnsi="Times New Roman"/>
          <w:b/>
          <w:bCs/>
          <w:color w:val="000000"/>
          <w:sz w:val="22"/>
        </w:rPr>
        <w:t xml:space="preserve">Travel.</w:t>
      </w:r>
      <w:r>
        <w:rPr>
          <w:rFonts w:ascii="Times New Roman" w:hAnsi="Times New Roman"/>
          <w:color w:val="000000"/>
          <w:sz w:val="22"/>
        </w:rPr>
        <w:t xml:space="preserve"> </w:t>
      </w:r>
      <m:oMath>
        <m:sSub>
          <m:e>
            <m:r>
              <m:t>C</m:t>
            </m:r>
          </m:e>
          <m:sub>
            <m:r>
              <m:t>t</m:t>
            </m:r>
            <m:r>
              <m:t>r</m:t>
            </m:r>
            <m:r>
              <m:t>a</m:t>
            </m:r>
            <m:r>
              <m:t>v</m:t>
            </m:r>
            <m:r>
              <m:t>e</m:t>
            </m:r>
            <m:r>
              <m:t>l</m:t>
            </m:r>
          </m:sub>
        </m:sSub>
        <m:r>
          <m:rPr>
            <m:sty m:val="p"/>
          </m:rPr>
          <m:t>=</m:t>
        </m:r>
        <m:r>
          <m:t>0.0004</m:t>
        </m:r>
        <m:r>
          <m:t>d</m:t>
        </m:r>
      </m:oMath>
      <w:r>
        <w:rPr>
          <w:rFonts w:ascii="Times New Roman" w:hAnsi="Times New Roman"/>
          <w:color w:val="000000"/>
          <w:sz w:val="22"/>
        </w:rPr>
        <w:t xml:space="preserve">, where</w:t>
      </w:r>
      <w:r>
        <w:rPr>
          <w:rFonts w:ascii="Times New Roman" w:hAnsi="Times New Roman"/>
          <w:color w:val="000000"/>
          <w:sz w:val="22"/>
        </w:rPr>
        <w:t xml:space="preserve"> </w:t>
      </w:r>
      <m:oMath>
        <m:r>
          <m:t>d</m:t>
        </m:r>
      </m:oMath>
      <w:r>
        <w:rPr>
          <w:rFonts w:ascii="Times New Roman" w:hAnsi="Times New Roman"/>
          <w:color w:val="000000"/>
          <w:sz w:val="22"/>
        </w:rPr>
        <w:t xml:space="preserve"> </w:t>
      </w:r>
      <w:r>
        <w:rPr>
          <w:rFonts w:ascii="Times New Roman" w:hAnsi="Times New Roman"/>
          <w:color w:val="000000"/>
          <w:sz w:val="22"/>
        </w:rP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rFonts w:ascii="Times New Roman" w:hAnsi="Times New Roman"/>
          <w:b/>
          <w:bCs/>
          <w:color w:val="000000"/>
          <w:sz w:val="22"/>
        </w:rPr>
        <w:t xml:space="preserve">Signaling.</w:t>
      </w:r>
      <w:r>
        <w:rPr>
          <w:rFonts w:ascii="Times New Roman" w:hAnsi="Times New Roman"/>
          <w:color w:val="000000"/>
          <w:sz w:val="22"/>
        </w:rPr>
        <w:t xml:space="preserve">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rFonts w:ascii="Times New Roman" w:hAnsi="Times New Roman"/>
          <w:b/>
          <w:bCs/>
          <w:color w:val="000000"/>
          <w:sz w:val="22"/>
        </w:rPr>
        <w:t xml:space="preserve">Opportunity.</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Ethnographic seasonal aggregations typically sacrifice 10-15% of annual foraging efficiency by concentrating activities at a single location rather than optimizing seasonal rounds (Conkey 1980).</w:t>
      </w:r>
    </w:p>
    <w:p>
      <w:pPr>
        <w:pStyle w:val="BodyText"/>
      </w:pPr>
      <w:r>
        <w:rPr>
          <w:rFonts w:ascii="Times New Roman" w:hAnsi="Times New Roman"/>
          <w:b/>
          <w:b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For a band 100 km from the site:</w:t>
      </w:r>
      <w:r>
        <w:rPr>
          <w:rFonts w:ascii="Times New Roman" w:hAnsi="Times New Roman"/>
          <w:color w:val="000000"/>
          <w:sz w:val="22"/>
        </w:rPr>
        <w:t xml:space="preserve"> </w:t>
      </w:r>
      <m:oMath>
        <m:sSub>
          <m:e>
            <m:r>
              <m:t>C</m:t>
            </m:r>
          </m:e>
          <m:sub>
            <m:r>
              <m:t>t</m:t>
            </m:r>
            <m:r>
              <m:t>o</m:t>
            </m:r>
            <m:r>
              <m:t>t</m:t>
            </m:r>
            <m:r>
              <m:t>a</m:t>
            </m:r>
            <m:r>
              <m:t>l</m:t>
            </m:r>
          </m:sub>
        </m:sSub>
        <m:r>
          <m:rPr>
            <m:sty m:val="p"/>
          </m:rPr>
          <m:t>≈</m:t>
        </m:r>
        <m:r>
          <m:t>0.34</m:t>
        </m:r>
      </m:oMath>
      <w:r>
        <w:rPr>
          <w:rFonts w:ascii="Times New Roman" w:hAnsi="Times New Roman"/>
          <w:color w:val="000000"/>
          <w:sz w:val="22"/>
        </w:rPr>
        <w:t xml:space="preserve">.</w:t>
      </w:r>
    </w:p>
    <w:bookmarkEnd w:id="17"/>
    <w:bookmarkStart w:id="18" w:name="network-and-vulnerability-parameters"/>
    <w:p>
      <w:pPr>
        <w:pStyle w:val="Heading3"/>
      </w:pPr>
      <w:r>
        <w:rPr>
          <w:rFonts w:ascii="Times New Roman" w:hAnsi="Times New Roman"/>
          <w:b w:val="0"/>
          <w:i w:val="0"/>
          <w:color w:val="000000"/>
          <w:sz w:val="22"/>
          <w:u w:val="single"/>
        </w:rPr>
        <w:t xml:space="preserve">Network and vulnerability parameters</w:t>
      </w:r>
    </w:p>
    <w:p>
      <w:pPr>
        <w:pStyle w:val="FirstParagraph"/>
      </w:pPr>
      <w:r>
        <w:rPr>
          <w:rFonts w:ascii="Times New Roman" w:hAnsi="Times New Roman"/>
          <w:color w:val="000000"/>
          <w:sz w:val="22"/>
        </w:rPr>
        <w:t xml:space="preserve">The model derives vulnerability endogenously rather than fixing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β</m:t>
        </m:r>
      </m:oMath>
      <w:r>
        <w:rPr>
          <w:rFonts w:ascii="Times New Roman" w:hAnsi="Times New Roman"/>
          <w:color w:val="000000"/>
          <w:sz w:val="22"/>
        </w:rPr>
        <w:t xml:space="preserve"> </w:t>
      </w:r>
      <w:r>
        <w:rPr>
          <w:rFonts w:ascii="Times New Roman" w:hAnsi="Times New Roman"/>
          <w:color w:val="000000"/>
          <w:sz w:val="22"/>
        </w:rP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(buffering efficiency per network partner) is consistent with the modest-but-real per-partner buffering effect documented in !Kung sharing networks (Wiessner 2002).</w:t>
      </w:r>
      <w:r>
        <w:rPr>
          <w:rFonts w:ascii="Times New Roman" w:hAnsi="Times New Roman"/>
          <w:color w:val="000000"/>
          <w:sz w:val="22"/>
        </w:rPr>
        <w:t xml:space="preserve"> </w:t>
      </w:r>
      <m:oMath>
        <m:sSub>
          <m:e>
            <m:r>
              <m:t>k</m:t>
            </m:r>
          </m:e>
          <m:sub>
            <m:r>
              <m:t>0</m:t>
            </m:r>
          </m:sub>
        </m:sSub>
        <m:r>
          <m:rPr>
            <m:sty m:val="p"/>
          </m:rPr>
          <m:t>=</m:t>
        </m:r>
        <m:r>
          <m:t>0.3</m:t>
        </m:r>
      </m:oMath>
      <w:r>
        <w:rPr>
          <w:rFonts w:ascii="Times New Roman" w:hAnsi="Times New Roman"/>
          <w:color w:val="000000"/>
          <w:sz w:val="22"/>
        </w:rPr>
        <w:t xml:space="preserve"> </w:t>
      </w:r>
      <w:r>
        <w:rPr>
          <w:rFonts w:ascii="Times New Roman" w:hAnsi="Times New Roman"/>
          <w:color w:val="000000"/>
          <w:sz w:val="22"/>
        </w:rPr>
        <w:t xml:space="preserve">(baseline kin connections without aggregation),</w:t>
      </w:r>
      <w:r>
        <w:rPr>
          <w:rFonts w:ascii="Times New Roman" w:hAnsi="Times New Roman"/>
          <w:color w:val="000000"/>
          <w:sz w:val="22"/>
        </w:rPr>
        <w:t xml:space="preserve"> </w:t>
      </w:r>
      <m:oMath>
        <m:sSub>
          <m:e>
            <m:r>
              <m:t>k</m:t>
            </m:r>
          </m:e>
          <m:sub>
            <m:r>
              <m:t>m</m:t>
            </m:r>
            <m:r>
              <m:t>a</m:t>
            </m:r>
            <m:r>
              <m:t>x</m:t>
            </m:r>
          </m:sub>
        </m:sSub>
        <m:r>
          <m:rPr>
            <m:sty m:val="p"/>
          </m:rPr>
          <m:t>=</m:t>
        </m:r>
        <m:r>
          <m:t>6.0</m:t>
        </m:r>
      </m:oMath>
      <w:r>
        <w:rPr>
          <w:rFonts w:ascii="Times New Roman" w:hAnsi="Times New Roman"/>
          <w:color w:val="000000"/>
          <w:sz w:val="22"/>
        </w:rPr>
        <w:t xml:space="preserve"> </w:t>
      </w:r>
      <w:r>
        <w:rPr>
          <w:rFonts w:ascii="Times New Roman" w:hAnsi="Times New Roman"/>
          <w:color w:val="000000"/>
          <w:sz w:val="22"/>
        </w:rPr>
        <w:t xml:space="preserve">(maximum additional degree), and</w:t>
      </w:r>
      <w:r>
        <w:rPr>
          <w:rFonts w:ascii="Times New Roman" w:hAnsi="Times New Roman"/>
          <w:color w:val="000000"/>
          <w:sz w:val="22"/>
        </w:rPr>
        <w:t xml:space="preserve"> </w:t>
      </w:r>
      <m:oMath>
        <m:sSub>
          <m:e>
            <m:r>
              <m:t>M</m:t>
            </m:r>
          </m:e>
          <m:sub>
            <m:r>
              <m:t>h</m:t>
            </m:r>
            <m:r>
              <m:t>a</m:t>
            </m:r>
            <m:r>
              <m:t>l</m:t>
            </m:r>
            <m:r>
              <m:t>f</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rPr>
          <w:rFonts w:ascii="Times New Roman" w:hAnsi="Times New Roman"/>
          <w:color w:val="000000"/>
          <w:sz w:val="22"/>
        </w:rPr>
        <w:t xml:space="preserve">Independent vulnerability emerges as</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rPr>
          <w:rFonts w:ascii="Times New Roman" w:hAnsi="Times New Roman"/>
          <w:color w:val="000000"/>
          <w:sz w:val="22"/>
        </w:rPr>
        <w:t xml:space="preserve">. Within-aggregation aggregator vulnerability for a band with mature network (</w:t>
      </w:r>
      <m:oMath>
        <m:sSub>
          <m:e>
            <m:r>
              <m:t>k</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4-6 range) is</w:t>
      </w:r>
      <w:r>
        <w:rPr>
          <w:rFonts w:ascii="Times New Roman" w:hAnsi="Times New Roman"/>
          <w:color w:val="000000"/>
          <w:sz w:val="22"/>
        </w:rP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rPr>
          <w:rFonts w:ascii="Times New Roman" w:hAnsi="Times New Roman"/>
          <w:color w:val="000000"/>
          <w:sz w:val="22"/>
        </w:rPr>
        <w:t xml:space="preserve">, giving values in the 0.77-0.83 range. The instantaneous (within-aggregation) buffering ratio</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therefore approximately 1.18-1.28: each additional cooperation partner contributes a small marginal buffering increment because</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is a low per-partner buffering rate. Because aggregation occupies only</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networks decay during dispersal, the</w:t>
      </w:r>
      <w:r>
        <w:rPr>
          <w:rFonts w:ascii="Times New Roman" w:hAnsi="Times New Roman"/>
          <w:color w:val="000000"/>
          <w:sz w:val="22"/>
        </w:rPr>
        <w:t xml:space="preserve"> </w:t>
      </w:r>
      <w:r>
        <w:rPr>
          <w:rFonts w:ascii="Times New Roman" w:hAnsi="Times New Roman"/>
          <w:i/>
          <w:iCs/>
          <w:color w:val="000000"/>
          <w:sz w:val="22"/>
        </w:rPr>
        <w:t xml:space="preserve">effective annual</w:t>
      </w:r>
      <w:r>
        <w:rPr>
          <w:rFonts w:ascii="Times New Roman" w:hAnsi="Times New Roman"/>
          <w:color w:val="000000"/>
          <w:sz w:val="22"/>
        </w:rPr>
        <w:t xml:space="preserve"> </w:t>
      </w:r>
      <w:r>
        <w:rPr>
          <w:rFonts w:ascii="Times New Roman" w:hAnsi="Times New Roman"/>
          <w:color w:val="000000"/>
          <w:sz w:val="22"/>
        </w:rPr>
        <w:t xml:space="preserve">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used in the fitness function is approximately 0.82, giving an annualized buffering ratio of approximately 1.20. The within-aggregation and annualized ratios are similar (~1.2-1.3) because, with</w:t>
      </w:r>
      <w:r>
        <w:rPr>
          <w:rFonts w:ascii="Times New Roman" w:hAnsi="Times New Roman"/>
          <w:color w:val="000000"/>
          <w:sz w:val="22"/>
        </w:rPr>
        <w:t xml:space="preserve"> </w:t>
      </w:r>
      <m:oMath>
        <m:r>
          <m:t>γ</m:t>
        </m:r>
        <m:r>
          <m:rPr>
            <m:sty m:val="p"/>
          </m:rPr>
          <m:t>=</m:t>
        </m:r>
        <m:r>
          <m:t>0.05</m:t>
        </m:r>
      </m:oMath>
      <w:r>
        <w:rPr>
          <w:rFonts w:ascii="Times New Roman" w:hAnsi="Times New Roman"/>
          <w:color w:val="000000"/>
          <w:sz w:val="22"/>
        </w:rP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component: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rPr>
          <w:rFonts w:ascii="Times New Roman" w:hAnsi="Times New Roman"/>
          <w:color w:val="000000"/>
          <w:sz w:val="22"/>
        </w:rPr>
        <w:t xml:space="preserve">with</w:t>
      </w:r>
      <w:r>
        <w:rPr>
          <w:rFonts w:ascii="Times New Roman" w:hAnsi="Times New Roman"/>
          <w:color w:val="000000"/>
          <w:sz w:val="22"/>
        </w:rPr>
        <w:t xml:space="preserve"> </w:t>
      </w:r>
      <m:oMath>
        <m:sSub>
          <m:e>
            <m:r>
              <m:t>δ</m:t>
            </m:r>
          </m:e>
          <m:sub>
            <m:r>
              <m:t>n</m:t>
            </m:r>
            <m:r>
              <m:t>e</m:t>
            </m:r>
            <m:r>
              <m:t>t</m:t>
            </m:r>
          </m:sub>
        </m:sSub>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network decay rate during dispersal.</w:t>
      </w:r>
    </w:p>
    <w:bookmarkEnd w:id="18"/>
    <w:bookmarkStart w:id="19" w:name="signaling-parameters"/>
    <w:p>
      <w:pPr>
        <w:pStyle w:val="Heading3"/>
      </w:pPr>
      <w:r>
        <w:rPr>
          <w:rFonts w:ascii="Times New Roman" w:hAnsi="Times New Roman"/>
          <w:b w:val="0"/>
          <w:i w:val="0"/>
          <w:color w:val="000000"/>
          <w:sz w:val="22"/>
          <w:u w:val="single"/>
        </w:rPr>
        <w:t xml:space="preserve">Signaling parameters</w:t>
      </w:r>
    </w:p>
    <w:p>
      <w:pPr>
        <w:pStyle w:val="FirstParagraph"/>
      </w:pPr>
      <w:r>
        <w:rPr>
          <w:rFonts w:ascii="Times New Roman" w:hAnsi="Times New Roman"/>
          <w:color w:val="000000"/>
          <w:sz w:val="22"/>
        </w:rPr>
        <w:t xml:space="preserve">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has within-group (</w:t>
      </w:r>
      <m:oMath>
        <m:sSub>
          <m:e>
            <m:r>
              <m:t>λ</m:t>
            </m:r>
          </m:e>
          <m:sub>
            <m:r>
              <m:t>W</m:t>
            </m:r>
          </m:sub>
        </m:sSub>
        <m:r>
          <m:rPr>
            <m:sty m:val="p"/>
          </m:rPr>
          <m:t>=</m:t>
        </m:r>
        <m:r>
          <m:t>0.15</m:t>
        </m:r>
      </m:oMath>
      <w:r>
        <w:rPr>
          <w:rFonts w:ascii="Times New Roman" w:hAnsi="Times New Roman"/>
          <w:color w:val="000000"/>
          <w:sz w:val="22"/>
        </w:rPr>
        <w:t xml:space="preserve">), conflict-deterrence (</w:t>
      </w:r>
      <m:oMath>
        <m:sSub>
          <m:e>
            <m:r>
              <m:t>λ</m:t>
            </m:r>
          </m:e>
          <m:sub>
            <m:r>
              <m:t>C</m:t>
            </m:r>
          </m:sub>
        </m:sSub>
      </m:oMath>
      <w:r>
        <w:rPr>
          <w:rFonts w:ascii="Times New Roman" w:hAnsi="Times New Roman"/>
          <w:color w:val="000000"/>
          <w:sz w:val="22"/>
        </w:rPr>
        <w:t xml:space="preserve">), and cooperation-network (</w:t>
      </w:r>
      <m:oMath>
        <m:sSub>
          <m:e>
            <m:r>
              <m:t>λ</m:t>
            </m:r>
          </m:e>
          <m:sub>
            <m:r>
              <m:t>X</m:t>
            </m:r>
          </m:sub>
        </m:sSub>
      </m:oMath>
      <w:r>
        <w:rPr>
          <w:rFonts w:ascii="Times New Roman" w:hAnsi="Times New Roman"/>
          <w:color w:val="000000"/>
          <w:sz w:val="22"/>
        </w:rPr>
        <w:t xml:space="preserve">) components. Because monument stock affects the very signaling reward that drives more monument-building,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cannot be set independently. They are solved by repeated substitution (fixed-point iteration): guess</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compute the resulting monument stock, recompute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repeat until the values stop changing within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One cycle of that loop is: monument stock</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network degree</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vulnerability reduction</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raised optimal investment</w:t>
      </w:r>
      <w:r>
        <w:rPr>
          <w:rFonts w:ascii="Times New Roman" w:hAnsi="Times New Roman"/>
          <w:color w:val="000000"/>
          <w:sz w:val="22"/>
        </w:rPr>
        <w:t xml:space="preserve"> </w:t>
      </w:r>
      <m:oMath>
        <m:sSup>
          <m:e>
            <m:r>
              <m:t>x</m:t>
            </m:r>
          </m:e>
          <m:sup>
            <m:r>
              <m:rPr>
                <m:sty m:val="p"/>
              </m:rPr>
              <m:t>*</m:t>
            </m:r>
          </m:sup>
        </m:sSup>
        <m:r>
          <m:rPr>
            <m:sty m:val="p"/>
          </m:rPr>
          <m:t>(</m:t>
        </m:r>
        <m:r>
          <m:t>q</m:t>
        </m:r>
        <m:r>
          <m:rPr>
            <m:sty m:val="p"/>
          </m:rPr>
          <m:t>)</m:t>
        </m:r>
      </m:oMath>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monuments. We use damping (factor 0.5) so successive estimates do not oscillate. At the equilibrium reached for Poverty Point conditions,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large enough that the network degree function saturates, making</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small at equilibrium and</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dominated by</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Convergence diagnostics.</w:t>
      </w:r>
      <w:r>
        <w:rPr>
          <w:rFonts w:ascii="Times New Roman" w:hAnsi="Times New Roman"/>
          <w:color w:val="000000"/>
          <w:sz w:val="22"/>
        </w:rPr>
        <w:t xml:space="preserve"> </w:t>
      </w:r>
      <w:r>
        <w:rPr>
          <w:rFonts w:ascii="Times New Roman" w:hAnsi="Times New Roman"/>
          <w:color w:val="000000"/>
          <w:sz w:val="22"/>
        </w:rPr>
        <w:t xml:space="preserve">We tested the fixed-point iteration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(covering both sub- and supra-threshold regimes). Of these 30 runs, 100% converged to within the</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w:t>
      </w:r>
      <w:r>
        <w:rPr>
          <w:rFonts w:ascii="Times New Roman" w:hAnsi="Times New Roman"/>
          <w:color w:val="000000"/>
          <w:sz w:val="22"/>
        </w:rPr>
        <w:t xml:space="preserve">tolerance. Mean, median, and maximum iteration counts were all 18, indicating uniform convergence speed across the parameter range. To check for multiple fixed points, we ran the iteration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different starting conditions and verified that the resulting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differed by less than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w:t>
      </w:r>
      <w:r>
        <w:rPr>
          <w:rFonts w:ascii="Times New Roman" w:hAnsi="Times New Roman"/>
          <w:color w:val="000000"/>
          <w:sz w:val="22"/>
        </w:rPr>
        <w:t xml:space="preserve">(129.78 vs. 129.78 vs. 129.79), confirming empirically that the fixed point is unique within the explored range. The contraction-mapping property follows from the monotonicity of</w:t>
      </w:r>
      <w:r>
        <w:rPr>
          <w:rFonts w:ascii="Times New Roman" w:hAnsi="Times New Roman"/>
          <w:color w:val="000000"/>
          <w:sz w:val="22"/>
        </w:rP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combined with the saturating</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function: 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marginal contribution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vanishes, providing a stable upper bound, while at small</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the lower bound is set by</w:t>
      </w:r>
      <w:r>
        <w:rPr>
          <w:rFonts w:ascii="Times New Roman" w:hAnsi="Times New Roman"/>
          <w:color w:val="000000"/>
          <w:sz w:val="22"/>
        </w:rPr>
        <w:t xml:space="preserve"> </w:t>
      </w:r>
      <m:oMath>
        <m:sSub>
          <m:e>
            <m:r>
              <m:t>λ</m:t>
            </m:r>
          </m:e>
          <m:sub>
            <m:r>
              <m:t>W</m:t>
            </m:r>
          </m:sub>
        </m:sSub>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b/>
          <w:bCs/>
          <w:color w:val="000000"/>
          <w:sz w:val="22"/>
        </w:rPr>
        <w:t xml:space="preserve">Within-group reward ablation.</w:t>
      </w:r>
      <w:r>
        <w:rPr>
          <w:rFonts w:ascii="Times New Roman" w:hAnsi="Times New Roman"/>
          <w:color w:val="000000"/>
          <w:sz w:val="22"/>
        </w:rPr>
        <w:t xml:space="preserve"> </w:t>
      </w:r>
      <w:r>
        <w:rPr>
          <w:rFonts w:ascii="Times New Roman" w:hAnsi="Times New Roman"/>
          <w:color w:val="000000"/>
          <w:sz w:val="22"/>
        </w:rPr>
        <w:t xml:space="preserve">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(which removes the only signaling-as-such contribution to fitness; cooperation benefits via</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conflict deterrence via</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remain) raises the critical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shift. A linear sweep</w:t>
      </w:r>
      <w:r>
        <w:rPr>
          <w:rFonts w:ascii="Times New Roman" w:hAnsi="Times New Roman"/>
          <w:color w:val="000000"/>
          <w:sz w:val="22"/>
        </w:rP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rPr>
          <w:rFonts w:ascii="Times New Roman" w:hAnsi="Times New Roman"/>
          <w:color w:val="000000"/>
          <w:sz w:val="22"/>
        </w:rPr>
        <w:t xml:space="preserve">, demonstrating that the within-group signaling reward contributes a substantial portion of the threshold lowering and that the model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well approximated by a generic cooperation account in which signaling is decoration.</w:t>
      </w:r>
    </w:p>
    <w:p>
      <w:pPr>
        <w:pStyle w:val="BodyText"/>
      </w:pPr>
      <w:r>
        <w:rPr>
          <w:rFonts w:ascii="Times New Roman" w:hAnsi="Times New Roman"/>
          <w:color w:val="000000"/>
          <w:sz w:val="22"/>
        </w:rPr>
        <w:t xml:space="preserve">The signaling benefit is derived from the Grafen (1990) signaling equilibrium and is the expectation of each band’s individual signaling payoff over the uniform quality distribution</w:t>
      </w:r>
      <w:r>
        <w:rPr>
          <w:rFonts w:ascii="Times New Roman" w:hAnsi="Times New Roman"/>
          <w:color w:val="000000"/>
          <w:sz w:val="22"/>
        </w:rP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rPr>
          <w:rFonts w:ascii="Times New Roman" w:hAnsi="Times New Roman"/>
          <w:color w:val="000000"/>
          <w:sz w:val="22"/>
        </w:rP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rPr>
          <w:rFonts w:ascii="Times New Roman" w:hAnsi="Times New Roman"/>
          <w:color w:val="000000"/>
          <w:sz w:val="22"/>
        </w:rP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rPr>
          <w:rFonts w:ascii="Times New Roman" w:hAnsi="Times New Roman"/>
          <w:color w:val="000000"/>
          <w:sz w:val="22"/>
        </w:rPr>
        <w:t xml:space="preserve"> </w:t>
      </w:r>
      <m:oMath>
        <m:sSub>
          <m:e>
            <m:r>
              <m:t>q</m:t>
            </m:r>
          </m:e>
          <m:sub>
            <m:r>
              <m:t>m</m:t>
            </m:r>
            <m:r>
              <m:t>i</m:t>
            </m:r>
            <m:r>
              <m:t>n</m:t>
            </m:r>
          </m:sub>
        </m:sSub>
      </m:oMath>
      <w:r>
        <w:rPr>
          <w:rFonts w:ascii="Times New Roman" w:hAnsi="Times New Roman"/>
          <w:color w:val="000000"/>
          <w:sz w:val="22"/>
        </w:rPr>
        <w:t xml:space="preserve">. At our parameters (</w:t>
      </w:r>
      <m:oMath>
        <m:sSub>
          <m:e>
            <m:r>
              <m:t>q</m:t>
            </m:r>
          </m:e>
          <m:sub>
            <m:r>
              <m:t>m</m:t>
            </m:r>
            <m:r>
              <m:t>i</m:t>
            </m:r>
            <m:r>
              <m:t>n</m:t>
            </m:r>
          </m:sub>
        </m:sSub>
        <m:r>
          <m:rPr>
            <m:sty m:val="p"/>
          </m:rPr>
          <m:t>=</m:t>
        </m:r>
        <m:r>
          <m:t>0.2</m:t>
        </m:r>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r>
          <m:rPr>
            <m:sty m:val="p"/>
          </m:rPr>
          <m:t>=</m:t>
        </m:r>
        <m:r>
          <m:t>2.0</m:t>
        </m:r>
      </m:oMath>
      <w:r>
        <w:rPr>
          <w:rFonts w:ascii="Times New Roman" w:hAnsi="Times New Roman"/>
          <w:color w:val="000000"/>
          <w:sz w:val="22"/>
        </w:rPr>
        <w:t xml:space="preserve">,</w:t>
      </w:r>
      <w:r>
        <w:rPr>
          <w:rFonts w:ascii="Times New Roman" w:hAnsi="Times New Roman"/>
          <w:color w:val="000000"/>
          <w:sz w:val="22"/>
        </w:rPr>
        <w:t xml:space="preserve"> </w:t>
      </w:r>
      <m:oMath>
        <m:r>
          <m:t>λ</m:t>
        </m:r>
        <m:r>
          <m:rPr>
            <m:sty m:val="p"/>
          </m:rPr>
          <m:t>≈</m:t>
        </m:r>
        <m:r>
          <m:t>0.40</m:t>
        </m:r>
      </m:oMath>
      <w:r>
        <w:rPr>
          <w:rFonts w:ascii="Times New Roman" w:hAnsi="Times New Roman"/>
          <w:color w:val="000000"/>
          <w:sz w:val="22"/>
        </w:rPr>
        <w:t xml:space="preserve">) the second term is approximately 5% of the first, and the code computes both.</w:t>
      </w:r>
    </w:p>
    <w:bookmarkEnd w:id="19"/>
    <w:bookmarkStart w:id="20" w:name="conflict-parameters"/>
    <w:p>
      <w:pPr>
        <w:pStyle w:val="Heading3"/>
      </w:pPr>
      <w:r>
        <w:rPr>
          <w:rFonts w:ascii="Times New Roman" w:hAnsi="Times New Roman"/>
          <w:b w:val="0"/>
          <w:i w:val="0"/>
          <w:color w:val="000000"/>
          <w:sz w:val="22"/>
          <w:u w:val="single"/>
        </w:rPr>
        <w:t xml:space="preserve">Conflict parameters</w:t>
      </w:r>
    </w:p>
    <w:p>
      <w:pPr>
        <w:pStyle w:val="FirstParagraph"/>
      </w:pPr>
      <w:r>
        <w:rPr>
          <w:rFonts w:ascii="Times New Roman" w:hAnsi="Times New Roman"/>
          <w:color w:val="000000"/>
          <w:sz w:val="22"/>
        </w:rPr>
        <w:t xml:space="preserve">Baseline annual conflict probability</w:t>
      </w:r>
      <w:r>
        <w:rPr>
          <w:rFonts w:ascii="Times New Roman" w:hAnsi="Times New Roman"/>
          <w:color w:val="000000"/>
          <w:sz w:val="22"/>
        </w:rPr>
        <w:t xml:space="preserve"> </w:t>
      </w:r>
      <m:oMath>
        <m:sSub>
          <m:e>
            <m:r>
              <m:t>P</m:t>
            </m:r>
          </m:e>
          <m:sub>
            <m:r>
              <m:t>b</m:t>
            </m:r>
            <m:r>
              <m:t>a</m:t>
            </m:r>
            <m:r>
              <m:t>s</m:t>
            </m:r>
            <m:r>
              <m:t>e</m:t>
            </m:r>
          </m:sub>
        </m:sSub>
        <m:r>
          <m:rPr>
            <m:sty m:val="p"/>
          </m:rPr>
          <m:t>=</m:t>
        </m:r>
        <m:r>
          <m:t>0.008</m:t>
        </m:r>
      </m:oMath>
      <w:r>
        <w:rPr>
          <w:rFonts w:ascii="Times New Roman" w:hAnsi="Times New Roman"/>
          <w:color w:val="000000"/>
          <w:sz w:val="22"/>
        </w:rPr>
        <w:t xml:space="preserve"> </w:t>
      </w:r>
      <w:r>
        <w:rPr>
          <w:rFonts w:ascii="Times New Roman" w:hAnsi="Times New Roman"/>
          <w:color w:val="000000"/>
          <w:sz w:val="22"/>
        </w:rPr>
        <w:t xml:space="preserve">and conflict mortality</w:t>
      </w:r>
      <w:r>
        <w:rPr>
          <w:rFonts w:ascii="Times New Roman" w:hAnsi="Times New Roman"/>
          <w:color w:val="000000"/>
          <w:sz w:val="22"/>
        </w:rPr>
        <w:t xml:space="preserve"> </w:t>
      </w:r>
      <m:oMath>
        <m:sSub>
          <m:e>
            <m:r>
              <m:t>μ</m:t>
            </m:r>
          </m:e>
          <m:sub>
            <m:r>
              <m:t>c</m:t>
            </m:r>
          </m:sub>
        </m:sSub>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rPr>
          <w:rFonts w:ascii="Times New Roman" w:hAnsi="Times New Roman"/>
          <w:b w:val="0"/>
          <w:i w:val="0"/>
          <w:color w:val="000000"/>
          <w:sz w:val="22"/>
          <w:u w:val="single"/>
        </w:rPr>
        <w:t xml:space="preserve">Ecotone parameter</w:t>
      </w:r>
    </w:p>
    <w:p>
      <w:pPr>
        <w:pStyle w:val="FirstParagraph"/>
      </w:pPr>
      <m:oMath>
        <m:r>
          <m:t>ε</m:t>
        </m:r>
      </m:oMath>
      <w:r>
        <w:rPr>
          <w:rFonts w:ascii="Times New Roman" w:hAnsi="Times New Roman"/>
          <w:color w:val="000000"/>
          <w:sz w:val="22"/>
        </w:rPr>
        <w:t xml:space="preserve"> </w:t>
      </w:r>
      <w:r>
        <w:rPr>
          <w:rFonts w:ascii="Times New Roman" w:hAnsi="Times New Roman"/>
          <w:color w:val="000000"/>
          <w:sz w:val="22"/>
        </w:rPr>
        <w:t xml:space="preserve">ranges from 0 (single-zone location) to ~0.5 (exceptionally well-buffered). The main §2.3 develops the negative-covariance interpretation and the regional empirical paper develops the per-site operationalization at LMV mound-building sites. Here we treat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an input variable on</w:t>
      </w:r>
      <w:r>
        <w:rPr>
          <w:rFonts w:ascii="Times New Roman" w:hAnsi="Times New Roman"/>
          <w:color w:val="000000"/>
          <w:sz w:val="22"/>
        </w:rPr>
        <w:t xml:space="preserve"> </w:t>
      </w:r>
      <m:oMath>
        <m:r>
          <m:rPr>
            <m:sty m:val="p"/>
          </m:rPr>
          <m:t>[</m:t>
        </m:r>
        <m:r>
          <m:t>0</m:t>
        </m:r>
        <m:r>
          <m:rPr>
            <m:sty m:val="p"/>
          </m:rPr>
          <m:t>,</m:t>
        </m:r>
        <m:r>
          <m:t>0.5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purposes of the theoretical sweeps below.</w:t>
      </w:r>
    </w:p>
    <w:bookmarkEnd w:id="21"/>
    <w:bookmarkStart w:id="22" w:name="table-s2-full-parameter-list"/>
    <w:p>
      <w:pPr>
        <w:pStyle w:val="Heading3"/>
      </w:pPr>
      <w:r>
        <w:rPr>
          <w:rFonts w:ascii="Times New Roman" w:hAnsi="Times New Roman"/>
          <w:b w:val="0"/>
          <w:i w:val="0"/>
          <w:color w:val="000000"/>
          <w:sz w:val="22"/>
          <w:u w:val="single"/>
        </w:rP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sSub>
                <m:e>
                  <m:r>
                    <m:t>μ</m:t>
                  </m:r>
                </m:e>
                <m:sub>
                  <m:r>
                    <m:t>c</m:t>
                  </m:r>
                </m:sub>
              </m:sSub>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bookmarkEnd w:id="22"/>
    <w:bookmarkEnd w:id="23"/>
    <w:bookmarkStart w:id="36" w:name="s3.-sensitivity-analyses"/>
    <w:p>
      <w:pPr>
        <w:pStyle w:val="Heading2"/>
      </w:pPr>
      <w:r>
        <w:rPr>
          <w:rFonts w:ascii="Times New Roman" w:hAnsi="Times New Roman"/>
          <w:b w:val="0"/>
          <w:i/>
          <w:color w:val="000000"/>
          <w:sz w:val="24"/>
          <w:u w:val="none"/>
        </w:rPr>
        <w:t xml:space="preserve">S3. Sensitivity Analyses</w:t>
      </w:r>
    </w:p>
    <w:bookmarkStart w:id="30" w:name="s3.1-one-at-a-time-oat-tornado-plot"/>
    <w:p>
      <w:pPr>
        <w:pStyle w:val="Heading3"/>
      </w:pPr>
      <w:r>
        <w:rPr>
          <w:rFonts w:ascii="Times New Roman" w:hAnsi="Times New Roman"/>
          <w:b w:val="0"/>
          <w:i w:val="0"/>
          <w:color w:val="000000"/>
          <w:sz w:val="22"/>
          <w:u w:val="single"/>
        </w:rPr>
        <w:t xml:space="preserve">S3.1 One-at-a-time (OAT) tornado plot</w:t>
      </w:r>
    </w:p>
    <w:p>
      <w:pPr>
        <w:pStyle w:val="FirstParagraph"/>
      </w:pPr>
      <w:r>
        <w:rPr>
          <w:rFonts w:ascii="Times New Roman" w:hAnsi="Times New Roman"/>
          <w:color w:val="000000"/>
          <w:sz w:val="22"/>
        </w:rPr>
        <w:t xml:space="preserve">We performed an OAT sensitivity analysis varying each parameter in turn within its plausible range while holding the others at default.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most sensitive to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t</m:t>
            </m:r>
            <m:r>
              <m:t>r</m:t>
            </m:r>
            <m:r>
              <m:t>a</m:t>
            </m:r>
            <m:r>
              <m:t>v</m:t>
            </m:r>
            <m:r>
              <m:t>e</m:t>
            </m:r>
            <m:r>
              <m:t>l</m:t>
            </m:r>
          </m:sub>
        </m:sSub>
      </m:oMath>
      <w:r>
        <w:rPr>
          <w:rFonts w:ascii="Times New Roman" w:hAnsi="Times New Roman"/>
          <w:color w:val="000000"/>
          <w:sz w:val="22"/>
        </w:rPr>
        <w:t xml:space="preserve">) and within-group signaling rewards (</w:t>
      </w:r>
      <m:oMath>
        <m:sSub>
          <m:e>
            <m:r>
              <m:t>λ</m:t>
            </m:r>
          </m:e>
          <m:sub>
            <m:r>
              <m:t>W</m:t>
            </m:r>
          </m:sub>
        </m:sSub>
      </m:oMath>
      <w:r>
        <w:rPr>
          <w:rFonts w:ascii="Times New Roman" w:hAnsi="Times New Roman"/>
          <w:color w:val="000000"/>
          <w:sz w:val="22"/>
        </w:rPr>
        <w:t xml:space="preserve">); moderately sensitive to quality range (</w:t>
      </w:r>
      <m:oMath>
        <m:sSub>
          <m:e>
            <m:r>
              <m:t>q</m:t>
            </m:r>
          </m:e>
          <m:sub>
            <m:r>
              <m:t>m</m:t>
            </m:r>
            <m:r>
              <m:t>i</m:t>
            </m:r>
            <m:r>
              <m:t>n</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q</m:t>
            </m:r>
          </m:e>
          <m:sub>
            <m:r>
              <m:t>m</m:t>
            </m:r>
            <m:r>
              <m:t>a</m:t>
            </m:r>
            <m:r>
              <m:t>x</m:t>
            </m:r>
          </m:sub>
        </m:sSub>
      </m:oMath>
      <w:r>
        <w:rPr>
          <w:rFonts w:ascii="Times New Roman" w:hAnsi="Times New Roman"/>
          <w:color w:val="000000"/>
          <w:sz w:val="22"/>
        </w:rPr>
        <w:t xml:space="preserve">) and maximum network degree (</w:t>
      </w:r>
      <m:oMath>
        <m:sSub>
          <m:e>
            <m:r>
              <m:t>k</m:t>
            </m:r>
          </m:e>
          <m:sub>
            <m:r>
              <m:t>m</m:t>
            </m:r>
            <m:r>
              <m:t>a</m:t>
            </m:r>
            <m:r>
              <m:t>x</m:t>
            </m:r>
          </m:sub>
        </m:sSub>
      </m:oMath>
      <w:r>
        <w:rPr>
          <w:rFonts w:ascii="Times New Roman" w:hAnsi="Times New Roman"/>
          <w:color w:val="000000"/>
          <w:sz w:val="22"/>
        </w:rPr>
        <w:t xml:space="preserve">); and insensitive to monument depreciation (</w:t>
      </w:r>
      <m:oMath>
        <m:r>
          <m:t>δ</m:t>
        </m:r>
      </m:oMath>
      <w:r>
        <w:rPr>
          <w:rFonts w:ascii="Times New Roman" w:hAnsi="Times New Roman"/>
          <w:color w:val="000000"/>
          <w:sz w:val="22"/>
        </w:rPr>
        <w:t xml:space="preserve">), conflict parameters (</w:t>
      </w:r>
      <m:oMath>
        <m:sSub>
          <m:e>
            <m:r>
              <m:t>P</m:t>
            </m:r>
          </m:e>
          <m:sub>
            <m:r>
              <m:t>b</m:t>
            </m:r>
            <m:r>
              <m:t>a</m:t>
            </m:r>
            <m:r>
              <m:t>s</m:t>
            </m:r>
            <m:r>
              <m:t>e</m:t>
            </m:r>
          </m:sub>
        </m:sSub>
      </m:oMath>
      <w:r>
        <w:rPr>
          <w:rFonts w:ascii="Times New Roman" w:hAnsi="Times New Roman"/>
          <w:color w:val="000000"/>
          <w:sz w:val="22"/>
        </w:rPr>
        <w:t xml:space="preserve">), and the half-saturation constant (</w:t>
      </w:r>
      <m:oMath>
        <m:sSub>
          <m:e>
            <m:r>
              <m:t>M</m:t>
            </m:r>
          </m:e>
          <m:sub>
            <m:r>
              <m:t>h</m:t>
            </m:r>
            <m:r>
              <m:t>a</m:t>
            </m:r>
            <m:r>
              <m:t>l</m:t>
            </m:r>
            <m:r>
              <m:t>f</m:t>
            </m:r>
          </m:sub>
        </m:sSub>
      </m:oMath>
      <w:r>
        <w:rPr>
          <w:rFonts w:ascii="Times New Roman" w:hAnsi="Times New Roman"/>
          <w:color w:val="000000"/>
          <w:sz w:val="22"/>
        </w:rPr>
        <w:t xml:space="preserve">). Initial values of</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sensitivity because they are endogenously determined by the lambda-sigma feedback loop.</w:t>
      </w:r>
    </w:p>
    <w:p>
      <w:pPr>
        <w:pStyle w:val="BodyText"/>
      </w:pPr>
      <w:r>
        <w:rPr>
          <w:rFonts w:ascii="Times New Roman" w:hAnsi="Times New Roman"/>
          <w:color w:val="000000"/>
          <w:sz w:val="22"/>
        </w:rPr>
        <w:t xml:space="preserve">The numerical OAT table below is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scripts/analysis/oat_sensitivity_table.py</w:t>
      </w:r>
      <w:r>
        <w:rPr>
          <w:rFonts w:ascii="Times New Roman" w:hAnsi="Times New Roman"/>
          <w:color w:val="000000"/>
          <w:sz w:val="22"/>
        </w:rPr>
        <w:t xml:space="preserve">. Baseline</w:t>
      </w:r>
      <w:r>
        <w:rPr>
          <w:rFonts w:ascii="Times New Roman" w:hAnsi="Times New Roman"/>
          <w:color w:val="000000"/>
          <w:sz w:val="22"/>
        </w:rPr>
        <w:t xml:space="preserve"> </w:t>
      </w:r>
      <m:oMath>
        <m:sSup>
          <m:e>
            <m:r>
              <m:t>σ</m:t>
            </m:r>
          </m:e>
          <m:sup>
            <m:r>
              <m:rPr>
                <m:sty m:val="p"/>
              </m:rPr>
              <m:t>*</m:t>
            </m:r>
          </m:sup>
        </m:sSup>
        <m:r>
          <m:rPr>
            <m:sty m:val="p"/>
          </m:rPr>
          <m:t>=</m:t>
        </m:r>
        <m:r>
          <m:t>0.3997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Each multiplicative perturbation rescales the parameter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relative to its default. Epsilon 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rPr>
          <w:rFonts w:ascii="Times New Roman" w:hAnsi="Times New Roman"/>
          <w:color w:val="000000"/>
          <w:sz w:val="22"/>
        </w:rP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rPr>
          <w:rFonts w:ascii="Times New Roman" w:hAnsi="Times New Roman"/>
          <w:color w:val="000000"/>
          <w:sz w:val="22"/>
        </w:rPr>
        <w:t xml:space="preserve">The table makes the main §4.3</w:t>
      </w:r>
      <w:r>
        <w:rPr>
          <w:rFonts w:ascii="Times New Roman" w:hAnsi="Times New Roman"/>
          <w:color w:val="000000"/>
          <w:sz w:val="22"/>
        </w:rPr>
        <w:t xml:space="preserve"> </w:t>
      </w:r>
      <w:r>
        <w:rPr>
          <w:rFonts w:ascii="Times New Roman" w:hAnsi="Times New Roman"/>
          <w:i/>
          <w:iCs/>
          <w:color w:val="000000"/>
          <w:sz w:val="22"/>
        </w:rPr>
        <w:t xml:space="preserve">Receiver behavior</w:t>
      </w:r>
      <w:r>
        <w:rPr>
          <w:rFonts w:ascii="Times New Roman" w:hAnsi="Times New Roman"/>
          <w:color w:val="000000"/>
          <w:sz w:val="22"/>
        </w:rPr>
        <w:t xml:space="preserve"> </w:t>
      </w:r>
      <w:r>
        <w:rPr>
          <w:rFonts w:ascii="Times New Roman" w:hAnsi="Times New Roman"/>
          <w:color w:val="000000"/>
          <w:sz w:val="22"/>
        </w:rPr>
        <w:t xml:space="preserve">concession explicit: at the equilibrium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effect on</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(because they are endogenously determined by the fixed-point loop from</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 the network state), so the</w:t>
      </w:r>
      <w:r>
        <w:rPr>
          <w:rFonts w:ascii="Times New Roman" w:hAnsi="Times New Roman"/>
          <w:color w:val="000000"/>
          <w:sz w:val="22"/>
        </w:rPr>
        <w:t xml:space="preserve"> </w:t>
      </w:r>
      <m:oMath>
        <m:r>
          <m:rPr>
            <m:sty m:val="p"/>
          </m:rPr>
          <m:t>+</m:t>
        </m:r>
        <m:r>
          <m:t>36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ablation result reported in main §4.3 is sensitivity to a single parameter (</w:t>
      </w:r>
      <m:oMath>
        <m:sSub>
          <m:e>
            <m:r>
              <m:t>λ</m:t>
            </m:r>
          </m:e>
          <m:sub>
            <m:r>
              <m:t>W</m:t>
            </m:r>
          </m:sub>
        </m:sSub>
      </m:oMath>
      <w:r>
        <w:rPr>
          <w:rFonts w:ascii="Times New Roman" w:hAnsi="Times New Roman"/>
          <w:color w:val="000000"/>
          <w:sz w:val="22"/>
        </w:rP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rPr>
          <w:rFonts w:ascii="Times New Roman" w:hAnsi="Times New Roman"/>
          <w:color w:val="000000"/>
          <w:sz w:val="22"/>
        </w:rPr>
        <w:t xml:space="preserve">) drives the framework’s predictive content: the cost structure and the ecotone advantage determine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within-group reward modulates it.</w:t>
      </w:r>
    </w:p>
    <w:p>
      <w:pPr>
        <w:pStyle w:val="BodyText"/>
      </w:pPr>
      <w:r>
        <w:rPr>
          <w:rFonts w:ascii="Times New Roman" w:hAnsi="Times New Roman"/>
          <w:color w:val="000000"/>
          <w:sz w:val="22"/>
        </w:rPr>
        <w:drawing>
          <wp:inline>
            <wp:extent cx="5486400" cy="4671140"/>
            <wp:effectExtent b="0" l="0" r="0" t="0"/>
            <wp:docPr descr="" title="" id="25" name="Picture"/>
            <a:graphic>
              <a:graphicData uri="http://schemas.openxmlformats.org/drawingml/2006/picture">
                <pic:pic>
                  <pic:nvPicPr>
                    <pic:cNvPr descr="/Users/clipo/PycharmProjects/poverty-point-signaling/figures/supplemental/figure_S01_sensitivity_tornado.png" id="26" name="Picture"/>
                    <pic:cNvPicPr>
                      <a:picLocks noChangeArrowheads="1" noChangeAspect="1"/>
                    </pic:cNvPicPr>
                  </pic:nvPicPr>
                  <pic:blipFill>
                    <a:blip r:embed="rId24"/>
                    <a:stretch>
                      <a:fillRect/>
                    </a:stretch>
                  </pic:blipFill>
                  <pic:spPr bwMode="auto">
                    <a:xfrm>
                      <a:off x="0" y="0"/>
                      <a:ext cx="5486400" cy="467114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S1. One-at-a-time sensitivity analysis.</w:t>
      </w:r>
      <w:r>
        <w:rPr>
          <w:rFonts w:ascii="Times New Roman" w:hAnsi="Times New Roman"/>
          <w:color w:val="000000"/>
          <w:sz w:val="20"/>
        </w:rPr>
        <w:t xml:space="preserve"> </w:t>
      </w:r>
      <w:r>
        <w:rPr>
          <w:rFonts w:ascii="Times New Roman" w:hAnsi="Times New Roman"/>
          <w:i/>
          <w:iCs/>
          <w:color w:val="000000"/>
          <w:sz w:val="20"/>
        </w:rPr>
        <w:t xml:space="preserve">Tornado plot showing the swing in the critical threshold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when each model parameter is perturbed by</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its default value 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Bars are sorted by absolute swing magnitude. Baseline</w:t>
      </w:r>
      <w:r>
        <w:rPr>
          <w:rFonts w:ascii="Times New Roman" w:hAnsi="Times New Roman"/>
          <w:i/>
          <w:iCs/>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w:t>
      </w:r>
      <w:r>
        <w:rPr>
          <w:rFonts w:ascii="Times New Roman" w:hAnsi="Times New Roman"/>
          <w:i/>
          <w:iCs/>
          <w:color w:val="000000"/>
          <w:sz w:val="20"/>
        </w:rPr>
        <w:t xml:space="preserve">is marked by the vertical line. Aggregation costs (</w:t>
      </w:r>
      <m:oMath>
        <m:sSub>
          <m:e>
            <m:r>
              <m:t>C</m:t>
            </m:r>
          </m:e>
          <m:sub>
            <m:r>
              <m:t>s</m:t>
            </m:r>
            <m:r>
              <m:t>i</m:t>
            </m:r>
            <m:r>
              <m:t>g</m:t>
            </m:r>
            <m:r>
              <m:t>n</m:t>
            </m:r>
            <m:r>
              <m:t>a</m:t>
            </m:r>
            <m:r>
              <m:t>l</m:t>
            </m:r>
          </m:sub>
        </m:sSub>
      </m:oMath>
      <w:r>
        <w:rPr>
          <w:rFonts w:ascii="Times New Roman" w:hAnsi="Times New Roman"/>
          <w:i/>
          <w:iCs/>
          <w:color w:val="000000"/>
          <w:sz w:val="20"/>
        </w:rPr>
        <w:t xml:space="preserve">, swing 0.225 in</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the ecotone advantage (</w:t>
      </w:r>
      <m:oMath>
        <m:r>
          <m:t>ε</m:t>
        </m:r>
      </m:oMath>
      <w:r>
        <w:rPr>
          <w:rFonts w:ascii="Times New Roman" w:hAnsi="Times New Roman"/>
          <w:i/>
          <w:iCs/>
          <w:color w:val="000000"/>
          <w:sz w:val="20"/>
        </w:rPr>
        <w:t xml:space="preserve">, swing 0.154 across</w:t>
      </w:r>
      <w:r>
        <w:rPr>
          <w:rFonts w:ascii="Times New Roman" w:hAnsi="Times New Roman"/>
          <w:i/>
          <w:iCs/>
          <w:color w:val="000000"/>
          <w:sz w:val="20"/>
        </w:rPr>
        <w:t xml:space="preserve"> </w:t>
      </w:r>
      <m:oMath>
        <m:r>
          <m:rPr>
            <m:sty m:val="p"/>
          </m:rPr>
          <m:t>[</m:t>
        </m:r>
        <m:r>
          <m:t>0.10</m:t>
        </m:r>
        <m:r>
          <m:rPr>
            <m:sty m:val="p"/>
          </m:rPr>
          <m:t>,</m:t>
        </m:r>
        <m:r>
          <m:t>0.50</m:t>
        </m:r>
        <m:r>
          <m:rPr>
            <m:sty m:val="p"/>
          </m:rPr>
          <m:t>]</m:t>
        </m:r>
      </m:oMath>
      <w:r>
        <w:rPr>
          <w:rFonts w:ascii="Times New Roman" w:hAnsi="Times New Roman"/>
          <w:i/>
          <w:iCs/>
          <w:color w:val="000000"/>
          <w:sz w:val="20"/>
        </w:rPr>
        <w:t xml:space="preserve">), the opportunity cost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 0.150), and the within-group reward (</w:t>
      </w:r>
      <m:oMath>
        <m:sSub>
          <m:e>
            <m:r>
              <m:t>λ</m:t>
            </m:r>
          </m:e>
          <m:sub>
            <m:r>
              <m:t>W</m:t>
            </m:r>
          </m:sub>
        </m:sSub>
      </m:oMath>
      <w:r>
        <w:rPr>
          <w:rFonts w:ascii="Times New Roman" w:hAnsi="Times New Roman"/>
          <w:i/>
          <w:iCs/>
          <w:color w:val="000000"/>
          <w:sz w:val="20"/>
        </w:rPr>
        <w:t xml:space="preserve">, 0.137) dominate. Network parameters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and travel cost are moderately sensitive. Monument depreciation (</w:t>
      </w:r>
      <m:oMath>
        <m:r>
          <m:t>δ</m:t>
        </m:r>
      </m:oMath>
      <w:r>
        <w:rPr>
          <w:rFonts w:ascii="Times New Roman" w:hAnsi="Times New Roman"/>
          <w:i/>
          <w:iCs/>
          <w:color w:val="000000"/>
          <w:sz w:val="20"/>
        </w:rPr>
        <w:t xml:space="preserve">), the half-saturation constant (</w:t>
      </w:r>
      <m:oMath>
        <m:sSub>
          <m:e>
            <m:r>
              <m:t>M</m:t>
            </m:r>
          </m:e>
          <m:sub>
            <m:r>
              <m:t>h</m:t>
            </m:r>
            <m:r>
              <m:t>a</m:t>
            </m:r>
            <m:r>
              <m:t>l</m:t>
            </m:r>
            <m:r>
              <m:t>f</m:t>
            </m:r>
          </m:sub>
        </m:sSub>
      </m:oMath>
      <w:r>
        <w:rPr>
          <w:rFonts w:ascii="Times New Roman" w:hAnsi="Times New Roman"/>
          <w:i/>
          <w:iCs/>
          <w:color w:val="000000"/>
          <w:sz w:val="20"/>
        </w:rPr>
        <w:t xml:space="preserve">), and aggregation size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 are effectively insensitive.</w:t>
      </w:r>
      <w:r>
        <w:rPr>
          <w:rFonts w:ascii="Times New Roman" w:hAnsi="Times New Roman"/>
          <w:i/>
          <w:iCs/>
          <w:color w:val="000000"/>
          <w:sz w:val="20"/>
        </w:rPr>
        <w:t xml:space="preserve"> </w:t>
      </w:r>
      <m:oMath>
        <m:sSub>
          <m:e>
            <m:r>
              <m:t>λ</m:t>
            </m:r>
          </m:e>
          <m:sub>
            <m:r>
              <m:t>C</m:t>
            </m:r>
          </m:sub>
        </m:sSub>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t>
      </w:r>
      <w:r>
        <w:rPr>
          <w:rFonts w:ascii="Times New Roman" w:hAnsi="Times New Roman"/>
          <w:i/>
          <w:iCs/>
          <w:color w:val="000000"/>
          <w:sz w:val="20"/>
        </w:rPr>
        <w:t xml:space="preserve">have zero sensitivity in the default formulation because they are endogenously determined by the lambda-sigma feedback loop. Computed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scripts/analysis/oat_sensitivity.py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Joint parameter uncertainty (referenced in main §6.2).</w:t>
      </w:r>
      <w:r>
        <w:rPr>
          <w:rFonts w:ascii="Times New Roman" w:hAnsi="Times New Roman"/>
          <w:color w:val="000000"/>
          <w:sz w:val="22"/>
        </w:rPr>
        <w:t xml:space="preserve"> </w:t>
      </w:r>
      <w:r>
        <w:rPr>
          <w:rFonts w:ascii="Times New Roman" w:hAnsi="Times New Roman"/>
          <w:color w:val="000000"/>
          <w:sz w:val="22"/>
        </w:rPr>
        <w:t xml:space="preserve">The OAT swing magnitudes above support a Monte Carlo propagation of joint parameter uncertainty through the §6.2 Bayesian threshold-proximity test. Sampling</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t>m</m:t>
            </m:r>
            <m:r>
              <m:t>a</m:t>
            </m:r>
            <m:r>
              <m:t>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§6.2 rubric priors on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ecotone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r>
          <m:t>N</m:t>
        </m:r>
        <m:r>
          <m:rPr>
            <m:sty m:val="p"/>
          </m:rPr>
          <m:t>=</m:t>
        </m:r>
        <m:r>
          <m:t>1</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samples yield posterior</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rPr>
          <w:rFonts w:ascii="Times New Roman" w:hAnsi="Times New Roman"/>
          <w:color w:val="000000"/>
          <w:sz w:val="22"/>
        </w:rPr>
        <w:t xml:space="preserve">. This is comparable to the §6.2 baseline rubric-prior result of 0.36 (the propagation slightly raises</w:t>
      </w:r>
      <w:r>
        <w:rPr>
          <w:rFonts w:ascii="Times New Roman" w:hAnsi="Times New Roman"/>
          <w:color w:val="000000"/>
          <w:sz w:val="22"/>
        </w:rPr>
        <w:t xml:space="preserve"> </w:t>
      </w:r>
      <m:oMath>
        <m:r>
          <m:t>P</m:t>
        </m:r>
      </m:oMath>
      <w:r>
        <w:rPr>
          <w:rFonts w:ascii="Times New Roman" w:hAnsi="Times New Roman"/>
          <w:color w:val="000000"/>
          <w:sz w:val="22"/>
        </w:rPr>
        <w:t xml:space="preserve"> </w:t>
      </w:r>
      <w:r>
        <w:rPr>
          <w:rFonts w:ascii="Times New Roman" w:hAnsi="Times New Roman"/>
          <w:color w:val="000000"/>
          <w:sz w:val="22"/>
        </w:rPr>
        <w:t xml:space="preserve">rather than lowers it because lower-cost samples bring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down faster than they bring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down). The posterior on</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95% CI</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straddling zero substantially. The conditioning caveat introduced in main §6.2 is therefore real but bounded: the §6.2 result is robust against adding parameter-set uncertainty over the</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OAT range.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scripts/analysis/joint_parameter_uncertainty.py</w:t>
      </w:r>
      <w:r>
        <w:rPr>
          <w:rFonts w:ascii="Times New Roman" w:hAnsi="Times New Roman"/>
          <w:color w:val="000000"/>
          <w:sz w:val="22"/>
        </w:rPr>
        <w:t xml:space="preserve">, with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results/bayesian/joint_parameter_uncertainty.json</w:t>
      </w:r>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2012247"/>
            <wp:effectExtent b="0" l="0" r="0" t="0"/>
            <wp:docPr descr="" title="" id="28" name="Picture"/>
            <a:graphic>
              <a:graphicData uri="http://schemas.openxmlformats.org/drawingml/2006/picture">
                <pic:pic>
                  <pic:nvPicPr>
                    <pic:cNvPr descr="/Users/clipo/PycharmProjects/poverty-point-signaling/figures/supplemental/figure_S02_joint_mc_diagnostic.png" id="29" name="Picture"/>
                    <pic:cNvPicPr>
                      <a:picLocks noChangeArrowheads="1" noChangeAspect="1"/>
                    </pic:cNvPicPr>
                  </pic:nvPicPr>
                  <pic:blipFill>
                    <a:blip r:embed="rId27"/>
                    <a:stretch>
                      <a:fillRect/>
                    </a:stretch>
                  </pic:blipFill>
                  <pic:spPr bwMode="auto">
                    <a:xfrm>
                      <a:off x="0" y="0"/>
                      <a:ext cx="5486400" cy="201224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S2. Joint Monte Carlo diagnostic for the §6.2 threshold-proximity test.</w:t>
      </w:r>
      <w:r>
        <w:rPr>
          <w:rFonts w:ascii="Times New Roman" w:hAnsi="Times New Roman"/>
          <w:color w:val="000000"/>
          <w:sz w:val="20"/>
        </w:rPr>
        <w:t xml:space="preserve"> </w:t>
      </w:r>
      <w:r>
        <w:rPr>
          <w:rFonts w:ascii="Times New Roman" w:hAnsi="Times New Roman"/>
          <w:i/>
          <w:iCs/>
          <w:color w:val="000000"/>
          <w:sz w:val="20"/>
        </w:rPr>
        <w:t xml:space="preserve">(A) Joint posterior on</w:t>
      </w:r>
      <w:r>
        <w:rPr>
          <w:rFonts w:ascii="Times New Roman" w:hAnsi="Times New Roman"/>
          <w:i/>
          <w:iCs/>
          <w:color w:val="000000"/>
          <w:sz w:val="20"/>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across</w:t>
      </w:r>
      <w:r>
        <w:rPr>
          <w:rFonts w:ascii="Times New Roman" w:hAnsi="Times New Roman"/>
          <w:i/>
          <w:iCs/>
          <w:color w:val="000000"/>
          <w:sz w:val="20"/>
        </w:rPr>
        <w:t xml:space="preserve"> </w:t>
      </w:r>
      <m:oMath>
        <m:r>
          <m:t>N</m:t>
        </m:r>
        <m:r>
          <m:rPr>
            <m:sty m:val="p"/>
          </m:rPr>
          <m:t>=</m:t>
        </m:r>
        <m:r>
          <m:t>1</m:t>
        </m:r>
        <m:r>
          <m:rPr>
            <m:sty m:val="p"/>
          </m:rPr>
          <m:t>,</m:t>
        </m:r>
        <m:r>
          <m:t>000</m:t>
        </m:r>
      </m:oMath>
      <w:r>
        <w:rPr>
          <w:rFonts w:ascii="Times New Roman" w:hAnsi="Times New Roman"/>
          <w:i/>
          <w:iCs/>
          <w:color w:val="000000"/>
          <w:sz w:val="20"/>
        </w:rPr>
        <w:t xml:space="preserve"> </w:t>
      </w:r>
      <w:r>
        <w:rPr>
          <w:rFonts w:ascii="Times New Roman" w:hAnsi="Times New Roman"/>
          <w:i/>
          <w:iCs/>
          <w:color w:val="000000"/>
          <w:sz w:val="20"/>
        </w:rPr>
        <w:t xml:space="preserve">samples drawn from the §6.2 rubric priors on paleoclimate</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and ecotone</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jointly with</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uniform priors on the six model parameters that set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w:t>
      </w:r>
      <m:oMath>
        <m:sSub>
          <m:e>
            <m:r>
              <m:t>C</m:t>
            </m:r>
          </m:e>
          <m:sub>
            <m:r>
              <m:t>s</m:t>
            </m:r>
            <m:r>
              <m:t>i</m:t>
            </m:r>
            <m:r>
              <m:t>g</m:t>
            </m:r>
            <m:r>
              <m:t>n</m:t>
            </m:r>
            <m:r>
              <m:t>a</m:t>
            </m:r>
            <m:r>
              <m:t>l</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C</m:t>
            </m:r>
          </m:e>
          <m:sub>
            <m:r>
              <m:t>o</m:t>
            </m:r>
            <m:r>
              <m:t>p</m:t>
            </m:r>
            <m:r>
              <m:t>p</m:t>
            </m:r>
            <m:r>
              <m:t>o</m:t>
            </m:r>
            <m:r>
              <m:t>r</m:t>
            </m:r>
            <m:r>
              <m:t>t</m:t>
            </m:r>
            <m:r>
              <m:t>u</m:t>
            </m:r>
            <m:r>
              <m:t>n</m:t>
            </m:r>
            <m:r>
              <m:t>i</m:t>
            </m:r>
            <m:r>
              <m:t>t</m:t>
            </m:r>
            <m:r>
              <m:t>y</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k</m:t>
            </m:r>
          </m:e>
          <m:sub>
            <m:r>
              <m:t>m</m:t>
            </m:r>
            <m:r>
              <m:t>a</m:t>
            </m:r>
            <m:r>
              <m:t>x</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M</m:t>
            </m:r>
          </m:e>
          <m:sub>
            <m:r>
              <m:t>h</m:t>
            </m:r>
            <m:r>
              <m:t>a</m:t>
            </m:r>
            <m:r>
              <m:t>l</m:t>
            </m:r>
            <m:r>
              <m:t>f</m:t>
            </m:r>
          </m:sub>
        </m:sSub>
      </m:oMath>
      <w:r>
        <w:rPr>
          <w:rFonts w:ascii="Times New Roman" w:hAnsi="Times New Roman"/>
          <w:i/>
          <w:iCs/>
          <w:color w:val="000000"/>
          <w:sz w:val="20"/>
        </w:rPr>
        <w:t xml:space="preserve">,</w:t>
      </w:r>
      <w:r>
        <w:rPr>
          <w:rFonts w:ascii="Times New Roman" w:hAnsi="Times New Roman"/>
          <w:i/>
          <w:iCs/>
          <w:color w:val="000000"/>
          <w:sz w:val="20"/>
        </w:rPr>
        <w:t xml:space="preserve"> </w:t>
      </w:r>
      <m:oMath>
        <m:r>
          <m:t>γ</m:t>
        </m:r>
      </m:oMath>
      <w:r>
        <w:rPr>
          <w:rFonts w:ascii="Times New Roman" w:hAnsi="Times New Roman"/>
          <w:i/>
          <w:iCs/>
          <w:color w:val="000000"/>
          <w:sz w:val="20"/>
        </w:rPr>
        <w:t xml:space="preserve">). Red dashed line is</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Blue points (above the line) are samples where aggregation is adaptive at the framework’s threshold criterion. Gray points are below. The fraction above the line is</w:t>
      </w:r>
      <w:r>
        <w:rPr>
          <w:rFonts w:ascii="Times New Roman" w:hAnsi="Times New Roman"/>
          <w:i/>
          <w:iCs/>
          <w:color w:val="000000"/>
          <w:sz w:val="20"/>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rFonts w:ascii="Times New Roman" w:hAnsi="Times New Roman"/>
          <w:i/>
          <w:iCs/>
          <w:color w:val="000000"/>
          <w:sz w:val="20"/>
        </w:rPr>
        <w:t xml:space="preserve"> </w:t>
      </w:r>
      <w:r>
        <w:rPr>
          <w:rFonts w:ascii="Times New Roman" w:hAnsi="Times New Roman"/>
          <w:i/>
          <w:iCs/>
          <w:color w:val="000000"/>
          <w:sz w:val="20"/>
        </w:rPr>
        <w:t xml:space="preserve">at this MC seed (0.33-0.36 across seeds; the §6.2 prose reports the lower-bound seed result of 0.33). (B) Marginal posterior on</w:t>
      </w:r>
      <w:r>
        <w:rPr>
          <w:rFonts w:ascii="Times New Roman" w:hAnsi="Times New Roman"/>
          <w:i/>
          <w:iCs/>
          <w:color w:val="000000"/>
          <w:sz w:val="20"/>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(blue) overlaid against the priors-only baseline at fixed default parameters (gray). Adding parameter-set uncertainty broadens the marginal moderately and raises</w:t>
      </w:r>
      <w:r>
        <w:rPr>
          <w:rFonts w:ascii="Times New Roman" w:hAnsi="Times New Roman"/>
          <w:i/>
          <w:iCs/>
          <w:color w:val="000000"/>
          <w:sz w:val="20"/>
        </w:rPr>
        <w:t xml:space="preserve"> </w:t>
      </w:r>
      <m:oMath>
        <m:r>
          <m:t>P</m:t>
        </m:r>
      </m:oMath>
      <w:r>
        <w:rPr>
          <w:rFonts w:ascii="Times New Roman" w:hAnsi="Times New Roman"/>
          <w:i/>
          <w:iCs/>
          <w:color w:val="000000"/>
          <w:sz w:val="20"/>
        </w:rPr>
        <w:t xml:space="preserve"> </w:t>
      </w:r>
      <w:r>
        <w:rPr>
          <w:rFonts w:ascii="Times New Roman" w:hAnsi="Times New Roman"/>
          <w:i/>
          <w:iCs/>
          <w:color w:val="000000"/>
          <w:sz w:val="20"/>
        </w:rPr>
        <w:t xml:space="preserve">from 0.26 (priors only) to 0.36 (joint), confirming that the parameter-set conditioning caveat is real but bounded. Red dashed line at zero. (C) Per-parameter posterior 95% CI conditional on the above-threshold subset (blue bars) vs the full</w:t>
      </w:r>
      <w:r>
        <w:rPr>
          <w:rFonts w:ascii="Times New Roman" w:hAnsi="Times New Roman"/>
          <w:i/>
          <w:iCs/>
          <w:color w:val="000000"/>
          <w:sz w:val="20"/>
        </w:rPr>
        <w:t xml:space="preserve"> </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rFonts w:ascii="Times New Roman" w:hAnsi="Times New Roman"/>
          <w:i/>
          <w:iCs/>
          <w:color w:val="000000"/>
          <w:sz w:val="20"/>
        </w:rPr>
        <w:t xml:space="preserve"> </w:t>
      </w:r>
      <w:r>
        <w:rPr>
          <w:rStyle w:val="VerbatimChar"/>
          <w:rFonts w:ascii="Times New Roman" w:hAnsi="Times New Roman"/>
          <w:i/>
          <w:iCs/>
          <w:color w:val="000000"/>
          <w:sz w:val="20"/>
        </w:rPr>
        <w:t xml:space="preserve">scripts/figure_generation/create_figure_joint_mc_diagnostic.py</w:t>
      </w:r>
      <w:r>
        <w:rPr>
          <w:rFonts w:ascii="Times New Roman" w:hAnsi="Times New Roman"/>
          <w:i/>
          <w:iCs/>
          <w:color w:val="000000"/>
          <w:sz w:val="20"/>
        </w:rPr>
        <w:t xml:space="preserve">.</w:t>
      </w:r>
    </w:p>
    <w:p>
      <w:pPr>
        <w:pStyle w:val="BodyText"/>
      </w:pPr>
      <w:r>
        <w:rPr>
          <w:rFonts w:ascii="Times New Roman" w:hAnsi="Times New Roman"/>
          <w:b/>
          <w:bCs/>
          <w:color w:val="000000"/>
          <w:sz w:val="22"/>
        </w:rPr>
        <w:t xml:space="preserve">Network-density coupling strength</w:t>
      </w:r>
      <w:r>
        <w:rPr>
          <w:rFonts w:ascii="Times New Roman" w:hAnsi="Times New Roman"/>
          <w:b/>
          <w:bCs/>
          <w:color w:val="000000"/>
          <w:sz w:val="22"/>
        </w:rPr>
        <w:t xml:space="preserve"> </w:t>
      </w:r>
      <m:oMath>
        <m:sSub>
          <m:e>
            <m:r>
              <m:t>β</m:t>
            </m:r>
          </m:e>
          <m:sub>
            <m:r>
              <m:rPr>
                <m:nor/>
                <m:sty m:val="p"/>
              </m:rPr>
              <m:t>net</m:t>
            </m:r>
          </m:sub>
        </m:sSub>
      </m:oMath>
      <w:r>
        <w:rPr>
          <w:rFonts w:ascii="Times New Roman" w:hAnsi="Times New Roman"/>
          <w:b/>
          <w:bCs/>
          <w:color w:val="000000"/>
          <w:sz w:val="22"/>
        </w:rPr>
        <w:t xml:space="preserve"> </w:t>
      </w:r>
      <w:r>
        <w:rPr>
          <w:rFonts w:ascii="Times New Roman" w:hAnsi="Times New Roman"/>
          <w:b/>
          <w:bCs/>
          <w:color w:val="000000"/>
          <w:sz w:val="22"/>
        </w:rPr>
        <w:t xml:space="preserve">(added per peer-review feedback).</w:t>
      </w:r>
      <w:r>
        <w:rPr>
          <w:rFonts w:ascii="Times New Roman" w:hAnsi="Times New Roman"/>
          <w:color w:val="000000"/>
          <w:sz w:val="22"/>
        </w:rPr>
        <w:t xml:space="preserve"> </w:t>
      </w:r>
      <w:r>
        <w:rPr>
          <w:rFonts w:ascii="Times New Roman" w:hAnsi="Times New Roman"/>
          <w:color w:val="000000"/>
          <w:sz w:val="22"/>
        </w:rPr>
        <w:t xml:space="preserve">The network-density coupling parameter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governs the strength with which realized network density</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augments the gathering-site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sSub>
          <m:e>
            <m:r>
              <m:t>ε</m:t>
            </m:r>
          </m:e>
          <m:sub>
            <m:r>
              <m:rPr>
                <m:nor/>
                <m:sty m:val="p"/>
              </m:rPr>
              <m:t>eff</m:t>
            </m:r>
          </m:sub>
        </m:sSub>
        <m:r>
          <m:rPr>
            <m:sty m:val="p"/>
          </m:rPr>
          <m:t>=</m:t>
        </m:r>
        <m:r>
          <m:t>ε</m:t>
        </m:r>
        <m:r>
          <m:rPr>
            <m:sty m:val="p"/>
          </m:rPr>
          <m:t>+</m:t>
        </m:r>
        <m:r>
          <m:rPr>
            <m:sty m:val="p"/>
          </m:rPr>
          <m:t>(</m:t>
        </m:r>
        <m:r>
          <m:t>1</m:t>
        </m:r>
        <m:r>
          <m:rPr>
            <m:sty m:val="p"/>
          </m:rPr>
          <m:t>−</m:t>
        </m:r>
        <m:r>
          <m:t>ε</m:t>
        </m:r>
        <m:r>
          <m:rPr>
            <m:sty m:val="p"/>
          </m:rPr>
          <m:t>)</m:t>
        </m:r>
        <m:r>
          <m:rPr>
            <m:sty m:val="p"/>
          </m:rPr>
          <m:t>⋅</m:t>
        </m:r>
        <m:sSub>
          <m:e>
            <m:r>
              <m:t>β</m:t>
            </m:r>
          </m:e>
          <m:sub>
            <m:r>
              <m:rPr>
                <m:nor/>
                <m:sty m:val="p"/>
              </m:rPr>
              <m:t>net</m:t>
            </m:r>
          </m:sub>
        </m:sSub>
        <m:r>
          <m:rPr>
            <m:sty m:val="p"/>
          </m:rPr>
          <m:t>⋅</m:t>
        </m:r>
        <m:r>
          <m:t>ρ</m:t>
        </m:r>
      </m:oMath>
      <w:r>
        <w:rPr>
          <w:rFonts w:ascii="Times New Roman" w:hAnsi="Times New Roman"/>
          <w:color w:val="000000"/>
          <w:sz w:val="22"/>
        </w:rPr>
        <w:t xml:space="preserve">; §S1.6). It does not appear directly in the OAT tornado above because the OAT plot is generated against the analytical</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function, which takes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input.</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enters in the ABM through its modulation of the effective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runtime. To make the</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sensitivity transparent, we compute the 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the equivalent</w:t>
      </w:r>
      <w:r>
        <w:rPr>
          <w:rFonts w:ascii="Times New Roman" w:hAnsi="Times New Roman"/>
          <w:color w:val="000000"/>
          <w:sz w:val="22"/>
        </w:rPr>
        <w:t xml:space="preserve"> </w:t>
      </w:r>
      <m:oMath>
        <m:sSub>
          <m:e>
            <m:r>
              <m:t>ε</m:t>
            </m:r>
          </m:e>
          <m:sub>
            <m:r>
              <m:rPr>
                <m:nor/>
                <m:sty m:val="p"/>
              </m:rPr>
              <m:t>eff</m:t>
            </m:r>
          </m:sub>
        </m:sSub>
      </m:oMath>
      <w:r>
        <w:rPr>
          <w:rFonts w:ascii="Times New Roman" w:hAnsi="Times New Roman"/>
          <w:color w:val="000000"/>
          <w:sz w:val="22"/>
        </w:rPr>
        <w:t xml:space="preserve"> </w:t>
      </w:r>
      <w:r>
        <w:rPr>
          <w:rFonts w:ascii="Times New Roman" w:hAnsi="Times New Roman"/>
          <w:color w:val="000000"/>
          <w:sz w:val="22"/>
        </w:rPr>
        <w:t xml:space="preserve">values for</w:t>
      </w:r>
      <w:r>
        <w:rPr>
          <w:rFonts w:ascii="Times New Roman" w:hAnsi="Times New Roman"/>
          <w:color w:val="000000"/>
          <w:sz w:val="22"/>
        </w:rPr>
        <w:t xml:space="preserve"> </w:t>
      </w:r>
      <m:oMath>
        <m:r>
          <m:t>ρ</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(fully connected, the worst case for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influence). Across</w:t>
      </w:r>
      <w:r>
        <w:rPr>
          <w:rFonts w:ascii="Times New Roman" w:hAnsi="Times New Roman"/>
          <w:color w:val="000000"/>
          <w:sz w:val="22"/>
        </w:rPr>
        <w:t xml:space="preserve"> </w:t>
      </w:r>
      <m:oMath>
        <m:sSub>
          <m:e>
            <m:r>
              <m:t>β</m:t>
            </m:r>
          </m:e>
          <m:sub>
            <m:r>
              <m:rPr>
                <m:nor/>
                <m:sty m:val="p"/>
              </m:rPr>
              <m:t>net</m:t>
            </m:r>
          </m:sub>
        </m:sSub>
        <m:r>
          <m:rPr>
            <m:sty m:val="p"/>
          </m:rPr>
          <m:t>∈</m:t>
        </m:r>
        <m:r>
          <m:rPr>
            <m:sty m:val="p"/>
          </m:rPr>
          <m:t>{</m:t>
        </m:r>
        <m:r>
          <m:t>0</m:t>
        </m:r>
        <m:r>
          <m:rPr>
            <m:sty m:val="p"/>
          </m:rPr>
          <m:t>,</m:t>
        </m:r>
        <m:r>
          <m:t>0.25</m:t>
        </m:r>
        <m:r>
          <m:rPr>
            <m:sty m:val="p"/>
          </m:rPr>
          <m:t>,</m:t>
        </m:r>
        <m:r>
          <m:t>0.5</m:t>
        </m:r>
        <m:r>
          <m:rPr>
            <m:sty m:val="p"/>
          </m:rPr>
          <m:t>,</m:t>
        </m:r>
        <m:r>
          <m:t>0.75</m:t>
        </m:r>
        <m:r>
          <m:rPr>
            <m:sty m:val="p"/>
          </m:rPr>
          <m:t>,</m:t>
        </m:r>
        <m:r>
          <m:t>1.0</m:t>
        </m:r>
        <m:r>
          <m:rPr>
            <m:sty m:val="p"/>
          </m:rPr>
          <m:t>}</m:t>
        </m:r>
      </m:oMath>
      <w:r>
        <w:rPr>
          <w:rFonts w:ascii="Times New Roman" w:hAnsi="Times New Roman"/>
          <w:color w:val="000000"/>
          <w:sz w:val="22"/>
        </w:rPr>
        <w:t xml:space="preserve">, 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are</w:t>
      </w:r>
      <w:r>
        <w:rPr>
          <w:rFonts w:ascii="Times New Roman" w:hAnsi="Times New Roman"/>
          <w:color w:val="000000"/>
          <w:sz w:val="22"/>
        </w:rPr>
        <w:t xml:space="preserve"> </w:t>
      </w:r>
      <m:oMath>
        <m:r>
          <m:rPr>
            <m:sty m:val="p"/>
          </m:rPr>
          <m:t>{</m:t>
        </m:r>
        <m:r>
          <m:t>0.40</m:t>
        </m:r>
        <m:r>
          <m:rPr>
            <m:sty m:val="p"/>
          </m:rPr>
          <m:t>,</m:t>
        </m:r>
        <m:r>
          <m:t>0.35</m:t>
        </m:r>
        <m:r>
          <m:rPr>
            <m:sty m:val="p"/>
          </m:rPr>
          <m:t>,</m:t>
        </m:r>
        <m:r>
          <m:t>0.31</m:t>
        </m:r>
        <m:r>
          <m:rPr>
            <m:sty m:val="p"/>
          </m:rPr>
          <m:t>,</m:t>
        </m:r>
        <m:r>
          <m:t>0.28</m:t>
        </m:r>
        <m:r>
          <m:rPr>
            <m:sty m:val="p"/>
          </m:rPr>
          <m:t>,</m:t>
        </m:r>
        <m:r>
          <m:t>0.26</m:t>
        </m:r>
        <m:r>
          <m:rPr>
            <m:sty m:val="p"/>
          </m:rPr>
          <m:t>}</m:t>
        </m:r>
      </m:oMath>
      <w:r>
        <w:rPr>
          <w:rFonts w:ascii="Times New Roman" w:hAnsi="Times New Roman"/>
          <w:color w:val="000000"/>
          <w:sz w:val="22"/>
        </w:rPr>
        <w:t xml:space="preserve">, a swing of about 0.14 from</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(no network-density coupling) to</w:t>
      </w:r>
      <w:r>
        <w:rPr>
          <w:rFonts w:ascii="Times New Roman" w:hAnsi="Times New Roman"/>
          <w:color w:val="000000"/>
          <w:sz w:val="22"/>
        </w:rPr>
        <w:t xml:space="preserve"> </w:t>
      </w:r>
      <m:oMath>
        <m:sSub>
          <m:e>
            <m:r>
              <m:t>β</m:t>
            </m:r>
          </m:e>
          <m:sub>
            <m:r>
              <m:rPr>
                <m:nor/>
                <m:sty m:val="p"/>
              </m:rPr>
              <m:t>net</m:t>
            </m:r>
          </m:sub>
        </m:sSub>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(maximal coupling). The canonical</w:t>
      </w:r>
      <w:r>
        <w:rPr>
          <w:rFonts w:ascii="Times New Roman" w:hAnsi="Times New Roman"/>
          <w:color w:val="000000"/>
          <w:sz w:val="22"/>
        </w:rPr>
        <w:t xml:space="preserve"> </w:t>
      </w:r>
      <m:oMath>
        <m:sSub>
          <m:e>
            <m:r>
              <m:t>β</m:t>
            </m:r>
          </m:e>
          <m:sub>
            <m:r>
              <m:rPr>
                <m:nor/>
                <m:sty m:val="p"/>
              </m:rPr>
              <m:t>net</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used throughout this paper sits in the middle of this range and produces a threshold of</w:t>
      </w:r>
      <w:r>
        <w:rPr>
          <w:rFonts w:ascii="Times New Roman" w:hAnsi="Times New Roman"/>
          <w:color w:val="000000"/>
          <w:sz w:val="22"/>
        </w:rPr>
        <w:t xml:space="preserve"> </w:t>
      </w:r>
      <m:oMath>
        <m:sSup>
          <m:e>
            <m:r>
              <m:t>σ</m:t>
            </m:r>
          </m:e>
          <m:sup>
            <m:r>
              <m:rPr>
                <m:sty m:val="p"/>
              </m:rPr>
              <m:t>*</m:t>
            </m:r>
          </m:sup>
        </m:sSup>
        <m:r>
          <m:rPr>
            <m:sty m:val="p"/>
          </m:rPr>
          <m:t>=</m:t>
        </m:r>
        <m:r>
          <m:t>0.31</m:t>
        </m:r>
      </m:oMath>
      <w:r>
        <w:rPr>
          <w:rFonts w:ascii="Times New Roman" w:hAnsi="Times New Roman"/>
          <w:color w:val="000000"/>
          <w:sz w:val="22"/>
        </w:rPr>
        <w:t xml:space="preserve"> </w:t>
      </w:r>
      <w:r>
        <w:rPr>
          <w:rFonts w:ascii="Times New Roman" w:hAnsi="Times New Roman"/>
          <w:color w:val="000000"/>
          <w:sz w:val="22"/>
        </w:rPr>
        <w:t xml:space="preserve">at fully connected</w:t>
      </w:r>
      <w:r>
        <w:rPr>
          <w:rFonts w:ascii="Times New Roman" w:hAnsi="Times New Roman"/>
          <w:color w:val="000000"/>
          <w:sz w:val="22"/>
        </w:rPr>
        <w:t xml:space="preserve"> </w:t>
      </w:r>
      <m:oMath>
        <m:r>
          <m:t>ρ</m:t>
        </m:r>
      </m:oMath>
      <w:r>
        <w:rPr>
          <w:rFonts w:ascii="Times New Roman" w:hAnsi="Times New Roman"/>
          <w:color w:val="000000"/>
          <w:sz w:val="22"/>
        </w:rPr>
        <w:t xml:space="preserve">. In practice, realized</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in the simulated PP scenario is in the 0.2-0.5 range rather than at 1.0, so the actual ABM threshold sits between the</w:t>
      </w:r>
      <w:r>
        <w:rPr>
          <w:rFonts w:ascii="Times New Roman" w:hAnsi="Times New Roman"/>
          <w:color w:val="000000"/>
          <w:sz w:val="22"/>
        </w:rPr>
        <w:t xml:space="preserve"> </w:t>
      </w:r>
      <m:oMath>
        <m:sSub>
          <m:e>
            <m:r>
              <m:t>β</m:t>
            </m:r>
          </m:e>
          <m:sub>
            <m:r>
              <m:rPr>
                <m:nor/>
                <m:sty m:val="p"/>
              </m:rPr>
              <m:t>net</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analytical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of 0.40 and the worst-case fully-connected value, consistent with the realized-</w:t>
      </w:r>
      <m:oMath>
        <m:sSubSup>
          <m:e>
            <m:r>
              <m:t>σ</m:t>
            </m:r>
          </m:e>
          <m:sub>
            <m:r>
              <m:rPr>
                <m:nor/>
                <m:sty m:val="p"/>
              </m:rPr>
              <m:t>eff</m:t>
            </m:r>
          </m:sub>
          <m:sup>
            <m:r>
              <m:rPr>
                <m:sty m:val="p"/>
              </m:rPr>
              <m:t>*</m:t>
            </m:r>
          </m:sup>
        </m:sSubSup>
        <m:r>
          <m:rPr>
            <m:sty m:val="p"/>
          </m:rPr>
          <m:t>≈</m:t>
        </m:r>
        <m:r>
          <m:t>0.41</m:t>
        </m:r>
      </m:oMath>
      <w:r>
        <w:rPr>
          <w:rFonts w:ascii="Times New Roman" w:hAnsi="Times New Roman"/>
          <w:color w:val="000000"/>
          <w:sz w:val="22"/>
        </w:rPr>
        <w:t xml:space="preserve">-</w:t>
      </w:r>
      <m:oMath>
        <m:r>
          <m:t>0.42</m:t>
        </m:r>
      </m:oMath>
      <w:r>
        <w:rPr>
          <w:rFonts w:ascii="Times New Roman" w:hAnsi="Times New Roman"/>
          <w:color w:val="000000"/>
          <w:sz w:val="22"/>
        </w:rPr>
        <w:t xml:space="preserve"> </w:t>
      </w:r>
      <w:r>
        <w:rPr>
          <w:rFonts w:ascii="Times New Roman" w:hAnsi="Times New Roman"/>
          <w:color w:val="000000"/>
          <w:sz w:val="22"/>
        </w:rPr>
        <w:t xml:space="preserve">reported in §4.3 and Table S7.1. The qualitative phase-transition signal is robust to</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choice across the full</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range. A smaller</w:t>
      </w:r>
      <w:r>
        <w:rPr>
          <w:rFonts w:ascii="Times New Roman" w:hAnsi="Times New Roman"/>
          <w:color w:val="000000"/>
          <w:sz w:val="22"/>
        </w:rPr>
        <w:t xml:space="preserve"> </w:t>
      </w:r>
      <m:oMath>
        <m:sSub>
          <m:e>
            <m:r>
              <m:t>β</m:t>
            </m:r>
          </m:e>
          <m:sub>
            <m:r>
              <m:rPr>
                <m:nor/>
                <m:sty m:val="p"/>
              </m:rPr>
              <m:t>net</m:t>
            </m:r>
          </m:sub>
        </m:sSub>
      </m:oMath>
      <w:r>
        <w:rPr>
          <w:rFonts w:ascii="Times New Roman" w:hAnsi="Times New Roman"/>
          <w:color w:val="000000"/>
          <w:sz w:val="22"/>
        </w:rPr>
        <w:t xml:space="preserve"> </w:t>
      </w:r>
      <w:r>
        <w:rPr>
          <w:rFonts w:ascii="Times New Roman" w:hAnsi="Times New Roman"/>
          <w:color w:val="000000"/>
          <w:sz w:val="22"/>
        </w:rPr>
        <w:t xml:space="preserve">shifts the analytical threshold up. A larger one shifts it down. Neither reverses the threshold-crossing structure of the framework’s predictions.</w:t>
      </w:r>
    </w:p>
    <w:p>
      <w:pPr>
        <w:pStyle w:val="BodyText"/>
      </w:pPr>
      <w:r>
        <w:rPr>
          <w:rFonts w:ascii="Times New Roman" w:hAnsi="Times New Roman"/>
          <w:b/>
          <w:bCs/>
          <w:color w:val="000000"/>
          <w:sz w:val="22"/>
        </w:rPr>
        <w:t xml:space="preserve">Convergence diagnostics under perturbed draws.</w:t>
      </w:r>
      <w:r>
        <w:rPr>
          <w:rFonts w:ascii="Times New Roman" w:hAnsi="Times New Roman"/>
          <w:color w:val="000000"/>
          <w:sz w:val="22"/>
        </w:rPr>
        <w:t xml:space="preserve"> </w:t>
      </w:r>
      <w:r>
        <w:rPr>
          <w:rFonts w:ascii="Times New Roman" w:hAnsi="Times New Roman"/>
          <w:color w:val="000000"/>
          <w:sz w:val="22"/>
        </w:rPr>
        <w:t xml:space="preserve">The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rPr>
          <w:rFonts w:ascii="Times New Roman" w:hAnsi="Times New Roman"/>
          <w:color w:val="000000"/>
          <w:sz w:val="22"/>
        </w:rPr>
        <w:t xml:space="preserve">) within the iteration cap of 100 steps. Mean iteration count across the joint MC was 18.4 (SD 2.1, max 23). No sample failed to converge. Brent’s method bracketed a sign change in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all 1,000 samples and returned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to within</w:t>
      </w:r>
      <w:r>
        <w:rPr>
          <w:rFonts w:ascii="Times New Roman" w:hAnsi="Times New Roman"/>
          <w:color w:val="000000"/>
          <w:sz w:val="22"/>
        </w:rPr>
        <w:t xml:space="preserve"> </w:t>
      </w:r>
      <m:oMath>
        <m:sSup>
          <m:e>
            <m:r>
              <m:t>10</m:t>
            </m:r>
          </m:e>
          <m:sup>
            <m:r>
              <m:rPr>
                <m:sty m:val="p"/>
              </m:rPr>
              <m:t>−</m:t>
            </m:r>
            <m:r>
              <m:t>4</m:t>
            </m:r>
          </m:sup>
        </m:sSup>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Across the OAT swings (parameter perturbed to</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all others held at default), the same fixed-point convergence holds: mean iteration count 17.6 (SD 1.8, max 22) across 26 parameter</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rPr>
          <w:rFonts w:ascii="Times New Roman" w:hAnsi="Times New Roman"/>
          <w:b w:val="0"/>
          <w:i w:val="0"/>
          <w:color w:val="000000"/>
          <w:sz w:val="22"/>
          <w:u w:val="single"/>
        </w:rPr>
        <w:t xml:space="preserve">S3.2 Aggregation size</w:t>
      </w:r>
    </w:p>
    <w:p>
      <w:pPr>
        <w:pStyle w:val="FirstParagraph"/>
      </w:pPr>
      <w:r>
        <w:rPr>
          <w:rFonts w:ascii="Times New Roman" w:hAnsi="Times New Roman"/>
          <w:color w:val="000000"/>
          <w:sz w:val="22"/>
        </w:rPr>
        <w:t xml:space="preserve">The critical threshold drops sharply with aggregation size, from</w:t>
      </w:r>
      <w:r>
        <w:rPr>
          <w:rFonts w:ascii="Times New Roman" w:hAnsi="Times New Roman"/>
          <w:color w:val="000000"/>
          <w:sz w:val="22"/>
        </w:rPr>
        <w:t xml:space="preserve"> </w:t>
      </w:r>
      <m:oMath>
        <m:sSup>
          <m:e>
            <m:r>
              <m:t>σ</m:t>
            </m:r>
          </m:e>
          <m:sup>
            <m:r>
              <m:rPr>
                <m:sty m:val="p"/>
              </m:rPr>
              <m:t>*</m:t>
            </m:r>
          </m:sup>
        </m:sSup>
        <m:r>
          <m:rPr>
            <m:sty m:val="p"/>
          </m:rPr>
          <m:t>≈</m:t>
        </m:r>
        <m:r>
          <m:t>0.55</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10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n</m:t>
        </m:r>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(Poverty Point ecotone advantage). Below</w:t>
      </w:r>
      <w:r>
        <w:rPr>
          <w:rFonts w:ascii="Times New Roman" w:hAnsi="Times New Roman"/>
          <w:color w:val="000000"/>
          <w:sz w:val="22"/>
        </w:rPr>
        <w:t xml:space="preserve"> </w:t>
      </w:r>
      <m:oMath>
        <m:r>
          <m:t>n</m:t>
        </m:r>
        <m:r>
          <m:rPr>
            <m:sty m:val="p"/>
          </m:rPr>
          <m:t>=</m:t>
        </m:r>
        <m:r>
          <m:t>15</m:t>
        </m:r>
      </m:oMath>
      <w:r>
        <w:rPr>
          <w:rFonts w:ascii="Times New Roman" w:hAnsi="Times New Roman"/>
          <w:color w:val="000000"/>
          <w:sz w:val="22"/>
        </w:rPr>
        <w:t xml:space="preserve">, even high uncertainty fails to make signaling adaptive, because cooperation benefits are insufficient to offset costs.</w:t>
      </w:r>
    </w:p>
    <w:bookmarkEnd w:id="31"/>
    <w:bookmarkStart w:id="32" w:name="s3.3-signaling-cost"/>
    <w:p>
      <w:pPr>
        <w:pStyle w:val="Heading3"/>
      </w:pPr>
      <w:r>
        <w:rPr>
          <w:rFonts w:ascii="Times New Roman" w:hAnsi="Times New Roman"/>
          <w:b w:val="0"/>
          <w:i w:val="0"/>
          <w:color w:val="000000"/>
          <w:sz w:val="22"/>
          <w:u w:val="single"/>
        </w:rPr>
        <w:t xml:space="preserve">S3.3 Signaling cost</w:t>
      </w:r>
    </w:p>
    <w:p>
      <w:pPr>
        <w:pStyle w:val="FirstParagraph"/>
      </w:pPr>
      <w:r>
        <w:rPr>
          <w:rFonts w:ascii="Times New Roman" w:hAnsi="Times New Roman"/>
          <w:color w:val="000000"/>
          <w:sz w:val="22"/>
        </w:rPr>
        <w:t xml:space="preserve">At low costs (</w:t>
      </w:r>
      <m:oMath>
        <m:sSub>
          <m:e>
            <m:r>
              <m:t>C</m:t>
            </m:r>
          </m:e>
          <m:sub>
            <m:r>
              <m:t>s</m:t>
            </m:r>
            <m:r>
              <m:t>i</m:t>
            </m:r>
            <m:r>
              <m:t>g</m:t>
            </m:r>
            <m:r>
              <m:t>n</m:t>
            </m:r>
            <m:r>
              <m:t>a</m:t>
            </m:r>
            <m:r>
              <m:t>l</m:t>
            </m:r>
          </m:sub>
        </m:sSub>
        <m:r>
          <m:rPr>
            <m:sty m:val="p"/>
          </m:rPr>
          <m:t>&lt;</m:t>
        </m:r>
        <m:r>
          <m:t>0.10</m:t>
        </m:r>
      </m:oMath>
      <w:r>
        <w:rPr>
          <w:rFonts w:ascii="Times New Roman" w:hAnsi="Times New Roman"/>
          <w:color w:val="000000"/>
          <w:sz w:val="22"/>
        </w:rPr>
        <w:t xml:space="preserve">), aggregation becomes adaptive under mild uncertainty (</w:t>
      </w:r>
      <m:oMath>
        <m:sSup>
          <m:e>
            <m:r>
              <m:t>σ</m:t>
            </m:r>
          </m:e>
          <m:sup>
            <m:r>
              <m:rPr>
                <m:sty m:val="p"/>
              </m:rPr>
              <m:t>*</m:t>
            </m:r>
          </m:sup>
        </m:sSup>
        <m:r>
          <m:rPr>
            <m:sty m:val="p"/>
          </m:rPr>
          <m:t>&lt;</m:t>
        </m:r>
        <m:r>
          <m:t>0.45</m:t>
        </m:r>
      </m:oMath>
      <w:r>
        <w:rPr>
          <w:rFonts w:ascii="Times New Roman" w:hAnsi="Times New Roman"/>
          <w:color w:val="000000"/>
          <w:sz w:val="22"/>
        </w:rPr>
        <w:t xml:space="preserve">). At high costs (</w:t>
      </w:r>
      <m:oMath>
        <m:r>
          <m:rPr>
            <m:sty m:val="p"/>
          </m:rPr>
          <m:t>&gt;</m:t>
        </m:r>
        <m:r>
          <m:t>0.30</m:t>
        </m:r>
      </m:oMath>
      <w:r>
        <w:rPr>
          <w:rFonts w:ascii="Times New Roman" w:hAnsi="Times New Roman"/>
          <w:color w:val="000000"/>
          <w:sz w:val="22"/>
        </w:rP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rPr>
          <w:rFonts w:ascii="Times New Roman" w:hAnsi="Times New Roman"/>
          <w:b w:val="0"/>
          <w:i w:val="0"/>
          <w:color w:val="000000"/>
          <w:sz w:val="22"/>
          <w:u w:val="single"/>
        </w:rPr>
        <w:t xml:space="preserve">S3.4 Disease costs</w:t>
      </w:r>
    </w:p>
    <w:p>
      <w:pPr>
        <w:pStyle w:val="FirstParagraph"/>
      </w:pPr>
      <w:r>
        <w:rPr>
          <w:rFonts w:ascii="Times New Roman" w:hAnsi="Times New Roman"/>
          <w:color w:val="000000"/>
          <w:sz w:val="22"/>
        </w:rPr>
        <w:t xml:space="preserve">Adding a 5-10% disease cost to aggregation raises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rPr>
          <w:rFonts w:ascii="Times New Roman" w:hAnsi="Times New Roman"/>
          <w:b w:val="0"/>
          <w:i w:val="0"/>
          <w:color w:val="000000"/>
          <w:sz w:val="22"/>
          <w:u w:val="single"/>
        </w:rPr>
        <w:t xml:space="preserve">S3.5 Ecotone advantage</w:t>
      </w:r>
    </w:p>
    <w:p>
      <w:pPr>
        <w:pStyle w:val="FirstParagraph"/>
      </w:pPr>
      <w:r>
        <w:rPr>
          <w:rFonts w:ascii="Times New Roman" w:hAnsi="Times New Roman"/>
          <w:color w:val="000000"/>
          <w:sz w:val="22"/>
        </w:rPr>
        <w:t xml:space="preserve">The model is most sensitive to the asserted ecotone advantage. At</w:t>
      </w:r>
      <w:r>
        <w:rPr>
          <w:rFonts w:ascii="Times New Roman" w:hAnsi="Times New Roman"/>
          <w:color w:val="000000"/>
          <w:sz w:val="22"/>
        </w:rPr>
        <w:t xml:space="preserve"> </w:t>
      </w:r>
      <m:oMath>
        <m:r>
          <m:t>ε</m:t>
        </m:r>
        <m:r>
          <m:rPr>
            <m:sty m:val="p"/>
          </m:rPr>
          <m:t>=</m:t>
        </m:r>
        <m:r>
          <m:t>0.20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~0.50, still below typical regional estimates but with reduced margin. At</w:t>
      </w:r>
      <w:r>
        <w:rPr>
          <w:rFonts w:ascii="Times New Roman" w:hAnsi="Times New Roman"/>
          <w:color w:val="000000"/>
          <w:sz w:val="22"/>
        </w:rPr>
        <w:t xml:space="preserve"> </w:t>
      </w:r>
      <m:oMath>
        <m:r>
          <m:t>ε</m:t>
        </m:r>
        <m:r>
          <m:rPr>
            <m:sty m:val="p"/>
          </m:rPr>
          <m:t>=</m:t>
        </m:r>
        <m:r>
          <m:t>0</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rises to ~0.57, comparable to mid-Holocene LMV</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estimates. The empirical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across LMV sites is developed in the regional empirical paper.</w:t>
      </w:r>
    </w:p>
    <w:bookmarkEnd w:id="34"/>
    <w:bookmarkStart w:id="35" w:name="s3.6-coupling-form-sensitivity"/>
    <w:p>
      <w:pPr>
        <w:pStyle w:val="Heading3"/>
      </w:pPr>
      <w:r>
        <w:rPr>
          <w:rFonts w:ascii="Times New Roman" w:hAnsi="Times New Roman"/>
          <w:b w:val="0"/>
          <w:i w:val="0"/>
          <w:color w:val="000000"/>
          <w:sz w:val="22"/>
          <w:u w:val="single"/>
        </w:rPr>
        <w:t xml:space="preserve">S3.6 Coupling-form sensitivity</w:t>
      </w:r>
    </w:p>
    <w:p>
      <w:pPr>
        <w:pStyle w:val="FirstParagraph"/>
      </w:pPr>
      <w:r>
        <w:rPr>
          <w:rFonts w:ascii="Times New Roman" w:hAnsi="Times New Roman"/>
          <w:color w:val="000000"/>
          <w:sz w:val="22"/>
        </w:rPr>
        <w:t xml:space="preserve">The aggregator fitness function combines vulnerability and shortfall severity through the multiplicative term</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The main text §3 (paragraph following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flags that this is one of three couplings discussed in the risk-pooling literature, the others being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Here we document the result of substituting each alternative into the existing fitness machinery and explain why the multiplicative form is the principled choice given the meanings of the two factors.</w:t>
      </w:r>
    </w:p>
    <w:p>
      <w:pPr>
        <w:pStyle w:val="BodyText"/>
      </w:pPr>
      <w:r>
        <w:rPr>
          <w:rFonts w:ascii="Times New Roman" w:hAnsi="Times New Roman"/>
          <w:color w:val="000000"/>
          <w:sz w:val="22"/>
        </w:rPr>
        <w:t xml:space="preserve">Computing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under each coupling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all other parameters at their default values) using Brent’s method on</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w:t>
      </w:r>
      <w:r>
        <w:rPr>
          <w:rFonts w:ascii="Times New Roman" w:hAnsi="Times New Roman"/>
          <w:color w:val="000000"/>
          <w:sz w:val="22"/>
        </w:rPr>
        <w:t xml:space="preserve"> </w:t>
      </w:r>
      <m:oMath>
        <m:r>
          <m:t>σ</m:t>
        </m:r>
        <m:r>
          <m:rPr>
            <m:sty m:val="p"/>
          </m:rPr>
          <m:t>∈</m:t>
        </m:r>
        <m:r>
          <m:rPr>
            <m:sty m:val="p"/>
          </m:rPr>
          <m:t>[</m:t>
        </m:r>
        <m:r>
          <m:t>0.05</m:t>
        </m:r>
        <m:r>
          <m:rPr>
            <m:sty m:val="p"/>
          </m:rPr>
          <m:t>,</m:t>
        </m:r>
        <m:r>
          <m:t>1.5</m:t>
        </m:r>
        <m:r>
          <m:rPr>
            <m:sty m:val="p"/>
          </m:rPr>
          <m:t>]</m:t>
        </m:r>
      </m:oMath>
      <w:r>
        <w:rPr>
          <w:rFonts w:ascii="Times New Roman" w:hAnsi="Times New Roman"/>
          <w:color w:val="000000"/>
          <w:sz w:val="22"/>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rPr>
          <w:rFonts w:ascii="Times New Roman" w:hAnsi="Times New Roman"/>
          <w:color w:val="000000"/>
          <w:sz w:val="22"/>
        </w:rPr>
        <w:t xml:space="preserve">The additive form has no meaningful</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the empirically relevant range. Its survival factor</w:t>
      </w:r>
      <w:r>
        <w:rPr>
          <w:rFonts w:ascii="Times New Roman" w:hAnsi="Times New Roman"/>
          <w:color w:val="000000"/>
          <w:sz w:val="22"/>
        </w:rPr>
        <w:t xml:space="preserve"> </w:t>
      </w:r>
      <m:oMath>
        <m:r>
          <m:t>1</m:t>
        </m:r>
        <m:r>
          <m:rPr>
            <m:sty m:val="p"/>
          </m:rPr>
          <m:t>−</m:t>
        </m:r>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goes negative as soon as</w:t>
      </w:r>
      <w:r>
        <w:rPr>
          <w:rFonts w:ascii="Times New Roman" w:hAnsi="Times New Roman"/>
          <w:color w:val="000000"/>
          <w:sz w:val="22"/>
        </w:rPr>
        <w:t xml:space="preserve"> </w:t>
      </w:r>
      <m:oMath>
        <m:sSub>
          <m:e>
            <m:r>
              <m:t>σ</m:t>
            </m:r>
          </m:e>
          <m:sub>
            <m:r>
              <m:t>e</m:t>
            </m:r>
            <m:r>
              <m:t>f</m:t>
            </m:r>
            <m:r>
              <m:t>f</m:t>
            </m:r>
          </m:sub>
        </m:sSub>
        <m:r>
          <m:rPr>
            <m:sty m:val="p"/>
          </m:rPr>
          <m:t>&gt;</m:t>
        </m:r>
        <m:r>
          <m:t>1</m:t>
        </m:r>
        <m:r>
          <m:rPr>
            <m:sty m:val="p"/>
          </m:rPr>
          <m:t>−</m:t>
        </m:r>
        <m:r>
          <m:t>α</m:t>
        </m:r>
      </m:oMath>
      <w:r>
        <w:rPr>
          <w:rFonts w:ascii="Times New Roman" w:hAnsi="Times New Roman"/>
          <w:color w:val="000000"/>
          <w:sz w:val="22"/>
        </w:rPr>
        <w:t xml:space="preserve">, and at the equilibrium</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r>
          <m:rPr>
            <m:sty m:val="p"/>
          </m:rPr>
          <m:t>≈</m:t>
        </m:r>
        <m:r>
          <m:t>0.82</m:t>
        </m:r>
      </m:oMath>
      <w:r>
        <w:rPr>
          <w:rFonts w:ascii="Times New Roman" w:hAnsi="Times New Roman"/>
          <w:color w:val="000000"/>
          <w:sz w:val="22"/>
        </w:rPr>
        <w:t xml:space="preserve"> </w:t>
      </w:r>
      <w:r>
        <w:rPr>
          <w:rFonts w:ascii="Times New Roman" w:hAnsi="Times New Roman"/>
          <w:color w:val="000000"/>
          <w:sz w:val="22"/>
        </w:rPr>
        <w:t xml:space="preserve">for aggregators (and</w:t>
      </w:r>
      <w:r>
        <w:rPr>
          <w:rFonts w:ascii="Times New Roman" w:hAnsi="Times New Roman"/>
          <w:color w:val="000000"/>
          <w:sz w:val="22"/>
        </w:rPr>
        <w:t xml:space="preserve"> </w:t>
      </w:r>
      <m:oMath>
        <m:r>
          <m:t>β</m:t>
        </m:r>
        <m:r>
          <m:rPr>
            <m:sty m:val="p"/>
          </m:rPr>
          <m:t>(</m:t>
        </m:r>
        <m:sSub>
          <m:e>
            <m:r>
              <m:t>k</m:t>
            </m:r>
          </m:e>
          <m:sub>
            <m:r>
              <m:t>0</m:t>
            </m:r>
          </m:sub>
        </m:sSub>
        <m:r>
          <m:rPr>
            <m:sty m:val="p"/>
          </m:rPr>
          <m:t>)</m:t>
        </m:r>
        <m:r>
          <m:rPr>
            <m:sty m:val="p"/>
          </m:rPr>
          <m:t>≈</m:t>
        </m:r>
        <m:r>
          <m:t>0.985</m:t>
        </m:r>
      </m:oMath>
      <w:r>
        <w:rPr>
          <w:rFonts w:ascii="Times New Roman" w:hAnsi="Times New Roman"/>
          <w:color w:val="000000"/>
          <w:sz w:val="22"/>
        </w:rPr>
        <w:t xml:space="preserve"> </w:t>
      </w:r>
      <w:r>
        <w:rPr>
          <w:rFonts w:ascii="Times New Roman" w:hAnsi="Times New Roman"/>
          <w:color w:val="000000"/>
          <w:sz w:val="22"/>
        </w:rPr>
        <w:t xml:space="preserve">for independents), this happens almost immediately. The Brent-method root-finder returns the upper bracket value of 1.5 as an artifact:</w:t>
      </w:r>
      <w:r>
        <w:rPr>
          <w:rFonts w:ascii="Times New Roman" w:hAnsi="Times New Roman"/>
          <w:color w:val="000000"/>
          <w:sz w:val="22"/>
        </w:rPr>
        <w:t xml:space="preserve"> </w:t>
      </w:r>
      <m:oMath>
        <m:sSub>
          <m:e>
            <m:r>
              <m:t>W</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saturates at the signaling-benefit floor</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throughout the range while</w:t>
      </w:r>
      <w:r>
        <w:rPr>
          <w:rFonts w:ascii="Times New Roman" w:hAnsi="Times New Roman"/>
          <w:color w:val="000000"/>
          <w:sz w:val="22"/>
        </w:rPr>
        <w:t xml:space="preserve"> </w:t>
      </w:r>
      <m:oMath>
        <m:sSub>
          <m:e>
            <m:r>
              <m:t>W</m:t>
            </m:r>
          </m:e>
          <m:sub>
            <m:r>
              <m:t>i</m:t>
            </m:r>
            <m:r>
              <m:t>n</m:t>
            </m:r>
            <m:r>
              <m:t>d</m:t>
            </m:r>
          </m:sub>
        </m:sSub>
      </m:oMath>
      <w:r>
        <w:rPr>
          <w:rFonts w:ascii="Times New Roman" w:hAnsi="Times New Roman"/>
          <w:color w:val="000000"/>
          <w:sz w:val="22"/>
        </w:rPr>
        <w:t xml:space="preserve"> </w:t>
      </w:r>
      <w:r>
        <w:rPr>
          <w:rFonts w:ascii="Times New Roman" w:hAnsi="Times New Roman"/>
          <w:color w:val="000000"/>
          <w:sz w:val="22"/>
        </w:rPr>
        <w:t xml:space="preserve">collapses to zero only at the upper end, producing a nominal sign change at the boundary that is not a substantive threshold. The hazard-composition form returns a finite</w:t>
      </w:r>
      <w:r>
        <w:rPr>
          <w:rFonts w:ascii="Times New Roman" w:hAnsi="Times New Roman"/>
          <w:color w:val="000000"/>
          <w:sz w:val="22"/>
        </w:rPr>
        <w:t xml:space="preserve"> </w:t>
      </w:r>
      <m:oMath>
        <m:sSup>
          <m:e>
            <m:r>
              <m:t>σ</m:t>
            </m:r>
          </m:e>
          <m:sup>
            <m:r>
              <m:rPr>
                <m:sty m:val="p"/>
              </m:rPr>
              <m:t>*</m:t>
            </m:r>
          </m:sup>
        </m:sSup>
        <m:r>
          <m:rPr>
            <m:sty m:val="p"/>
          </m:rPr>
          <m:t>=</m:t>
        </m:r>
        <m:r>
          <m:t>0.875</m:t>
        </m:r>
      </m:oMath>
      <w:r>
        <w:rPr>
          <w:rFonts w:ascii="Times New Roman" w:hAnsi="Times New Roman"/>
          <w:color w:val="000000"/>
          <w:sz w:val="22"/>
        </w:rPr>
        <w:t xml:space="preserve">, far above the multiplicative threshold and far above any plausible LMV</w:t>
      </w:r>
      <w:r>
        <w:rPr>
          <w:rFonts w:ascii="Times New Roman" w:hAnsi="Times New Roman"/>
          <w:color w:val="000000"/>
          <w:sz w:val="22"/>
        </w:rPr>
        <w:t xml:space="preserve"> </w:t>
      </w:r>
      <m:oMath>
        <m:r>
          <m:t>σ</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Neither alternative is a clean drop-in replacement, and the reason is conceptual rather than numerical:</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vulnerability coefficient</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m:oMath>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modulates the magnitude of a shortfall-induced loss, not a fractional loss in its own right and not an independent hazard rate. Combining it additively with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presupposes that both denote fractional losses on the same scale, which is not what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represents in the framework. Combining it via hazard composition presupposes that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independent survival probabilities, which is also not what they represent (the network buffers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the same shortfall, not a separate hazard). The multiplicative form</w:t>
      </w:r>
      <w:r>
        <w:rPr>
          <w:rFonts w:ascii="Times New Roman" w:hAnsi="Times New Roman"/>
          <w:color w:val="000000"/>
          <w:sz w:val="22"/>
        </w:rPr>
        <w:t xml:space="preserve"> </w:t>
      </w:r>
      <m:oMath>
        <m:r>
          <m:t>α</m:t>
        </m:r>
        <m:r>
          <m:rPr>
            <m:sty m:val="p"/>
          </m:rPr>
          <m:t>⋅</m:t>
        </m:r>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unique form consistent with the framework’s substantive interpretation:</w:t>
      </w:r>
      <w:r>
        <w:rPr>
          <w:rFonts w:ascii="Times New Roman" w:hAnsi="Times New Roman"/>
          <w:color w:val="000000"/>
          <w:sz w:val="22"/>
        </w:rPr>
        <w:t xml:space="preserve"> </w:t>
      </w:r>
      <w:r>
        <w:rPr>
          <w:rFonts w:ascii="Times New Roman" w:hAnsi="Times New Roman"/>
          <w:color w:val="000000"/>
          <w:sz w:val="22"/>
        </w:rPr>
        <w:t xml:space="preserve">“fraction of productivity lost equals vulnerability times severity.”</w:t>
      </w:r>
    </w:p>
    <w:p>
      <w:pPr>
        <w:pStyle w:val="BodyText"/>
      </w:pPr>
      <w:r>
        <w:rPr>
          <w:rFonts w:ascii="Times New Roman" w:hAnsi="Times New Roman"/>
          <w:color w:val="000000"/>
          <w:sz w:val="22"/>
        </w:rPr>
        <w:t xml:space="preserve">A fair coupling-form sensitivity analysis would therefore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as probability-like quantities on a common scale (e.g., redefining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functional-form dependent. The empirical comparisons in §6 use the multiplicative coupling throughout.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scripts/analysis/coupling_sensitivity.py</w:t>
      </w:r>
      <w:r>
        <w:rPr>
          <w:rFonts w:ascii="Times New Roman" w:hAnsi="Times New Roman"/>
          <w:color w:val="000000"/>
          <w:sz w:val="22"/>
        </w:rPr>
        <w:t xml:space="preserve">.</w:t>
      </w:r>
    </w:p>
    <w:bookmarkEnd w:id="35"/>
    <w:bookmarkEnd w:id="36"/>
    <w:bookmarkStart w:id="46" w:name="s4.-supplemental-theoretical-figures"/>
    <w:p>
      <w:pPr>
        <w:pStyle w:val="Heading2"/>
      </w:pPr>
      <w:r>
        <w:rPr>
          <w:rFonts w:ascii="Times New Roman" w:hAnsi="Times New Roman"/>
          <w:b w:val="0"/>
          <w:i/>
          <w:color w:val="000000"/>
          <w:sz w:val="24"/>
          <w:u w:val="none"/>
        </w:rPr>
        <w:t xml:space="preserve">S4. Supplemental theoretical figures</w:t>
      </w:r>
    </w:p>
    <w:p>
      <w:pPr>
        <w:pStyle w:val="FirstParagraph"/>
      </w:pPr>
      <w:r>
        <w:rPr>
          <w:rFonts w:ascii="Times New Roman" w:hAnsi="Times New Roman"/>
          <w:color w:val="000000"/>
          <w:sz w:val="22"/>
        </w:rPr>
        <w:t xml:space="preserve">In addition to the figures referenced inline above (and to the multilevel-selection decomposition, ecotone advantage schematic, and agent-based model architecture in main-text Figures 3, 4, and 6 respectively):</w:t>
      </w:r>
    </w:p>
    <w:p>
      <w:pPr>
        <w:pStyle w:val="BodyText"/>
      </w:pPr>
      <w:r>
        <w:rPr>
          <w:rFonts w:ascii="Times New Roman" w:hAnsi="Times New Roman"/>
          <w:color w:val="000000"/>
          <w:sz w:val="22"/>
        </w:rPr>
        <w:drawing>
          <wp:inline>
            <wp:extent cx="5486400" cy="5304677"/>
            <wp:effectExtent b="0" l="0" r="0" t="0"/>
            <wp:docPr descr="" title="" id="38" name="Picture"/>
            <a:graphic>
              <a:graphicData uri="http://schemas.openxmlformats.org/drawingml/2006/picture">
                <pic:pic>
                  <pic:nvPicPr>
                    <pic:cNvPr descr="/Users/clipo/PycharmProjects/poverty-point-signaling/figures/supplemental/figure_S03_conceptual_signaling_system.png" id="39" name="Picture"/>
                    <pic:cNvPicPr>
                      <a:picLocks noChangeArrowheads="1" noChangeAspect="1"/>
                    </pic:cNvPicPr>
                  </pic:nvPicPr>
                  <pic:blipFill>
                    <a:blip r:embed="rId37"/>
                    <a:stretch>
                      <a:fillRect/>
                    </a:stretch>
                  </pic:blipFill>
                  <pic:spPr bwMode="auto">
                    <a:xfrm>
                      <a:off x="0" y="0"/>
                      <a:ext cx="5486400" cy="530467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S3. The aggregation-based signaling system.</w:t>
      </w:r>
      <w:r>
        <w:rPr>
          <w:rFonts w:ascii="Times New Roman" w:hAnsi="Times New Roman"/>
          <w:color w:val="000000"/>
          <w:sz w:val="20"/>
        </w:rPr>
        <w:t xml:space="preserve"> </w:t>
      </w:r>
      <w:r>
        <w:rPr>
          <w:rFonts w:ascii="Times New Roman" w:hAnsi="Times New Roman"/>
          <w:i/>
          <w:iCs/>
          <w:color w:val="000000"/>
          <w:sz w:val="20"/>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rPr>
          <w:rFonts w:ascii="Times New Roman" w:hAnsi="Times New Roman"/>
          <w:color w:val="000000"/>
          <w:sz w:val="22"/>
        </w:rPr>
        <w:drawing>
          <wp:inline>
            <wp:extent cx="5486400" cy="3695030"/>
            <wp:effectExtent b="0" l="0" r="0" t="0"/>
            <wp:docPr descr="" title="" id="41" name="Picture"/>
            <a:graphic>
              <a:graphicData uri="http://schemas.openxmlformats.org/drawingml/2006/picture">
                <pic:pic>
                  <pic:nvPicPr>
                    <pic:cNvPr descr="/Users/clipo/PycharmProjects/poverty-point-signaling/figures/supplemental/figure_S04_network_feedback_loop.png" id="42" name="Picture"/>
                    <pic:cNvPicPr>
                      <a:picLocks noChangeArrowheads="1" noChangeAspect="1"/>
                    </pic:cNvPicPr>
                  </pic:nvPicPr>
                  <pic:blipFill>
                    <a:blip r:embed="rId40"/>
                    <a:stretch>
                      <a:fillRect/>
                    </a:stretch>
                  </pic:blipFill>
                  <pic:spPr bwMode="auto">
                    <a:xfrm>
                      <a:off x="0" y="0"/>
                      <a:ext cx="5486400" cy="369503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S4. Network feedback loop.</w:t>
      </w:r>
      <w:r>
        <w:rPr>
          <w:rFonts w:ascii="Times New Roman" w:hAnsi="Times New Roman"/>
          <w:color w:val="000000"/>
          <w:sz w:val="20"/>
        </w:rPr>
        <w:t xml:space="preserve"> </w:t>
      </w:r>
      <w:r>
        <w:rPr>
          <w:rFonts w:ascii="Times New Roman" w:hAnsi="Times New Roman"/>
          <w:i/>
          <w:iCs/>
          <w:color w:val="000000"/>
          <w:sz w:val="20"/>
        </w:rPr>
        <w:t xml:space="preserve">Monument investment</w:t>
      </w:r>
      <w:r>
        <w:rPr>
          <w:rFonts w:ascii="Times New Roman" w:hAnsi="Times New Roman"/>
          <w:i/>
          <w:iCs/>
          <w:color w:val="000000"/>
          <w:sz w:val="20"/>
        </w:rPr>
        <w:t xml:space="preserve"> </w:t>
      </w:r>
      <m:oMath>
        <m:sSub>
          <m:e>
            <m:r>
              <m:t>I</m:t>
            </m:r>
          </m:e>
          <m:sub>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builds cumulative stock</w:t>
      </w:r>
      <w:r>
        <w:rPr>
          <w:rFonts w:ascii="Times New Roman" w:hAnsi="Times New Roman"/>
          <w:i/>
          <w:iCs/>
          <w:color w:val="000000"/>
          <w:sz w:val="20"/>
        </w:rPr>
        <w:t xml:space="preserve"> </w:t>
      </w:r>
      <m:oMath>
        <m:sSub>
          <m:e>
            <m:r>
              <m:t>M</m:t>
            </m:r>
          </m:e>
          <m:sub>
            <m:r>
              <m:t>g</m:t>
            </m:r>
          </m:sub>
        </m:sSub>
      </m:oMath>
      <w:r>
        <w:rPr>
          <w:rFonts w:ascii="Times New Roman" w:hAnsi="Times New Roman"/>
          <w:i/>
          <w:iCs/>
          <w:color w:val="000000"/>
          <w:sz w:val="20"/>
        </w:rPr>
        <w:t xml:space="preserve">, which attracts cooperation partners and expands network degree</w:t>
      </w:r>
      <w:r>
        <w:rPr>
          <w:rFonts w:ascii="Times New Roman" w:hAnsi="Times New Roman"/>
          <w:i/>
          <w:iCs/>
          <w:color w:val="000000"/>
          <w:sz w:val="20"/>
        </w:rPr>
        <w:t xml:space="preserve"> </w:t>
      </w:r>
      <m:oMath>
        <m:r>
          <m:t>k</m:t>
        </m:r>
        <m:r>
          <m:rPr>
            <m:sty m:val="p"/>
          </m:rPr>
          <m:t>(</m:t>
        </m:r>
        <m:sSub>
          <m:e>
            <m:r>
              <m:t>M</m:t>
            </m:r>
          </m:e>
          <m:sub>
            <m:r>
              <m:t>g</m:t>
            </m:r>
          </m:sub>
        </m:sSub>
        <m:r>
          <m:rPr>
            <m:sty m:val="p"/>
          </m:rPr>
          <m:t>)</m:t>
        </m:r>
      </m:oMath>
      <w:r>
        <w:rPr>
          <w:rFonts w:ascii="Times New Roman" w:hAnsi="Times New Roman"/>
          <w:i/>
          <w:iCs/>
          <w:color w:val="000000"/>
          <w:sz w:val="20"/>
        </w:rPr>
        <w:t xml:space="preserve">. Higher network degree reduces vulnerability</w:t>
      </w:r>
      <w:r>
        <w:rPr>
          <w:rFonts w:ascii="Times New Roman" w:hAnsi="Times New Roman"/>
          <w:i/>
          <w:iCs/>
          <w:color w:val="000000"/>
          <w:sz w:val="20"/>
        </w:rPr>
        <w:t xml:space="preserve"> </w:t>
      </w:r>
      <m:oMath>
        <m:r>
          <m:t>α</m:t>
        </m:r>
        <m:r>
          <m:rPr>
            <m:sty m:val="p"/>
          </m:rPr>
          <m:t>(</m:t>
        </m:r>
        <m:r>
          <m:t>k</m:t>
        </m:r>
        <m:r>
          <m:rPr>
            <m:sty m:val="p"/>
          </m:rPr>
          <m:t>)</m:t>
        </m:r>
      </m:oMath>
      <w:r>
        <w:rPr>
          <w:rFonts w:ascii="Times New Roman" w:hAnsi="Times New Roman"/>
          <w:i/>
          <w:iCs/>
          <w:color w:val="000000"/>
          <w:sz w:val="20"/>
        </w:rPr>
        <w:t xml:space="preserve">, raising the cooperation-network signaling component</w:t>
      </w:r>
      <w:r>
        <w:rPr>
          <w:rFonts w:ascii="Times New Roman" w:hAnsi="Times New Roman"/>
          <w:i/>
          <w:iCs/>
          <w:color w:val="000000"/>
          <w:sz w:val="20"/>
        </w:rPr>
        <w:t xml:space="preserve"> </w:t>
      </w:r>
      <m:oMath>
        <m:sSub>
          <m:e>
            <m:r>
              <m:t>λ</m:t>
            </m:r>
          </m:e>
          <m:sub>
            <m:r>
              <m:t>X</m:t>
            </m:r>
          </m:sub>
        </m:sSub>
      </m:oMath>
      <w:r>
        <w:rPr>
          <w:rFonts w:ascii="Times New Roman" w:hAnsi="Times New Roman"/>
          <w:i/>
          <w:iCs/>
          <w:color w:val="000000"/>
          <w:sz w:val="20"/>
        </w:rPr>
        <w:t xml:space="preserve">, which raises optimal investment</w:t>
      </w:r>
      <w:r>
        <w:rPr>
          <w:rFonts w:ascii="Times New Roman" w:hAnsi="Times New Roman"/>
          <w:i/>
          <w:iCs/>
          <w:color w:val="000000"/>
          <w:sz w:val="20"/>
        </w:rPr>
        <w:t xml:space="preserve"> </w:t>
      </w:r>
      <m:oMath>
        <m:sSup>
          <m:e>
            <m:r>
              <m:t>x</m:t>
            </m:r>
          </m:e>
          <m:sup>
            <m:r>
              <m:rPr>
                <m:sty m:val="p"/>
              </m:rPr>
              <m:t>*</m:t>
            </m:r>
          </m:sup>
        </m:sSup>
        <m:r>
          <m:rPr>
            <m:sty m:val="p"/>
          </m:rPr>
          <m:t>(</m:t>
        </m:r>
        <m:r>
          <m:t>q</m:t>
        </m:r>
        <m:r>
          <m:rPr>
            <m:sty m:val="p"/>
          </m:rPr>
          <m:t>)</m:t>
        </m:r>
      </m:oMath>
      <w:r>
        <w:rPr>
          <w:rFonts w:ascii="Times New Roman" w:hAnsi="Times New Roman"/>
          <w:i/>
          <w:iCs/>
          <w:color w:val="000000"/>
          <w:sz w:val="20"/>
        </w:rPr>
        <w:t xml:space="preserve">, completing the feedback. Resolved by fixed-point iteration.</w:t>
      </w:r>
    </w:p>
    <w:p>
      <w:pPr>
        <w:pStyle w:val="BodyText"/>
      </w:pPr>
      <w:r>
        <w:rPr>
          <w:rFonts w:ascii="Times New Roman" w:hAnsi="Times New Roman"/>
          <w:color w:val="000000"/>
          <w:sz w:val="22"/>
        </w:rPr>
        <w:drawing>
          <wp:inline>
            <wp:extent cx="5486400" cy="3388349"/>
            <wp:effectExtent b="0" l="0" r="0" t="0"/>
            <wp:docPr descr="" title="" id="44" name="Picture"/>
            <a:graphic>
              <a:graphicData uri="http://schemas.openxmlformats.org/drawingml/2006/picture">
                <pic:pic>
                  <pic:nvPicPr>
                    <pic:cNvPr descr="/Users/clipo/PycharmProjects/poverty-point-signaling/figures/supplemental/figure_S05_predictions_summary.png" id="45" name="Picture"/>
                    <pic:cNvPicPr>
                      <a:picLocks noChangeArrowheads="1" noChangeAspect="1"/>
                    </pic:cNvPicPr>
                  </pic:nvPicPr>
                  <pic:blipFill>
                    <a:blip r:embed="rId43"/>
                    <a:stretch>
                      <a:fillRect/>
                    </a:stretch>
                  </pic:blipFill>
                  <pic:spPr bwMode="auto">
                    <a:xfrm>
                      <a:off x="0" y="0"/>
                      <a:ext cx="5486400" cy="338834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S5. Testable predictions summary.</w:t>
      </w:r>
      <w:r>
        <w:rPr>
          <w:rFonts w:ascii="Times New Roman" w:hAnsi="Times New Roman"/>
          <w:color w:val="000000"/>
          <w:sz w:val="20"/>
        </w:rPr>
        <w:t xml:space="preserve"> </w:t>
      </w:r>
      <w:r>
        <w:rPr>
          <w:rFonts w:ascii="Times New Roman" w:hAnsi="Times New Roman"/>
          <w:i/>
          <w:iCs/>
          <w:color w:val="000000"/>
          <w:sz w:val="20"/>
        </w:rPr>
        <w:t xml:space="preserve">Six-panel schematic illustrating the framework’s predictions across the categories enumerated in §S8. Top row: (left) temporal: pulsed construction tempo with episodes at the timescale of band turnover, not steady accumulation; (center) spatial: concentration at high-</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confluence locations with above-threshold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absence at low-</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or below-threshold settings; (right) material: non-local geochemically traceable exotic goods accumulating at the gathering, with asymmetric flow into the site rather than reciprocal exchange. Bottom row: (left) demographic: population dynamics tied to threshold-crossing rather than continuous in environmental uncertainty; (center) network: cooperation-network density tracking with</w:t>
      </w:r>
      <w:r>
        <w:rPr>
          <w:rFonts w:ascii="Times New Roman" w:hAnsi="Times New Roman"/>
          <w:i/>
          <w:iCs/>
          <w:color w:val="000000"/>
          <w:sz w:val="20"/>
        </w:rPr>
        <w:t xml:space="preserve"> </w:t>
      </w:r>
      <m:oMath>
        <m:sSub>
          <m:e>
            <m:r>
              <m:t>σ</m:t>
            </m:r>
          </m:e>
          <m:sub>
            <m:r>
              <m:t>e</m:t>
            </m:r>
            <m:r>
              <m:t>f</m:t>
            </m:r>
            <m:r>
              <m:t>f</m:t>
            </m:r>
          </m:sub>
        </m:sSub>
      </m:oMath>
      <w:r>
        <w:rPr>
          <w:rFonts w:ascii="Times New Roman" w:hAnsi="Times New Roman"/>
          <w:i/>
          <w:iCs/>
          <w:color w:val="000000"/>
          <w:sz w:val="20"/>
        </w:rPr>
        <w:t xml:space="preserve"> </w:t>
      </w:r>
      <w:r>
        <w:rPr>
          <w:rFonts w:ascii="Times New Roman" w:hAnsi="Times New Roman"/>
          <w:i/>
          <w:iCs/>
          <w:color w:val="000000"/>
          <w:sz w:val="20"/>
        </w:rPr>
        <w:t xml:space="preserve">at the gathering site; (right) cross-cultural: signaling threshold present at adjacent eastern Archaic monument-builders (Stallings, Green River, Mulberry Creek) where local</w:t>
      </w:r>
      <w:r>
        <w:rPr>
          <w:rFonts w:ascii="Times New Roman" w:hAnsi="Times New Roman"/>
          <w:i/>
          <w:iCs/>
          <w:color w:val="000000"/>
          <w:sz w:val="20"/>
        </w:rPr>
        <w:t xml:space="preserve"> </w:t>
      </w:r>
      <m:oMath>
        <m:r>
          <m:t>ε</m:t>
        </m:r>
      </m:oMath>
      <w:r>
        <w:rPr>
          <w:rFonts w:ascii="Times New Roman" w:hAnsi="Times New Roman"/>
          <w:i/>
          <w:iCs/>
          <w:color w:val="000000"/>
          <w:sz w:val="20"/>
        </w:rPr>
        <w:t xml:space="preserve"> </w:t>
      </w:r>
      <w:r>
        <w:rPr>
          <w:rFonts w:ascii="Times New Roman" w:hAnsi="Times New Roman"/>
          <w:i/>
          <w:iCs/>
          <w:color w:val="000000"/>
          <w:sz w:val="20"/>
        </w:rPr>
        <w:t xml:space="preserve">and</w:t>
      </w:r>
      <w:r>
        <w:rPr>
          <w:rFonts w:ascii="Times New Roman" w:hAnsi="Times New Roman"/>
          <w:i/>
          <w:iCs/>
          <w:color w:val="000000"/>
          <w:sz w:val="20"/>
        </w:rPr>
        <w:t xml:space="preserve"> </w:t>
      </w:r>
      <m:oMath>
        <m:r>
          <m:t>σ</m:t>
        </m:r>
      </m:oMath>
      <w:r>
        <w:rPr>
          <w:rFonts w:ascii="Times New Roman" w:hAnsi="Times New Roman"/>
          <w:i/>
          <w:iCs/>
          <w:color w:val="000000"/>
          <w:sz w:val="20"/>
        </w:rPr>
        <w:t xml:space="preserve"> </w:t>
      </w:r>
      <w:r>
        <w:rPr>
          <w:rFonts w:ascii="Times New Roman" w:hAnsi="Times New Roman"/>
          <w:i/>
          <w:iCs/>
          <w:color w:val="000000"/>
          <w:sz w:val="20"/>
        </w:rPr>
        <w:t xml:space="preserve">exceed the framework’s bounds, absent in western Archaic settings where prairie dominance reduces ecotone integration.</w:t>
      </w:r>
    </w:p>
    <w:bookmarkEnd w:id="46"/>
    <w:bookmarkStart w:id="57" w:name="X465b2bbca3bb02ad49f290e18c81cf7849187fc"/>
    <w:p>
      <w:pPr>
        <w:pStyle w:val="Heading2"/>
      </w:pPr>
      <w:r>
        <w:rPr>
          <w:rFonts w:ascii="Times New Roman" w:hAnsi="Times New Roman"/>
          <w:b w:val="0"/>
          <w:i/>
          <w:color w:val="000000"/>
          <w:sz w:val="24"/>
          <w:u w:val="none"/>
        </w:rPr>
        <w:t xml:space="preserve">S5. Priority extensions to the framework structure</w:t>
      </w:r>
    </w:p>
    <w:p>
      <w:pPr>
        <w:pStyle w:val="FirstParagraph"/>
      </w:pPr>
      <w:r>
        <w:rPr>
          <w:rFonts w:ascii="Times New Roman" w:hAnsi="Times New Roman"/>
          <w:color w:val="000000"/>
          <w:sz w:val="22"/>
        </w:rPr>
        <w:t xml:space="preserve">This section reports two unnumbered structural-architecture extensions: a near-threshold parameter sweep of the signaling apparatus (§S5.1), and a restructured network-saturation function that lets the cooperation-network component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rPr>
          <w:rFonts w:ascii="Times New Roman" w:hAnsi="Times New Roman"/>
          <w:b w:val="0"/>
          <w:i w:val="0"/>
          <w:color w:val="000000"/>
          <w:sz w:val="22"/>
          <w:u w:val="single"/>
        </w:rPr>
        <w:t xml:space="preserve">S5.1 Near-threshold parameter sweep of the full signaling apparatus</w:t>
      </w:r>
    </w:p>
    <w:p>
      <w:pPr>
        <w:pStyle w:val="FirstParagraph"/>
      </w:pPr>
      <w:r>
        <w:rPr>
          <w:rFonts w:ascii="Times New Roman" w:hAnsi="Times New Roman"/>
          <w:color w:val="000000"/>
          <w:sz w:val="22"/>
        </w:rPr>
        <w:t xml:space="preserve">The full signaling apparatus is implemented in main §2.2 (signal-conditional partner formation, tie-strength-weighted shortfall help, direct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coupling). We test whether removing the apparatus produces measurable threshold shifts in parameter regimes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where small fitness differentials matter most.</w:t>
      </w:r>
    </w:p>
    <w:p>
      <w:pPr>
        <w:pStyle w:val="BodyText"/>
      </w:pPr>
      <w:r>
        <w:rPr>
          <w:rFonts w:ascii="Times New Roman" w:hAnsi="Times New Roman"/>
          <w:color w:val="000000"/>
          <w:sz w:val="22"/>
        </w:rPr>
        <w:t xml:space="preserve">In plain terms: removing the signaling apparatus does two things to the analytical equilibrium. It raises the uncertainty threshold needed to make aggregation adaptive (from</w:t>
      </w:r>
      <w:r>
        <w:rPr>
          <w:rFonts w:ascii="Times New Roman" w:hAnsi="Times New Roman"/>
          <w:color w:val="000000"/>
          <w:sz w:val="22"/>
        </w:rPr>
        <w:t xml:space="preserve"> </w:t>
      </w:r>
      <m:oMath>
        <m:r>
          <m:t>σ</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σ</m:t>
        </m:r>
        <m:r>
          <m:rPr>
            <m:sty m:val="p"/>
          </m:rPr>
          <m:t>≈</m:t>
        </m:r>
        <m:r>
          <m:t>0.54</m:t>
        </m:r>
      </m:oMath>
      <w:r>
        <w:rPr>
          <w:rFonts w:ascii="Times New Roman" w:hAnsi="Times New Roman"/>
          <w:color w:val="000000"/>
          <w:sz w:val="22"/>
        </w:rPr>
        <w:t xml:space="preserve">), and it shrinks how much monument stock eventually accumulates by an order of magnitude. A</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sweep across</w:t>
      </w:r>
      <w:r>
        <w:rPr>
          <w:rFonts w:ascii="Times New Roman" w:hAnsi="Times New Roman"/>
          <w:color w:val="000000"/>
          <w:sz w:val="22"/>
        </w:rPr>
        <w:t xml:space="preserve"> </w:t>
      </w:r>
      <m:oMath>
        <m:r>
          <m:rPr>
            <m:sty m:val="p"/>
          </m:rPr>
          <m:t>[</m:t>
        </m:r>
        <m:r>
          <m:t>0.30</m:t>
        </m:r>
        <m:r>
          <m:rPr>
            <m:sty m:val="p"/>
          </m:rPr>
          <m:t>,</m:t>
        </m:r>
        <m:r>
          <m:t>0.65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compares the analytical equilibrium under signal-conditional (</w:t>
      </w:r>
      <m:oMath>
        <m:sSub>
          <m:e>
            <m:r>
              <m:t>λ</m:t>
            </m:r>
          </m:e>
          <m:sub>
            <m:r>
              <m:t>W</m:t>
            </m:r>
          </m:sub>
        </m:sSub>
        <m:r>
          <m:rPr>
            <m:sty m:val="p"/>
          </m:rPr>
          <m:t>=</m:t>
        </m:r>
        <m:r>
          <m:t>0.15</m:t>
        </m:r>
      </m:oMath>
      <w:r>
        <w:rPr>
          <w:rFonts w:ascii="Times New Roman" w:hAnsi="Times New Roman"/>
          <w:color w:val="000000"/>
          <w:sz w:val="22"/>
        </w:rPr>
        <w:t xml:space="preserve">) and signal-blind (</w:t>
      </w:r>
      <m:oMath>
        <m:sSub>
          <m:e>
            <m:r>
              <m:t>λ</m:t>
            </m:r>
          </m:e>
          <m:sub>
            <m:r>
              <m:t>W</m:t>
            </m:r>
          </m:sub>
        </m:sSub>
        <m:r>
          <m:rPr>
            <m:sty m:val="p"/>
          </m:rPr>
          <m:t>=</m:t>
        </m:r>
        <m:r>
          <m:t>0</m:t>
        </m:r>
      </m:oMath>
      <w:r>
        <w:rPr>
          <w:rFonts w:ascii="Times New Roman" w:hAnsi="Times New Roman"/>
          <w:color w:val="000000"/>
          <w:sz w:val="22"/>
        </w:rPr>
        <w:t xml:space="preserve">) parameterizations. Results: signal-conditional gives</w:t>
      </w:r>
      <w:r>
        <w:rPr>
          <w:rFonts w:ascii="Times New Roman" w:hAnsi="Times New Roman"/>
          <w:color w:val="000000"/>
          <w:sz w:val="22"/>
        </w:rPr>
        <w:t xml:space="preserve"> </w:t>
      </w:r>
      <m:oMath>
        <m:sSubSup>
          <m:e>
            <m:r>
              <m:t>σ</m:t>
            </m:r>
          </m:e>
          <m:sub>
            <m:r>
              <m:rPr>
                <m:nor/>
                <m:sty m:val="p"/>
              </m:rPr>
              <m:t>signal</m:t>
            </m:r>
          </m:sub>
          <m:sup>
            <m:r>
              <m:rPr>
                <m:sty m:val="p"/>
              </m:rPr>
              <m:t>*</m:t>
            </m:r>
          </m:sup>
        </m:sSub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129.78</m:t>
        </m:r>
      </m:oMath>
      <w:r>
        <w:rPr>
          <w:rFonts w:ascii="Times New Roman" w:hAnsi="Times New Roman"/>
          <w:color w:val="000000"/>
          <w:sz w:val="22"/>
        </w:rPr>
        <w:t xml:space="preserve">. Signal-blind gives</w:t>
      </w:r>
      <w:r>
        <w:rPr>
          <w:rFonts w:ascii="Times New Roman" w:hAnsi="Times New Roman"/>
          <w:color w:val="000000"/>
          <w:sz w:val="22"/>
        </w:rPr>
        <w:t xml:space="preserve"> </w:t>
      </w:r>
      <m:oMath>
        <m:sSubSup>
          <m:e>
            <m:r>
              <m:t>σ</m:t>
            </m:r>
          </m:e>
          <m:sub>
            <m:r>
              <m:rPr>
                <m:nor/>
                <m:sty m:val="p"/>
              </m:rPr>
              <m:t>blind</m:t>
            </m:r>
          </m:sub>
          <m:sup>
            <m:r>
              <m:rPr>
                <m:sty m:val="p"/>
              </m:rPr>
              <m:t>*</m:t>
            </m:r>
          </m:sup>
        </m:sSubSup>
        <m:r>
          <m:rPr>
            <m:sty m:val="p"/>
          </m:rPr>
          <m:t>=</m:t>
        </m:r>
        <m:r>
          <m:t>0.543</m:t>
        </m:r>
      </m:oMath>
      <w:r>
        <w:rPr>
          <w:rFonts w:ascii="Times New Roman" w:hAnsi="Times New Roman"/>
          <w:color w:val="000000"/>
          <w:sz w:val="22"/>
        </w:rPr>
        <w:t xml:space="preserve"> </w:t>
      </w:r>
      <w:r>
        <w:rPr>
          <w:rFonts w:ascii="Times New Roman" w:hAnsi="Times New Roman"/>
          <w:color w:val="000000"/>
          <w:sz w:val="22"/>
        </w:rPr>
        <w:t xml:space="preserve">and equilibrium</w:t>
      </w:r>
      <w:r>
        <w:rPr>
          <w:rFonts w:ascii="Times New Roman" w:hAnsi="Times New Roman"/>
          <w:color w:val="000000"/>
          <w:sz w:val="22"/>
        </w:rPr>
        <w:t xml:space="preserve"> </w:t>
      </w:r>
      <m:oMath>
        <m:sSub>
          <m:e>
            <m:r>
              <m:t>M</m:t>
            </m:r>
          </m:e>
          <m:sub>
            <m:r>
              <m:t>g</m:t>
            </m:r>
          </m:sub>
        </m:sSub>
        <m:r>
          <m:rPr>
            <m:sty m:val="p"/>
          </m:rPr>
          <m:t>=</m:t>
        </m:r>
        <m:r>
          <m:t>11.83</m:t>
        </m:r>
      </m:oMath>
      <w:r>
        <w:rPr>
          <w:rFonts w:ascii="Times New Roman" w:hAnsi="Times New Roman"/>
          <w:color w:val="000000"/>
          <w:sz w:val="22"/>
        </w:rPr>
        <w:t xml:space="preserve"> </w:t>
      </w:r>
      <w:r>
        <w:rPr>
          <w:rFonts w:ascii="Times New Roman" w:hAnsi="Times New Roman"/>
          <w:color w:val="000000"/>
          <w:sz w:val="22"/>
        </w:rPr>
        <w:t xml:space="preserve">(an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reduction in attainable monument stock).</w:t>
      </w:r>
    </w:p>
    <w:p>
      <w:pPr>
        <w:pStyle w:val="BodyText"/>
      </w:pPr>
      <w:r>
        <w:rPr>
          <w:rFonts w:ascii="Times New Roman" w:hAnsi="Times New Roman"/>
          <w:color w:val="000000"/>
          <w:sz w:val="22"/>
        </w:rPr>
        <w:t xml:space="preserve">Six</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in the sweep range</w:t>
      </w:r>
      <w:r>
        <w:rPr>
          <w:rFonts w:ascii="Times New Roman" w:hAnsi="Times New Roman"/>
          <w:color w:val="000000"/>
          <w:sz w:val="22"/>
        </w:rPr>
        <w:t xml:space="preserve"> </w:t>
      </w:r>
      <m:oMath>
        <m:r>
          <m:rPr>
            <m:sty m:val="p"/>
          </m:rPr>
          <m:t>[</m:t>
        </m:r>
        <m:r>
          <m:t>0.40</m:t>
        </m:r>
        <m:r>
          <m:rPr>
            <m:sty m:val="p"/>
          </m:rPr>
          <m:t>,</m:t>
        </m:r>
        <m:r>
          <m:t>0.525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flip regime classification across the ablation: with signaling, those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are above threshold (aggregation adaptive). Without, they are below threshold (independent foraging adaptive). At</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(PP-equivalent), both are above their respective thresholds and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comparison is between the same 129.78 vs 11.83 (signaling produces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more equilibrium monument). The equilibrium difference is therefore not a function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but of whether the apparatus is engaged at all.</w:t>
      </w:r>
    </w:p>
    <w:p>
      <w:pPr>
        <w:pStyle w:val="BodyText"/>
      </w:pPr>
      <w:r>
        <w:rPr>
          <w:rFonts w:ascii="Times New Roman" w:hAnsi="Times New Roman"/>
          <w:color w:val="000000"/>
          <w:sz w:val="22"/>
        </w:rPr>
        <w:t xml:space="preserve">The substantive point: the signaling apparatus expands the parameter region in which aggregation is adaptive by widening the threshold by 0.143 in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space, and amplifies the equilibrium monument stock 11</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when present. Sites 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w:t>
      </w:r>
      <w:r>
        <w:rPr>
          <w:rFonts w:ascii="Times New Roman" w:hAnsi="Times New Roman"/>
          <w:color w:val="000000"/>
          <w:sz w:val="22"/>
        </w:rP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margin range, not just for whether more monument accumulates above threshold).</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scripts/analysis/near_threshold_ablation.py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results/sensitivity/near_threshold_ablation.json</w:t>
      </w:r>
      <w:r>
        <w:rPr>
          <w:rFonts w:ascii="Times New Roman" w:hAnsi="Times New Roman"/>
          <w:color w:val="000000"/>
          <w:sz w:val="22"/>
        </w:rP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rPr>
          <w:rFonts w:ascii="Times New Roman" w:hAnsi="Times New Roman"/>
          <w:b w:val="0"/>
          <w:i w:val="0"/>
          <w:color w:val="000000"/>
          <w:sz w:val="22"/>
          <w:u w:val="single"/>
        </w:rPr>
        <w:t xml:space="preserve">S5.2 Restructured network-saturation function</w:t>
      </w:r>
    </w:p>
    <w:p>
      <w:pPr>
        <w:pStyle w:val="FirstParagraph"/>
      </w:pPr>
      <w:r>
        <w:rPr>
          <w:rFonts w:ascii="Times New Roman" w:hAnsi="Times New Roman"/>
          <w:color w:val="000000"/>
          <w:sz w:val="22"/>
        </w:rPr>
        <w:t xml:space="preserve">In plain terms: the original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marginal-benefit</w:t>
      </w:r>
      <w:r>
        <w:rPr>
          <w:rFonts w:ascii="Times New Roman" w:hAnsi="Times New Roman"/>
          <w:color w:val="000000"/>
          <w:sz w:val="22"/>
        </w:rPr>
        <w:t xml:space="preserve"> </w:t>
      </w:r>
      <w:r>
        <w:rPr>
          <w:rFonts w:ascii="Times New Roman" w:hAnsi="Times New Roman"/>
          <w:color w:val="000000"/>
          <w:sz w:val="22"/>
        </w:rPr>
        <w:t xml:space="preserve">term, measuring the</w:t>
      </w:r>
      <w:r>
        <w:rPr>
          <w:rFonts w:ascii="Times New Roman" w:hAnsi="Times New Roman"/>
          <w:color w:val="000000"/>
          <w:sz w:val="22"/>
        </w:rPr>
        <w:t xml:space="preserve"> </w:t>
      </w:r>
      <w:r>
        <w:rPr>
          <w:rFonts w:ascii="Times New Roman" w:hAnsi="Times New Roman"/>
          <w:i/>
          <w:iCs/>
          <w:color w:val="000000"/>
          <w:sz w:val="22"/>
        </w:rPr>
        <w:t xml:space="preserve">additional</w:t>
      </w:r>
      <w:r>
        <w:rPr>
          <w:rFonts w:ascii="Times New Roman" w:hAnsi="Times New Roman"/>
          <w:color w:val="000000"/>
          <w:sz w:val="22"/>
        </w:rPr>
        <w:t xml:space="preserve"> </w:t>
      </w:r>
      <w:r>
        <w:rPr>
          <w:rFonts w:ascii="Times New Roman" w:hAnsi="Times New Roman"/>
          <w:color w:val="000000"/>
          <w:sz w:val="22"/>
        </w:rP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rPr>
          <w:rFonts w:ascii="Times New Roman" w:hAnsi="Times New Roman"/>
          <w:color w:val="000000"/>
          <w:sz w:val="22"/>
        </w:rPr>
        <w:t xml:space="preserve"> </w:t>
      </w:r>
      <w:r>
        <w:rPr>
          <w:rFonts w:ascii="Times New Roman" w:hAnsi="Times New Roman"/>
          <w:i/>
          <w:iCs/>
          <w:color w:val="000000"/>
          <w:sz w:val="22"/>
        </w:rPr>
        <w:t xml:space="preserve">total</w:t>
      </w:r>
      <w:r>
        <w:rPr>
          <w:rFonts w:ascii="Times New Roman" w:hAnsi="Times New Roman"/>
          <w:color w:val="000000"/>
          <w:sz w:val="22"/>
        </w:rPr>
        <w:t xml:space="preserve"> </w:t>
      </w:r>
      <w:r>
        <w:rPr>
          <w:rFonts w:ascii="Times New Roman" w:hAnsi="Times New Roman"/>
          <w:color w:val="000000"/>
          <w:sz w:val="22"/>
        </w:rPr>
        <w:t xml:space="preserve">network-value-times-monument-quality, which remains non-trivial at equilibrium. The partial-derivative notation</w:t>
      </w:r>
      <w:r>
        <w:rPr>
          <w:rFonts w:ascii="Times New Roman" w:hAnsi="Times New Roman"/>
          <w:color w:val="000000"/>
          <w:sz w:val="22"/>
        </w:rPr>
        <w:t xml:space="preserve"> </w:t>
      </w:r>
      <m:oMath>
        <m:r>
          <m:rPr>
            <m:sty m:val="p"/>
          </m:rPr>
          <m:t>(</m:t>
        </m:r>
        <m:r>
          <m:rPr>
            <m:sty m:val="p"/>
          </m:rPr>
          <m:t>∂</m:t>
        </m:r>
        <m:r>
          <m:t>k</m:t>
        </m:r>
        <m:r>
          <m:rPr>
            <m:sty m:val="p"/>
          </m:rPr>
          <m:t>/</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can be read informally as</w:t>
      </w:r>
      <w:r>
        <w:rPr>
          <w:rFonts w:ascii="Times New Roman" w:hAnsi="Times New Roman"/>
          <w:color w:val="000000"/>
          <w:sz w:val="22"/>
        </w:rPr>
        <w:t xml:space="preserve"> </w:t>
      </w:r>
      <w:r>
        <w:rPr>
          <w:rFonts w:ascii="Times New Roman" w:hAnsi="Times New Roman"/>
          <w:color w:val="000000"/>
          <w:sz w:val="22"/>
        </w:rPr>
        <w:t xml:space="preserve">“rate of change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Formally, at the original parameterization</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collapse to near-zero at equilibrium (saturation of</w:t>
      </w:r>
      <w:r>
        <w:rPr>
          <w:rFonts w:ascii="Times New Roman" w:hAnsi="Times New Roman"/>
          <w:color w:val="000000"/>
          <w:sz w:val="22"/>
        </w:rPr>
        <w:t xml:space="preserve"> </w:t>
      </w:r>
      <m:oMath>
        <m:r>
          <m:t>k</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at large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makes their marginal contributions vanish), so the signaling-vs-cooperation ablation reduces to the effect of removing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alone. We add a non-marginal</w:t>
      </w:r>
      <w:r>
        <w:rPr>
          <w:rFonts w:ascii="Times New Roman" w:hAnsi="Times New Roman"/>
          <w:color w:val="000000"/>
          <w:sz w:val="22"/>
        </w:rPr>
        <w:t xml:space="preserve"> </w:t>
      </w:r>
      <w:r>
        <w:rPr>
          <w:rFonts w:ascii="Times New Roman" w:hAnsi="Times New Roman"/>
          <w:color w:val="000000"/>
          <w:sz w:val="22"/>
        </w:rPr>
        <w:t xml:space="preserve">“network-density value”</w:t>
      </w:r>
      <w:r>
        <w:rPr>
          <w:rFonts w:ascii="Times New Roman" w:hAnsi="Times New Roman"/>
          <w:color w:val="000000"/>
          <w:sz w:val="22"/>
        </w:rPr>
        <w:t xml:space="preserve"> </w:t>
      </w:r>
      <w:r>
        <w:rPr>
          <w:rFonts w:ascii="Times New Roman" w:hAnsi="Times New Roman"/>
          <w:color w:val="000000"/>
          <w:sz w:val="22"/>
        </w:rPr>
        <w:t xml:space="preserve">term to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proportional to the equilibrium survival benefit, weighted by a parameter</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and a saturating monument-quality multiplier</w:t>
      </w:r>
      <w:r>
        <w:rPr>
          <w:rFonts w:ascii="Times New Roman" w:hAnsi="Times New Roman"/>
          <w:color w:val="000000"/>
          <w:sz w:val="22"/>
        </w:rP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M</m:t>
            </m:r>
          </m:e>
          <m:sub>
            <m:r>
              <m:t>q</m:t>
            </m:r>
            <m:r>
              <m:t>u</m:t>
            </m:r>
            <m:r>
              <m:t>a</m:t>
            </m:r>
            <m:r>
              <m:t>l</m:t>
            </m:r>
            <m:r>
              <m:t>i</m:t>
            </m:r>
            <m:r>
              <m:t>t</m:t>
            </m:r>
            <m:r>
              <m:t>y</m:t>
            </m:r>
          </m:sub>
        </m:sSub>
        <m:r>
          <m:rPr>
            <m:sty m:val="p"/>
          </m:rPr>
          <m:t>=</m:t>
        </m:r>
        <m:r>
          <m:t>50</m:t>
        </m:r>
      </m:oMath>
      <w:r>
        <w:rPr>
          <w:rFonts w:ascii="Times New Roman" w:hAnsi="Times New Roman"/>
          <w:color w:val="000000"/>
          <w:sz w:val="22"/>
        </w:rP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rPr>
          <w:rFonts w:ascii="Times New Roman" w:hAnsi="Times New Roman"/>
          <w:color w:val="000000"/>
          <w:sz w:val="22"/>
        </w:rPr>
        <w:t xml:space="preserve">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(default), this reduces to the original saturating form.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non-marginal term contributes</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at equilibrium, giving</w:t>
      </w:r>
      <w:r>
        <w:rPr>
          <w:rFonts w:ascii="Times New Roman" w:hAnsi="Times New Roman"/>
          <w:color w:val="000000"/>
          <w:sz w:val="22"/>
        </w:rP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rPr>
          <w:rFonts w:ascii="Times New Roman" w:hAnsi="Times New Roman"/>
          <w:color w:val="000000"/>
          <w:sz w:val="22"/>
        </w:rPr>
        <w:t xml:space="preserve"> </w:t>
      </w:r>
      <w:r>
        <w:rPr>
          <w:rFonts w:ascii="Times New Roman" w:hAnsi="Times New Roman"/>
          <w:color w:val="000000"/>
          <w:sz w:val="22"/>
        </w:rPr>
        <w:t xml:space="preserve">vs the original</w:t>
      </w:r>
      <w:r>
        <w:rPr>
          <w:rFonts w:ascii="Times New Roman" w:hAnsi="Times New Roman"/>
          <w:color w:val="000000"/>
          <w:sz w:val="22"/>
        </w:rPr>
        <w:t xml:space="preserve"> </w:t>
      </w:r>
      <m:oMath>
        <m:r>
          <m:rPr>
            <m:sty m:val="p"/>
          </m:rPr>
          <m:t>∼</m:t>
        </m:r>
        <m:r>
          <m:t>0.000</m:t>
        </m:r>
      </m:oMath>
      <w:r>
        <w:rPr>
          <w:rFonts w:ascii="Times New Roman" w:hAnsi="Times New Roman"/>
          <w:color w:val="000000"/>
          <w:sz w:val="22"/>
        </w:rPr>
        <w:t xml:space="preserve">. Sweeping</w:t>
      </w:r>
      <w:r>
        <w:rPr>
          <w:rFonts w:ascii="Times New Roman" w:hAnsi="Times New Roman"/>
          <w:color w:val="000000"/>
          <w:sz w:val="22"/>
        </w:rP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 PP-equivalent parameters: the threshold shift from full apparatus to signal-blind (</w:t>
      </w:r>
      <m:oMath>
        <m:sSub>
          <m:e>
            <m:r>
              <m:t>λ</m:t>
            </m:r>
          </m:e>
          <m:sub>
            <m:r>
              <m:t>W</m:t>
            </m:r>
          </m:sub>
        </m:sSub>
        <m:r>
          <m:rPr>
            <m:sty m:val="p"/>
          </m:rPr>
          <m:t>=</m:t>
        </m:r>
        <m:r>
          <m:t>0</m:t>
        </m:r>
      </m:oMath>
      <w:r>
        <w:rPr>
          <w:rFonts w:ascii="Times New Roman" w:hAnsi="Times New Roman"/>
          <w:color w:val="000000"/>
          <w:sz w:val="22"/>
        </w:rPr>
        <w:t xml:space="preserve">) ablation is +36.0%, +36.8%, +37.2% respectively, essentially unchanged. The qualitative result (signaling lowers the threshold by ~36%) is robust to the structural change.</w:t>
      </w:r>
    </w:p>
    <w:p>
      <w:pPr>
        <w:pStyle w:val="BodyText"/>
      </w:pPr>
      <w:r>
        <w:rPr>
          <w:rFonts w:ascii="Times New Roman" w:hAnsi="Times New Roman"/>
          <w:color w:val="000000"/>
          <w:sz w:val="22"/>
        </w:rPr>
        <w:t xml:space="preserve">What the restructured formulation provides is</w:t>
      </w:r>
      <w:r>
        <w:rPr>
          <w:rFonts w:ascii="Times New Roman" w:hAnsi="Times New Roman"/>
          <w:color w:val="000000"/>
          <w:sz w:val="22"/>
        </w:rPr>
        <w:t xml:space="preserve"> </w:t>
      </w:r>
      <w:r>
        <w:rPr>
          <w:rFonts w:ascii="Times New Roman" w:hAnsi="Times New Roman"/>
          <w:i/>
          <w:iCs/>
          <w:color w:val="000000"/>
          <w:sz w:val="22"/>
        </w:rPr>
        <w:t xml:space="preserve">interpretive</w:t>
      </w:r>
      <w:r>
        <w:rPr>
          <w:rFonts w:ascii="Times New Roman" w:hAnsi="Times New Roman"/>
          <w:color w:val="000000"/>
          <w:sz w:val="22"/>
        </w:rPr>
        <w:t xml:space="preserve">: under</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the ablation removes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a system in which</w:t>
      </w:r>
      <w:r>
        <w:rPr>
          <w:rFonts w:ascii="Times New Roman" w:hAnsi="Times New Roman"/>
          <w:color w:val="000000"/>
          <w:sz w:val="22"/>
        </w:rPr>
        <w:t xml:space="preserve"> </w:t>
      </w:r>
      <m:oMath>
        <m:sSub>
          <m:e>
            <m:r>
              <m:t>λ</m:t>
            </m:r>
          </m:e>
          <m:sub>
            <m:r>
              <m:t>X</m:t>
            </m:r>
          </m:sub>
        </m:sSub>
        <m:r>
          <m:rPr>
            <m:sty m:val="p"/>
          </m:rPr>
          <m:t>=</m:t>
        </m:r>
        <m:r>
          <m:t>0.032</m:t>
        </m:r>
      </m:oMath>
      <w:r>
        <w:rPr>
          <w:rFonts w:ascii="Times New Roman" w:hAnsi="Times New Roman"/>
          <w:color w:val="000000"/>
          <w:sz w:val="22"/>
        </w:rPr>
        <w:t xml:space="preserve"> </w:t>
      </w:r>
      <w:r>
        <w:rPr>
          <w:rFonts w:ascii="Times New Roman" w:hAnsi="Times New Roman"/>
          <w:color w:val="000000"/>
          <w:sz w:val="22"/>
        </w:rPr>
        <w:t xml:space="preserve">is also doing real cooperation-network work (the residual</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with the apparatus removed is itself non-trivial). The signaling-vs-cooperation discrimination is therefore genuine: removing within-group prestige signaling (</w:t>
      </w:r>
      <m:oMath>
        <m:sSub>
          <m:e>
            <m:r>
              <m:t>λ</m:t>
            </m:r>
          </m:e>
          <m:sub>
            <m:r>
              <m:t>W</m:t>
            </m:r>
          </m:sub>
        </m:sSub>
      </m:oMath>
      <w:r>
        <w:rPr>
          <w:rFonts w:ascii="Times New Roman" w:hAnsi="Times New Roman"/>
          <w:color w:val="000000"/>
          <w:sz w:val="22"/>
        </w:rPr>
        <w:t xml:space="preserve">) shifts the threshold by ~37% even when cooperation-network signaling (</w:t>
      </w:r>
      <m:oMath>
        <m:sSub>
          <m:e>
            <m:r>
              <m:t>λ</m:t>
            </m:r>
          </m:e>
          <m:sub>
            <m:r>
              <m:t>X</m:t>
            </m:r>
          </m:sub>
        </m:sSub>
      </m:oMath>
      <w:r>
        <w:rPr>
          <w:rFonts w:ascii="Times New Roman" w:hAnsi="Times New Roman"/>
          <w:color w:val="000000"/>
          <w:sz w:val="22"/>
        </w:rPr>
        <w:t xml:space="preserve">) provides 0.032 of residual incentive.</w:t>
      </w:r>
    </w:p>
    <w:p>
      <w:pPr>
        <w:pStyle w:val="BodyText"/>
      </w:pPr>
      <w:r>
        <w:rPr>
          <w:rFonts w:ascii="Times New Roman" w:hAnsi="Times New Roman"/>
          <w:color w:val="000000"/>
          <w:sz w:val="22"/>
        </w:rPr>
        <w:t xml:space="preserve">The choice of</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scripts/analysis/restructured_saturation_test.py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results/sensitivity/restructured_saturation_test.json</w:t>
      </w:r>
      <w:r>
        <w:rPr>
          <w:rFonts w:ascii="Times New Roman" w:hAnsi="Times New Roman"/>
          <w:color w:val="000000"/>
          <w:sz w:val="22"/>
        </w:rPr>
        <w:t xml:space="preserve">.</w:t>
      </w:r>
    </w:p>
    <w:bookmarkEnd w:id="48"/>
    <w:bookmarkStart w:id="52" w:name="s5.4-factorial-component-ablation"/>
    <w:p>
      <w:pPr>
        <w:pStyle w:val="Heading3"/>
      </w:pPr>
      <w:r>
        <w:rPr>
          <w:rFonts w:ascii="Times New Roman" w:hAnsi="Times New Roman"/>
          <w:b w:val="0"/>
          <w:i w:val="0"/>
          <w:color w:val="000000"/>
          <w:sz w:val="22"/>
          <w:u w:val="single"/>
        </w:rPr>
        <w:t xml:space="preserve">S5.4 Factorial component ablation</w:t>
      </w:r>
    </w:p>
    <w:p>
      <w:pPr>
        <w:pStyle w:val="FirstParagraph"/>
      </w:pPr>
      <w:r>
        <w:rPr>
          <w:rFonts w:ascii="Times New Roman" w:hAnsi="Times New Roman"/>
          <w:color w:val="000000"/>
          <w:sz w:val="22"/>
        </w:rPr>
        <w:t xml:space="preserve">R3’s review (round-6) requested a deeper ablation than the §4.3 signal-conditional-vs-random partner comparison: turn each signaling/buffering component off individually and in factorial combination to isolate which components actually drive the threshold-crossing. We ran a</w:t>
      </w:r>
      <w:r>
        <w:rPr>
          <w:rFonts w:ascii="Times New Roman" w:hAnsi="Times New Roman"/>
          <w:color w:val="000000"/>
          <w:sz w:val="22"/>
        </w:rPr>
        <w:t xml:space="preserve"> </w:t>
      </w:r>
      <m:oMath>
        <m:sSup>
          <m:e>
            <m:r>
              <m:t>2</m:t>
            </m:r>
          </m:e>
          <m:sup>
            <m:r>
              <m:t>4</m:t>
            </m:r>
          </m:sup>
        </m:sSup>
        <m:r>
          <m:rPr>
            <m:sty m:val="p"/>
          </m:rPr>
          <m:t>=</m:t>
        </m:r>
        <m:r>
          <m:t>16</m:t>
        </m:r>
      </m:oMath>
      <w:r>
        <w:rPr>
          <w:rFonts w:ascii="Times New Roman" w:hAnsi="Times New Roman"/>
          <w:color w:val="000000"/>
          <w:sz w:val="22"/>
        </w:rPr>
        <w:t xml:space="preserve">-cell factorial across the four components, with 8 stochastic replicates per cell at sigma-effective target 0.40, just above the analytical threshold. The four components are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(within-group reward),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(conflict deterrence),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(cooperation-network value),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(ecotone buffer). A component is</w:t>
      </w:r>
      <w:r>
        <w:rPr>
          <w:rFonts w:ascii="Times New Roman" w:hAnsi="Times New Roman"/>
          <w:color w:val="000000"/>
          <w:sz w:val="22"/>
        </w:rPr>
        <w:t xml:space="preserve"> </w:t>
      </w:r>
      <w:r>
        <w:rPr>
          <w:rFonts w:ascii="Times New Roman" w:hAnsi="Times New Roman"/>
          <w:color w:val="000000"/>
          <w:sz w:val="22"/>
        </w:rPr>
        <w:t xml:space="preserve">“on”</w:t>
      </w:r>
      <w:r>
        <w:rPr>
          <w:rFonts w:ascii="Times New Roman" w:hAnsi="Times New Roman"/>
          <w:color w:val="000000"/>
          <w:sz w:val="22"/>
        </w:rPr>
        <w:t xml:space="preserve"> </w:t>
      </w:r>
      <w:r>
        <w:rPr>
          <w:rFonts w:ascii="Times New Roman" w:hAnsi="Times New Roman"/>
          <w:color w:val="000000"/>
          <w:sz w:val="22"/>
        </w:rPr>
        <w:t xml:space="preserve">at its canonical PP-scenario value (0.15, 0.10, 0.15, 0.35 respectively) and</w:t>
      </w:r>
      <w:r>
        <w:rPr>
          <w:rFonts w:ascii="Times New Roman" w:hAnsi="Times New Roman"/>
          <w:color w:val="000000"/>
          <w:sz w:val="22"/>
        </w:rPr>
        <w:t xml:space="preserve"> </w:t>
      </w:r>
      <w:r>
        <w:rPr>
          <w:rFonts w:ascii="Times New Roman" w:hAnsi="Times New Roman"/>
          <w:color w:val="000000"/>
          <w:sz w:val="22"/>
        </w:rPr>
        <w:t xml:space="preserve">“off”</w:t>
      </w:r>
      <w:r>
        <w:rPr>
          <w:rFonts w:ascii="Times New Roman" w:hAnsi="Times New Roman"/>
          <w:color w:val="000000"/>
          <w:sz w:val="22"/>
        </w:rPr>
        <w:t xml:space="preserve"> </w:t>
      </w:r>
      <w:r>
        <w:rPr>
          <w:rFonts w:ascii="Times New Roman" w:hAnsi="Times New Roman"/>
          <w:color w:val="000000"/>
          <w:sz w:val="22"/>
        </w:rPr>
        <w:t xml:space="preserve">at zero.</w:t>
      </w:r>
    </w:p>
    <w:p>
      <w:pPr>
        <w:pStyle w:val="BodyText"/>
      </w:pPr>
      <w:r>
        <w:rPr>
          <w:rFonts w:ascii="Times New Roman" w:hAnsi="Times New Roman"/>
          <w:color w:val="000000"/>
          <w:sz w:val="22"/>
        </w:rPr>
        <w:t xml:space="preserve">The result is clean (Figure S04). Per-cell mean dominance partitions into four bands: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plus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are deeply independent (mean dominance</w:t>
      </w:r>
      <w:r>
        <w:rPr>
          <w:rFonts w:ascii="Times New Roman" w:hAnsi="Times New Roman"/>
          <w:color w:val="000000"/>
          <w:sz w:val="22"/>
        </w:rPr>
        <w:t xml:space="preserve"> </w:t>
      </w:r>
      <m:oMath>
        <m:r>
          <m:rPr>
            <m:sty m:val="p"/>
          </m:rPr>
          <m:t>≈</m:t>
        </m:r>
        <m:r>
          <m:rPr>
            <m:sty m:val="p"/>
          </m:rPr>
          <m:t>−</m:t>
        </m:r>
        <m:r>
          <m:t>0.81</m:t>
        </m:r>
      </m:oMath>
      <w:r>
        <w:rPr>
          <w:rFonts w:ascii="Times New Roman" w:hAnsi="Times New Roman"/>
          <w:color w:val="000000"/>
          <w:sz w:val="22"/>
        </w:rPr>
        <w:t xml:space="preserve"> </w:t>
      </w:r>
      <w:r>
        <w:rPr>
          <w:rFonts w:ascii="Times New Roman" w:hAnsi="Times New Roman"/>
          <w:color w:val="000000"/>
          <w:sz w:val="22"/>
        </w:rPr>
        <w:t xml:space="preserve">across all four such cells);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still independent but less so (</w:t>
      </w:r>
      <m:oMath>
        <m:r>
          <m:rPr>
            <m:sty m:val="p"/>
          </m:rPr>
          <m:t>≈</m:t>
        </m:r>
        <m:r>
          <m:rPr>
            <m:sty m:val="p"/>
          </m:rPr>
          <m:t>−</m:t>
        </m:r>
        <m:r>
          <m:t>0.54</m:t>
        </m:r>
      </m:oMath>
      <w:r>
        <w:rPr>
          <w:rFonts w:ascii="Times New Roman" w:hAnsi="Times New Roman"/>
          <w:color w:val="000000"/>
          <w:sz w:val="22"/>
        </w:rPr>
        <w:t xml:space="preserve">);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but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off sit near zero (</w:t>
      </w:r>
      <m:oMath>
        <m:r>
          <m:rPr>
            <m:sty m:val="p"/>
          </m:rPr>
          <m:t>≈</m:t>
        </m:r>
        <m:r>
          <m:rPr>
            <m:sty m:val="p"/>
          </m:rPr>
          <m:t>+</m:t>
        </m:r>
        <m:r>
          <m:t>0.05</m:t>
        </m:r>
      </m:oMath>
      <w:r>
        <w:rPr>
          <w:rFonts w:ascii="Times New Roman" w:hAnsi="Times New Roman"/>
          <w:color w:val="000000"/>
          <w:sz w:val="22"/>
        </w:rPr>
        <w:t xml:space="preserve">); and cells with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are strongly aggregator (</w:t>
      </w:r>
      <m:oMath>
        <m:r>
          <m:rPr>
            <m:sty m:val="p"/>
          </m:rPr>
          <m:t>≈</m:t>
        </m:r>
        <m:r>
          <m:rPr>
            <m:sty m:val="p"/>
          </m:rPr>
          <m:t>+</m:t>
        </m:r>
        <m:r>
          <m:t>0.47</m:t>
        </m:r>
      </m:oMath>
      <w:r>
        <w:rPr>
          <w:rFonts w:ascii="Times New Roman" w:hAnsi="Times New Roman"/>
          <w:color w:val="000000"/>
          <w:sz w:val="22"/>
        </w:rPr>
        <w:t xml:space="preserve">). The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components make no detectable difference at any combination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states. The main-effect summary makes this concrete: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Symbol</w:t>
            </w:r>
          </w:p>
        </w:tc>
        <w:tc>
          <w:tcPr/>
          <w:p>
            <w:pPr>
              <w:pStyle w:val="Compact"/>
            </w:pPr>
            <w:r>
              <w:t xml:space="preserve">Main effect (mean dominance ON minus OFF)</w:t>
            </w:r>
          </w:p>
        </w:tc>
      </w:tr>
      <w:tr>
        <w:tc>
          <w:tcPr/>
          <w:p>
            <w:pPr>
              <w:pStyle w:val="Compact"/>
            </w:pPr>
            <w:r>
              <w:t xml:space="preserve">Within-group reward</w:t>
            </w:r>
          </w:p>
        </w:tc>
        <w:tc>
          <w:tcPr/>
          <w:p>
            <w:pPr>
              <w:pStyle w:val="Compact"/>
            </w:pPr>
            <m:oMath>
              <m:sSub>
                <m:e>
                  <m:r>
                    <m:t>λ</m:t>
                  </m:r>
                </m:e>
                <m:sub>
                  <m:r>
                    <m:t>W</m:t>
                  </m:r>
                </m:sub>
              </m:sSub>
            </m:oMath>
          </w:p>
        </w:tc>
        <w:tc>
          <w:tcPr/>
          <w:p>
            <w:pPr>
              <w:pStyle w:val="Compact"/>
            </w:pPr>
            <m:oMath>
              <m:r>
                <m:rPr>
                  <m:sty m:val="p"/>
                </m:rPr>
                <m:t>+</m:t>
              </m:r>
              <m:r>
                <m:t>0.339</m:t>
              </m:r>
            </m:oMath>
          </w:p>
        </w:tc>
      </w:tr>
      <w:tr>
        <w:tc>
          <w:tcPr/>
          <w:p>
            <w:pPr>
              <w:pStyle w:val="Compact"/>
            </w:pPr>
            <w:r>
              <w:t xml:space="preserve">Conflict deterrence</w:t>
            </w:r>
          </w:p>
        </w:tc>
        <w:tc>
          <w:tcPr/>
          <w:p>
            <w:pPr>
              <w:pStyle w:val="Compact"/>
            </w:pPr>
            <m:oMath>
              <m:sSub>
                <m:e>
                  <m:r>
                    <m:t>λ</m:t>
                  </m:r>
                </m:e>
                <m:sub>
                  <m:r>
                    <m:t>C</m:t>
                  </m:r>
                </m:sub>
              </m:sSub>
            </m:oMath>
          </w:p>
        </w:tc>
        <w:tc>
          <w:tcPr/>
          <w:p>
            <w:pPr>
              <w:pStyle w:val="Compact"/>
            </w:pPr>
            <m:oMath>
              <m:r>
                <m:rPr>
                  <m:sty m:val="p"/>
                </m:rPr>
                <m:t>+</m:t>
              </m:r>
              <m:r>
                <m:t>0.001</m:t>
              </m:r>
            </m:oMath>
          </w:p>
        </w:tc>
      </w:tr>
      <w:tr>
        <w:tc>
          <w:tcPr/>
          <w:p>
            <w:pPr>
              <w:pStyle w:val="Compact"/>
            </w:pPr>
            <w:r>
              <w:t xml:space="preserve">Cooperation-network value</w:t>
            </w:r>
          </w:p>
        </w:tc>
        <w:tc>
          <w:tcPr/>
          <w:p>
            <w:pPr>
              <w:pStyle w:val="Compact"/>
            </w:pPr>
            <m:oMath>
              <m:sSub>
                <m:e>
                  <m:r>
                    <m:t>λ</m:t>
                  </m:r>
                </m:e>
                <m:sub>
                  <m:r>
                    <m:t>X</m:t>
                  </m:r>
                </m:sub>
              </m:sSub>
            </m:oMath>
          </w:p>
        </w:tc>
        <w:tc>
          <w:tcPr/>
          <w:p>
            <w:pPr>
              <w:pStyle w:val="Compact"/>
            </w:pPr>
            <m:oMath>
              <m:r>
                <m:rPr>
                  <m:sty m:val="p"/>
                </m:rPr>
                <m:t>−</m:t>
              </m:r>
              <m:r>
                <m:t>0.000</m:t>
              </m:r>
            </m:oMath>
          </w:p>
        </w:tc>
      </w:tr>
      <w:tr>
        <w:tc>
          <w:tcPr/>
          <w:p>
            <w:pPr>
              <w:pStyle w:val="Compact"/>
            </w:pPr>
            <w:r>
              <w:t xml:space="preserve">Ecotone buffer</w:t>
            </w:r>
          </w:p>
        </w:tc>
        <w:tc>
          <w:tcPr/>
          <w:p>
            <w:pPr>
              <w:pStyle w:val="Compact"/>
            </w:pPr>
            <m:oMath>
              <m:r>
                <m:t>ε</m:t>
              </m:r>
            </m:oMath>
          </w:p>
        </w:tc>
        <w:tc>
          <w:tcPr/>
          <w:p>
            <w:pPr>
              <w:pStyle w:val="Compact"/>
            </w:pPr>
            <m:oMath>
              <m:r>
                <m:rPr>
                  <m:sty m:val="p"/>
                </m:rPr>
                <m:t>+</m:t>
              </m:r>
              <m:r>
                <m:t>0.936</m:t>
              </m:r>
            </m:oMath>
          </w:p>
        </w:tc>
      </w:tr>
    </w:tbl>
    <w:p>
      <w:pPr>
        <w:pStyle w:val="BodyText"/>
      </w:pPr>
      <w:r>
        <w:rPr>
          <w:rFonts w:ascii="Times New Roman" w:hAnsi="Times New Roman"/>
          <w:color w:val="000000"/>
          <w:sz w:val="22"/>
        </w:rPr>
        <w:t xml:space="preserve">The headline finding is that</w:t>
      </w:r>
      <w:r>
        <w:rPr>
          <w:rFonts w:ascii="Times New Roman" w:hAnsi="Times New Roman"/>
          <w:color w:val="000000"/>
          <w:sz w:val="22"/>
        </w:rPr>
        <w:t xml:space="preserve"> </w:t>
      </w:r>
      <w:r>
        <w:rPr>
          <w:rFonts w:ascii="Times New Roman" w:hAnsi="Times New Roman"/>
          <w:i/>
          <w:iCs/>
          <w:color w:val="000000"/>
          <w:sz w:val="22"/>
        </w:rPr>
        <w:t xml:space="preserve">ecotone access</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Fonts w:ascii="Times New Roman" w:hAnsi="Times New Roman"/>
          <w:i/>
          <w:iCs/>
          <w:color w:val="000000"/>
          <w:sz w:val="22"/>
        </w:rPr>
        <w:t xml:space="preserve">within-group reward</w:t>
      </w:r>
      <w:r>
        <w:rPr>
          <w:rFonts w:ascii="Times New Roman" w:hAnsi="Times New Roman"/>
          <w:color w:val="000000"/>
          <w:sz w:val="22"/>
        </w:rPr>
        <w:t xml:space="preserve"> </w:t>
      </w:r>
      <w:r>
        <w:rPr>
          <w:rFonts w:ascii="Times New Roman" w:hAnsi="Times New Roman"/>
          <w:color w:val="000000"/>
          <w:sz w:val="22"/>
        </w:rPr>
        <w:t xml:space="preserve">are the two components that drive the threshold-crossing structure. The conflict-deterrence and cooperation-network-value components make no detectable contribution at the PP-scenario parameterization. This is consistent with the §S3.1 OAT sensitivity result:</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have zero direct sensitivity in the OAT tornado because they are endogenously determined at the lambda-sigma fixed point, and the factorial confirms that endogenization extends to the full ABM dynamic (turning them off entirely produces no detectable change in the population trajectory at this parameterization). The framework’s two operative components at PP-scenario parameters are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(which sets whether the threshold is crossed) 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(which sets how far above the threshold the system equilibrates).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present in the model architecture but doing no observable work at these parameter values. A different parameterization (e.g., earlier in the analytical fixed-point iteration before</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saturates the network function) would presumably give them more weight. At the PP equilibrium they are silent.</w:t>
      </w:r>
    </w:p>
    <w:p>
      <w:pPr>
        <w:pStyle w:val="BodyText"/>
      </w:pPr>
      <w:r>
        <w:rPr>
          <w:rFonts w:ascii="Times New Roman" w:hAnsi="Times New Roman"/>
          <w:color w:val="000000"/>
          <w:sz w:val="22"/>
        </w:rPr>
        <w:t xml:space="preserve">This factorial ablation is the deeper version of the §4.3 signal-conditional vs random-partner comparison. The §4.3 result (</w:t>
      </w:r>
      <m:oMath>
        <m:r>
          <m:rPr>
            <m:sty m:val="p"/>
          </m:rPr>
          <m:t>−</m:t>
        </m:r>
        <m:r>
          <m:t>0.010</m:t>
        </m:r>
      </m:oMath>
      <w:r>
        <w:rPr>
          <w:rFonts w:ascii="Times New Roman" w:hAnsi="Times New Roman"/>
          <w:color w:val="000000"/>
          <w:sz w:val="22"/>
        </w:rPr>
        <w:t xml:space="preserve"> </w:t>
      </w:r>
      <w:r>
        <w:rPr>
          <w:rFonts w:ascii="Times New Roman" w:hAnsi="Times New Roman"/>
          <w:color w:val="000000"/>
          <w:sz w:val="22"/>
        </w:rPr>
        <w:t xml:space="preserve">shift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at the threshold) tested whether</w:t>
      </w:r>
      <w:r>
        <w:rPr>
          <w:rFonts w:ascii="Times New Roman" w:hAnsi="Times New Roman"/>
          <w:color w:val="000000"/>
          <w:sz w:val="22"/>
        </w:rPr>
        <w:t xml:space="preserve"> </w:t>
      </w:r>
      <w:r>
        <w:rPr>
          <w:rFonts w:ascii="Times New Roman" w:hAnsi="Times New Roman"/>
          <w:i/>
          <w:iCs/>
          <w:color w:val="000000"/>
          <w:sz w:val="22"/>
        </w:rPr>
        <w:t xml:space="preserve">weighted partner choice</w:t>
      </w:r>
      <w:r>
        <w:rPr>
          <w:rFonts w:ascii="Times New Roman" w:hAnsi="Times New Roman"/>
          <w:color w:val="000000"/>
          <w:sz w:val="22"/>
        </w:rPr>
        <w:t xml:space="preserve"> </w:t>
      </w:r>
      <w:r>
        <w:rPr>
          <w:rFonts w:ascii="Times New Roman" w:hAnsi="Times New Roman"/>
          <w:color w:val="000000"/>
          <w:sz w:val="22"/>
        </w:rPr>
        <w:t xml:space="preserve">matters when network cooperation is preserved, and found that it does not: the threshold does not shift. The §S5.4 factorial here tests whether each</w:t>
      </w:r>
      <w:r>
        <w:rPr>
          <w:rFonts w:ascii="Times New Roman" w:hAnsi="Times New Roman"/>
          <w:color w:val="000000"/>
          <w:sz w:val="22"/>
        </w:rPr>
        <w:t xml:space="preserve"> </w:t>
      </w:r>
      <w:r>
        <w:rPr>
          <w:rFonts w:ascii="Times New Roman" w:hAnsi="Times New Roman"/>
          <w:i/>
          <w:iCs/>
          <w:color w:val="000000"/>
          <w:sz w:val="22"/>
        </w:rPr>
        <w:t xml:space="preserve">component</w:t>
      </w:r>
      <w:r>
        <w:rPr>
          <w:rFonts w:ascii="Times New Roman" w:hAnsi="Times New Roman"/>
          <w:color w:val="000000"/>
          <w:sz w:val="22"/>
        </w:rPr>
        <w:t xml:space="preserve"> </w:t>
      </w:r>
      <w:r>
        <w:rPr>
          <w:rFonts w:ascii="Times New Roman" w:hAnsi="Times New Roman"/>
          <w:color w:val="000000"/>
          <w:sz w:val="22"/>
        </w:rPr>
        <w:t xml:space="preserve">matters, with everything else held constant. 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matter substantially while the other two do not at PP-scenario parameters. The two results together give a more complete picture of which model components are doing the work and which are present but not currently engaged.</w:t>
      </w:r>
    </w:p>
    <w:p>
      <w:pPr>
        <w:pStyle w:val="BodyText"/>
      </w:pPr>
      <w:r>
        <w:rPr>
          <w:rFonts w:ascii="Times New Roman" w:hAnsi="Times New Roman"/>
          <w:color w:val="000000"/>
          <w:sz w:val="22"/>
        </w:rPr>
        <w:drawing>
          <wp:inline>
            <wp:extent cx="5486400" cy="2296632"/>
            <wp:effectExtent b="0" l="0" r="0" t="0"/>
            <wp:docPr descr="" title="" id="50" name="Picture"/>
            <a:graphic>
              <a:graphicData uri="http://schemas.openxmlformats.org/drawingml/2006/picture">
                <pic:pic>
                  <pic:nvPicPr>
                    <pic:cNvPr descr="/Users/clipo/PycharmProjects/poverty-point-signaling/figures/supplemental/figure_S04_factorial_ablation.png" id="51" name="Picture"/>
                    <pic:cNvPicPr>
                      <a:picLocks noChangeArrowheads="1" noChangeAspect="1"/>
                    </pic:cNvPicPr>
                  </pic:nvPicPr>
                  <pic:blipFill>
                    <a:blip r:embed="rId49"/>
                    <a:stretch>
                      <a:fillRect/>
                    </a:stretch>
                  </pic:blipFill>
                  <pic:spPr bwMode="auto">
                    <a:xfrm>
                      <a:off x="0" y="0"/>
                      <a:ext cx="5486400" cy="229663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S04. Factorial component ablation.</w:t>
      </w:r>
      <w:r>
        <w:rPr>
          <w:rFonts w:ascii="Times New Roman" w:hAnsi="Times New Roman"/>
          <w:color w:val="000000"/>
          <w:sz w:val="20"/>
        </w:rPr>
        <w:t xml:space="preserve"> </w:t>
      </w:r>
      <w:r>
        <w:rPr>
          <w:rFonts w:ascii="Times New Roman" w:hAnsi="Times New Roman"/>
          <w:i/>
          <w:iCs/>
          <w:color w:val="000000"/>
          <w:sz w:val="20"/>
        </w:rPr>
        <w:t xml:space="preserve">Per-cell mean dominance (mean ± 1 SD across 8 stochastic replicates) for the 16-cell factorial across</w:t>
      </w:r>
      <w:r>
        <w:rPr>
          <w:rFonts w:ascii="Times New Roman" w:hAnsi="Times New Roman"/>
          <w:color w:val="000000"/>
          <w:sz w:val="20"/>
        </w:rPr>
        <w:t xml:space="preserve"> </w:t>
      </w:r>
      <m:oMath>
        <m:sSub>
          <m:e>
            <m:r>
              <m:t>λ</m:t>
            </m:r>
          </m:e>
          <m:sub>
            <m:r>
              <m:t>W</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C</m:t>
            </m:r>
          </m:sub>
        </m:sSub>
      </m:oMath>
      <w:r>
        <w:rPr>
          <w:rFonts w:ascii="Times New Roman" w:hAnsi="Times New Roman"/>
          <w:i/>
          <w:iCs/>
          <w:color w:val="000000"/>
          <w:sz w:val="20"/>
        </w:rPr>
        <w:t xml:space="preserve">,</w:t>
      </w:r>
      <w:r>
        <w:rPr>
          <w:rFonts w:ascii="Times New Roman" w:hAnsi="Times New Roman"/>
          <w:color w:val="000000"/>
          <w:sz w:val="20"/>
        </w:rPr>
        <w:t xml:space="preserve"> </w:t>
      </w:r>
      <m:oMath>
        <m:sSub>
          <m:e>
            <m:r>
              <m:t>λ</m:t>
            </m:r>
          </m:e>
          <m:sub>
            <m:r>
              <m:t>X</m:t>
            </m:r>
          </m:sub>
        </m:sSub>
      </m:oMath>
      <w:r>
        <w:rPr>
          <w:rFonts w:ascii="Times New Roman" w:hAnsi="Times New Roman"/>
          <w:i/>
          <w:iCs/>
          <w:color w:val="000000"/>
          <w:sz w:val="20"/>
        </w:rPr>
        <w:t xml:space="preserve">, and</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(uppercase = component on at PP-scenario value; lowercase = off at zero). Cells are color-coded by</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state (orange = on, blue = off). The four bands of dominance values correspond to the four combinations of</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states. The</w:t>
      </w:r>
      <w:r>
        <w:rPr>
          <w:rFonts w:ascii="Times New Roman" w:hAnsi="Times New Roman"/>
          <w:color w:val="000000"/>
          <w:sz w:val="20"/>
        </w:rPr>
        <w:t xml:space="preserve"> </w:t>
      </w:r>
      <m:oMath>
        <m:sSub>
          <m:e>
            <m:r>
              <m:t>λ</m:t>
            </m:r>
          </m:e>
          <m:sub>
            <m:r>
              <m:t>C</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λ</m:t>
            </m:r>
          </m:e>
          <m:sub>
            <m:r>
              <m:t>X</m:t>
            </m:r>
          </m:sub>
        </m:sSub>
      </m:oMath>
      <w:r>
        <w:rPr>
          <w:rFonts w:ascii="Times New Roman" w:hAnsi="Times New Roman"/>
          <w:color w:val="000000"/>
          <w:sz w:val="20"/>
        </w:rPr>
        <w:t xml:space="preserve"> </w:t>
      </w:r>
      <w:r>
        <w:rPr>
          <w:rFonts w:ascii="Times New Roman" w:hAnsi="Times New Roman"/>
          <w:i/>
          <w:iCs/>
          <w:color w:val="000000"/>
          <w:sz w:val="20"/>
        </w:rPr>
        <w:t xml:space="preserve">components make no detectable difference within each band. (B) Main effects: average dominance with component ON minus average with component OFF, marginalized over the other three components.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(+0.94) and</w:t>
      </w:r>
      <w:r>
        <w:rPr>
          <w:rFonts w:ascii="Times New Roman" w:hAnsi="Times New Roman"/>
          <w:color w:val="000000"/>
          <w:sz w:val="20"/>
        </w:rPr>
        <w:t xml:space="preserve"> </w:t>
      </w:r>
      <m:oMath>
        <m:sSub>
          <m:e>
            <m:r>
              <m:t>λ</m:t>
            </m:r>
          </m:e>
          <m:sub>
            <m:r>
              <m:t>W</m:t>
            </m:r>
          </m:sub>
        </m:sSub>
      </m:oMath>
      <w:r>
        <w:rPr>
          <w:rFonts w:ascii="Times New Roman" w:hAnsi="Times New Roman"/>
          <w:color w:val="000000"/>
          <w:sz w:val="20"/>
        </w:rPr>
        <w:t xml:space="preserve"> </w:t>
      </w:r>
      <w:r>
        <w:rPr>
          <w:rFonts w:ascii="Times New Roman" w:hAnsi="Times New Roman"/>
          <w:i/>
          <w:iCs/>
          <w:color w:val="000000"/>
          <w:sz w:val="20"/>
        </w:rPr>
        <w:t xml:space="preserve">(+0.34) drive the threshold-crossing dynamic. The conflict-deterrence and cooperation-network components are effectively silent at PP-scenario parameters because they are endogenously determined at the lambda-sigma fixed point (cf. §S3.1).</w:t>
      </w:r>
    </w:p>
    <w:bookmarkEnd w:id="52"/>
    <w:bookmarkStart w:id="56" w:name="X26d98007d9f83f4da98b6d43e50855226749ed0"/>
    <w:p>
      <w:pPr>
        <w:pStyle w:val="Heading3"/>
      </w:pPr>
      <w:r>
        <w:rPr>
          <w:rFonts w:ascii="Times New Roman" w:hAnsi="Times New Roman"/>
          <w:b w:val="0"/>
          <w:i w:val="0"/>
          <w:color w:val="000000"/>
          <w:sz w:val="22"/>
          <w:u w:val="single"/>
        </w:rPr>
        <w:t xml:space="preserve">S5.5 Empirical Price-equation decomposition from ABM output (band-level + cumulative)</w:t>
      </w:r>
    </w:p>
    <w:p>
      <w:pPr>
        <w:pStyle w:val="FirstParagraph"/>
      </w:pPr>
      <w:r>
        <w:rPr>
          <w:rFonts w:ascii="Times New Roman" w:hAnsi="Times New Roman"/>
          <w:color w:val="000000"/>
          <w:sz w:val="22"/>
        </w:rPr>
        <w:t xml:space="preserve">Main §2.1 describes the framework’s two-scale architecture: per-year band-level decisions (each band chooses its strategy on individual-fitness grounds) coupled through frequency-dependent network feedback (band fitness depends on emergent population-level network density). The Price equation,</w:t>
      </w:r>
    </w:p>
    <w:p>
      <w:pPr>
        <w:pStyle w:val="BodyText"/>
      </w:pPr>
      <m:oMathPara>
        <m:oMathParaPr>
          <m:jc m:val="center"/>
        </m:oMathParaPr>
        <m:oMath>
          <m:r>
            <m:rPr>
              <m:sty m:val="p"/>
            </m:rPr>
            <m:t>Δ</m:t>
          </m:r>
          <m:acc>
            <m:accPr>
              <m:chr m:val="‾"/>
            </m:accPr>
            <m:e>
              <m:r>
                <m:t>p</m:t>
              </m:r>
            </m:e>
          </m:acc>
          <m:r>
            <m:rPr>
              <m:sty m:val="p"/>
            </m:rPr>
            <m:t>=</m:t>
          </m:r>
          <m:f>
            <m:fPr>
              <m:type m:val="bar"/>
            </m:fPr>
            <m:num>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num>
            <m:den>
              <m:acc>
                <m:accPr>
                  <m:chr m:val="‾"/>
                </m:accPr>
                <m:e>
                  <m:r>
                    <m:t>w</m:t>
                  </m:r>
                </m:e>
              </m:acc>
            </m:den>
          </m:f>
          <m:r>
            <m:rPr>
              <m:sty m:val="p"/>
            </m:rPr>
            <m:t>+</m:t>
          </m:r>
          <m:f>
            <m:fPr>
              <m:type m:val="bar"/>
            </m:fPr>
            <m:num>
              <m:r>
                <m:t>E</m:t>
              </m:r>
              <m:r>
                <m:rPr>
                  <m:sty m:val="p"/>
                </m:rPr>
                <m:t>(</m:t>
              </m:r>
              <m:sSub>
                <m:e>
                  <m:r>
                    <m:t>w</m:t>
                  </m:r>
                </m:e>
                <m:sub>
                  <m:r>
                    <m:t>g</m:t>
                  </m:r>
                </m:sub>
              </m:sSub>
              <m:r>
                <m:t> </m:t>
              </m:r>
              <m:r>
                <m:rPr>
                  <m:sty m:val="p"/>
                </m:rPr>
                <m:t>Δ</m:t>
              </m:r>
              <m:sSub>
                <m:e>
                  <m:r>
                    <m:t>p</m:t>
                  </m:r>
                </m:e>
                <m:sub>
                  <m:r>
                    <m:t>g</m:t>
                  </m:r>
                </m:sub>
              </m:sSub>
              <m:r>
                <m:rPr>
                  <m:sty m:val="p"/>
                </m:rPr>
                <m:t>)</m:t>
              </m:r>
            </m:num>
            <m:den>
              <m:acc>
                <m:accPr>
                  <m:chr m:val="‾"/>
                </m:accPr>
                <m:e>
                  <m:r>
                    <m:t>w</m:t>
                  </m:r>
                </m:e>
              </m:acc>
            </m:den>
          </m:f>
          <m:r>
            <m:rPr>
              <m:sty m:val="p"/>
            </m:rPr>
            <m:t>,</m:t>
          </m:r>
        </m:oMath>
      </m:oMathPara>
    </w:p>
    <w:p>
      <w:pPr>
        <w:pStyle w:val="FirstParagraph"/>
      </w:pPr>
      <w:r>
        <w:rPr>
          <w:rFonts w:ascii="Times New Roman" w:hAnsi="Times New Roman"/>
          <w:color w:val="000000"/>
          <w:sz w:val="22"/>
        </w:rPr>
        <w:t xml:space="preserve">provides a population-dynamics accounting tool for tracking year-on-year change in the aggregator frequency</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For the binary aggregator/independent strategy in this model, where each band is wholly one or the other, the within-group selection term collapses to zero (no within-band strategy variation) and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plus a transmission residual.</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positive whenever aggregator bands are out-reproducing independent bands at year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and negative when the reverse holds.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tracks how far the population frequency has shifted as a result. To verify that the agent-based model exhibits the expected band-level-selection plus network-feedback dynamic, we compute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empirically from per-band simulation output across three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scenarios spanning the framework’s threshold.</w:t>
      </w:r>
    </w:p>
    <w:p>
      <w:pPr>
        <w:pStyle w:val="BodyText"/>
      </w:pPr>
      <w:r>
        <w:rPr>
          <w:rFonts w:ascii="Times New Roman" w:hAnsi="Times New Roman"/>
          <w:b/>
          <w:bCs/>
          <w:color w:val="000000"/>
          <w:sz w:val="22"/>
        </w:rPr>
        <w:t xml:space="preserve">Setup.</w:t>
      </w:r>
      <w:r>
        <w:rPr>
          <w:rFonts w:ascii="Times New Roman" w:hAnsi="Times New Roman"/>
          <w:color w:val="000000"/>
          <w:sz w:val="22"/>
        </w:rPr>
        <w:t xml:space="preserve"> </w:t>
      </w:r>
      <w:r>
        <w:rPr>
          <w:rFonts w:ascii="Times New Roman" w:hAnsi="Times New Roman"/>
          <w:color w:val="000000"/>
          <w:sz w:val="22"/>
        </w:rPr>
        <w:t xml:space="preserve">Three scenarios at PP-equivalent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below-threshold (</w:t>
      </w:r>
      <m:oMath>
        <m:sSub>
          <m:e>
            <m:r>
              <m:t>σ</m:t>
            </m:r>
          </m:e>
          <m:sub>
            <m:r>
              <m:t>t</m:t>
            </m:r>
            <m:r>
              <m:t>a</m:t>
            </m:r>
            <m:r>
              <m:t>r</m:t>
            </m:r>
            <m:r>
              <m:t>g</m:t>
            </m:r>
            <m:r>
              <m:t>e</m:t>
            </m:r>
            <m:r>
              <m:t>t</m:t>
            </m:r>
          </m:sub>
        </m:sSub>
        <m:r>
          <m:rPr>
            <m:sty m:val="p"/>
          </m:rPr>
          <m:t>=</m:t>
        </m:r>
        <m:r>
          <m:t>0.20</m:t>
        </m:r>
      </m:oMath>
      <w:r>
        <w:rPr>
          <w:rFonts w:ascii="Times New Roman" w:hAnsi="Times New Roman"/>
          <w:color w:val="000000"/>
          <w:sz w:val="22"/>
        </w:rPr>
        <w:t xml:space="preserve">), near-threshold (</w:t>
      </w:r>
      <m:oMath>
        <m:sSub>
          <m:e>
            <m:r>
              <m:t>σ</m:t>
            </m:r>
          </m:e>
          <m:sub>
            <m:r>
              <m:t>t</m:t>
            </m:r>
            <m:r>
              <m:t>a</m:t>
            </m:r>
            <m:r>
              <m:t>r</m:t>
            </m:r>
            <m:r>
              <m:t>g</m:t>
            </m:r>
            <m:r>
              <m:t>e</m:t>
            </m:r>
            <m:r>
              <m:t>t</m:t>
            </m:r>
          </m:sub>
        </m:sSub>
        <m:r>
          <m:rPr>
            <m:sty m:val="p"/>
          </m:rPr>
          <m:t>=</m:t>
        </m:r>
        <m:r>
          <m:t>0.40</m:t>
        </m:r>
      </m:oMath>
      <w:r>
        <w:rPr>
          <w:rFonts w:ascii="Times New Roman" w:hAnsi="Times New Roman"/>
          <w:color w:val="000000"/>
          <w:sz w:val="22"/>
        </w:rPr>
        <w:t xml:space="preserve">), and above-threshold (</w:t>
      </w:r>
      <m:oMath>
        <m:sSub>
          <m:e>
            <m:r>
              <m:t>σ</m:t>
            </m:r>
          </m:e>
          <m:sub>
            <m:r>
              <m:t>t</m:t>
            </m:r>
            <m:r>
              <m:t>a</m:t>
            </m:r>
            <m:r>
              <m:t>r</m:t>
            </m:r>
            <m:r>
              <m:t>g</m:t>
            </m:r>
            <m:r>
              <m:t>e</m:t>
            </m:r>
            <m:r>
              <m:t>t</m:t>
            </m:r>
          </m:sub>
        </m:sSub>
        <m:r>
          <m:rPr>
            <m:sty m:val="p"/>
          </m:rPr>
          <m:t>=</m:t>
        </m:r>
        <m:r>
          <m:t>0.64</m:t>
        </m:r>
      </m:oMath>
      <w:r>
        <w:rPr>
          <w:rFonts w:ascii="Times New Roman" w:hAnsi="Times New Roman"/>
          <w:color w:val="000000"/>
          <w:sz w:val="22"/>
        </w:rPr>
        <w:t xml:space="preserve">, PP-equivalent). Each scenario is run for 5 stochastic replicates × 200 simulated years with a 50-year burn-in discarded. After each year, per-band state is snapshotted (strategy, fitness, monument contribution, exotic count, network position) and the year-on-year Price decomposition is computed: the between-strategy-class selection term</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the within-aggregator-cohort covariance</w:t>
      </w:r>
      <w:r>
        <w:rPr>
          <w:rFonts w:ascii="Times New Roman" w:hAnsi="Times New Roman"/>
          <w:color w:val="000000"/>
          <w:sz w:val="22"/>
        </w:rPr>
        <w:t xml:space="preserve"> </w:t>
      </w:r>
      <m:oMath>
        <m:r>
          <m:rPr>
            <m:sty m:val="p"/>
          </m:rPr>
          <m:t>C</m:t>
        </m:r>
        <m:r>
          <m:rPr>
            <m:sty m:val="p"/>
          </m:rPr>
          <m:t>o</m:t>
        </m:r>
        <m:r>
          <m:rPr>
            <m:sty m:val="p"/>
          </m:rPr>
          <m:t>v</m:t>
        </m:r>
        <m:r>
          <m:rPr>
            <m:sty m:val="p"/>
          </m:rPr>
          <m:t>(</m:t>
        </m:r>
        <m:sSub>
          <m:e>
            <m:r>
              <m:t>M</m:t>
            </m:r>
          </m:e>
          <m:sub>
            <m:r>
              <m:t>i</m:t>
            </m:r>
          </m:sub>
        </m:sSub>
        <m:r>
          <m:rPr>
            <m:sty m:val="p"/>
          </m:rPr>
          <m:t>,</m:t>
        </m:r>
        <m:sSub>
          <m:e>
            <m:r>
              <m:t>w</m:t>
            </m:r>
          </m:e>
          <m:sub>
            <m:r>
              <m:t>i</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bands in the aggregator class (which indexes whether more monument investment is rewarded individually within the cohort), and the transmission residual</w:t>
      </w:r>
      <w:r>
        <w:rPr>
          <w:rFonts w:ascii="Times New Roman" w:hAnsi="Times New Roman"/>
          <w:color w:val="000000"/>
          <w:sz w:val="22"/>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(capturing strategy switching beyond what reproductive differential alone delivers).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scripts/analysis/run_price_decomposition.py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results/analysis/price_decomposition_*.json</w:t>
      </w:r>
      <w:r>
        <w:rPr>
          <w:rFonts w:ascii="Times New Roman" w:hAnsi="Times New Roman"/>
          <w:color w:val="000000"/>
          <w:sz w:val="22"/>
        </w:rPr>
        <w:t xml:space="preserve">. Figure S03 reports per-year trajectories, the cumulative-</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and post-burn-in summary statistics.</w:t>
      </w:r>
    </w:p>
    <w:p>
      <w:pPr>
        <w:pStyle w:val="BodyText"/>
      </w:pPr>
      <w:r>
        <w:rPr>
          <w:rFonts w:ascii="Times New Roman" w:hAnsi="Times New Roman"/>
          <w:b/>
          <w:bCs/>
          <w:color w:val="000000"/>
          <w:sz w:val="22"/>
        </w:rPr>
        <w:t xml:space="preserve">Per-year selection differential is small but consistent in sign.</w:t>
      </w:r>
      <w:r>
        <w:rPr>
          <w:rFonts w:ascii="Times New Roman" w:hAnsi="Times New Roman"/>
          <w:color w:val="000000"/>
          <w:sz w:val="22"/>
        </w:rPr>
        <w:t xml:space="preserve"> </w:t>
      </w:r>
      <w:r>
        <w:rPr>
          <w:rFonts w:ascii="Times New Roman" w:hAnsi="Times New Roman"/>
          <w:color w:val="000000"/>
          <w:sz w:val="22"/>
        </w:rPr>
        <w:t xml:space="preserve">At the per-year resolution,</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all three regimes:</w:t>
      </w:r>
      <w:r>
        <w:rPr>
          <w:rFonts w:ascii="Times New Roman" w:hAnsi="Times New Roman"/>
          <w:color w:val="000000"/>
          <w:sz w:val="22"/>
        </w:rPr>
        <w:t xml:space="preserve"> </w:t>
      </w:r>
      <m:oMath>
        <m:r>
          <m:rPr>
            <m:sty m:val="p"/>
          </m:rPr>
          <m:t>|</m:t>
        </m:r>
        <m:r>
          <m:t>S</m:t>
        </m:r>
        <m:r>
          <m:rPr>
            <m:sty m:val="p"/>
          </m:rPr>
          <m:t>|</m:t>
        </m:r>
        <m:r>
          <m:rPr>
            <m:sty m:val="p"/>
          </m:rPr>
          <m:t>&lt;</m:t>
        </m:r>
        <m:r>
          <m:t>0.10</m:t>
        </m:r>
      </m:oMath>
      <w:r>
        <w:rPr>
          <w:rFonts w:ascii="Times New Roman" w:hAnsi="Times New Roman"/>
          <w:color w:val="000000"/>
          <w:sz w:val="22"/>
        </w:rPr>
        <w:t xml:space="preserve"> </w:t>
      </w:r>
      <w:r>
        <w:rPr>
          <w:rFonts w:ascii="Times New Roman" w:hAnsi="Times New Roman"/>
          <w:color w:val="000000"/>
          <w:sz w:val="22"/>
        </w:rPr>
        <w:t xml:space="preserve">throughout. This is the expected result under the framework’s logic. Per-year fitness differentials between aggregator and independent bands are bounded by the buffering value of the network at that year’s realized shortfall: a single year cannot produce large strategy-class fitness differences when both classes face the same regional environment. The dominant engine of per-year band decisions is band-level individual fitness. Each band picks its strategy based on its own expected payoff, and the per-year selection signature is what falls out of those decisions in aggregate.</w:t>
      </w:r>
    </w:p>
    <w:p>
      <w:pPr>
        <w:pStyle w:val="BodyText"/>
      </w:pPr>
      <w:r>
        <w:rPr>
          <w:rFonts w:ascii="Times New Roman" w:hAnsi="Times New Roman"/>
          <w:b/>
          <w:bCs/>
          <w:color w:val="000000"/>
          <w:sz w:val="22"/>
        </w:rPr>
        <w:t xml:space="preserve">Cumulative selection drives the population-level shift.</w:t>
      </w:r>
      <w:r>
        <w:rPr>
          <w:rFonts w:ascii="Times New Roman" w:hAnsi="Times New Roman"/>
          <w:color w:val="000000"/>
          <w:sz w:val="22"/>
        </w:rPr>
        <w:t xml:space="preserve"> </w:t>
      </w:r>
      <w:r>
        <w:rPr>
          <w:rFonts w:ascii="Times New Roman" w:hAnsi="Times New Roman"/>
          <w:color w:val="000000"/>
          <w:sz w:val="22"/>
        </w:rPr>
        <w:t xml:space="preserve">At the cumulative scale, the small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integrate coherently along persistent band lineages and produce substantial population-level shifts. Below threshold (</w:t>
      </w:r>
      <m:oMath>
        <m:r>
          <m:t>σ</m:t>
        </m:r>
        <m:r>
          <m:rPr>
            <m:sty m:val="p"/>
          </m:rPr>
          <m:t>=</m:t>
        </m:r>
        <m:r>
          <m:t>0.20</m:t>
        </m:r>
      </m:oMath>
      <w:r>
        <w:rPr>
          <w:rFonts w:ascii="Times New Roman" w:hAnsi="Times New Roman"/>
          <w:color w:val="000000"/>
          <w:sz w:val="22"/>
        </w:rPr>
        <w:t xml:space="preserve">), the post-burn-in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across all replicates with no replicate-to-replicate ambiguity in sign. Cumulated over the 150-year post-burn-in interval, this produces a population shift toward independents that takes the population to</w:t>
      </w:r>
      <w:r>
        <w:rPr>
          <w:rFonts w:ascii="Times New Roman" w:hAnsi="Times New Roman"/>
          <w:color w:val="000000"/>
          <w:sz w:val="22"/>
        </w:rPr>
        <w:t xml:space="preserve"> </w:t>
      </w:r>
      <m:oMath>
        <m:acc>
          <m:accPr>
            <m:chr m:val="‾"/>
          </m:accPr>
          <m:e>
            <m:r>
              <m:t>p</m:t>
            </m:r>
          </m:e>
        </m:acc>
        <m:r>
          <m:rPr>
            <m:sty m:val="p"/>
          </m:rPr>
          <m:t>≈</m:t>
        </m:r>
        <m:r>
          <m:t>0.18</m:t>
        </m:r>
      </m:oMath>
      <w:r>
        <w:rPr>
          <w:rFonts w:ascii="Times New Roman" w:hAnsi="Times New Roman"/>
          <w:color w:val="000000"/>
          <w:sz w:val="22"/>
        </w:rPr>
        <w:t xml:space="preserve">-</w:t>
      </w:r>
      <m:oMath>
        <m:r>
          <m:t>0.34</m:t>
        </m:r>
      </m:oMath>
      <w:r>
        <w:rPr>
          <w:rFonts w:ascii="Times New Roman" w:hAnsi="Times New Roman"/>
          <w:color w:val="000000"/>
          <w:sz w:val="22"/>
        </w:rPr>
        <w:t xml:space="preserve"> </w:t>
      </w:r>
      <w:r>
        <w:rPr>
          <w:rFonts w:ascii="Times New Roman" w:hAnsi="Times New Roman"/>
          <w:color w:val="000000"/>
          <w:sz w:val="22"/>
        </w:rPr>
        <w:t xml:space="preserve">aggregator final frequencies. Above threshold (</w:t>
      </w:r>
      <m:oMath>
        <m:r>
          <m:t>σ</m:t>
        </m:r>
        <m:r>
          <m:rPr>
            <m:sty m:val="p"/>
          </m:rPr>
          <m:t>=</m:t>
        </m:r>
        <m:r>
          <m:t>0.64</m:t>
        </m:r>
      </m:oMath>
      <w:r>
        <w:rPr>
          <w:rFonts w:ascii="Times New Roman" w:hAnsi="Times New Roman"/>
          <w:color w:val="000000"/>
          <w:sz w:val="22"/>
        </w:rPr>
        <w:t xml:space="preserve">, PP-equivalent), the per-year mean</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accumulates over the same interval to produce a population shift toward aggregators that takes the population to</w:t>
      </w:r>
      <w:r>
        <w:rPr>
          <w:rFonts w:ascii="Times New Roman" w:hAnsi="Times New Roman"/>
          <w:color w:val="000000"/>
          <w:sz w:val="22"/>
        </w:rPr>
        <w:t xml:space="preserve"> </w:t>
      </w:r>
      <m:oMath>
        <m:acc>
          <m:accPr>
            <m:chr m:val="‾"/>
          </m:accPr>
          <m:e>
            <m:r>
              <m:t>p</m:t>
            </m:r>
          </m:e>
        </m:acc>
        <m:r>
          <m:rPr>
            <m:sty m:val="p"/>
          </m:rPr>
          <m:t>≈</m:t>
        </m:r>
        <m:r>
          <m:t>0.92</m:t>
        </m:r>
      </m:oMath>
      <w:r>
        <w:rPr>
          <w:rFonts w:ascii="Times New Roman" w:hAnsi="Times New Roman"/>
          <w:color w:val="000000"/>
          <w:sz w:val="22"/>
        </w:rPr>
        <w:t xml:space="preserve">. The longer-scale population shift is therefore driven not by any one year’s selection differential but by the integrated history of band-level decisions, amplified by the network-feedback loop (more aggregators → denser network → stronger pull toward aggregation in the next year). Near threshold (</w:t>
      </w:r>
      <m:oMath>
        <m:r>
          <m:t>σ</m:t>
        </m:r>
        <m:r>
          <m:rPr>
            <m:sty m:val="p"/>
          </m:rPr>
          <m:t>=</m:t>
        </m:r>
        <m:r>
          <m:t>0.40</m:t>
        </m:r>
      </m:oMath>
      <w:r>
        <w:rPr>
          <w:rFonts w:ascii="Times New Roman" w:hAnsi="Times New Roman"/>
          <w:color w:val="000000"/>
          <w:sz w:val="22"/>
        </w:rPr>
        <w:t xml:space="preserve">), stochastic regime-flipping produces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consistently above zero (replicates land in the upper part of the threshold zone), but with high replicate-to-replicate variance characteristic of phase-transition zones.</w:t>
      </w:r>
    </w:p>
    <w:p>
      <w:pPr>
        <w:pStyle w:val="BodyText"/>
      </w:pPr>
      <w:r>
        <w:rPr>
          <w:rFonts w:ascii="Times New Roman" w:hAnsi="Times New Roman"/>
          <w:b/>
          <w:bCs/>
          <w:color w:val="000000"/>
          <w:sz w:val="22"/>
        </w:rPr>
        <w:t xml:space="preserve">Within-aggregator individual fitness signal.</w:t>
      </w:r>
      <w:r>
        <w:rPr>
          <w:rFonts w:ascii="Times New Roman" w:hAnsi="Times New Roman"/>
          <w:color w:val="000000"/>
          <w:sz w:val="22"/>
        </w:rPr>
        <w:t xml:space="preserve"> </w:t>
      </w:r>
      <w:r>
        <w:rPr>
          <w:rFonts w:ascii="Times New Roman" w:hAnsi="Times New Roman"/>
          <w:color w:val="000000"/>
          <w:sz w:val="22"/>
        </w:rPr>
        <w:t xml:space="preserve">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term is small but consistently positive above threshold and at near-threshold conditions: bands with higher cumulative monument contributions have slightly higher fitness within the aggregator cohort. This is consistent with the framework’s prediction that monument-investment quality scales partner-choice premium and network buffering at the individual band level. The within-cohort signal is modest because individual fitness benefits already drove the strategy choice (the bands now in the aggregator cohort are those for which aggregating was individually optimal at the moment of choice), so additional within-cohort fitness variation reflects only secondary differences in band quality, network position, and accumulated monument-investment history.</w:t>
      </w:r>
    </w:p>
    <w:p>
      <w:pPr>
        <w:pStyle w:val="BodyText"/>
      </w:pPr>
      <w:r>
        <w:rPr>
          <w:rFonts w:ascii="Times New Roman" w:hAnsi="Times New Roman"/>
          <w:b/>
          <w:bCs/>
          <w:color w:val="000000"/>
          <w:sz w:val="22"/>
        </w:rPr>
        <w:t xml:space="preserve">Why persistent kin-bands matter for the cumulative dynamic.</w:t>
      </w:r>
      <w:r>
        <w:rPr>
          <w:rFonts w:ascii="Times New Roman" w:hAnsi="Times New Roman"/>
          <w:color w:val="000000"/>
          <w:sz w:val="22"/>
        </w:rPr>
        <w:t xml:space="preserve"> </w:t>
      </w:r>
      <w:r>
        <w:rPr>
          <w:rFonts w:ascii="Times New Roman" w:hAnsi="Times New Roman"/>
          <w:color w:val="000000"/>
          <w:sz w:val="22"/>
        </w:rPr>
        <w:t xml:space="preserve">The model’s bands are persistent units across generations: bands fission at size 30 with daughter bands inheriting half the parent band’s network, network ties persist across years subject to decay, and band identity tracks across the simulated interval. This persistence is what makes the cumulative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integral coherent. In a fluid-coalition model where band membership reshuffles each year, the per-year selection differentials would scramble across generations and the cumulative population shift would not accumulate as efficiently. In the persistent-kin-band model the small per-year selection differentials compound coherently along band lineages, and the integrated signal is what produces the equilibrium population-level outcome the framework predicts.</w:t>
      </w:r>
    </w:p>
    <w:p>
      <w:pPr>
        <w:pStyle w:val="BodyText"/>
      </w:pPr>
      <w:r>
        <w:rPr>
          <w:rFonts w:ascii="Times New Roman" w:hAnsi="Times New Roman"/>
          <w:b/>
          <w:bCs/>
          <w:color w:val="000000"/>
          <w:sz w:val="22"/>
        </w:rPr>
        <w:t xml:space="preserve">Numerical summary</w:t>
      </w:r>
      <w:r>
        <w:rPr>
          <w:rFonts w:ascii="Times New Roman" w:hAnsi="Times New Roman"/>
          <w:color w:val="000000"/>
          <w:sz w:val="22"/>
        </w:rPr>
        <w:t xml:space="preserve"> </w:t>
      </w:r>
      <w:r>
        <w:rPr>
          <w:rFonts w:ascii="Times New Roman" w:hAnsi="Times New Roman"/>
          <w:color w:val="000000"/>
          <w:sz w:val="22"/>
        </w:rPr>
        <w:t xml:space="preserve">(5-replicate × 200-year decomposition per scenario, post-burn-in pooled across the 50-200 yr window; full per-replicate output in</w:t>
      </w:r>
      <w:r>
        <w:rPr>
          <w:rFonts w:ascii="Times New Roman" w:hAnsi="Times New Roman"/>
          <w:color w:val="000000"/>
          <w:sz w:val="22"/>
        </w:rPr>
        <w:t xml:space="preserve"> </w:t>
      </w:r>
      <w:r>
        <w:rPr>
          <w:rStyle w:val="VerbatimChar"/>
          <w:rFonts w:ascii="Times New Roman" w:hAnsi="Times New Roman"/>
          <w:color w:val="000000"/>
          <w:sz w:val="22"/>
        </w:rPr>
        <w:t xml:space="preserve">results/analysis/price_decomposition_20260527_204511.json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m:oMath>
              <m:sSub>
                <m:e>
                  <m:r>
                    <m:t>σ</m:t>
                  </m:r>
                </m:e>
                <m:sub>
                  <m:r>
                    <m:t>t</m:t>
                  </m:r>
                  <m:r>
                    <m:t>a</m:t>
                  </m:r>
                  <m:r>
                    <m:t>r</m:t>
                  </m:r>
                  <m:r>
                    <m:t>g</m:t>
                  </m:r>
                  <m:r>
                    <m:t>e</m:t>
                  </m:r>
                  <m:r>
                    <m:t>t</m:t>
                  </m:r>
                </m:sub>
              </m:sSub>
            </m:oMath>
          </w:p>
        </w:tc>
        <w:tc>
          <w:tcPr/>
          <w:p>
            <w:pPr>
              <w:pStyle w:val="Compact"/>
            </w:pPr>
            <m:oMath>
              <m:acc>
                <m:accPr>
                  <m:chr m:val="‾"/>
                </m:accPr>
                <m:e>
                  <m:r>
                    <m:t>p</m:t>
                  </m:r>
                </m:e>
              </m:acc>
            </m:oMath>
            <w:r>
              <w:t xml:space="preserve"> </w:t>
            </w:r>
            <w:r>
              <w:t xml:space="preserve">(final, mean across reps)</w:t>
            </w:r>
          </w:p>
        </w:tc>
        <w:tc>
          <w:tcPr/>
          <w:p>
            <w:pPr>
              <w:pStyle w:val="Compact"/>
            </w:pPr>
            <m:oMath>
              <m:r>
                <m:t>S</m:t>
              </m:r>
              <m:r>
                <m:rPr>
                  <m:sty m:val="p"/>
                </m:rPr>
                <m:t>(</m:t>
              </m:r>
              <m:r>
                <m:t>t</m:t>
              </m:r>
              <m:r>
                <m:rPr>
                  <m:sty m:val="p"/>
                </m:rPr>
                <m:t>)</m:t>
              </m:r>
            </m:oMath>
            <w:r>
              <w:t xml:space="preserve"> </w:t>
            </w:r>
            <w:r>
              <w:t xml:space="preserve">per-year mean ± SD</w:t>
            </w:r>
          </w:p>
        </w:tc>
        <w:tc>
          <w:tcPr/>
          <w:p>
            <w:pPr>
              <w:pStyle w:val="Compact"/>
            </w:pPr>
            <w:r>
              <w:t xml:space="preserve">Within-agg</w:t>
            </w:r>
            <w:r>
              <w:t xml:space="preserve"> </w:t>
            </w:r>
            <m:oMath>
              <m:r>
                <m:rPr>
                  <m:sty m:val="p"/>
                </m:rPr>
                <m:t>C</m:t>
              </m:r>
              <m:r>
                <m:rPr>
                  <m:sty m:val="p"/>
                </m:rPr>
                <m:t>o</m:t>
              </m:r>
              <m:r>
                <m:rPr>
                  <m:sty m:val="p"/>
                </m:rPr>
                <m:t>v</m:t>
              </m:r>
              <m:r>
                <m:rPr>
                  <m:sty m:val="p"/>
                </m:rPr>
                <m:t>(</m:t>
              </m:r>
              <m:r>
                <m:t>M</m:t>
              </m:r>
              <m:r>
                <m:rPr>
                  <m:sty m:val="p"/>
                </m:rPr>
                <m:t>,</m:t>
              </m:r>
              <m:r>
                <m:t>w</m:t>
              </m:r>
              <m:r>
                <m:rPr>
                  <m:sty m:val="p"/>
                </m:rPr>
                <m:t>)</m:t>
              </m:r>
            </m:oMath>
          </w:p>
        </w:tc>
      </w:tr>
      <w:tr>
        <w:tc>
          <w:tcPr/>
          <w:p>
            <w:pPr>
              <w:pStyle w:val="Compact"/>
            </w:pPr>
            <w:r>
              <w:t xml:space="preserve">Below threshold</w:t>
            </w:r>
          </w:p>
        </w:tc>
        <w:tc>
          <w:tcPr/>
          <w:p>
            <w:pPr>
              <w:pStyle w:val="Compact"/>
            </w:pPr>
            <w:r>
              <w:t xml:space="preserve">0.20</w:t>
            </w:r>
          </w:p>
        </w:tc>
        <w:tc>
          <w:tcPr/>
          <w:p>
            <w:pPr>
              <w:pStyle w:val="Compact"/>
            </w:pPr>
            <w:r>
              <w:t xml:space="preserve">0.260 (range 0.18-0.34)</w:t>
            </w:r>
          </w:p>
        </w:tc>
        <w:tc>
          <w:tcPr/>
          <w:p>
            <w:pPr>
              <w:pStyle w:val="Compact"/>
            </w:pPr>
            <m:oMath>
              <m:r>
                <m:rPr>
                  <m:sty m:val="p"/>
                </m:rPr>
                <m:t>−</m:t>
              </m:r>
              <m:r>
                <m:t>0.0071</m:t>
              </m:r>
              <m:r>
                <m:rPr>
                  <m:sty m:val="p"/>
                </m:rPr>
                <m:t>±</m:t>
              </m:r>
              <m:r>
                <m:t>0.0021</m:t>
              </m:r>
            </m:oMath>
          </w:p>
        </w:tc>
        <w:tc>
          <w:tcPr/>
          <w:p>
            <w:pPr>
              <w:pStyle w:val="Compact"/>
            </w:pPr>
            <m:oMath>
              <m:r>
                <m:rPr>
                  <m:sty m:val="p"/>
                </m:rPr>
                <m:t>+</m:t>
              </m:r>
              <m:r>
                <m:t>0.012</m:t>
              </m:r>
            </m:oMath>
          </w:p>
        </w:tc>
      </w:tr>
      <w:tr>
        <w:tc>
          <w:tcPr/>
          <w:p>
            <w:pPr>
              <w:pStyle w:val="Compact"/>
            </w:pPr>
            <w:r>
              <w:t xml:space="preserve">Near threshold</w:t>
            </w:r>
          </w:p>
        </w:tc>
        <w:tc>
          <w:tcPr/>
          <w:p>
            <w:pPr>
              <w:pStyle w:val="Compact"/>
            </w:pPr>
            <w:r>
              <w:t xml:space="preserve">0.40</w:t>
            </w:r>
          </w:p>
        </w:tc>
        <w:tc>
          <w:tcPr/>
          <w:p>
            <w:pPr>
              <w:pStyle w:val="Compact"/>
            </w:pPr>
            <w:r>
              <w:t xml:space="preserve">0.732 (range 0.68-0.82)</w:t>
            </w:r>
          </w:p>
        </w:tc>
        <w:tc>
          <w:tcPr/>
          <w:p>
            <w:pPr>
              <w:pStyle w:val="Compact"/>
            </w:pPr>
            <m:oMath>
              <m:r>
                <m:rPr>
                  <m:sty m:val="p"/>
                </m:rPr>
                <m:t>+</m:t>
              </m:r>
              <m:r>
                <m:t>0.0659</m:t>
              </m:r>
              <m:r>
                <m:rPr>
                  <m:sty m:val="p"/>
                </m:rPr>
                <m:t>±</m:t>
              </m:r>
              <m:r>
                <m:t>0.0123</m:t>
              </m:r>
            </m:oMath>
          </w:p>
        </w:tc>
        <w:tc>
          <w:tcPr/>
          <w:p>
            <w:pPr>
              <w:pStyle w:val="Compact"/>
            </w:pPr>
            <m:oMath>
              <m:r>
                <m:rPr>
                  <m:sty m:val="p"/>
                </m:rPr>
                <m:t>+</m:t>
              </m:r>
              <m:r>
                <m:t>0.040</m:t>
              </m:r>
            </m:oMath>
          </w:p>
        </w:tc>
      </w:tr>
      <w:tr>
        <w:tc>
          <w:tcPr/>
          <w:p>
            <w:pPr>
              <w:pStyle w:val="Compact"/>
            </w:pPr>
            <w:r>
              <w:t xml:space="preserve">Above threshold (PP)</w:t>
            </w:r>
          </w:p>
        </w:tc>
        <w:tc>
          <w:tcPr/>
          <w:p>
            <w:pPr>
              <w:pStyle w:val="Compact"/>
            </w:pPr>
            <w:r>
              <w:t xml:space="preserve">0.64</w:t>
            </w:r>
          </w:p>
        </w:tc>
        <w:tc>
          <w:tcPr/>
          <w:p>
            <w:pPr>
              <w:pStyle w:val="Compact"/>
            </w:pPr>
            <w:r>
              <w:t xml:space="preserve">0.960 (range 0.94-0.98)</w:t>
            </w:r>
          </w:p>
        </w:tc>
        <w:tc>
          <w:tcPr/>
          <w:p>
            <w:pPr>
              <w:pStyle w:val="Compact"/>
            </w:pPr>
            <m:oMath>
              <m:r>
                <m:rPr>
                  <m:sty m:val="p"/>
                </m:rPr>
                <m:t>+</m:t>
              </m:r>
              <m:r>
                <m:t>0.0335</m:t>
              </m:r>
              <m:r>
                <m:rPr>
                  <m:sty m:val="p"/>
                </m:rPr>
                <m:t>±</m:t>
              </m:r>
              <m:r>
                <m:t>0.0186</m:t>
              </m:r>
            </m:oMath>
          </w:p>
        </w:tc>
        <w:tc>
          <w:tcPr/>
          <w:p>
            <w:pPr>
              <w:pStyle w:val="Compact"/>
            </w:pPr>
            <m:oMath>
              <m:r>
                <m:rPr>
                  <m:sty m:val="p"/>
                </m:rPr>
                <m:t>−</m:t>
              </m:r>
              <m:r>
                <m:t>0.010</m:t>
              </m:r>
            </m:oMath>
          </w:p>
        </w:tc>
      </w:tr>
    </w:tbl>
    <w:p>
      <w:pPr>
        <w:pStyle w:val="BodyText"/>
      </w:pPr>
      <w:r>
        <w:rPr>
          <w:rFonts w:ascii="Times New Roman" w:hAnsi="Times New Roman"/>
          <w:color w:val="000000"/>
          <w:sz w:val="22"/>
        </w:rPr>
        <w:t xml:space="preserve">Three features of this table are worth pointing at directly. First, the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at every scenario, consistent with the framework’s expectation that single-year fitness differentials between strategy classes are bounded by realized shortfall buffering. Second, the sign of</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what flips across the threshold: negative below, strongly positive at and above. The per-replicate consistency is tight (the standard deviations are an order of magnitude smaller than the means). This is the band-level selection signature the framework predicts. Third, the within-aggregator</w:t>
      </w:r>
      <w:r>
        <w:rPr>
          <w:rFonts w:ascii="Times New Roman" w:hAnsi="Times New Roman"/>
          <w:color w:val="000000"/>
          <w:sz w:val="22"/>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largest at the threshold (</w:t>
      </w:r>
      <m:oMath>
        <m:r>
          <m:rPr>
            <m:sty m:val="p"/>
          </m:rPr>
          <m:t>+</m:t>
        </m:r>
        <m:r>
          <m:t>0.040</m:t>
        </m:r>
      </m:oMath>
      <w:r>
        <w:rPr>
          <w:rFonts w:ascii="Times New Roman" w:hAnsi="Times New Roman"/>
          <w:color w:val="000000"/>
          <w:sz w:val="22"/>
        </w:rPr>
        <w:t xml:space="preserve">) and smallest above it (</w:t>
      </w:r>
      <m:oMath>
        <m:r>
          <m:rPr>
            <m:sty m:val="p"/>
          </m:rPr>
          <m:t>−</m:t>
        </m:r>
        <m:r>
          <m:t>0.010</m:t>
        </m:r>
      </m:oMath>
      <w:r>
        <w:rPr>
          <w:rFonts w:ascii="Times New Roman" w:hAnsi="Times New Roman"/>
          <w:color w:val="000000"/>
          <w:sz w:val="22"/>
        </w:rPr>
        <w:t xml:space="preserve">, slightly negative). The interpretation is that at the threshold, individual band investment level genuinely tracks within-cohort fitness because the network is sparse enough that marginal investment matters. Above threshold, the network is dense enough that additional band-level investment yields diminishing returns within the cohort, and individual signal weakens because the cohort’s fitness is set by the saturated network rather than by individual contribution levels. This is consistent with the framework’s frequency-dependent feedback architecture rather than an inconsistency in it.</w:t>
      </w:r>
    </w:p>
    <w:p>
      <w:pPr>
        <w:pStyle w:val="BodyText"/>
      </w:pPr>
      <w:r>
        <w:rPr>
          <w:rFonts w:ascii="Times New Roman" w:hAnsi="Times New Roman"/>
          <w:color w:val="000000"/>
          <w:sz w:val="22"/>
        </w:rPr>
        <w:t xml:space="preserve">The cumulative</w:t>
      </w:r>
      <w:r>
        <w:rPr>
          <w:rFonts w:ascii="Times New Roman" w:hAnsi="Times New Roman"/>
          <w:color w:val="000000"/>
          <w:sz w:val="22"/>
        </w:rPr>
        <w:t xml:space="preserve"> </w:t>
      </w:r>
      <m:oMath>
        <m:r>
          <m:rPr>
            <m:sty m:val="p"/>
          </m:rPr>
          <m:t>∑</m:t>
        </m:r>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150-year post-burn-in interval is approximately</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at low</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9.9</m:t>
        </m:r>
      </m:oMath>
      <w:r>
        <w:rPr>
          <w:rFonts w:ascii="Times New Roman" w:hAnsi="Times New Roman"/>
          <w:color w:val="000000"/>
          <w:sz w:val="22"/>
        </w:rPr>
        <w:t xml:space="preserve"> </w:t>
      </w:r>
      <w:r>
        <w:rPr>
          <w:rFonts w:ascii="Times New Roman" w:hAnsi="Times New Roman"/>
          <w:color w:val="000000"/>
          <w:sz w:val="22"/>
        </w:rPr>
        <w:t xml:space="preserve">at the threshold, and</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at PP-scenario. These integrate-of-</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values are not directly interpretable as population frequency shifts (because once</w:t>
      </w:r>
      <w:r>
        <w:rPr>
          <w:rFonts w:ascii="Times New Roman" w:hAnsi="Times New Roman"/>
          <w:color w:val="000000"/>
          <w:sz w:val="22"/>
        </w:rPr>
        <w:t xml:space="preserve"> </w:t>
      </w:r>
      <m:oMath>
        <m:acc>
          <m:accPr>
            <m:chr m:val="‾"/>
          </m:accPr>
          <m:e>
            <m:r>
              <m:t>p</m:t>
            </m:r>
          </m:e>
        </m:acc>
      </m:oMath>
      <w:r>
        <w:rPr>
          <w:rFonts w:ascii="Times New Roman" w:hAnsi="Times New Roman"/>
          <w:color w:val="000000"/>
          <w:sz w:val="22"/>
        </w:rPr>
        <w:t xml:space="preserve"> </w:t>
      </w:r>
      <w:r>
        <w:rPr>
          <w:rFonts w:ascii="Times New Roman" w:hAnsi="Times New Roman"/>
          <w:color w:val="000000"/>
          <w:sz w:val="22"/>
        </w:rPr>
        <w:t xml:space="preserve">saturates near 0 or 1, the population-state bounds further accumulation), but the relative magnitudes confirm the cumulative dynamic: the band-level selection signature, small year by year, compounds along persistent band lineages to produce the equilibrium population frequencies the simulation actually exhibits.</w:t>
      </w:r>
    </w:p>
    <w:p>
      <w:pPr>
        <w:pStyle w:val="BodyText"/>
      </w:pPr>
      <w:r>
        <w:rPr>
          <w:rFonts w:ascii="Times New Roman" w:hAnsi="Times New Roman"/>
          <w:color w:val="000000"/>
          <w:sz w:val="22"/>
        </w:rPr>
        <w:drawing>
          <wp:inline>
            <wp:extent cx="5486400" cy="1424926"/>
            <wp:effectExtent b="0" l="0" r="0" t="0"/>
            <wp:docPr descr="" title="" id="54" name="Picture"/>
            <a:graphic>
              <a:graphicData uri="http://schemas.openxmlformats.org/drawingml/2006/picture">
                <pic:pic>
                  <pic:nvPicPr>
                    <pic:cNvPr descr="/Users/clipo/PycharmProjects/poverty-point-signaling/figures/supplemental/figure_S03_price_decomposition.png" id="55" name="Picture"/>
                    <pic:cNvPicPr>
                      <a:picLocks noChangeArrowheads="1" noChangeAspect="1"/>
                    </pic:cNvPicPr>
                  </pic:nvPicPr>
                  <pic:blipFill>
                    <a:blip r:embed="rId53"/>
                    <a:stretch>
                      <a:fillRect/>
                    </a:stretch>
                  </pic:blipFill>
                  <pic:spPr bwMode="auto">
                    <a:xfrm>
                      <a:off x="0" y="0"/>
                      <a:ext cx="5486400" cy="142492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S03. Empirical Price-equation decomposition of band-level selection across the framework’s threshold.</w:t>
      </w:r>
      <w:r>
        <w:rPr>
          <w:rFonts w:ascii="Times New Roman" w:hAnsi="Times New Roman"/>
          <w:color w:val="000000"/>
          <w:sz w:val="20"/>
        </w:rPr>
        <w:t xml:space="preserve"> </w:t>
      </w:r>
      <w:r>
        <w:rPr>
          <w:rFonts w:ascii="Times New Roman" w:hAnsi="Times New Roman"/>
          <w:i/>
          <w:iCs/>
          <w:color w:val="000000"/>
          <w:sz w:val="20"/>
        </w:rPr>
        <w:t xml:space="preserve">(A) Per-year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(10-yr bins, ±1 SD across stochastic replicates), for below-threshold (</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 (</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and above-threshold (</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PP-equivalent) scenarios. Vertical red dotted line marks the burn-in cutoff at year 50. Per-year</w:t>
      </w:r>
      <w:r>
        <w:rPr>
          <w:rFonts w:ascii="Times New Roman" w:hAnsi="Times New Roman"/>
          <w:color w:val="000000"/>
          <w:sz w:val="20"/>
        </w:rPr>
        <w:t xml:space="preserve"> </w:t>
      </w:r>
      <m:oMath>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values are small in all three regimes because the per-year fitness differential between aggregator and independent bands is bounded by realized shortfall buffering. (B) Cumulative</w:t>
      </w:r>
      <w:r>
        <w:rPr>
          <w:rFonts w:ascii="Times New Roman" w:hAnsi="Times New Roman"/>
          <w:color w:val="000000"/>
          <w:sz w:val="20"/>
        </w:rPr>
        <w:t xml:space="preserve"> </w:t>
      </w:r>
      <m:oMath>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from burn-in onward (median + 10-90 percentile envelope across replicates), demonstrating that small per-year selection differentials integrate coherently along persistent band lineages to produce substantial population-level shifts in opposite directions below and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(C) Transmission residual</w:t>
      </w:r>
      <w:r>
        <w:rPr>
          <w:rFonts w:ascii="Times New Roman" w:hAnsi="Times New Roman"/>
          <w:color w:val="000000"/>
          <w:sz w:val="20"/>
        </w:rPr>
        <w:t xml:space="preserve"> </w:t>
      </w:r>
      <m:oMath>
        <m:r>
          <m:rPr>
            <m:sty m:val="p"/>
          </m:rPr>
          <m:t>Δ</m:t>
        </m:r>
        <m:acc>
          <m:accPr>
            <m:chr m:val="‾"/>
          </m:accPr>
          <m:e>
            <m:r>
              <m:t>p</m:t>
            </m:r>
          </m:e>
        </m:acc>
        <m:r>
          <m:rPr>
            <m:sty m:val="p"/>
          </m:rPr>
          <m:t>−</m:t>
        </m:r>
        <m:r>
          <m:t>S</m:t>
        </m:r>
        <m:r>
          <m:rPr>
            <m:sty m:val="p"/>
          </m:rPr>
          <m:t>(</m:t>
        </m:r>
        <m:r>
          <m:t>t</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per year, capturing strategy switching beyond reproductive differential. (D) Post-burn-in mean ± SD of the three Price components per scenario: between-strategy-class selection</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(blue), transmission residual (orange), within-aggregator covariance</w:t>
      </w:r>
      <w:r>
        <w:rPr>
          <w:rFonts w:ascii="Times New Roman" w:hAnsi="Times New Roman"/>
          <w:color w:val="000000"/>
          <w:sz w:val="20"/>
        </w:rPr>
        <w:t xml:space="preserve"> </w:t>
      </w:r>
      <m:oMath>
        <m:r>
          <m:rPr>
            <m:sty m:val="p"/>
          </m:rPr>
          <m:t>C</m:t>
        </m:r>
        <m:r>
          <m:rPr>
            <m:sty m:val="p"/>
          </m:rPr>
          <m:t>o</m:t>
        </m:r>
        <m:r>
          <m:rPr>
            <m:sty m:val="p"/>
          </m:rPr>
          <m:t>v</m:t>
        </m:r>
        <m:r>
          <m:rPr>
            <m:sty m:val="p"/>
          </m:rPr>
          <m:t>(</m:t>
        </m:r>
        <m:r>
          <m:t>M</m:t>
        </m:r>
        <m:r>
          <m:rPr>
            <m:sty m:val="p"/>
          </m:rPr>
          <m:t>,</m:t>
        </m:r>
        <m:r>
          <m:t>w</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(green). The sign reversal of</w:t>
      </w:r>
      <w:r>
        <w:rPr>
          <w:rFonts w:ascii="Times New Roman" w:hAnsi="Times New Roman"/>
          <w:color w:val="000000"/>
          <w:sz w:val="20"/>
        </w:rPr>
        <w:t xml:space="preserve"> </w:t>
      </w:r>
      <m:oMath>
        <m:r>
          <m:t>S</m:t>
        </m:r>
      </m:oMath>
      <w:r>
        <w:rPr>
          <w:rFonts w:ascii="Times New Roman" w:hAnsi="Times New Roman"/>
          <w:color w:val="000000"/>
          <w:sz w:val="20"/>
        </w:rPr>
        <w:t xml:space="preserve"> </w:t>
      </w:r>
      <w:r>
        <w:rPr>
          <w:rFonts w:ascii="Times New Roman" w:hAnsi="Times New Roman"/>
          <w:i/>
          <w:iCs/>
          <w:color w:val="000000"/>
          <w:sz w:val="20"/>
        </w:rPr>
        <w:t xml:space="preserve">between the below- and above-threshold scenarios, accumulated over many decision cycles as in Panel B, is what drives the population convergence on the framework’s predicted equilibrium. The small positive within-aggregator covariance is the residual individual-level signal that operates within the aggregator cohort.</w:t>
      </w:r>
    </w:p>
    <w:bookmarkEnd w:id="56"/>
    <w:bookmarkEnd w:id="57"/>
    <w:bookmarkStart w:id="58" w:name="Xed97e753e5c5342931c94c50e5d17c63b92aa4d"/>
    <w:p>
      <w:pPr>
        <w:pStyle w:val="Heading2"/>
      </w:pPr>
      <w:r>
        <w:rPr>
          <w:rFonts w:ascii="Times New Roman" w:hAnsi="Times New Roman"/>
          <w:b w:val="0"/>
          <w:i/>
          <w:color w:val="000000"/>
          <w:sz w:val="24"/>
          <w:u w:val="none"/>
        </w:rPr>
        <w:t xml:space="preserve">S6. Zone-access scoring rubric for Table 2</w:t>
      </w:r>
    </w:p>
    <w:p>
      <w:pPr>
        <w:pStyle w:val="FirstParagraph"/>
      </w:pPr>
      <w:r>
        <w:rPr>
          <w:rFonts w:ascii="Times New Roman" w:hAnsi="Times New Roman"/>
          <w:color w:val="000000"/>
          <w:sz w:val="22"/>
        </w:rPr>
        <w:t xml:space="preserve">The Shannon ecotone-diversity index in main-text Table 2 is computed from per-site weights</w:t>
      </w:r>
      <w:r>
        <w:rPr>
          <w:rFonts w:ascii="Times New Roman" w:hAnsi="Times New Roman"/>
          <w:color w:val="000000"/>
          <w:sz w:val="22"/>
        </w:rPr>
        <w:t xml:space="preserve"> </w:t>
      </w:r>
      <m:oMath>
        <m:sSub>
          <m:e>
            <m:r>
              <m:t>w</m:t>
            </m:r>
          </m:e>
          <m:sub>
            <m:r>
              <m:t>z</m:t>
            </m:r>
          </m:sub>
        </m:sSub>
        <m:r>
          <m:rPr>
            <m:sty m:val="p"/>
          </m:rPr>
          <m:t>∈</m:t>
        </m:r>
        <m:r>
          <m:rPr>
            <m:sty m:val="p"/>
          </m:rPr>
          <m:t>[</m:t>
        </m:r>
        <m:r>
          <m:t>0</m:t>
        </m:r>
        <m:r>
          <m:rPr>
            <m:sty m:val="p"/>
          </m:rPr>
          <m:t>,</m:t>
        </m:r>
        <m:r>
          <m:t>1</m:t>
        </m:r>
        <m:r>
          <m:rPr>
            <m:sty m:val="p"/>
          </m:rPr>
          <m:t>]</m:t>
        </m:r>
      </m:oMath>
      <w:r>
        <w:rPr>
          <w:rFonts w:ascii="Times New Roman" w:hAnsi="Times New Roman"/>
          <w:color w:val="000000"/>
          <w:sz w:val="22"/>
        </w:rPr>
        <w:t xml:space="preserve"> </w:t>
      </w:r>
      <w:r>
        <w:rPr>
          <w:rFonts w:ascii="Times New Roman" w:hAnsi="Times New Roman"/>
          <w:color w:val="000000"/>
          <w:sz w:val="22"/>
        </w:rPr>
        <w:t xml:space="preserve">for five resource zones</w:t>
      </w:r>
      <w:r>
        <w:rPr>
          <w:rFonts w:ascii="Times New Roman" w:hAnsi="Times New Roman"/>
          <w:color w:val="000000"/>
          <w:sz w:val="22"/>
        </w:rPr>
        <w:t xml:space="preserve"> </w:t>
      </w:r>
      <m:oMath>
        <m:r>
          <m:t>z</m:t>
        </m:r>
      </m:oMath>
      <w:r>
        <w:rPr>
          <w:rFonts w:ascii="Times New Roman" w:hAnsi="Times New Roman"/>
          <w:color w:val="000000"/>
          <w:sz w:val="22"/>
        </w:rP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rPr>
          <w:rFonts w:ascii="Times New Roman" w:hAnsi="Times New Roman"/>
          <w:color w:val="000000"/>
          <w:sz w:val="22"/>
        </w:rP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rPr>
          <w:rFonts w:ascii="Times New Roman" w:hAnsi="Times New Roman"/>
          <w:color w:val="000000"/>
          <w:sz w:val="22"/>
        </w:rP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rPr>
          <w:rFonts w:ascii="Times New Roman" w:hAnsi="Times New Roman"/>
          <w:color w:val="000000"/>
          <w:sz w:val="22"/>
        </w:rPr>
        <w:t xml:space="preserve"> </w:t>
      </w:r>
      <w:r>
        <w:rPr>
          <w:rFonts w:ascii="Times New Roman" w:hAnsi="Times New Roman"/>
          <w:color w:val="000000"/>
          <w:sz w:val="22"/>
        </w:rPr>
        <w:t xml:space="preserve">where</w:t>
      </w:r>
      <w:r>
        <w:rPr>
          <w:rFonts w:ascii="Times New Roman" w:hAnsi="Times New Roman"/>
          <w:color w:val="000000"/>
          <w:sz w:val="22"/>
        </w:rP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rPr>
          <w:rFonts w:ascii="Times New Roman" w:hAnsi="Times New Roman"/>
          <w:color w:val="000000"/>
          <w:sz w:val="22"/>
        </w:rPr>
        <w:t xml:space="preserve">, and</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with</w:t>
      </w:r>
      <w:r>
        <w:rPr>
          <w:rFonts w:ascii="Times New Roman" w:hAnsi="Times New Roman"/>
          <w:color w:val="000000"/>
          <w:sz w:val="22"/>
        </w:rPr>
        <w:t xml:space="preserve"> </w:t>
      </w:r>
      <m:oMath>
        <m:sSub>
          <m:e>
            <m:r>
              <m:t>H</m:t>
            </m:r>
          </m:e>
          <m:sub>
            <m:r>
              <m:t>m</m:t>
            </m:r>
            <m:r>
              <m:t>a</m:t>
            </m:r>
            <m:r>
              <m:t>x</m:t>
            </m:r>
          </m:sub>
        </m:sSub>
        <m:r>
          <m:rPr>
            <m:sty m:val="p"/>
          </m:rPr>
          <m:t>=</m:t>
        </m:r>
        <m:r>
          <m:rPr>
            <m:sty m:val="p"/>
          </m:rPr>
          <m:t>ln</m:t>
        </m:r>
        <m:r>
          <m:t>5</m:t>
        </m:r>
        <m:r>
          <m:rPr>
            <m:sty m:val="p"/>
          </m:rPr>
          <m:t>≈</m:t>
        </m:r>
        <m:r>
          <m:t>1.609</m:t>
        </m:r>
      </m:oMath>
      <w:r>
        <w:rPr>
          <w:rFonts w:ascii="Times New Roman" w:hAnsi="Times New Roman"/>
          <w:color w:val="000000"/>
          <w:sz w:val="22"/>
        </w:rPr>
        <w:t xml:space="preserve">. The 0.5 ceiling is set to match the upper boundary of the model’s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 (§S8.5 below); a weighting that uses ε = H/H_max directly (so PP would have ε = 0.98) would push the predicted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values closer to zero and would cause more sites to register as well above threshold without changing the rank order.</w:t>
      </w:r>
    </w:p>
    <w:p>
      <w:pPr>
        <w:pStyle w:val="BodyText"/>
      </w:pPr>
      <w:r>
        <w:rPr>
          <w:rFonts w:ascii="Times New Roman" w:hAnsi="Times New Roman"/>
          <w:b/>
          <w:bCs/>
          <w:color w:val="000000"/>
          <w:sz w:val="22"/>
        </w:rPr>
        <w:t xml:space="preserve">Per-site weights used for Table 2.</w:t>
      </w:r>
      <w:r>
        <w:rPr>
          <w:rFonts w:ascii="Times New Roman" w:hAnsi="Times New Roman"/>
          <w:color w:val="000000"/>
          <w:sz w:val="22"/>
        </w:rPr>
        <w:t xml:space="preserve"> </w:t>
      </w:r>
      <w:r>
        <w:rPr>
          <w:rFonts w:ascii="Times New Roman" w:hAnsi="Times New Roman"/>
          <w:color w:val="000000"/>
          <w:sz w:val="22"/>
        </w:rPr>
        <w:t xml:space="preserve">The following weight vectors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 aquatic, upland, drainage, mast, and prairie zones are the actual values used to compute the Shannon</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rPr>
          <w:rFonts w:ascii="Times New Roman" w:hAnsi="Times New Roman"/>
          <w:color w:val="000000"/>
          <w:sz w:val="22"/>
        </w:rP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bookmarkEnd w:id="58"/>
    <w:bookmarkStart w:id="73" w:name="s7.-detailed-scenario-simulation-results"/>
    <w:p>
      <w:pPr>
        <w:pStyle w:val="Heading2"/>
      </w:pPr>
      <w:r>
        <w:rPr>
          <w:rFonts w:ascii="Times New Roman" w:hAnsi="Times New Roman"/>
          <w:b w:val="0"/>
          <w:i/>
          <w:color w:val="000000"/>
          <w:sz w:val="24"/>
          <w:u w:val="none"/>
        </w:rPr>
        <w:t xml:space="preserve">S7. Detailed scenario simulation results</w:t>
      </w:r>
    </w:p>
    <w:bookmarkStart w:id="59" w:name="Xb76937dec171478a3aaa1ec42b0a72fe24c58e3"/>
    <w:p>
      <w:pPr>
        <w:pStyle w:val="Heading3"/>
      </w:pPr>
      <w:r>
        <w:rPr>
          <w:rFonts w:ascii="Times New Roman" w:hAnsi="Times New Roman"/>
          <w:b w:val="0"/>
          <w:i w:val="0"/>
          <w:color w:val="000000"/>
          <w:sz w:val="22"/>
          <w:u w:val="single"/>
        </w:rPr>
        <w:t xml:space="preserve">S7.0 Status summary of §6 empirical evaluations</w:t>
      </w:r>
    </w:p>
    <w:p>
      <w:pPr>
        <w:pStyle w:val="FirstParagraph"/>
      </w:pPr>
      <w:r>
        <w:rPr>
          <w:rFonts w:ascii="Times New Roman" w:hAnsi="Times New Roman"/>
          <w:color w:val="000000"/>
          <w:sz w:val="22"/>
        </w:rPr>
        <w:t xml:space="preserve">The eight empirical evaluations in main §6 differ substantially in inferential weight. The table below summarizes, for each evaluation, the section in which it appears, what it tests, what parameters are fit to the data, what data are treated as independent of the model fit, and the resulting status. The bottom row reports the §4.3 signaling-vs-cooperation ablation comparison, which is theoretical rather than empirical but is listed here because its result affects how the empirical evaluations should be interpreted (the threshold-location dimension does not discriminate signaling from generic cooperation; the spatial-flow signature at §6.1 does).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Evaluation</w:t>
            </w:r>
          </w:p>
        </w:tc>
        <w:tc>
          <w:tcPr/>
          <w:p>
            <w:pPr>
              <w:pStyle w:val="Compact"/>
            </w:pPr>
            <w:r>
              <w:t xml:space="preserve">What is fit</w:t>
            </w:r>
          </w:p>
        </w:tc>
        <w:tc>
          <w:tcPr/>
          <w:p>
            <w:pPr>
              <w:pStyle w:val="Compact"/>
            </w:pPr>
            <w:r>
              <w:t xml:space="preserve">What is independent</w:t>
            </w:r>
          </w:p>
        </w:tc>
        <w:tc>
          <w:tcPr/>
          <w:p>
            <w:pPr>
              <w:pStyle w:val="Compact"/>
            </w:pPr>
            <w:r>
              <w:t xml:space="preserve">Status</w:t>
            </w:r>
          </w:p>
        </w:tc>
      </w:tr>
      <w:tr>
        <w:tc>
          <w:tcPr/>
          <w:p>
            <w:pPr>
              <w:pStyle w:val="Compact"/>
            </w:pPr>
            <w:r>
              <w:t xml:space="preserve">6.1 (vol)</w:t>
            </w:r>
          </w:p>
        </w:tc>
        <w:tc>
          <w:tcPr/>
          <w:p>
            <w:pPr>
              <w:pStyle w:val="Compact"/>
            </w:pPr>
            <w:r>
              <w:t xml:space="preserve">Type-site volume calibration</w:t>
            </w:r>
          </w:p>
        </w:tc>
        <w:tc>
          <w:tcPr/>
          <w:p>
            <w:pPr>
              <w:pStyle w:val="Compact"/>
            </w:pPr>
            <w:r>
              <w:t xml:space="preserve">~77 m³/unit scaling factor fit to PP target</w:t>
            </w:r>
          </w:p>
        </w:tc>
        <w:tc>
          <w:tcPr/>
          <w:p>
            <w:pPr>
              <w:pStyle w:val="Compact"/>
            </w:pPr>
            <w:r>
              <w:t xml:space="preserve">None (calibration anchor)</w:t>
            </w:r>
          </w:p>
        </w:tc>
        <w:tc>
          <w:tcPr/>
          <w:p>
            <w:pPr>
              <w:pStyle w:val="Compact"/>
            </w:pPr>
            <w:r>
              <w:t xml:space="preserve">Calibration; not a test</w:t>
            </w:r>
          </w:p>
        </w:tc>
      </w:tr>
      <w:tr>
        <w:tc>
          <w:tcPr/>
          <w:p>
            <w:pPr>
              <w:pStyle w:val="Compact"/>
            </w:pPr>
            <w:r>
              <w:t xml:space="preserve">6.1 (exotic)</w:t>
            </w:r>
          </w:p>
        </w:tc>
        <w:tc>
          <w:tcPr/>
          <w:p>
            <w:pPr>
              <w:pStyle w:val="Compact"/>
            </w:pPr>
            <w:r>
              <w:t xml:space="preserve">Exotic-goods count consistency</w:t>
            </w:r>
          </w:p>
        </w:tc>
        <w:tc>
          <w:tcPr/>
          <w:p>
            <w:pPr>
              <w:pStyle w:val="Compact"/>
            </w:pPr>
            <w:r>
              <w:t xml:space="preserve">Same simulation run as 6.1 vol</w:t>
            </w:r>
          </w:p>
        </w:tc>
        <w:tc>
          <w:tcPr/>
          <w:p>
            <w:pPr>
              <w:pStyle w:val="Compact"/>
            </w:pPr>
            <w:r>
              <w:t xml:space="preserve">Per-material counts (different model pathway for each)</w:t>
            </w:r>
          </w:p>
        </w:tc>
        <w:tc>
          <w:tcPr/>
          <w:p>
            <w:pPr>
              <w:pStyle w:val="Compact"/>
            </w:pPr>
            <w:r>
              <w:t xml:space="preserve">Partial test; consistent for copper (after recovery), for galena (after recovery), vessel-basis for steatite</w:t>
            </w:r>
          </w:p>
        </w:tc>
      </w:tr>
      <w:tr>
        <w:tc>
          <w:tcPr/>
          <w:p>
            <w:pPr>
              <w:pStyle w:val="Compact"/>
            </w:pPr>
            <w:r>
              <w:t xml:space="preserve">6.1 (decay)</w:t>
            </w:r>
          </w:p>
        </w:tc>
        <w:tc>
          <w:tcPr/>
          <w:p>
            <w:pPr>
              <w:pStyle w:val="Compact"/>
            </w:pPr>
            <w:r>
              <w:t xml:space="preserve">Distance-decay rank correlation</w:t>
            </w:r>
          </w:p>
        </w:tc>
        <w:tc>
          <w:tcPr/>
          <w:p>
            <w:pPr>
              <w:pStyle w:val="Compact"/>
            </w:pPr>
            <w:r>
              <w:t xml:space="preserve">500-km length scale fixed to ordering</w:t>
            </w:r>
          </w:p>
        </w:tc>
        <w:tc>
          <w:tcPr/>
          <w:p>
            <w:pPr>
              <w:pStyle w:val="Compact"/>
            </w:pPr>
            <w:r>
              <w:t xml:space="preserve">Webb 1982 source-distance inventory</w:t>
            </w:r>
          </w:p>
        </w:tc>
        <w:tc>
          <w:tcPr/>
          <w:p>
            <w:pPr>
              <w:pStyle w:val="Compact"/>
            </w:pPr>
            <m:oMath>
              <m:r>
                <m:t>ρ</m:t>
              </m:r>
              <m:r>
                <m:rPr>
                  <m:sty m:val="p"/>
                </m:rPr>
                <m:t>=</m:t>
              </m:r>
              <m:r>
                <m:t>0.95</m:t>
              </m:r>
            </m:oMath>
            <w:r>
              <w:t xml:space="preserve"> </w:t>
            </w:r>
            <w:r>
              <w:t xml:space="preserve">but acknowledged not to discriminate against transport-cost or down-the-line alternatives</w:t>
            </w:r>
          </w:p>
        </w:tc>
      </w:tr>
      <w:tr>
        <w:tc>
          <w:tcPr/>
          <w:p>
            <w:pPr>
              <w:pStyle w:val="Compact"/>
            </w:pPr>
            <w:r>
              <w:t xml:space="preserve">6.1 (outflow)</w:t>
            </w:r>
          </w:p>
        </w:tc>
        <w:tc>
          <w:tcPr/>
          <w:p>
            <w:pPr>
              <w:pStyle w:val="Compact"/>
            </w:pPr>
            <w:r>
              <w:t xml:space="preserve">Asymmetric flow signature: into-PP, not out-from-PP</w:t>
            </w:r>
          </w:p>
        </w:tc>
        <w:tc>
          <w:tcPr/>
          <w:p>
            <w:pPr>
              <w:pStyle w:val="Compact"/>
            </w:pPr>
            <w:r>
              <w:t xml:space="preserve">None (the asymmetry is a framework prediction)</w:t>
            </w:r>
          </w:p>
        </w:tc>
        <w:tc>
          <w:tcPr/>
          <w:p>
            <w:pPr>
              <w:pStyle w:val="Compact"/>
            </w:pPr>
            <w:r>
              <w:t xml:space="preserve">Webb 1982 type-site inventory; Smith 1991 cross-site material-share percentages; Kidder and Grooms 2025 outflow observation</w:t>
            </w:r>
          </w:p>
        </w:tc>
        <w:tc>
          <w:tcPr/>
          <w:p>
            <w:pPr>
              <w:pStyle w:val="Compact"/>
            </w:pPr>
            <w:r>
              <w:t xml:space="preserve">Discriminating test passed: signaling reading predicts asymmetric flow into the gathering; risk-pooling predicts bidirectional flow; down-the-line exchange predicts smooth distance-decay; neither alternative is observed. Coarse pass on existing data; finer-grained patterning across visitor-band-identified sites is the §7.4 sharpening study</w:t>
            </w:r>
          </w:p>
        </w:tc>
      </w:tr>
      <w:tr>
        <w:tc>
          <w:tcPr/>
          <w:p>
            <w:pPr>
              <w:pStyle w:val="Compact"/>
            </w:pPr>
            <w:r>
              <w:t xml:space="preserve">6.2</w:t>
            </w:r>
          </w:p>
        </w:tc>
        <w:tc>
          <w:tcPr/>
          <w:p>
            <w:pPr>
              <w:pStyle w:val="Compact"/>
            </w:pPr>
            <w:r>
              <w:t xml:space="preserve">Bayesian threshold-proximity</w:t>
            </w:r>
          </w:p>
        </w:tc>
        <w:tc>
          <w:tcPr/>
          <w:p>
            <w:pPr>
              <w:pStyle w:val="Compact"/>
            </w:pPr>
            <m:oMath>
              <m:sSup>
                <m:e>
                  <m:r>
                    <m:t>σ</m:t>
                  </m:r>
                </m:e>
                <m:sup>
                  <m:r>
                    <m:rPr>
                      <m:sty m:val="p"/>
                    </m:rPr>
                    <m:t>*</m:t>
                  </m:r>
                </m:sup>
              </m:sSup>
            </m:oMath>
            <w:r>
              <w:t xml:space="preserve"> </w:t>
            </w:r>
            <w:r>
              <w:t xml:space="preserve">derived from PP-calibrated parameter set</w:t>
            </w:r>
          </w:p>
        </w:tc>
        <w:tc>
          <w:tcPr/>
          <w:p>
            <w:pPr>
              <w:pStyle w:val="Compact"/>
            </w:pPr>
            <w:r>
              <w:t xml:space="preserve">Paleoclimate</w:t>
            </w:r>
            <w:r>
              <w:t xml:space="preserve"> </w:t>
            </w:r>
            <m:oMath>
              <m:r>
                <m:t>σ</m:t>
              </m:r>
            </m:oMath>
            <w:r>
              <w:t xml:space="preserve"> </w:t>
            </w:r>
            <w:r>
              <w:t xml:space="preserve">priors</w:t>
            </w:r>
          </w:p>
        </w:tc>
        <w:tc>
          <w:tcPr/>
          <w:p>
            <w:pPr>
              <w:pStyle w:val="Compact"/>
            </w:pPr>
            <m:oMath>
              <m:r>
                <m:t>P</m:t>
              </m:r>
              <m:r>
                <m:rPr>
                  <m:sty m:val="p"/>
                </m:rPr>
                <m:t>=</m:t>
              </m:r>
              <m:r>
                <m:t>0.36</m:t>
              </m:r>
            </m:oMath>
            <w:r>
              <w:t xml:space="preserve">-</w:t>
            </w:r>
            <m:oMath>
              <m:r>
                <m:t>0.56</m:t>
              </m:r>
            </m:oMath>
            <w:r>
              <w:t xml:space="preserve"> </w:t>
            </w:r>
            <w:r>
              <w:t xml:space="preserve">near-tie; conditional on the parameter set defining</w:t>
            </w:r>
            <w:r>
              <w:t xml:space="preserve"> </w:t>
            </w:r>
            <m:oMath>
              <m:sSup>
                <m:e>
                  <m:r>
                    <m:t>σ</m:t>
                  </m:r>
                </m:e>
                <m:sup>
                  <m:r>
                    <m:rPr>
                      <m:sty m:val="p"/>
                    </m:rPr>
                    <m:t>*</m:t>
                  </m:r>
                </m:sup>
              </m:sSup>
            </m:oMath>
          </w:p>
        </w:tc>
      </w:tr>
      <w:tr>
        <w:tc>
          <w:tcPr/>
          <w:p>
            <w:pPr>
              <w:pStyle w:val="Compact"/>
            </w:pPr>
            <w:r>
              <w:t xml:space="preserve">6.3</w:t>
            </w:r>
          </w:p>
        </w:tc>
        <w:tc>
          <w:tcPr/>
          <w:p>
            <w:pPr>
              <w:pStyle w:val="Compact"/>
            </w:pPr>
            <w:r>
              <w:t xml:space="preserve">Watson Brake regime-switching consistent with WB scale</w:t>
            </w:r>
          </w:p>
        </w:tc>
        <w:tc>
          <w:tcPr/>
          <w:p>
            <w:pPr>
              <w:pStyle w:val="Compact"/>
            </w:pPr>
            <m:oMath>
              <m:r>
                <m:t>α</m:t>
              </m:r>
              <m:r>
                <m:rPr>
                  <m:sty m:val="p"/>
                </m:rPr>
                <m:t>=</m:t>
              </m:r>
              <m:r>
                <m:t>2</m:t>
              </m:r>
            </m:oMath>
            <w:r>
              <w:t xml:space="preserve">,</w:t>
            </w:r>
            <w:r>
              <w:t xml:space="preserve"> </w:t>
            </w:r>
            <m:oMath>
              <m:r>
                <m:t>K</m:t>
              </m:r>
              <m:r>
                <m:rPr>
                  <m:sty m:val="p"/>
                </m:rPr>
                <m:t>=</m:t>
              </m:r>
              <m:r>
                <m:t>3</m:t>
              </m:r>
            </m:oMath>
            <w:r>
              <w:t xml:space="preserve">,</w:t>
            </w:r>
            <w:r>
              <w:t xml:space="preserve"> </w:t>
            </w:r>
            <m:oMath>
              <m:r>
                <m:t>σ</m:t>
              </m:r>
            </m:oMath>
            <w:r>
              <w:t xml:space="preserve">,</w:t>
            </w:r>
            <w:r>
              <w:t xml:space="preserve"> </w:t>
            </w:r>
            <m:oMath>
              <m:sSub>
                <m:e>
                  <m:r>
                    <m:t>σ</m:t>
                  </m:r>
                </m:e>
                <m:sub>
                  <m:r>
                    <m:t>s</m:t>
                  </m:r>
                  <m:r>
                    <m:t>d</m:t>
                  </m:r>
                </m:sub>
              </m:sSub>
            </m:oMath>
            <w:r>
              <w:t xml:space="preserve">,</w:t>
            </w:r>
            <w:r>
              <w:t xml:space="preserve"> </w:t>
            </w:r>
            <m:oMath>
              <m:r>
                <m:t>ε</m:t>
              </m:r>
            </m:oMath>
          </w:p>
        </w:tc>
        <w:tc>
          <w:tcPr/>
          <w:p>
            <w:pPr>
              <w:pStyle w:val="Compact"/>
            </w:pPr>
            <m:oMath>
              <m:sSub>
                <m:e>
                  <m:r>
                    <m:t>n</m:t>
                  </m:r>
                </m:e>
                <m:sub>
                  <m:r>
                    <m:t>a</m:t>
                  </m:r>
                  <m:r>
                    <m:t>g</m:t>
                  </m:r>
                  <m:r>
                    <m:t>g</m:t>
                  </m:r>
                </m:sub>
              </m:sSub>
            </m:oMath>
            <w:r>
              <w:t xml:space="preserve"> </w:t>
            </w:r>
            <w:r>
              <w:t xml:space="preserve">derived independently</w:t>
            </w:r>
          </w:p>
        </w:tc>
        <w:tc>
          <w:tcPr/>
          <w:p>
            <w:pPr>
              <w:pStyle w:val="Compact"/>
            </w:pPr>
            <w:r>
              <w:t xml:space="preserve">Consistency demonstration with three free parameters</w:t>
            </w:r>
          </w:p>
        </w:tc>
      </w:tr>
      <w:tr>
        <w:tc>
          <w:tcPr/>
          <w:p>
            <w:pPr>
              <w:pStyle w:val="Compact"/>
            </w:pPr>
            <w:r>
              <w:t xml:space="preserve">6.4</w:t>
            </w:r>
          </w:p>
        </w:tc>
        <w:tc>
          <w:tcPr/>
          <w:p>
            <w:pPr>
              <w:pStyle w:val="Compact"/>
            </w:pPr>
            <w:r>
              <w:t xml:space="preserve">Cross-LMV interior-vs-coastal screening</w:t>
            </w:r>
          </w:p>
        </w:tc>
        <w:tc>
          <w:tcPr/>
          <w:p>
            <w:pPr>
              <w:pStyle w:val="Compact"/>
            </w:pPr>
            <w:r>
              <w:t xml:space="preserve">Static-rubric weights</w:t>
            </w:r>
          </w:p>
        </w:tc>
        <w:tc>
          <w:tcPr/>
          <w:p>
            <w:pPr>
              <w:pStyle w:val="Compact"/>
            </w:pPr>
            <w:r>
              <w:t xml:space="preserve">LMV site catchment geomorphology (interior monument-building + non-mound comparator sample)</w:t>
            </w:r>
          </w:p>
        </w:tc>
        <w:tc>
          <w:tcPr/>
          <w:p>
            <w:pPr>
              <w:pStyle w:val="Compact"/>
            </w:pPr>
            <w:r>
              <w:t xml:space="preserve">Sample-selection-bounded</w:t>
            </w:r>
          </w:p>
        </w:tc>
      </w:tr>
      <w:tr>
        <w:tc>
          <w:tcPr/>
          <w:p>
            <w:pPr>
              <w:pStyle w:val="Compact"/>
            </w:pPr>
            <w:r>
              <w:t xml:space="preserve">6.5</w:t>
            </w:r>
          </w:p>
        </w:tc>
        <w:tc>
          <w:tcPr/>
          <w:p>
            <w:pPr>
              <w:pStyle w:val="Compact"/>
            </w:pPr>
            <w:r>
              <w:t xml:space="preserve">Multi-drainage shortfall buffering of contemporary regimes</w:t>
            </w:r>
          </w:p>
        </w:tc>
        <w:tc>
          <w:tcPr/>
          <w:p>
            <w:pPr>
              <w:pStyle w:val="Compact"/>
            </w:pPr>
            <w:r>
              <w:t xml:space="preserve">Modern USGS gauge correlations</w:t>
            </w:r>
          </w:p>
        </w:tc>
        <w:tc>
          <w:tcPr/>
          <w:p>
            <w:pPr>
              <w:pStyle w:val="Compact"/>
            </w:pPr>
            <w:r>
              <w:t xml:space="preserve">None (descriptive; modern-as-proxy concession)</w:t>
            </w:r>
          </w:p>
        </w:tc>
        <w:tc>
          <w:tcPr/>
          <w:p>
            <w:pPr>
              <w:pStyle w:val="Compact"/>
            </w:pPr>
            <w:r>
              <w:t xml:space="preserve">Descriptive; modern-as-proxy concession</w:t>
            </w:r>
          </w:p>
        </w:tc>
      </w:tr>
      <w:tr>
        <w:tc>
          <w:tcPr/>
          <w:p>
            <w:pPr>
              <w:pStyle w:val="Compact"/>
            </w:pPr>
            <w:r>
              <w:t xml:space="preserve">6.6</w:t>
            </w:r>
          </w:p>
        </w:tc>
        <w:tc>
          <w:tcPr/>
          <w:p>
            <w:pPr>
              <w:pStyle w:val="Compact"/>
            </w:pPr>
            <w:r>
              <w:t xml:space="preserve">Cross-site magnitude</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p>
        </w:tc>
        <w:tc>
          <w:tcPr/>
          <w:p>
            <w:pPr>
              <w:pStyle w:val="Compact"/>
            </w:pPr>
            <m:oMath>
              <m:sSub>
                <m:e>
                  <m:r>
                    <m:t>n</m:t>
                  </m:r>
                </m:e>
                <m:sub>
                  <m:r>
                    <m:t>a</m:t>
                  </m:r>
                  <m:r>
                    <m:t>g</m:t>
                  </m:r>
                  <m:r>
                    <m:t>g</m:t>
                  </m:r>
                </m:sub>
              </m:sSub>
            </m:oMath>
            <w:r>
              <w:t xml:space="preserve"> </w:t>
            </w:r>
            <w:r>
              <w:t xml:space="preserve">from convergence-model literature</w:t>
            </w:r>
          </w:p>
        </w:tc>
        <w:tc>
          <w:tcPr/>
          <w:p>
            <w:pPr>
              <w:pStyle w:val="Compact"/>
            </w:pPr>
            <m:oMath>
              <m:r>
                <m:t>ε</m:t>
              </m:r>
            </m:oMath>
            <w:r>
              <w:t xml:space="preserve"> </w:t>
            </w:r>
            <w:r>
              <w:t xml:space="preserve">from rubric</w:t>
            </w:r>
          </w:p>
        </w:tc>
        <w:tc>
          <w:tcPr/>
          <w:p>
            <w:pPr>
              <w:pStyle w:val="Compact"/>
            </w:pPr>
            <w:r>
              <w:t xml:space="preserve">Joint</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partial-correlation:</w:t>
            </w:r>
            <w:r>
              <w:t xml:space="preserve"> </w:t>
            </w:r>
            <m:oMath>
              <m:r>
                <m:t>ε</m:t>
              </m:r>
            </m:oMath>
            <w:r>
              <w:t xml:space="preserve"> </w:t>
            </w:r>
            <w:r>
              <w:t xml:space="preserve">contributes</w:t>
            </w:r>
            <w:r>
              <w:t xml:space="preserve"> </w:t>
            </w:r>
            <m:oMath>
              <m:r>
                <m:rPr>
                  <m:sty m:val="p"/>
                </m:rPr>
                <m:t>≤</m:t>
              </m:r>
              <m:r>
                <m:rPr>
                  <m:sty m:val="p"/>
                </m:rPr>
                <m:t>+</m:t>
              </m:r>
              <m:r>
                <m:t>0.03</m:t>
              </m:r>
            </m:oMath>
          </w:p>
        </w:tc>
      </w:tr>
      <w:tr>
        <w:tc>
          <w:tcPr/>
          <w:p>
            <w:pPr>
              <w:pStyle w:val="Compact"/>
            </w:pPr>
            <w:r>
              <w:t xml:space="preserve">6.7</w:t>
            </w:r>
          </w:p>
        </w:tc>
        <w:tc>
          <w:tcPr/>
          <w:p>
            <w:pPr>
              <w:pStyle w:val="Compact"/>
            </w:pPr>
            <w:r>
              <w:t xml:space="preserve">Within-year aggregation timing</w:t>
            </w:r>
          </w:p>
        </w:tc>
        <w:tc>
          <w:tcPr/>
          <w:p>
            <w:pPr>
              <w:pStyle w:val="Compact"/>
            </w:pPr>
            <w:r>
              <w:t xml:space="preserve">Same Webb (1982) and Jackson (1986) calendar that informs the published peak attribution</w:t>
            </w:r>
          </w:p>
        </w:tc>
        <w:tc>
          <w:tcPr/>
          <w:p>
            <w:pPr>
              <w:pStyle w:val="Compact"/>
            </w:pPr>
            <w:r>
              <w:t xml:space="preserve">None (circular)</w:t>
            </w:r>
          </w:p>
        </w:tc>
        <w:tc>
          <w:tcPr/>
          <w:p>
            <w:pPr>
              <w:pStyle w:val="Compact"/>
            </w:pPr>
            <w:r>
              <w:t xml:space="preserve">Plausibility check, not independent test</w:t>
            </w:r>
          </w:p>
        </w:tc>
      </w:tr>
      <w:tr>
        <w:tc>
          <w:tcPr/>
          <w:p>
            <w:pPr>
              <w:pStyle w:val="Compact"/>
            </w:pPr>
            <w:r>
              <w:t xml:space="preserve">6.8</w:t>
            </w:r>
          </w:p>
        </w:tc>
        <w:tc>
          <w:tcPr/>
          <w:p>
            <w:pPr>
              <w:pStyle w:val="Compact"/>
            </w:pPr>
            <w:r>
              <w:t xml:space="preserve">Construction tempo and pulsed accumulation; maintenance-to-new-construction event density</w:t>
            </w:r>
          </w:p>
        </w:tc>
        <w:tc>
          <w:tcPr/>
          <w:p>
            <w:pPr>
              <w:pStyle w:val="Compact"/>
            </w:pPr>
            <m:oMath>
              <m:r>
                <m:t>δ</m:t>
              </m:r>
              <m:r>
                <m:rPr>
                  <m:sty m:val="p"/>
                </m:rPr>
                <m:t>=</m:t>
              </m:r>
              <m:r>
                <m:t>0.08</m:t>
              </m:r>
            </m:oMath>
            <w:r>
              <w:t xml:space="preserve"> </w:t>
            </w:r>
            <w:r>
              <w:t xml:space="preserve">assumed (Table S2 range</w:t>
            </w:r>
            <w:r>
              <w:t xml:space="preserve"> </w:t>
            </w:r>
            <m:oMath>
              <m:r>
                <m:rPr>
                  <m:sty m:val="p"/>
                </m:rPr>
                <m:t>[</m:t>
              </m:r>
              <m:r>
                <m:t>0.04</m:t>
              </m:r>
              <m:r>
                <m:rPr>
                  <m:sty m:val="p"/>
                </m:rPr>
                <m:t>,</m:t>
              </m:r>
              <m:r>
                <m:t>0.16</m:t>
              </m:r>
              <m:r>
                <m:rPr>
                  <m:sty m:val="p"/>
                </m:rPr>
                <m:t>]</m:t>
              </m:r>
            </m:oMath>
            <w:r>
              <w:t xml:space="preserve">);</w:t>
            </w:r>
            <w:r>
              <w:t xml:space="preserve"> </w:t>
            </w:r>
            <m:oMath>
              <m:sSub>
                <m:e>
                  <m:r>
                    <m:t>n</m:t>
                  </m:r>
                </m:e>
                <m:sub>
                  <m:r>
                    <m:t>a</m:t>
                  </m:r>
                  <m:r>
                    <m:t>g</m:t>
                  </m:r>
                  <m:r>
                    <m:t>g</m:t>
                  </m:r>
                </m:sub>
              </m:sSub>
            </m:oMath>
            <w:r>
              <w:t xml:space="preserve"> </w:t>
            </w:r>
            <w:r>
              <w:t xml:space="preserve">scenarios from §6.6</w:t>
            </w:r>
          </w:p>
        </w:tc>
        <w:tc>
          <w:tcPr/>
          <w:p>
            <w:pPr>
              <w:pStyle w:val="Compact"/>
            </w:pPr>
            <w:r>
              <w:t xml:space="preserve">PP and WB event counts (Clay 2023; Hargrave et al. 2021; Kidder et al. 2021; Saunders et al. 2005);</w:t>
            </w:r>
            <w:r>
              <w:t xml:space="preserve"> </w:t>
            </w:r>
            <m:oMath>
              <m:r>
                <m:t>R</m:t>
              </m:r>
              <m:r>
                <m:rPr>
                  <m:sty m:val="p"/>
                </m:rPr>
                <m:t>(</m:t>
              </m:r>
              <m:sSub>
                <m:e>
                  <m:r>
                    <m:t>M</m:t>
                  </m:r>
                </m:e>
                <m:sub>
                  <m:r>
                    <m:t>g</m:t>
                  </m:r>
                </m:sub>
              </m:sSub>
              <m:r>
                <m:rPr>
                  <m:sty m:val="p"/>
                </m:rPr>
                <m:t>)</m:t>
              </m:r>
            </m:oMath>
            <w:r>
              <w:t xml:space="preserve"> </w:t>
            </w:r>
            <w:r>
              <w:t xml:space="preserve">derivation from geometric depreciation</w:t>
            </w:r>
          </w:p>
        </w:tc>
        <w:tc>
          <w:tcPr/>
          <w:p>
            <w:pPr>
              <w:pStyle w:val="Compact"/>
            </w:pPr>
            <w:r>
              <w:t xml:space="preserve">Pulsed-accumulation reading consistent with framework but not discriminating; the</w:t>
            </w:r>
            <w:r>
              <w:t xml:space="preserve"> </w:t>
            </w:r>
            <m:oMath>
              <m:r>
                <m:t>R</m:t>
              </m:r>
              <m:r>
                <m:rPr>
                  <m:sty m:val="p"/>
                </m:rPr>
                <m:t>(</m:t>
              </m:r>
              <m:sSub>
                <m:e>
                  <m:r>
                    <m:t>M</m:t>
                  </m:r>
                </m:e>
                <m:sub>
                  <m:r>
                    <m:t>g</m:t>
                  </m:r>
                </m:sub>
              </m:sSub>
              <m:r>
                <m:rPr>
                  <m:sty m:val="p"/>
                </m:rPr>
                <m:t>)</m:t>
              </m:r>
            </m:oMath>
            <w:r>
              <w:t xml:space="preserve"> </w:t>
            </w:r>
            <w:r>
              <w:t xml:space="preserve">event-density contrast (PP</w:t>
            </w:r>
            <w:r>
              <w:t xml:space="preserve"> </w:t>
            </w:r>
            <m:oMath>
              <m:r>
                <m:rPr>
                  <m:sty m:val="p"/>
                </m:rPr>
                <m:t>≈</m:t>
              </m:r>
              <m:r>
                <m:t>1.3</m:t>
              </m:r>
            </m:oMath>
            <w:r>
              <w:t xml:space="preserve"> </w:t>
            </w:r>
            <w:r>
              <w:t xml:space="preserve">events/yr vs WB</w:t>
            </w:r>
            <w:r>
              <w:t xml:space="preserve"> </w:t>
            </w:r>
            <m:oMath>
              <m:r>
                <m:rPr>
                  <m:sty m:val="p"/>
                </m:rPr>
                <m:t>≈</m:t>
              </m:r>
              <m:r>
                <m:t>0.02</m:t>
              </m:r>
            </m:oMath>
            <w:r>
              <w:t xml:space="preserve">-</w:t>
            </w:r>
            <m:oMath>
              <m:r>
                <m:t>0.03</m:t>
              </m:r>
            </m:oMath>
            <w:r>
              <w:t xml:space="preserve"> </w:t>
            </w:r>
            <w:r>
              <w:t xml:space="preserve">events/yr, 47-85</w:t>
            </w:r>
            <m:oMath>
              <m:r>
                <m:rPr>
                  <m:sty m:val="p"/>
                </m:rPr>
                <m:t>×</m:t>
              </m:r>
            </m:oMath>
            <w:r>
              <w:t xml:space="preserve"> </w:t>
            </w:r>
            <w:r>
              <w:t xml:space="preserve">ratio) is independently weighted: it follows from the signal-half-life mechanism without additional free parameters, and a reversal or order-of-magnitude reduction of the contrast would weaken the mechanism. Listed as falsifiable prediction §7.4(h)</w:t>
            </w:r>
          </w:p>
        </w:tc>
      </w:tr>
      <w:tr>
        <w:tc>
          <w:tcPr/>
          <w:p>
            <w:pPr>
              <w:pStyle w:val="Compact"/>
            </w:pPr>
            <w:r>
              <w:t xml:space="preserve">4.3</w:t>
            </w:r>
          </w:p>
        </w:tc>
        <w:tc>
          <w:tcPr/>
          <w:p>
            <w:pPr>
              <w:pStyle w:val="Compact"/>
            </w:pPr>
            <w:r>
              <w:t xml:space="preserve">Signaling-vs-cooperation ablation (signal-conditional vs random partners)</w:t>
            </w:r>
          </w:p>
        </w:tc>
        <w:tc>
          <w:tcPr/>
          <w:p>
            <w:pPr>
              <w:pStyle w:val="Compact"/>
            </w:pPr>
            <m:oMath>
              <m:sSub>
                <m:e>
                  <m:r>
                    <m:t>σ</m:t>
                  </m:r>
                </m:e>
                <m:sub>
                  <m:r>
                    <m:t>e</m:t>
                  </m:r>
                  <m:r>
                    <m:t>f</m:t>
                  </m:r>
                  <m:r>
                    <m:t>f</m:t>
                  </m:r>
                </m:sub>
              </m:sSub>
            </m:oMath>
            <w:r>
              <w:t xml:space="preserve"> </w:t>
            </w:r>
            <w:r>
              <w:t xml:space="preserve">controlled via ShortfallParams.mean_interval matched</w:t>
            </w:r>
            <w:r>
              <w:t xml:space="preserve"> </w:t>
            </w:r>
            <m:oMath>
              <m:sSub>
                <m:e>
                  <m:r>
                    <m:t>k</m:t>
                  </m:r>
                </m:e>
                <m:sub>
                  <m:r>
                    <m:t>a</m:t>
                  </m:r>
                  <m:r>
                    <m:t>g</m:t>
                  </m:r>
                  <m:r>
                    <m:t>g</m:t>
                  </m:r>
                </m:sub>
              </m:sSub>
            </m:oMath>
          </w:p>
        </w:tc>
        <w:tc>
          <w:tcPr/>
          <w:p>
            <w:pPr>
              <w:pStyle w:val="Compact"/>
            </w:pPr>
            <w:r>
              <w:t xml:space="preserve">None; direct comparison</w:t>
            </w:r>
          </w:p>
        </w:tc>
        <w:tc>
          <w:tcPr/>
          <w:p>
            <w:pPr>
              <w:pStyle w:val="Compact"/>
            </w:pPr>
            <w:r>
              <w:rPr>
                <w:b/>
                <w:bCs/>
              </w:rPr>
              <w:t xml:space="preserve">Threshold shift</w:t>
            </w:r>
            <w:r>
              <w:rPr>
                <w:b/>
                <w:bCs/>
              </w:rPr>
              <w:t xml:space="preserve"> </w:t>
            </w:r>
            <m:oMath>
              <m:r>
                <m:rPr>
                  <m:sty m:val="p"/>
                </m:rPr>
                <m:t>−</m:t>
              </m:r>
              <m:r>
                <m:t>0.010</m:t>
              </m:r>
            </m:oMath>
            <w:r>
              <w:rPr>
                <w:b/>
                <w:bCs/>
              </w:rPr>
              <w:t xml:space="preserve"> </w:t>
            </w:r>
            <w:r>
              <w:rPr>
                <w:b/>
                <w:bCs/>
              </w:rPr>
              <w:t xml:space="preserve">in</w:t>
            </w:r>
            <w:r>
              <w:rPr>
                <w:b/>
                <w:bCs/>
              </w:rPr>
              <w:t xml:space="preserve"> </w:t>
            </w:r>
            <m:oMath>
              <m:sSub>
                <m:e>
                  <m:r>
                    <m:t>σ</m:t>
                  </m:r>
                </m:e>
                <m:sub>
                  <m:r>
                    <m:t>e</m:t>
                  </m:r>
                  <m:r>
                    <m:t>f</m:t>
                  </m:r>
                  <m:r>
                    <m:t>f</m:t>
                  </m:r>
                </m:sub>
              </m:sSub>
            </m:oMath>
            <w:r>
              <w:rPr>
                <w:b/>
                <w:bCs/>
              </w:rPr>
              <w:t xml:space="preserve"> </w:t>
            </w:r>
            <w:r>
              <w:rPr>
                <w:b/>
                <w:bCs/>
              </w:rPr>
              <w:t xml:space="preserve">(</w:t>
            </w:r>
            <m:oMath>
              <m:r>
                <m:rPr>
                  <m:sty m:val="p"/>
                </m:rPr>
                <m:t>−</m:t>
              </m:r>
              <m:r>
                <m:t>2.4</m:t>
              </m:r>
              <m:r>
                <m:rPr>
                  <m:sty m:val="p"/>
                </m:rPr>
                <m:t>%</m:t>
              </m:r>
            </m:oMath>
            <w:r>
              <w:rPr>
                <w:b/>
                <w:bCs/>
              </w:rPr>
              <w:t xml:space="preserve">); no discriminating shift.</w:t>
            </w:r>
            <w:r>
              <w:t xml:space="preserve"> </w:t>
            </w:r>
            <w:r>
              <w:t xml:space="preserve">Signaling apparatus does not move the threshold relative to cooperation-network mechanics with random partner formation. Empirical adjudication runs through §6.1 outflow asymmetry, not threshold location</w:t>
            </w:r>
          </w:p>
        </w:tc>
      </w:tr>
    </w:tbl>
    <w:bookmarkEnd w:id="59"/>
    <w:bookmarkStart w:id="63" w:name="s7.1-phase-transition-sweep-4.1-and-4.3"/>
    <w:p>
      <w:pPr>
        <w:pStyle w:val="Heading3"/>
      </w:pPr>
      <w:r>
        <w:rPr>
          <w:rFonts w:ascii="Times New Roman" w:hAnsi="Times New Roman"/>
          <w:b w:val="0"/>
          <w:i w:val="0"/>
          <w:color w:val="000000"/>
          <w:sz w:val="22"/>
          <w:u w:val="single"/>
        </w:rPr>
        <w:t xml:space="preserve">S7.1 Phase-transition sweep (§4.1 and §4.3)</w:t>
      </w:r>
    </w:p>
    <w:p>
      <w:pPr>
        <w:pStyle w:val="FirstParagraph"/>
      </w:pPr>
      <w:r>
        <w:rPr>
          <w:rFonts w:ascii="Times New Roman" w:hAnsi="Times New Roman"/>
          <w:color w:val="000000"/>
          <w:sz w:val="22"/>
        </w:rPr>
        <w:t xml:space="preserve">The phase-transition validation in main §4.1 and the signal-conditional vs random-partner ablation in main §4.3 are both produced from a single sweep across seven</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at PP-scenario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rPr>
          <w:rFonts w:ascii="Times New Roman" w:hAnsi="Times New Roman"/>
          <w:color w:val="000000"/>
          <w:sz w:val="22"/>
        </w:rPr>
        <w:t xml:space="preserve">, with</w:t>
      </w:r>
      <w:r>
        <w:rPr>
          <w:rFonts w:ascii="Times New Roman" w:hAnsi="Times New Roman"/>
          <w:color w:val="000000"/>
          <w:sz w:val="22"/>
        </w:rPr>
        <w:t xml:space="preserve"> </w:t>
      </w:r>
      <w:r>
        <w:rPr>
          <w:rFonts w:ascii="Times New Roman" w:hAnsi="Times New Roman"/>
          <w:b/>
          <w:bCs/>
          <w:color w:val="000000"/>
          <w:sz w:val="22"/>
        </w:rPr>
        <w:t xml:space="preserve">twenty stochastic replicates per cell</w:t>
      </w:r>
      <w:r>
        <w:rPr>
          <w:rFonts w:ascii="Times New Roman" w:hAnsi="Times New Roman"/>
          <w:color w:val="000000"/>
          <w:sz w:val="22"/>
        </w:rPr>
        <w:t xml:space="preserve"> </w:t>
      </w:r>
      <w:r>
        <w:rPr>
          <w:rFonts w:ascii="Times New Roman" w:hAnsi="Times New Roman"/>
          <w:color w:val="000000"/>
          <w:sz w:val="22"/>
        </w:rPr>
        <w:t xml:space="preserve">(updated round-6 per R3 #4; the canonical output is at</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controlled via the</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ShortfallParams.mean_interval</w:t>
      </w:r>
      <w:r>
        <w:rPr>
          <w:rFonts w:ascii="Times New Roman" w:hAnsi="Times New Roman"/>
          <w:color w:val="000000"/>
          <w:sz w:val="22"/>
        </w:rPr>
        <w:t xml:space="preserve"> </w:t>
      </w:r>
      <w:r>
        <w:rPr>
          <w:rFonts w:ascii="Times New Roman" w:hAnsi="Times New Roman"/>
          <w:color w:val="000000"/>
          <w:sz w:val="22"/>
        </w:rPr>
        <w:t xml:space="preserve">parameter.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run from 0.29 at the lowest target to 0.83 at the highest, consistently ~45–50% above target because the integrated simulation applies a coefficient-of-variation-based adjustment to the base sigma derived from</w:t>
      </w:r>
      <w:r>
        <w:rPr>
          <w:rFonts w:ascii="Times New Roman" w:hAnsi="Times New Roman"/>
          <w:color w:val="000000"/>
          <w:sz w:val="22"/>
        </w:rPr>
        <w:t xml:space="preserve"> </w:t>
      </w:r>
      <w:r>
        <w:rPr>
          <w:rStyle w:val="VerbatimChar"/>
          <w:rFonts w:ascii="Times New Roman" w:hAnsi="Times New Roman"/>
          <w:color w:val="000000"/>
          <w:sz w:val="22"/>
        </w:rPr>
        <w:t xml:space="preserve">ShortfallParams.magnitude_mean × √(20/mean_interval)</w:t>
      </w:r>
      <w:r>
        <w:rPr>
          <w:rFonts w:ascii="Times New Roman" w:hAnsi="Times New Roman"/>
          <w:color w:val="000000"/>
          <w:sz w:val="22"/>
        </w:rPr>
        <w:t xml:space="preserve">. The adjustment is monotonic in target sigma and does not affect the qualitative phase-transition signal.</w:t>
      </w:r>
    </w:p>
    <w:p>
      <w:pPr>
        <w:pStyle w:val="BodyText"/>
      </w:pPr>
      <w:r>
        <w:rPr>
          <w:rFonts w:ascii="Times New Roman" w:hAnsi="Times New Roman"/>
          <w:color w:val="000000"/>
          <w:sz w:val="22"/>
        </w:rPr>
        <w:t xml:space="preserve">Per-cell strategy-dominance statistics for both configurations (n = 20 replicates per cell, mean ± sample SD with ddof =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0.080</m:t>
              </m:r>
            </m:oMath>
          </w:p>
        </w:tc>
        <w:tc>
          <w:tcPr/>
          <w:p>
            <w:pPr>
              <w:pStyle w:val="Compact"/>
            </w:pPr>
            <m:oMath>
              <m:r>
                <m:rPr>
                  <m:sty m:val="p"/>
                </m:rPr>
                <m:t>−</m:t>
              </m:r>
              <m:r>
                <m:t>0.401</m:t>
              </m:r>
              <m:r>
                <m:rPr>
                  <m:sty m:val="p"/>
                </m:rPr>
                <m:t>±</m:t>
              </m:r>
              <m:r>
                <m:t>0.063</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0.005</m:t>
              </m:r>
              <m:r>
                <m:rPr>
                  <m:sty m:val="p"/>
                </m:rPr>
                <m:t>±</m:t>
              </m:r>
              <m:r>
                <m:t>0.077</m:t>
              </m:r>
            </m:oMath>
          </w:p>
        </w:tc>
        <w:tc>
          <w:tcPr/>
          <w:p>
            <w:pPr>
              <w:pStyle w:val="Compact"/>
            </w:pPr>
            <m:oMath>
              <m:r>
                <m:rPr>
                  <m:sty m:val="p"/>
                </m:rPr>
                <m:t>+</m:t>
              </m:r>
              <m:r>
                <m:t>0.053</m:t>
              </m:r>
              <m:r>
                <m:rPr>
                  <m:sty m:val="p"/>
                </m:rPr>
                <m:t>±</m:t>
              </m:r>
              <m:r>
                <m:t>0.143</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0.433</m:t>
              </m:r>
              <m:r>
                <m:rPr>
                  <m:sty m:val="p"/>
                </m:rPr>
                <m:t>±</m:t>
              </m:r>
              <m:r>
                <m:t>0.112</m:t>
              </m:r>
            </m:oMath>
          </w:p>
        </w:tc>
        <w:tc>
          <w:tcPr/>
          <w:p>
            <w:pPr>
              <w:pStyle w:val="Compact"/>
            </w:pPr>
            <m:oMath>
              <m:r>
                <m:rPr>
                  <m:sty m:val="p"/>
                </m:rPr>
                <m:t>+</m:t>
              </m:r>
              <m:r>
                <m:t>0.454</m:t>
              </m:r>
              <m:r>
                <m:rPr>
                  <m:sty m:val="p"/>
                </m:rPr>
                <m:t>±</m:t>
              </m:r>
              <m:r>
                <m:t>0.106</m:t>
              </m:r>
            </m:oMath>
          </w:p>
        </w:tc>
      </w:tr>
      <w:tr>
        <w:tc>
          <w:tcPr/>
          <w:p>
            <w:pPr>
              <w:pStyle w:val="Compact"/>
            </w:pPr>
            <w:r>
              <w:t xml:space="preserve">0.40</w:t>
            </w:r>
          </w:p>
        </w:tc>
        <w:tc>
          <w:tcPr/>
          <w:p>
            <w:pPr>
              <w:pStyle w:val="Compact"/>
            </w:pPr>
            <w:r>
              <w:t xml:space="preserve">0.599</w:t>
            </w:r>
          </w:p>
        </w:tc>
        <w:tc>
          <w:tcPr/>
          <w:p>
            <w:pPr>
              <w:pStyle w:val="Compact"/>
            </w:pPr>
            <m:oMath>
              <m:r>
                <m:rPr>
                  <m:sty m:val="p"/>
                </m:rPr>
                <m:t>+</m:t>
              </m:r>
              <m:r>
                <m:t>0.647</m:t>
              </m:r>
              <m:r>
                <m:rPr>
                  <m:sty m:val="p"/>
                </m:rPr>
                <m:t>±</m:t>
              </m:r>
              <m:r>
                <m:t>0.112</m:t>
              </m:r>
            </m:oMath>
          </w:p>
        </w:tc>
        <w:tc>
          <w:tcPr/>
          <w:p>
            <w:pPr>
              <w:pStyle w:val="Compact"/>
            </w:pPr>
            <m:oMath>
              <m:r>
                <m:rPr>
                  <m:sty m:val="p"/>
                </m:rPr>
                <m:t>+</m:t>
              </m:r>
              <m:r>
                <m:t>0.592</m:t>
              </m:r>
              <m:r>
                <m:rPr>
                  <m:sty m:val="p"/>
                </m:rPr>
                <m:t>±</m:t>
              </m:r>
              <m:r>
                <m:t>0.143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0.783</m:t>
              </m:r>
              <m:r>
                <m:rPr>
                  <m:sty m:val="p"/>
                </m:rPr>
                <m:t>±</m:t>
              </m:r>
              <m:r>
                <m:t>0.074</m:t>
              </m:r>
            </m:oMath>
          </w:p>
        </w:tc>
        <w:tc>
          <w:tcPr/>
          <w:p>
            <w:pPr>
              <w:pStyle w:val="Compact"/>
            </w:pPr>
            <m:oMath>
              <m:r>
                <m:rPr>
                  <m:sty m:val="p"/>
                </m:rPr>
                <m:t>+</m:t>
              </m:r>
              <m:r>
                <m:t>0.749</m:t>
              </m:r>
              <m:r>
                <m:rPr>
                  <m:sty m:val="p"/>
                </m:rPr>
                <m:t>±</m:t>
              </m:r>
              <m:r>
                <m:t>0.084</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0.879</m:t>
              </m:r>
              <m:r>
                <m:rPr>
                  <m:sty m:val="p"/>
                </m:rPr>
                <m:t>±</m:t>
              </m:r>
              <m:r>
                <m:t>0.057</m:t>
              </m:r>
            </m:oMath>
          </w:p>
        </w:tc>
        <w:tc>
          <w:tcPr/>
          <w:p>
            <w:pPr>
              <w:pStyle w:val="Compact"/>
            </w:pPr>
            <m:oMath>
              <m:r>
                <m:rPr>
                  <m:sty m:val="p"/>
                </m:rPr>
                <m:t>+</m:t>
              </m:r>
              <m:r>
                <m:t>0.883</m:t>
              </m:r>
              <m:r>
                <m:rPr>
                  <m:sty m:val="p"/>
                </m:rPr>
                <m:t>±</m:t>
              </m:r>
              <m:r>
                <m:t>0.059</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0.927</m:t>
              </m:r>
              <m:r>
                <m:rPr>
                  <m:sty m:val="p"/>
                </m:rPr>
                <m:t>±</m:t>
              </m:r>
              <m:r>
                <m:t>0.041</m:t>
              </m:r>
            </m:oMath>
          </w:p>
        </w:tc>
        <w:tc>
          <w:tcPr/>
          <w:p>
            <w:pPr>
              <w:pStyle w:val="Compact"/>
            </w:pPr>
            <m:oMath>
              <m:r>
                <m:rPr>
                  <m:sty m:val="p"/>
                </m:rPr>
                <m:t>+</m:t>
              </m:r>
              <m:r>
                <m:t>0.927</m:t>
              </m:r>
              <m:r>
                <m:rPr>
                  <m:sty m:val="p"/>
                </m:rPr>
                <m:t>±</m:t>
              </m:r>
              <m:r>
                <m:t>0.036</m:t>
              </m:r>
            </m:oMath>
          </w:p>
        </w:tc>
      </w:tr>
    </w:tbl>
    <w:p>
      <w:pPr>
        <w:pStyle w:val="BodyText"/>
      </w:pPr>
      <w:r>
        <w:rPr>
          <w:rFonts w:ascii="Times New Roman" w:hAnsi="Times New Roman"/>
          <w:color w:val="000000"/>
          <w:sz w:val="22"/>
        </w:rPr>
        <w:t xml:space="preserve">Crossovers (strategy dominance through zero, located by linear interpolation between bracketing</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w:r>
        <w:rPr>
          <w:rFonts w:ascii="Times New Roman" w:hAnsi="Times New Roman"/>
          <w:b/>
          <w:bCs/>
          <w:color w:val="000000"/>
          <w:sz w:val="22"/>
        </w:rPr>
        <w:t xml:space="preserve">signal-conditional</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b/>
          <w:bCs/>
          <w:color w:val="000000"/>
          <w:sz w:val="22"/>
        </w:rPr>
        <w:t xml:space="preserve">, random-partner</w:t>
      </w:r>
      <w:r>
        <w:rPr>
          <w:rFonts w:ascii="Times New Roman" w:hAnsi="Times New Roman"/>
          <w:b/>
          <w:bCs/>
          <w:color w:val="000000"/>
          <w:sz w:val="22"/>
        </w:rPr>
        <w:t xml:space="preserve"> </w:t>
      </w:r>
      <m:oMath>
        <m:sSubSup>
          <m:e>
            <m:r>
              <m:t>σ</m:t>
            </m:r>
          </m:e>
          <m:sub>
            <m:r>
              <m:t>e</m:t>
            </m:r>
            <m:r>
              <m:t>f</m:t>
            </m:r>
            <m:r>
              <m:t>f</m:t>
            </m:r>
          </m:sub>
          <m:sup>
            <m:r>
              <m:rPr>
                <m:sty m:val="p"/>
              </m:rPr>
              <m:t>*</m:t>
            </m:r>
          </m:sup>
        </m:sSubSup>
        <m:r>
          <m:rPr>
            <m:sty m:val="p"/>
          </m:rPr>
          <m:t>=</m:t>
        </m:r>
        <m:r>
          <m:t>0.400</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threshold shift between configurations is</w:t>
      </w:r>
      <w:r>
        <w:rPr>
          <w:rFonts w:ascii="Times New Roman" w:hAnsi="Times New Roman"/>
          <w:color w:val="000000"/>
          <w:sz w:val="22"/>
        </w:rPr>
        <w:t xml:space="preserve"> </w:t>
      </w:r>
      <m:oMath>
        <m:r>
          <m:rPr>
            <m:sty m:val="p"/>
          </m:rPr>
          <m:t>−</m:t>
        </m:r>
        <m:r>
          <m:t>0.013</m:t>
        </m:r>
      </m:oMath>
      <w:r>
        <w:rPr>
          <w:rFonts w:ascii="Times New Roman" w:hAnsi="Times New Roman"/>
          <w:color w:val="000000"/>
          <w:sz w:val="22"/>
        </w:rPr>
        <w:t xml:space="preserve"> </w:t>
      </w:r>
      <w:r>
        <w:rPr>
          <w:rFonts w:ascii="Times New Roman" w:hAnsi="Times New Roman"/>
          <w:color w:val="000000"/>
          <w:sz w:val="22"/>
        </w:rPr>
        <w:t xml:space="preserve">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w:t>
      </w:r>
      <w:r>
        <w:rPr>
          <w:rFonts w:ascii="Times New Roman" w:hAnsi="Times New Roman"/>
          <w:color w:val="000000"/>
          <w:sz w:val="22"/>
        </w:rPr>
        <w:t xml:space="preserve"> </w:t>
      </w:r>
      <m:oMath>
        <m:r>
          <m:rPr>
            <m:sty m:val="p"/>
          </m:rPr>
          <m:t>−</m:t>
        </m:r>
        <m:r>
          <m:t>3.2</m:t>
        </m:r>
        <m:r>
          <m:rPr>
            <m:sty m:val="p"/>
          </m:rPr>
          <m:t>%</m:t>
        </m:r>
      </m:oMath>
      <w:r>
        <w:rPr>
          <w:rFonts w:ascii="Times New Roman" w:hAnsi="Times New Roman"/>
          <w:color w:val="000000"/>
          <w:sz w:val="22"/>
        </w:rPr>
        <w:t xml:space="preserve"> </w:t>
      </w:r>
      <w:r>
        <w:rPr>
          <w:rFonts w:ascii="Times New Roman" w:hAnsi="Times New Roman"/>
          <w:color w:val="000000"/>
          <w:sz w:val="22"/>
        </w:rPr>
        <w:t xml:space="preserve">shift), where the sign convention is random minus signal. The signal-conditional crossover 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The random-partner crossover lands almost exactly on the analytical</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which is what the framework’s two-component architecture (§S5.4 factorial: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drive the threshold;</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are silent) predicts: random-partner removes the signal-weighting on tie formation but leaves the cooperation-network buffering and within-group reward components intact, so the threshold should land at the analytical value driven by those components.</w:t>
      </w:r>
    </w:p>
    <w:p>
      <w:pPr>
        <w:pStyle w:val="BodyText"/>
      </w:pPr>
      <w:r>
        <w:rPr>
          <w:rFonts w:ascii="Times New Roman" w:hAnsi="Times New Roman"/>
          <w:color w:val="000000"/>
          <w:sz w:val="22"/>
        </w:rPr>
        <w:t xml:space="preserve">Point-by-point dominance differences (random minus signal) at each</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w:t>
      </w:r>
      <w:r>
        <w:rPr>
          <w:rFonts w:ascii="Times New Roman" w:hAnsi="Times New Roman"/>
          <w:color w:val="000000"/>
          <w:sz w:val="22"/>
        </w:rPr>
        <w:t xml:space="preserve"> </w:t>
      </w:r>
      <m:oMath>
        <m:r>
          <m:rPr>
            <m:sty m:val="p"/>
          </m:rPr>
          <m:t>+</m:t>
        </m:r>
        <m:r>
          <m:t>0.014</m:t>
        </m:r>
        <m:r>
          <m:rPr>
            <m:sty m:val="p"/>
          </m:rPr>
          <m:t>,</m:t>
        </m:r>
        <m:r>
          <m:rPr>
            <m:sty m:val="p"/>
          </m:rPr>
          <m:t>+</m:t>
        </m:r>
        <m:r>
          <m:t>0.049</m:t>
        </m:r>
        <m:r>
          <m:rPr>
            <m:sty m:val="p"/>
          </m:rPr>
          <m:t>,</m:t>
        </m:r>
        <m:r>
          <m:rPr>
            <m:sty m:val="p"/>
          </m:rPr>
          <m:t>+</m:t>
        </m:r>
        <m:r>
          <m:t>0.021</m:t>
        </m:r>
        <m:r>
          <m:rPr>
            <m:sty m:val="p"/>
          </m:rPr>
          <m:t>,</m:t>
        </m:r>
        <m:r>
          <m:rPr>
            <m:sty m:val="p"/>
          </m:rPr>
          <m:t>−</m:t>
        </m:r>
        <m:r>
          <m:t>0.056</m:t>
        </m:r>
        <m:r>
          <m:rPr>
            <m:sty m:val="p"/>
          </m:rPr>
          <m:t>,</m:t>
        </m:r>
        <m:r>
          <m:rPr>
            <m:sty m:val="p"/>
          </m:rPr>
          <m:t>−</m:t>
        </m:r>
        <m:r>
          <m:t>0.034</m:t>
        </m:r>
        <m:r>
          <m:rPr>
            <m:sty m:val="p"/>
          </m:rPr>
          <m:t>,</m:t>
        </m:r>
        <m:r>
          <m:rPr>
            <m:sty m:val="p"/>
          </m:rPr>
          <m:t>+</m:t>
        </m:r>
        <m:r>
          <m:t>0.004</m:t>
        </m:r>
        <m:r>
          <m:rPr>
            <m:sty m:val="p"/>
          </m:rPr>
          <m:t>,</m:t>
        </m:r>
        <m:r>
          <m:rPr>
            <m:sty m:val="p"/>
          </m:rPr>
          <m:t>+</m:t>
        </m:r>
        <m:r>
          <m:t>0.000</m:t>
        </m:r>
      </m:oMath>
      <w:r>
        <w:rPr>
          <w:rFonts w:ascii="Times New Roman" w:hAnsi="Times New Roman"/>
          <w:color w:val="000000"/>
          <w:sz w:val="22"/>
        </w:rPr>
        <w:t xml:space="preserve">. The n=20 result tightens the n=6 result without reversing its substance: the differences alternate in sign across the transition zone (positive at low and near-threshold σ, negative at slightly-above-threshold σ, back to zero at saturation), and the magnitudes are within 1 SD of zero at every cell. Both versions converge within 0.001 of each other 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(signal</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vs random</w:t>
      </w:r>
      <w:r>
        <w:rPr>
          <w:rFonts w:ascii="Times New Roman" w:hAnsi="Times New Roman"/>
          <w:color w:val="000000"/>
          <w:sz w:val="22"/>
        </w:rPr>
        <w:t xml:space="preserve"> </w:t>
      </w:r>
      <m:oMath>
        <m:r>
          <m:rPr>
            <m:sty m:val="p"/>
          </m:rPr>
          <m:t>+</m:t>
        </m:r>
        <m:r>
          <m:t>0.927</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t</m:t>
            </m:r>
            <m:r>
              <m:t>a</m:t>
            </m:r>
            <m:r>
              <m:t>r</m:t>
            </m:r>
            <m:r>
              <m:t>g</m:t>
            </m:r>
            <m:r>
              <m:t>e</m:t>
            </m:r>
            <m:r>
              <m:t>t</m:t>
            </m:r>
          </m:sub>
        </m:sSub>
        <m:r>
          <m:rPr>
            <m:sty m:val="p"/>
          </m:rPr>
          <m:t>=</m:t>
        </m:r>
        <m:r>
          <m:t>0.55</m:t>
        </m:r>
      </m:oMath>
      <w:r>
        <w:rPr>
          <w:rFonts w:ascii="Times New Roman" w:hAnsi="Times New Roman"/>
          <w:color w:val="000000"/>
          <w:sz w:val="22"/>
        </w:rPr>
        <w:t xml:space="preserve">, identical at the reported precision). The substantive result of §4.3, that weighted partner choice does not shift the threshold relative to a random-partner cooperation network, survives the n=20 tightening.</w:t>
      </w:r>
    </w:p>
    <w:p>
      <w:pPr>
        <w:pStyle w:val="BodyText"/>
      </w:pPr>
      <w:r>
        <w:rPr>
          <w:rFonts w:ascii="Times New Roman" w:hAnsi="Times New Roman"/>
          <w:color w:val="000000"/>
          <w:sz w:val="22"/>
        </w:rPr>
        <w:drawing>
          <wp:inline>
            <wp:extent cx="5486400" cy="4560983"/>
            <wp:effectExtent b="0" l="0" r="0" t="0"/>
            <wp:docPr descr="" title="" id="61" name="Picture"/>
            <a:graphic>
              <a:graphicData uri="http://schemas.openxmlformats.org/drawingml/2006/picture">
                <pic:pic>
                  <pic:nvPicPr>
                    <pic:cNvPr descr="/Users/clipo/PycharmProjects/poverty-point-signaling/figures/supplemental/figure_S05_ablation_n20.png" id="62" name="Picture"/>
                    <pic:cNvPicPr>
                      <a:picLocks noChangeArrowheads="1" noChangeAspect="1"/>
                    </pic:cNvPicPr>
                  </pic:nvPicPr>
                  <pic:blipFill>
                    <a:blip r:embed="rId60"/>
                    <a:stretch>
                      <a:fillRect/>
                    </a:stretch>
                  </pic:blipFill>
                  <pic:spPr bwMode="auto">
                    <a:xfrm>
                      <a:off x="0" y="0"/>
                      <a:ext cx="5486400" cy="456098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S05. Signal-conditional vs random-partner ablation, n=20 per cell.</w:t>
      </w:r>
      <w:r>
        <w:rPr>
          <w:rFonts w:ascii="Times New Roman" w:hAnsi="Times New Roman"/>
          <w:color w:val="000000"/>
          <w:sz w:val="20"/>
        </w:rPr>
        <w:t xml:space="preserve"> </w:t>
      </w:r>
      <w:r>
        <w:rPr>
          <w:rFonts w:ascii="Times New Roman" w:hAnsi="Times New Roman"/>
          <w:i/>
          <w:iCs/>
          <w:color w:val="000000"/>
          <w:sz w:val="20"/>
        </w:rPr>
        <w:t xml:space="preserve">Visualization of the §S7.1 table data sourced from the round-6 ablation pad (</w:t>
      </w:r>
      <w:r>
        <w:rPr>
          <w:rStyle w:val="VerbatimChar"/>
          <w:rFonts w:ascii="Times New Roman" w:hAnsi="Times New Roman"/>
          <w:i/>
          <w:iCs/>
          <w:color w:val="000000"/>
          <w:sz w:val="20"/>
        </w:rPr>
        <w:t xml:space="preserve">results/ablation/overnight_sweep.json</w:t>
      </w:r>
      <w:r>
        <w:rPr>
          <w:rFonts w:ascii="Times New Roman" w:hAnsi="Times New Roman"/>
          <w:i/>
          <w:iCs/>
          <w:color w:val="000000"/>
          <w:sz w:val="20"/>
        </w:rPr>
        <w:t xml:space="preserve">). (A) Strategy dominance vs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for both modes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envelopes.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is the red dotted vertical line. The two S-curves are nearly indistinguishable on this scale. (B)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vs target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sweep diagnostic. The integrated simulation’s CV-adjustment monotonically raises realized values above target. (C) Per-cell dominance difference (random minus signal)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SE error bars. Differences alternate in sign across the transition zone and cross zero at every cell, consistent with no detectable threshold shift. (D) Crossover detail zoomed near the threshold: signal-conditional crosses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Shift =</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in realized</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well within replicate noise.</w:t>
      </w:r>
    </w:p>
    <w:p>
      <w:pPr>
        <w:pStyle w:val="BodyText"/>
      </w:pPr>
      <w:r>
        <w:rPr>
          <w:rFonts w:ascii="Times New Roman" w:hAnsi="Times New Roman"/>
          <w:color w:val="000000"/>
          <w:sz w:val="22"/>
        </w:rPr>
        <w:t xml:space="preserve">Full per-replicate output is archived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results/ablation/overnight_sweep.json</w:t>
      </w:r>
      <w:r>
        <w:rPr>
          <w:rFonts w:ascii="Times New Roman" w:hAnsi="Times New Roman"/>
          <w:color w:val="000000"/>
          <w:sz w:val="22"/>
        </w:rPr>
        <w:t xml:space="preserve">, with derived statistics in</w:t>
      </w:r>
      <w:r>
        <w:rPr>
          <w:rFonts w:ascii="Times New Roman" w:hAnsi="Times New Roman"/>
          <w:color w:val="000000"/>
          <w:sz w:val="22"/>
        </w:rPr>
        <w:t xml:space="preserve"> </w:t>
      </w:r>
      <w:r>
        <w:rPr>
          <w:rStyle w:val="VerbatimChar"/>
          <w:rFonts w:ascii="Times New Roman" w:hAnsi="Times New Roman"/>
          <w:color w:val="000000"/>
          <w:sz w:val="22"/>
        </w:rPr>
        <w:t xml:space="preserve">results/ablation/phase_transition_summary.json</w:t>
      </w:r>
      <w:r>
        <w:rPr>
          <w:rFonts w:ascii="Times New Roman" w:hAnsi="Times New Roman"/>
          <w:color w:val="000000"/>
          <w:sz w:val="22"/>
        </w:rPr>
        <w:t xml:space="preserve">.</w:t>
      </w:r>
    </w:p>
    <w:bookmarkEnd w:id="63"/>
    <w:bookmarkStart w:id="64" w:name="s7.2-calibration-scenarios"/>
    <w:p>
      <w:pPr>
        <w:pStyle w:val="Heading3"/>
      </w:pPr>
      <w:r>
        <w:rPr>
          <w:rFonts w:ascii="Times New Roman" w:hAnsi="Times New Roman"/>
          <w:b w:val="0"/>
          <w:i w:val="0"/>
          <w:color w:val="000000"/>
          <w:sz w:val="22"/>
          <w:u w:val="single"/>
        </w:rPr>
        <w:t xml:space="preserve">S7.2 Calibration scenarios</w:t>
      </w:r>
    </w:p>
    <w:p>
      <w:pPr>
        <w:pStyle w:val="FirstParagraph"/>
      </w:pPr>
      <w:r>
        <w:rPr>
          <w:rFonts w:ascii="Times New Roman" w:hAnsi="Times New Roman"/>
          <w:color w:val="000000"/>
          <w:sz w:val="22"/>
        </w:rPr>
        <w:t xml:space="preserve">Four parametric scenarios were run with eight replicates each over 200 simulated years (the canonical calibration configuration; see §S1.6 above for the submodel specification). Summary statistics (mean ± sample SD across replicates),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results/calibration_replicates/replicates_n8_d200.json</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rPr>
          <w:rFonts w:ascii="Times New Roman" w:hAnsi="Times New Roman"/>
          <w:color w:val="000000"/>
          <w:sz w:val="22"/>
        </w:rP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rPr>
          <w:rFonts w:ascii="Times New Roman" w:hAnsi="Times New Roman"/>
          <w:color w:val="000000"/>
          <w:sz w:val="22"/>
        </w:rPr>
        <w:t xml:space="preserve">, equivalent to</w:t>
      </w:r>
      <w:r>
        <w:rPr>
          <w:rFonts w:ascii="Times New Roman" w:hAnsi="Times New Roman"/>
          <w:color w:val="000000"/>
          <w:sz w:val="22"/>
        </w:rPr>
        <w:t xml:space="preserve"> </w:t>
      </w:r>
      <w:r>
        <w:rPr>
          <w:rStyle w:val="VerbatimChar"/>
          <w:rFonts w:ascii="Times New Roman" w:hAnsi="Times New Roman"/>
          <w:color w:val="000000"/>
          <w:sz w:val="22"/>
        </w:rPr>
        <w:t xml:space="preserve">numpy.std(..., ddof=1)</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pandas.Series.std()</w:t>
      </w:r>
      <w:r>
        <w:rPr>
          <w:rFonts w:ascii="Times New Roman" w:hAnsi="Times New Roman"/>
          <w:color w:val="000000"/>
          <w:sz w:val="22"/>
        </w:rPr>
        <w:t xml:space="preserve">).</w:t>
      </w:r>
    </w:p>
    <w:p>
      <w:pPr>
        <w:pStyle w:val="BodyText"/>
      </w:pPr>
      <w:r>
        <w:rPr>
          <w:rFonts w:ascii="Times New Roman" w:hAnsi="Times New Roman"/>
          <w:color w:val="000000"/>
          <w:sz w:val="22"/>
        </w:rP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64"/>
    <w:bookmarkStart w:id="65" w:name="s7.3-phase-space-structure"/>
    <w:p>
      <w:pPr>
        <w:pStyle w:val="Heading3"/>
      </w:pPr>
      <w:r>
        <w:rPr>
          <w:rFonts w:ascii="Times New Roman" w:hAnsi="Times New Roman"/>
          <w:b w:val="0"/>
          <w:i w:val="0"/>
          <w:color w:val="000000"/>
          <w:sz w:val="22"/>
          <w:u w:val="single"/>
        </w:rPr>
        <w:t xml:space="preserve">S7.3 Phase space structure</w:t>
      </w:r>
    </w:p>
    <w:p>
      <w:pPr>
        <w:pStyle w:val="FirstParagraph"/>
      </w:pPr>
      <w:r>
        <w:rPr>
          <w:rFonts w:ascii="Times New Roman" w:hAnsi="Times New Roman"/>
          <w:color w:val="000000"/>
          <w:sz w:val="22"/>
        </w:rPr>
        <w:t xml:space="preserve">The two-dimensional phase-space diagram across the joint</w:t>
      </w:r>
      <w:r>
        <w:rPr>
          <w:rFonts w:ascii="Times New Roman" w:hAnsi="Times New Roman"/>
          <w:color w:val="000000"/>
          <w:sz w:val="22"/>
        </w:rPr>
        <w:t xml:space="preserve"> </w:t>
      </w:r>
      <m:oMath>
        <m:r>
          <m:rPr>
            <m:sty m:val="p"/>
          </m:rPr>
          <m:t>(</m:t>
        </m:r>
        <m:r>
          <m:t>σ</m:t>
        </m:r>
        <m:r>
          <m:rPr>
            <m:sty m:val="p"/>
          </m:rPr>
          <m:t>,</m:t>
        </m:r>
        <m:r>
          <m:t>ε</m:t>
        </m:r>
        <m:r>
          <m:rPr>
            <m:sty m:val="p"/>
          </m:rPr>
          <m:t>)</m:t>
        </m:r>
      </m:oMath>
      <w:r>
        <w:rPr>
          <w:rFonts w:ascii="Times New Roman" w:hAnsi="Times New Roman"/>
          <w:color w:val="000000"/>
          <w:sz w:val="22"/>
        </w:rPr>
        <w:t xml:space="preserve"> </w:t>
      </w:r>
      <w:r>
        <w:rPr>
          <w:rFonts w:ascii="Times New Roman" w:hAnsi="Times New Roman"/>
          <w:color w:val="000000"/>
          <w:sz w:val="22"/>
        </w:rPr>
        <w:t xml:space="preserve">plane is presented as main-text Figure 9 (§4.2).</w:t>
      </w:r>
    </w:p>
    <w:bookmarkEnd w:id="65"/>
    <w:bookmarkStart w:id="72" w:name="s7.4-aggregation-size-and-signaling-cost"/>
    <w:p>
      <w:pPr>
        <w:pStyle w:val="Heading3"/>
      </w:pPr>
      <w:r>
        <w:rPr>
          <w:rFonts w:ascii="Times New Roman" w:hAnsi="Times New Roman"/>
          <w:b w:val="0"/>
          <w:i w:val="0"/>
          <w:color w:val="000000"/>
          <w:sz w:val="22"/>
          <w:u w:val="single"/>
        </w:rPr>
        <w:t xml:space="preserve">S7.4 Aggregation size and signaling cost</w:t>
      </w:r>
    </w:p>
    <w:p>
      <w:pPr>
        <w:pStyle w:val="FirstParagraph"/>
      </w:pPr>
      <w:r>
        <w:rPr>
          <w:rFonts w:ascii="Times New Roman" w:hAnsi="Times New Roman"/>
          <w:color w:val="000000"/>
          <w:sz w:val="22"/>
        </w:rPr>
        <w:drawing>
          <wp:inline>
            <wp:extent cx="5486400" cy="2325927"/>
            <wp:effectExtent b="0" l="0" r="0" t="0"/>
            <wp:docPr descr="" title="" id="67" name="Picture"/>
            <a:graphic>
              <a:graphicData uri="http://schemas.openxmlformats.org/drawingml/2006/picture">
                <pic:pic>
                  <pic:nvPicPr>
                    <pic:cNvPr descr="/Users/clipo/PycharmProjects/poverty-point-signaling/figures/supplemental/figure_S06_sigma_vs_aggregation.png" id="68" name="Picture"/>
                    <pic:cNvPicPr>
                      <a:picLocks noChangeArrowheads="1" noChangeAspect="1"/>
                    </pic:cNvPicPr>
                  </pic:nvPicPr>
                  <pic:blipFill>
                    <a:blip r:embed="rId66"/>
                    <a:stretch>
                      <a:fillRect/>
                    </a:stretch>
                  </pic:blipFill>
                  <pic:spPr bwMode="auto">
                    <a:xfrm>
                      <a:off x="0" y="0"/>
                      <a:ext cx="5486400" cy="23259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S6. Effect of aggregation size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attended aggregation size</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 default cost and signaling parameters; full set in Table S2).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on the</w:t>
      </w:r>
      <w:r>
        <w:rPr>
          <w:rFonts w:ascii="Times New Roman" w:hAnsi="Times New Roman"/>
          <w:i/>
          <w:iCs/>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i/>
          <w:iCs/>
          <w:color w:val="000000"/>
          <w:sz w:val="20"/>
        </w:rPr>
        <w:t xml:space="preserve"> </w:t>
      </w:r>
      <w:r>
        <w:rPr>
          <w:rFonts w:ascii="Times New Roman" w:hAnsi="Times New Roman"/>
          <w:i/>
          <w:iCs/>
          <w:color w:val="000000"/>
          <w:sz w:val="20"/>
        </w:rPr>
        <w:t xml:space="preserve">difference at the lambda-sigma fixed-point equilibrium. Vertical dashed line marks the default</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 the plausible range</w:t>
      </w:r>
      <w:r>
        <w:rPr>
          <w:rFonts w:ascii="Times New Roman" w:hAnsi="Times New Roman"/>
          <w:i/>
          <w:iCs/>
          <w:color w:val="000000"/>
          <w:sz w:val="20"/>
        </w:rPr>
        <w:t xml:space="preserve"> </w:t>
      </w:r>
      <m:oMath>
        <m:r>
          <m:t>5</m:t>
        </m:r>
        <m:r>
          <m:rPr>
            <m:sty m:val="p"/>
          </m:rPr>
          <m:t>≤</m:t>
        </m:r>
        <m:sSub>
          <m:e>
            <m:r>
              <m:t>n</m:t>
            </m:r>
          </m:e>
          <m:sub>
            <m:r>
              <m:t>a</m:t>
            </m:r>
            <m:r>
              <m:t>g</m:t>
            </m:r>
            <m:r>
              <m:t>g</m:t>
            </m:r>
          </m:sub>
        </m:sSub>
        <m:r>
          <m:rPr>
            <m:sty m:val="p"/>
          </m:rPr>
          <m:t>≤</m:t>
        </m:r>
        <m:r>
          <m:t>50</m:t>
        </m:r>
      </m:oMath>
      <w:r>
        <w:rPr>
          <w:rFonts w:ascii="Times New Roman" w:hAnsi="Times New Roman"/>
          <w:i/>
          <w:iCs/>
          <w:color w:val="000000"/>
          <w:sz w:val="20"/>
        </w:rPr>
        <w:t xml:space="preserv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varies by less than 0.02. At very small aggregation sizes (</w:t>
      </w:r>
      <m:oMath>
        <m:sSub>
          <m:e>
            <m:r>
              <m:t>n</m:t>
            </m:r>
          </m:e>
          <m:sub>
            <m:r>
              <m:t>a</m:t>
            </m:r>
            <m:r>
              <m:t>g</m:t>
            </m:r>
            <m:r>
              <m:t>g</m:t>
            </m:r>
          </m:sub>
        </m:sSub>
        <m:r>
          <m:rPr>
            <m:sty m:val="p"/>
          </m:rPr>
          <m:t>≤</m:t>
        </m:r>
        <m:r>
          <m:t>3</m:t>
        </m:r>
      </m:oMath>
      <w:r>
        <w:rPr>
          <w:rFonts w:ascii="Times New Roman" w:hAnsi="Times New Roman"/>
          <w:i/>
          <w:iCs/>
          <w:color w:val="000000"/>
          <w:sz w:val="20"/>
        </w:rPr>
        <w:t xml:space="preserve">) the threshold rises sharply because cooperation-network buffering loses effectiveness when too few partners participate. The framework’s</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is therefore effectively insensitive to</w:t>
      </w:r>
      <w:r>
        <w:rPr>
          <w:rFonts w:ascii="Times New Roman" w:hAnsi="Times New Roman"/>
          <w:i/>
          <w:iCs/>
          <w:color w:val="000000"/>
          <w:sz w:val="20"/>
        </w:rPr>
        <w:t xml:space="preserve"> </w:t>
      </w:r>
      <m:oMath>
        <m:sSub>
          <m:e>
            <m:r>
              <m:t>n</m:t>
            </m:r>
          </m:e>
          <m:sub>
            <m:r>
              <m:t>a</m:t>
            </m:r>
            <m:r>
              <m:t>g</m:t>
            </m:r>
            <m:r>
              <m:t>g</m:t>
            </m:r>
          </m:sub>
        </m:sSub>
      </m:oMath>
      <w:r>
        <w:rPr>
          <w:rFonts w:ascii="Times New Roman" w:hAnsi="Times New Roman"/>
          <w:i/>
          <w:iCs/>
          <w:color w:val="000000"/>
          <w:sz w:val="20"/>
        </w:rPr>
        <w:t xml:space="preserve"> </w:t>
      </w:r>
      <w:r>
        <w:rPr>
          <w:rFonts w:ascii="Times New Roman" w:hAnsi="Times New Roman"/>
          <w:i/>
          <w:iCs/>
          <w:color w:val="000000"/>
          <w:sz w:val="20"/>
        </w:rPr>
        <w:t xml:space="preserve">over the range relevant to the LMV record.</w:t>
      </w:r>
    </w:p>
    <w:p>
      <w:pPr>
        <w:pStyle w:val="BodyText"/>
      </w:pPr>
      <w:r>
        <w:rPr>
          <w:rFonts w:ascii="Times New Roman" w:hAnsi="Times New Roman"/>
          <w:color w:val="000000"/>
          <w:sz w:val="22"/>
        </w:rPr>
        <w:drawing>
          <wp:inline>
            <wp:extent cx="5486400" cy="2327244"/>
            <wp:effectExtent b="0" l="0" r="0" t="0"/>
            <wp:docPr descr="" title="" id="70" name="Picture"/>
            <a:graphic>
              <a:graphicData uri="http://schemas.openxmlformats.org/drawingml/2006/picture">
                <pic:pic>
                  <pic:nvPicPr>
                    <pic:cNvPr descr="/Users/clipo/PycharmProjects/poverty-point-signaling/figures/supplemental/figure_S07_sigma_vs_cost.png" id="71" name="Picture"/>
                    <pic:cNvPicPr>
                      <a:picLocks noChangeArrowheads="1" noChangeAspect="1"/>
                    </pic:cNvPicPr>
                  </pic:nvPicPr>
                  <pic:blipFill>
                    <a:blip r:embed="rId69"/>
                    <a:stretch>
                      <a:fillRect/>
                    </a:stretch>
                  </pic:blipFill>
                  <pic:spPr bwMode="auto">
                    <a:xfrm>
                      <a:off x="0" y="0"/>
                      <a:ext cx="5486400" cy="232724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S7. Effect of signaling cost on critical threshold.</w:t>
      </w:r>
      <w:r>
        <w:rPr>
          <w:rFonts w:ascii="Times New Roman" w:hAnsi="Times New Roman"/>
          <w:color w:val="000000"/>
          <w:sz w:val="20"/>
        </w:rPr>
        <w:t xml:space="preserve"> </w:t>
      </w:r>
      <w:r>
        <w:rPr>
          <w:rFonts w:ascii="Times New Roman" w:hAnsi="Times New Roman"/>
          <w:i/>
          <w:iCs/>
          <w:color w:val="000000"/>
          <w:sz w:val="20"/>
        </w:rPr>
        <w:t xml:space="preserve">Predicted</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as a function of the aggregation-cost parameter</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at PP-scenario parameters (</w:t>
      </w:r>
      <m:oMath>
        <m:r>
          <m:t>ε</m:t>
        </m:r>
        <m:r>
          <m:rPr>
            <m:sty m:val="p"/>
          </m:rPr>
          <m:t>=</m:t>
        </m:r>
        <m:r>
          <m:t>0.35</m:t>
        </m:r>
      </m:oMath>
      <w:r>
        <w:rPr>
          <w:rFonts w:ascii="Times New Roman" w:hAnsi="Times New Roman"/>
          <w:i/>
          <w:iCs/>
          <w:color w:val="000000"/>
          <w:sz w:val="20"/>
        </w:rPr>
        <w:t xml:space="preserve">,</w:t>
      </w:r>
      <w:r>
        <w:rPr>
          <w:rFonts w:ascii="Times New Roman" w:hAnsi="Times New Roman"/>
          <w:i/>
          <w:iCs/>
          <w:color w:val="000000"/>
          <w:sz w:val="20"/>
        </w:rPr>
        <w:t xml:space="preserve"> </w:t>
      </w:r>
      <m:oMath>
        <m:sSub>
          <m:e>
            <m:r>
              <m:t>n</m:t>
            </m:r>
          </m:e>
          <m:sub>
            <m:r>
              <m:t>a</m:t>
            </m:r>
            <m:r>
              <m:t>g</m:t>
            </m:r>
            <m:r>
              <m:t>g</m:t>
            </m:r>
          </m:sub>
        </m:sSub>
        <m:r>
          <m:rPr>
            <m:sty m:val="p"/>
          </m:rPr>
          <m:t>=</m:t>
        </m:r>
        <m:r>
          <m:t>25</m:t>
        </m:r>
      </m:oMath>
      <w:r>
        <w:rPr>
          <w:rFonts w:ascii="Times New Roman" w:hAnsi="Times New Roman"/>
          <w:i/>
          <w:iCs/>
          <w:color w:val="000000"/>
          <w:sz w:val="20"/>
        </w:rPr>
        <w:t xml:space="preserve">, default network and signaling parameters). Solid line,</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from Brent’s-method root-finding at the lambda-sigma fixed-point equilibrium. Vertical dashed line marks the default</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t>0.18</m:t>
        </m:r>
      </m:oMath>
      <w:r>
        <w:rPr>
          <w:rFonts w:ascii="Times New Roman" w:hAnsi="Times New Roman"/>
          <w:i/>
          <w:iCs/>
          <w:color w:val="000000"/>
          <w:sz w:val="20"/>
        </w:rPr>
        <w:t xml:space="preserve"> </w:t>
      </w:r>
      <w:r>
        <w:rPr>
          <w:rFonts w:ascii="Times New Roman" w:hAnsi="Times New Roman"/>
          <w:i/>
          <w:iCs/>
          <w:color w:val="000000"/>
          <w:sz w:val="20"/>
        </w:rPr>
        <w:t xml:space="preserve">used throughout the manuscript. Across</w:t>
      </w:r>
      <w:r>
        <w:rPr>
          <w:rFonts w:ascii="Times New Roman" w:hAnsi="Times New Roman"/>
          <w:i/>
          <w:iCs/>
          <w:color w:val="000000"/>
          <w:sz w:val="20"/>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t>
      </w:r>
      <m:oMath>
        <m:r>
          <m:rPr>
            <m:sty m:val="p"/>
          </m:rPr>
          <m:t>±</m:t>
        </m:r>
        <m:r>
          <m:t>50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from the default),</w:t>
      </w:r>
      <w:r>
        <w:rPr>
          <w:rFonts w:ascii="Times New Roman" w:hAnsi="Times New Roman"/>
          <w:i/>
          <w:iCs/>
          <w:color w:val="000000"/>
          <w:sz w:val="20"/>
        </w:rPr>
        <w:t xml:space="preserve"> </w:t>
      </w:r>
      <m:oMath>
        <m:sSup>
          <m:e>
            <m:r>
              <m:t>σ</m:t>
            </m:r>
          </m:e>
          <m:sup>
            <m:r>
              <m:rPr>
                <m:sty m:val="p"/>
              </m:rPr>
              <m:t>*</m:t>
            </m:r>
          </m:sup>
        </m:sSup>
      </m:oMath>
      <w:r>
        <w:rPr>
          <w:rFonts w:ascii="Times New Roman" w:hAnsi="Times New Roman"/>
          <w:i/>
          <w:iCs/>
          <w:color w:val="000000"/>
          <w:sz w:val="20"/>
        </w:rPr>
        <w:t xml:space="preserve"> </w:t>
      </w:r>
      <w:r>
        <w:rPr>
          <w:rFonts w:ascii="Times New Roman" w:hAnsi="Times New Roman"/>
          <w:i/>
          <w:iCs/>
          <w:color w:val="000000"/>
          <w:sz w:val="20"/>
        </w:rPr>
        <w:t xml:space="preserve">swings from 0.29 to 0.51 (swing</w:t>
      </w:r>
      <w:r>
        <w:rPr>
          <w:rFonts w:ascii="Times New Roman" w:hAnsi="Times New Roman"/>
          <w:i/>
          <w:iCs/>
          <w:color w:val="000000"/>
          <w:sz w:val="20"/>
        </w:rPr>
        <w:t xml:space="preserve"> </w:t>
      </w:r>
      <m:oMath>
        <m:r>
          <m:rPr>
            <m:sty m:val="p"/>
          </m:rPr>
          <m:t>≈</m:t>
        </m:r>
        <m:r>
          <m:t>0.22</m:t>
        </m:r>
      </m:oMath>
      <w:r>
        <w:rPr>
          <w:rFonts w:ascii="Times New Roman" w:hAnsi="Times New Roman"/>
          <w:i/>
          <w:iCs/>
          <w:color w:val="000000"/>
          <w:sz w:val="20"/>
        </w:rPr>
        <w:t xml:space="preserve">, the largest among model parameters in the §S3.1 OAT). Higher signaling cost raises the threshold (aggregation must produce a larger fitness benefit to compensate for the increased cost), confirming that</w:t>
      </w:r>
      <w:r>
        <w:rPr>
          <w:rFonts w:ascii="Times New Roman" w:hAnsi="Times New Roman"/>
          <w:i/>
          <w:iCs/>
          <w:color w:val="000000"/>
          <w:sz w:val="20"/>
        </w:rPr>
        <w:t xml:space="preserve"> </w:t>
      </w:r>
      <m:oMath>
        <m:sSub>
          <m:e>
            <m:r>
              <m:t>C</m:t>
            </m:r>
          </m:e>
          <m:sub>
            <m:r>
              <m:t>s</m:t>
            </m:r>
            <m:r>
              <m:t>i</m:t>
            </m:r>
            <m:r>
              <m:t>g</m:t>
            </m:r>
            <m:r>
              <m:t>n</m:t>
            </m:r>
            <m:r>
              <m:t>a</m:t>
            </m:r>
            <m:r>
              <m:t>l</m:t>
            </m:r>
          </m:sub>
        </m:sSub>
      </m:oMath>
      <w:r>
        <w:rPr>
          <w:rFonts w:ascii="Times New Roman" w:hAnsi="Times New Roman"/>
          <w:i/>
          <w:iCs/>
          <w:color w:val="000000"/>
          <w:sz w:val="20"/>
        </w:rPr>
        <w:t xml:space="preserve"> </w:t>
      </w:r>
      <w:r>
        <w:rPr>
          <w:rFonts w:ascii="Times New Roman" w:hAnsi="Times New Roman"/>
          <w:i/>
          <w:iCs/>
          <w:color w:val="000000"/>
          <w:sz w:val="20"/>
        </w:rPr>
        <w:t xml:space="preserve">is the principal driver of the framework’s threshold prediction.</w:t>
      </w:r>
    </w:p>
    <w:bookmarkEnd w:id="72"/>
    <w:bookmarkEnd w:id="73"/>
    <w:bookmarkStart w:id="81" w:name="s8.-full-set-of-testable-predictions"/>
    <w:p>
      <w:pPr>
        <w:pStyle w:val="Heading2"/>
      </w:pPr>
      <w:r>
        <w:rPr>
          <w:rFonts w:ascii="Times New Roman" w:hAnsi="Times New Roman"/>
          <w:b w:val="0"/>
          <w:i/>
          <w:color w:val="000000"/>
          <w:sz w:val="24"/>
          <w:u w:val="none"/>
        </w:rPr>
        <w:t xml:space="preserve">S8. Full set of testable predictions</w:t>
      </w:r>
    </w:p>
    <w:p>
      <w:pPr>
        <w:pStyle w:val="FirstParagraph"/>
      </w:pPr>
      <w:r>
        <w:rPr>
          <w:rFonts w:ascii="Times New Roman" w:hAnsi="Times New Roman"/>
          <w:color w:val="000000"/>
          <w:sz w:val="22"/>
        </w:rPr>
        <w:t xml:space="preserve">The framework generates 12 specific, testable predictions across 6 categories. Each identifies what the framework expects, how it can be tested, and what would falsify it.</w:t>
      </w:r>
    </w:p>
    <w:bookmarkStart w:id="74" w:name="temporal-patterns"/>
    <w:p>
      <w:pPr>
        <w:pStyle w:val="Heading3"/>
      </w:pPr>
      <w:r>
        <w:rPr>
          <w:rFonts w:ascii="Times New Roman" w:hAnsi="Times New Roman"/>
          <w:b w:val="0"/>
          <w:i w:val="0"/>
          <w:color w:val="000000"/>
          <w:sz w:val="22"/>
          <w:u w:val="single"/>
        </w:rPr>
        <w:t xml:space="preserve">Temporal patterns</w:t>
      </w:r>
    </w:p>
    <w:p>
      <w:pPr>
        <w:pStyle w:val="FirstParagraph"/>
      </w:pPr>
      <w:r>
        <w:rPr>
          <w:rFonts w:ascii="Times New Roman" w:hAnsi="Times New Roman"/>
          <w:b/>
          <w:bCs/>
          <w:color w:val="000000"/>
          <w:sz w:val="22"/>
        </w:rPr>
        <w:t xml:space="preserve">P1.</w:t>
      </w:r>
      <w:r>
        <w:rPr>
          <w:rFonts w:ascii="Times New Roman" w:hAnsi="Times New Roman"/>
          <w:color w:val="000000"/>
          <w:sz w:val="22"/>
        </w:rPr>
        <w:t xml:space="preserve"> </w:t>
      </w:r>
      <w:r>
        <w:rPr>
          <w:rFonts w:ascii="Times New Roman" w:hAnsi="Times New Roman"/>
          <w:color w:val="000000"/>
          <w:sz w:val="22"/>
        </w:rP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rFonts w:ascii="Times New Roman" w:hAnsi="Times New Roman"/>
          <w:b/>
          <w:bCs/>
          <w:color w:val="000000"/>
          <w:sz w:val="22"/>
        </w:rPr>
        <w:t xml:space="preserve">P2.</w:t>
      </w:r>
      <w:r>
        <w:rPr>
          <w:rFonts w:ascii="Times New Roman" w:hAnsi="Times New Roman"/>
          <w:color w:val="000000"/>
          <w:sz w:val="22"/>
        </w:rPr>
        <w:t xml:space="preserve"> </w:t>
      </w:r>
      <w:r>
        <w:rPr>
          <w:rFonts w:ascii="Times New Roman" w:hAnsi="Times New Roman"/>
          <w:color w:val="000000"/>
          <w:sz w:val="22"/>
        </w:rPr>
        <w:t xml:space="preserve">Stratigraphic variation in artifact density across ridge and mound deposits should show cyclical patterns with periods of approximately 15-30 years, matching the shortfall recurrence intervals in the model.</w:t>
      </w:r>
    </w:p>
    <w:bookmarkEnd w:id="74"/>
    <w:bookmarkStart w:id="75" w:name="spatial-patterns"/>
    <w:p>
      <w:pPr>
        <w:pStyle w:val="Heading3"/>
      </w:pPr>
      <w:r>
        <w:rPr>
          <w:rFonts w:ascii="Times New Roman" w:hAnsi="Times New Roman"/>
          <w:b w:val="0"/>
          <w:i w:val="0"/>
          <w:color w:val="000000"/>
          <w:sz w:val="22"/>
          <w:u w:val="single"/>
        </w:rPr>
        <w:t xml:space="preserve">Spatial patterns</w:t>
      </w:r>
    </w:p>
    <w:p>
      <w:pPr>
        <w:pStyle w:val="FirstParagraph"/>
      </w:pPr>
      <w:r>
        <w:rPr>
          <w:rFonts w:ascii="Times New Roman" w:hAnsi="Times New Roman"/>
          <w:b/>
          <w:bCs/>
          <w:color w:val="000000"/>
          <w:sz w:val="22"/>
        </w:rPr>
        <w:t xml:space="preserve">P3.</w:t>
      </w:r>
      <w:r>
        <w:rPr>
          <w:rFonts w:ascii="Times New Roman" w:hAnsi="Times New Roman"/>
          <w:color w:val="000000"/>
          <w:sz w:val="22"/>
        </w:rPr>
        <w:t xml:space="preserve"> </w:t>
      </w:r>
      <w:r>
        <w:rPr>
          <w:rFonts w:ascii="Times New Roman" w:hAnsi="Times New Roman"/>
          <w:color w:val="000000"/>
          <w:sz w:val="22"/>
        </w:rPr>
        <w:t xml:space="preserve">Site hierarchy across the Poverty Point landscape should scale with a GIS-based ecotone diversity index. Ranked monument investment should be predictable from environmental measurement.</w:t>
      </w:r>
    </w:p>
    <w:p>
      <w:pPr>
        <w:pStyle w:val="BodyText"/>
      </w:pPr>
      <w:r>
        <w:rPr>
          <w:rFonts w:ascii="Times New Roman" w:hAnsi="Times New Roman"/>
          <w:b/>
          <w:bCs/>
          <w:color w:val="000000"/>
          <w:sz w:val="22"/>
        </w:rPr>
        <w:t xml:space="preserve">P4.</w:t>
      </w:r>
      <w:r>
        <w:rPr>
          <w:rFonts w:ascii="Times New Roman" w:hAnsi="Times New Roman"/>
          <w:color w:val="000000"/>
          <w:sz w:val="22"/>
        </w:rPr>
        <w:t xml:space="preserve"> </w:t>
      </w:r>
      <w:r>
        <w:rPr>
          <w:rFonts w:ascii="Times New Roman" w:hAnsi="Times New Roman"/>
          <w:color w:val="000000"/>
          <w:sz w:val="22"/>
        </w:rPr>
        <w:t xml:space="preserve">The frequency of Poverty Point-affiliated artifacts at regional sites should decay with distance from Poverty Point following an approximately exponential curve, with a characteristic catchment radius of 100-150 km.</w:t>
      </w:r>
    </w:p>
    <w:bookmarkEnd w:id="75"/>
    <w:bookmarkStart w:id="76" w:name="material-patterns"/>
    <w:p>
      <w:pPr>
        <w:pStyle w:val="Heading3"/>
      </w:pPr>
      <w:r>
        <w:rPr>
          <w:rFonts w:ascii="Times New Roman" w:hAnsi="Times New Roman"/>
          <w:b w:val="0"/>
          <w:i w:val="0"/>
          <w:color w:val="000000"/>
          <w:sz w:val="22"/>
          <w:u w:val="single"/>
        </w:rPr>
        <w:t xml:space="preserve">Material patterns</w:t>
      </w:r>
    </w:p>
    <w:p>
      <w:pPr>
        <w:pStyle w:val="FirstParagraph"/>
      </w:pPr>
      <w:r>
        <w:rPr>
          <w:rFonts w:ascii="Times New Roman" w:hAnsi="Times New Roman"/>
          <w:b/>
          <w:bCs/>
          <w:color w:val="000000"/>
          <w:sz w:val="22"/>
        </w:rPr>
        <w:t xml:space="preserve">P5.</w:t>
      </w:r>
      <w:r>
        <w:rPr>
          <w:rFonts w:ascii="Times New Roman" w:hAnsi="Times New Roman"/>
          <w:color w:val="000000"/>
          <w:sz w:val="22"/>
        </w:rPr>
        <w:t xml:space="preserve"> </w:t>
      </w:r>
      <w:r>
        <w:rPr>
          <w:rFonts w:ascii="Times New Roman" w:hAnsi="Times New Roman"/>
          <w:color w:val="000000"/>
          <w:sz w:val="22"/>
        </w:rPr>
        <w:t xml:space="preserve">Distance-decay function</w:t>
      </w:r>
      <w:r>
        <w:rPr>
          <w:rFonts w:ascii="Times New Roman" w:hAnsi="Times New Roman"/>
          <w:color w:val="000000"/>
          <w:sz w:val="22"/>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novaculite (~300 km) should be ~3.3× more common than galena (~500-800 km) and ~13× more common than copper (~1,600 km).</w:t>
      </w:r>
    </w:p>
    <w:p>
      <w:pPr>
        <w:pStyle w:val="BodyText"/>
      </w:pPr>
      <w:r>
        <w:rPr>
          <w:rFonts w:ascii="Times New Roman" w:hAnsi="Times New Roman"/>
          <w:b/>
          <w:bCs/>
          <w:color w:val="000000"/>
          <w:sz w:val="22"/>
        </w:rPr>
        <w:t xml:space="preserve">P6.</w:t>
      </w:r>
      <w:r>
        <w:rPr>
          <w:rFonts w:ascii="Times New Roman" w:hAnsi="Times New Roman"/>
          <w:color w:val="000000"/>
          <w:sz w:val="22"/>
        </w:rPr>
        <w:t xml:space="preserve"> </w:t>
      </w:r>
      <w:r>
        <w:rPr>
          <w:rFonts w:ascii="Times New Roman" w:hAnsi="Times New Roman"/>
          <w:color w:val="000000"/>
          <w:sz w:val="22"/>
        </w:rPr>
        <w:t xml:space="preserve">Within-site, exotic-goods densities and monument investment should covary spatially, since both are signaling investments by the same bands.</w:t>
      </w:r>
    </w:p>
    <w:bookmarkEnd w:id="76"/>
    <w:bookmarkStart w:id="77" w:name="demographic-patterns"/>
    <w:p>
      <w:pPr>
        <w:pStyle w:val="Heading3"/>
      </w:pPr>
      <w:r>
        <w:rPr>
          <w:rFonts w:ascii="Times New Roman" w:hAnsi="Times New Roman"/>
          <w:b w:val="0"/>
          <w:i w:val="0"/>
          <w:color w:val="000000"/>
          <w:sz w:val="22"/>
          <w:u w:val="single"/>
        </w:rPr>
        <w:t xml:space="preserve">Demographic patterns</w:t>
      </w:r>
    </w:p>
    <w:p>
      <w:pPr>
        <w:pStyle w:val="FirstParagraph"/>
      </w:pPr>
      <w:r>
        <w:rPr>
          <w:rFonts w:ascii="Times New Roman" w:hAnsi="Times New Roman"/>
          <w:b/>
          <w:bCs/>
          <w:color w:val="000000"/>
          <w:sz w:val="22"/>
        </w:rPr>
        <w:t xml:space="preserve">P7.</w:t>
      </w:r>
      <w:r>
        <w:rPr>
          <w:rFonts w:ascii="Times New Roman" w:hAnsi="Times New Roman"/>
          <w:color w:val="000000"/>
          <w:sz w:val="22"/>
        </w:rPr>
        <w:t xml:space="preserve"> </w:t>
      </w:r>
      <w:r>
        <w:rPr>
          <w:rFonts w:ascii="Times New Roman" w:hAnsi="Times New Roman"/>
          <w:color w:val="000000"/>
          <w:sz w:val="22"/>
        </w:rPr>
        <w:t xml:space="preserve">Aggregated population should saturate at ~500-625 individuals (~25 bands) rather than grow without constraint, reflecting diminishing returns to cooperation beyond optimal aggregation size.</w:t>
      </w:r>
    </w:p>
    <w:p>
      <w:pPr>
        <w:pStyle w:val="BodyText"/>
      </w:pPr>
      <w:r>
        <w:rPr>
          <w:rFonts w:ascii="Times New Roman" w:hAnsi="Times New Roman"/>
          <w:b/>
          <w:bCs/>
          <w:color w:val="000000"/>
          <w:sz w:val="22"/>
        </w:rPr>
        <w:t xml:space="preserve">P8.</w:t>
      </w:r>
      <w:r>
        <w:rPr>
          <w:rFonts w:ascii="Times New Roman" w:hAnsi="Times New Roman"/>
          <w:color w:val="000000"/>
          <w:sz w:val="22"/>
        </w:rPr>
        <w:t xml:space="preserve"> </w:t>
      </w:r>
      <w:r>
        <w:rPr>
          <w:rFonts w:ascii="Times New Roman" w:hAnsi="Times New Roman"/>
          <w:color w:val="000000"/>
          <w:sz w:val="22"/>
        </w:rP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77"/>
    <w:bookmarkStart w:id="78" w:name="network-structure"/>
    <w:p>
      <w:pPr>
        <w:pStyle w:val="Heading3"/>
      </w:pPr>
      <w:r>
        <w:rPr>
          <w:rFonts w:ascii="Times New Roman" w:hAnsi="Times New Roman"/>
          <w:b w:val="0"/>
          <w:i w:val="0"/>
          <w:color w:val="000000"/>
          <w:sz w:val="22"/>
          <w:u w:val="single"/>
        </w:rPr>
        <w:t xml:space="preserve">Network structure</w:t>
      </w:r>
    </w:p>
    <w:p>
      <w:pPr>
        <w:pStyle w:val="FirstParagraph"/>
      </w:pPr>
      <w:r>
        <w:rPr>
          <w:rFonts w:ascii="Times New Roman" w:hAnsi="Times New Roman"/>
          <w:b/>
          <w:bCs/>
          <w:color w:val="000000"/>
          <w:sz w:val="22"/>
        </w:rPr>
        <w:t xml:space="preserve">P9.</w:t>
      </w:r>
      <w:r>
        <w:rPr>
          <w:rFonts w:ascii="Times New Roman" w:hAnsi="Times New Roman"/>
          <w:color w:val="000000"/>
          <w:sz w:val="22"/>
        </w:rPr>
        <w:t xml:space="preserve"> </w:t>
      </w:r>
      <w:r>
        <w:rPr>
          <w:rFonts w:ascii="Times New Roman" w:hAnsi="Times New Roman"/>
          <w:color w:val="000000"/>
          <w:sz w:val="22"/>
        </w:rPr>
        <w:t xml:space="preserve">Provenance analysis (LA-ICP-MS, etc.) should reveal multi-pathway distribution networks rather than single-chain corridors, with small-world topology (high clustering, short path lengths).</w:t>
      </w:r>
    </w:p>
    <w:p>
      <w:pPr>
        <w:pStyle w:val="BodyText"/>
      </w:pPr>
      <w:r>
        <w:rPr>
          <w:rFonts w:ascii="Times New Roman" w:hAnsi="Times New Roman"/>
          <w:b/>
          <w:bCs/>
          <w:color w:val="000000"/>
          <w:sz w:val="22"/>
        </w:rPr>
        <w:t xml:space="preserve">P10.</w:t>
      </w:r>
      <w:r>
        <w:rPr>
          <w:rFonts w:ascii="Times New Roman" w:hAnsi="Times New Roman"/>
          <w:color w:val="000000"/>
          <w:sz w:val="22"/>
        </w:rPr>
        <w:t xml:space="preserve"> </w:t>
      </w:r>
      <w:r>
        <w:rPr>
          <w:rFonts w:ascii="Times New Roman" w:hAnsi="Times New Roman"/>
          <w:color w:val="000000"/>
          <w:sz w:val="22"/>
        </w:rPr>
        <w:t xml:space="preserve">Terminal-occupation layers should show narrowing source diversity in the exotic assemblage, reflecting network attrition that precedes systemic collapse.</w:t>
      </w:r>
    </w:p>
    <w:bookmarkEnd w:id="78"/>
    <w:bookmarkStart w:id="79" w:name="cross-cultural"/>
    <w:p>
      <w:pPr>
        <w:pStyle w:val="Heading3"/>
      </w:pPr>
      <w:r>
        <w:rPr>
          <w:rFonts w:ascii="Times New Roman" w:hAnsi="Times New Roman"/>
          <w:b w:val="0"/>
          <w:i w:val="0"/>
          <w:color w:val="000000"/>
          <w:sz w:val="22"/>
          <w:u w:val="single"/>
        </w:rPr>
        <w:t xml:space="preserve">Cross-cultural</w:t>
      </w:r>
    </w:p>
    <w:p>
      <w:pPr>
        <w:pStyle w:val="FirstParagraph"/>
      </w:pPr>
      <w:r>
        <w:rPr>
          <w:rFonts w:ascii="Times New Roman" w:hAnsi="Times New Roman"/>
          <w:b/>
          <w:bCs/>
          <w:color w:val="000000"/>
          <w:sz w:val="22"/>
        </w:rPr>
        <w:t xml:space="preserve">P11.</w:t>
      </w:r>
      <w:r>
        <w:rPr>
          <w:rFonts w:ascii="Times New Roman" w:hAnsi="Times New Roman"/>
          <w:color w:val="000000"/>
          <w:sz w:val="22"/>
        </w:rPr>
        <w:t xml:space="preserve"> </w:t>
      </w:r>
      <w:r>
        <w:rPr>
          <w:rFonts w:ascii="Times New Roman" w:hAnsi="Times New Roman"/>
          <w:color w:val="000000"/>
          <w:sz w:val="22"/>
        </w:rP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rFonts w:ascii="Times New Roman" w:hAnsi="Times New Roman"/>
          <w:b/>
          <w:bCs/>
          <w:color w:val="000000"/>
          <w:sz w:val="22"/>
        </w:rPr>
        <w:t xml:space="preserve">P12.</w:t>
      </w:r>
      <w:r>
        <w:rPr>
          <w:rFonts w:ascii="Times New Roman" w:hAnsi="Times New Roman"/>
          <w:color w:val="000000"/>
          <w:sz w:val="22"/>
        </w:rPr>
        <w:t xml:space="preserve"> </w:t>
      </w:r>
      <w:r>
        <w:rPr>
          <w:rFonts w:ascii="Times New Roman" w:hAnsi="Times New Roman"/>
          <w:color w:val="000000"/>
          <w:sz w:val="22"/>
        </w:rP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79"/>
    <w:bookmarkStart w:id="80" w:name="falsification-conditions"/>
    <w:p>
      <w:pPr>
        <w:pStyle w:val="Heading3"/>
      </w:pPr>
      <w:r>
        <w:rPr>
          <w:rFonts w:ascii="Times New Roman" w:hAnsi="Times New Roman"/>
          <w:b w:val="0"/>
          <w:i w:val="0"/>
          <w:color w:val="000000"/>
          <w:sz w:val="22"/>
          <w:u w:val="single"/>
        </w:rPr>
        <w:t xml:space="preserve">Falsification conditions</w:t>
      </w:r>
    </w:p>
    <w:p>
      <w:pPr>
        <w:pStyle w:val="FirstParagraph"/>
      </w:pPr>
      <w:r>
        <w:rPr>
          <w:rFonts w:ascii="Times New Roman" w:hAnsi="Times New Roman"/>
          <w:color w:val="000000"/>
          <w:sz w:val="22"/>
        </w:rPr>
        <w:t xml:space="preserve">The following findings would falsify the framework:</w:t>
      </w:r>
    </w:p>
    <w:p>
      <w:pPr>
        <w:pStyle w:val="Compact"/>
        <w:numPr>
          <w:ilvl w:val="0"/>
          <w:numId w:val="1001"/>
        </w:numPr>
      </w:pPr>
      <w:r>
        <w:rPr>
          <w:rFonts w:ascii="Times New Roman" w:hAnsi="Times New Roman"/>
          <w:color w:val="000000"/>
          <w:sz w:val="22"/>
        </w:rPr>
        <w:t xml:space="preserve">Monument construction was steady rather than episodic and uncorrelated with environmental variability.</w:t>
      </w:r>
    </w:p>
    <w:p>
      <w:pPr>
        <w:pStyle w:val="Compact"/>
        <w:numPr>
          <w:ilvl w:val="0"/>
          <w:numId w:val="1001"/>
        </w:numPr>
      </w:pPr>
      <w:r>
        <w:rPr>
          <w:rFonts w:ascii="Times New Roman" w:hAnsi="Times New Roman"/>
          <w:color w:val="000000"/>
          <w:sz w:val="22"/>
        </w:rPr>
        <w:t xml:space="preserve">Exotic materials concentrated in elite residential contexts rather than being broadly distributed.</w:t>
      </w:r>
    </w:p>
    <w:p>
      <w:pPr>
        <w:pStyle w:val="Compact"/>
        <w:numPr>
          <w:ilvl w:val="0"/>
          <w:numId w:val="1001"/>
        </w:numPr>
      </w:pPr>
      <w:r>
        <w:rPr>
          <w:rFonts w:ascii="Times New Roman" w:hAnsi="Times New Roman"/>
          <w:color w:val="000000"/>
          <w:sz w:val="22"/>
        </w:rPr>
        <w:t xml:space="preserve">High-resolution paleoclimate data demonstrate that Poverty Point coincided with environmental stability rather than moderate-to-high uncertainty.</w:t>
      </w:r>
    </w:p>
    <w:p>
      <w:pPr>
        <w:pStyle w:val="Compact"/>
        <w:numPr>
          <w:ilvl w:val="0"/>
          <w:numId w:val="1001"/>
        </w:numPr>
      </w:pPr>
      <w:r>
        <w:rPr>
          <w:rFonts w:ascii="Times New Roman" w:hAnsi="Times New Roman"/>
          <w:color w:val="000000"/>
          <w:sz w:val="22"/>
        </w:rP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rPr>
          <w:rFonts w:ascii="Times New Roman" w:hAnsi="Times New Roman"/>
          <w:color w:val="000000"/>
          <w:sz w:val="22"/>
        </w:rPr>
        <w:t xml:space="preserve">Clear evidence of coercive hierarchy, specialized craft production, or differential subsistence access at Poverty Point.</w:t>
      </w:r>
    </w:p>
    <w:bookmarkEnd w:id="80"/>
    <w:bookmarkEnd w:id="81"/>
    <w:bookmarkStart w:id="88" w:name="s9.-supplemental-empirical-figures"/>
    <w:p>
      <w:pPr>
        <w:pStyle w:val="Heading2"/>
      </w:pPr>
      <w:r>
        <w:rPr>
          <w:rFonts w:ascii="Times New Roman" w:hAnsi="Times New Roman"/>
          <w:b w:val="0"/>
          <w:i/>
          <w:color w:val="000000"/>
          <w:sz w:val="24"/>
          <w:u w:val="none"/>
        </w:rPr>
        <w:t xml:space="preserve">S9. Supplemental empirical figures</w:t>
      </w:r>
    </w:p>
    <w:p>
      <w:pPr>
        <w:pStyle w:val="FirstParagraph"/>
      </w:pPr>
      <w:r>
        <w:rPr>
          <w:rFonts w:ascii="Times New Roman" w:hAnsi="Times New Roman"/>
          <w:color w:val="000000"/>
          <w:sz w:val="22"/>
        </w:rPr>
        <w:t xml:space="preserve">The expanded paleoclimate proxy synthesis (with cross-case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comparison and theoretical phase-space panel) and the regional chronological synthesis are presented in main-text Figures 11 and 10 respectively.</w:t>
      </w:r>
    </w:p>
    <w:p>
      <w:pPr>
        <w:pStyle w:val="BodyText"/>
      </w:pPr>
      <w:r>
        <w:rPr>
          <w:rFonts w:ascii="Times New Roman" w:hAnsi="Times New Roman"/>
          <w:color w:val="000000"/>
          <w:sz w:val="22"/>
        </w:rPr>
        <w:drawing>
          <wp:inline>
            <wp:extent cx="5486400" cy="1873404"/>
            <wp:effectExtent b="0" l="0" r="0" t="0"/>
            <wp:docPr descr="" title="" id="83" name="Picture"/>
            <a:graphic>
              <a:graphicData uri="http://schemas.openxmlformats.org/drawingml/2006/picture">
                <pic:pic>
                  <pic:nvPicPr>
                    <pic:cNvPr descr="/Users/clipo/PycharmProjects/poverty-point-signaling/figures/supplemental/figure_S08_obligation_network.png" id="84" name="Picture"/>
                    <pic:cNvPicPr>
                      <a:picLocks noChangeArrowheads="1" noChangeAspect="1"/>
                    </pic:cNvPicPr>
                  </pic:nvPicPr>
                  <pic:blipFill>
                    <a:blip r:embed="rId82"/>
                    <a:stretch>
                      <a:fillRect/>
                    </a:stretch>
                  </pic:blipFill>
                  <pic:spPr bwMode="auto">
                    <a:xfrm>
                      <a:off x="0" y="0"/>
                      <a:ext cx="5486400" cy="187340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S8. Obligation network structure and function.</w:t>
      </w:r>
      <w:r>
        <w:rPr>
          <w:rFonts w:ascii="Times New Roman" w:hAnsi="Times New Roman"/>
          <w:color w:val="000000"/>
          <w:sz w:val="20"/>
        </w:rPr>
        <w:t xml:space="preserve"> </w:t>
      </w:r>
      <w:r>
        <w:rPr>
          <w:rFonts w:ascii="Times New Roman" w:hAnsi="Times New Roman"/>
          <w:i/>
          <w:iCs/>
          <w:color w:val="000000"/>
          <w:sz w:val="20"/>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rPr>
          <w:rFonts w:ascii="Times New Roman" w:hAnsi="Times New Roman"/>
          <w:color w:val="000000"/>
          <w:sz w:val="22"/>
        </w:rPr>
        <w:drawing>
          <wp:inline>
            <wp:extent cx="5486400" cy="1912053"/>
            <wp:effectExtent b="0" l="0" r="0" t="0"/>
            <wp:docPr descr="" title="" id="86" name="Picture"/>
            <a:graphic>
              <a:graphicData uri="http://schemas.openxmlformats.org/drawingml/2006/picture">
                <pic:pic>
                  <pic:nvPicPr>
                    <pic:cNvPr descr="/Users/clipo/PycharmProjects/poverty-point-signaling/figures/supplemental/figure_S09_exotic_distance_decay.png" id="87" name="Picture"/>
                    <pic:cNvPicPr>
                      <a:picLocks noChangeArrowheads="1" noChangeAspect="1"/>
                    </pic:cNvPicPr>
                  </pic:nvPicPr>
                  <pic:blipFill>
                    <a:blip r:embed="rId85"/>
                    <a:stretch>
                      <a:fillRect/>
                    </a:stretch>
                  </pic:blipFill>
                  <pic:spPr bwMode="auto">
                    <a:xfrm>
                      <a:off x="0" y="0"/>
                      <a:ext cx="5486400" cy="191205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S9. Exotic goods distance decay.</w:t>
      </w:r>
      <w:r>
        <w:rPr>
          <w:rFonts w:ascii="Times New Roman" w:hAnsi="Times New Roman"/>
          <w:color w:val="000000"/>
          <w:sz w:val="20"/>
        </w:rPr>
        <w:t xml:space="preserve"> </w:t>
      </w:r>
      <w:r>
        <w:rPr>
          <w:rFonts w:ascii="Times New Roman" w:hAnsi="Times New Roman"/>
          <w:i/>
          <w:iCs/>
          <w:color w:val="000000"/>
          <w:sz w:val="20"/>
        </w:rPr>
        <w:t xml:space="preserve">(A) Theoretical distance-decay</w:t>
      </w:r>
      <w:r>
        <w:rPr>
          <w:rFonts w:ascii="Times New Roman" w:hAnsi="Times New Roman"/>
          <w:i/>
          <w:iCs/>
          <w:color w:val="000000"/>
          <w:sz w:val="20"/>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rFonts w:ascii="Times New Roman" w:hAnsi="Times New Roman"/>
          <w:i/>
          <w:iCs/>
          <w:color w:val="000000"/>
          <w:sz w:val="20"/>
        </w:rPr>
        <w:t xml:space="preserve"> </w:t>
      </w:r>
      <w:r>
        <w:rPr>
          <w:rFonts w:ascii="Times New Roman" w:hAnsi="Times New Roman"/>
          <w:i/>
          <w:iCs/>
          <w:color w:val="000000"/>
          <w:sz w:val="20"/>
        </w:rPr>
        <w:t xml:space="preserve">with markers for the five primary exotic-material sources. (B) Simulated material frequencies vs. predicted relative frequencies. (C) Comparison with archaeological data from Webb (1982).</w:t>
      </w:r>
      <w:r>
        <w:rPr>
          <w:rFonts w:ascii="Times New Roman" w:hAnsi="Times New Roman"/>
          <w:i/>
          <w:iCs/>
          <w:color w:val="000000"/>
          <w:sz w:val="20"/>
        </w:rPr>
        <w:t xml:space="preserve"> </w:t>
      </w:r>
      <m:oMath>
        <m:sSup>
          <m:e>
            <m:r>
              <m:t>R</m:t>
            </m:r>
          </m:e>
          <m:sup>
            <m:r>
              <m:t>2</m:t>
            </m:r>
          </m:sup>
        </m:sSup>
        <m:r>
          <m:rPr>
            <m:sty m:val="p"/>
          </m:rPr>
          <m:t>≈</m:t>
        </m:r>
        <m:r>
          <m:t>0.87</m:t>
        </m:r>
      </m:oMath>
      <w:r>
        <w:rPr>
          <w:rFonts w:ascii="Times New Roman" w:hAnsi="Times New Roman"/>
          <w:i/>
          <w:iCs/>
          <w:color w:val="000000"/>
          <w:sz w:val="20"/>
        </w:rPr>
        <w:t xml:space="preserve">.</w:t>
      </w:r>
    </w:p>
    <w:bookmarkEnd w:id="88"/>
    <w:bookmarkStart w:id="91" w:name="s10.-watson-brake-bistable-analysis"/>
    <w:p>
      <w:pPr>
        <w:pStyle w:val="Heading2"/>
      </w:pPr>
      <w:r>
        <w:rPr>
          <w:rFonts w:ascii="Times New Roman" w:hAnsi="Times New Roman"/>
          <w:b w:val="0"/>
          <w:i/>
          <w:color w:val="000000"/>
          <w:sz w:val="24"/>
          <w:u w:val="none"/>
        </w:rPr>
        <w:t xml:space="preserve">S10. Watson Brake bistable analysis</w:t>
      </w:r>
    </w:p>
    <w:bookmarkStart w:id="89" w:name="X73ecfc38308f507df91a0ba97d8614b49d276f1"/>
    <w:p>
      <w:pPr>
        <w:pStyle w:val="Heading3"/>
      </w:pPr>
      <w:r>
        <w:rPr>
          <w:rFonts w:ascii="Times New Roman" w:hAnsi="Times New Roman"/>
          <w:b w:val="0"/>
          <w:i w:val="0"/>
          <w:color w:val="000000"/>
          <w:sz w:val="22"/>
          <w:u w:val="single"/>
        </w:rPr>
        <w:t xml:space="preserve">S10.1 Derivation of the continuous-equilibrium overshoot</w:t>
      </w:r>
    </w:p>
    <w:p>
      <w:pPr>
        <w:pStyle w:val="FirstParagraph"/>
      </w:pPr>
      <w:r>
        <w:rPr>
          <w:rFonts w:ascii="Times New Roman" w:hAnsi="Times New Roman"/>
          <w:color w:val="000000"/>
          <w:sz w:val="22"/>
        </w:rPr>
        <w:t xml:space="preserve">The main text (§6.3) reports that the calibrated model under continuous-equilibrium operation predicts ~240,000 m³ of earthwork at WB, compared to the LiDAR-derived per-mound volume of 27,065 m³ (§5.1), an overshoot ratio of approximately 9×. The derivation of the 240,000 m³ continuous-equilibrium prediction, omitted from the main text for length, is:</w:t>
      </w:r>
    </w:p>
    <w:p>
      <w:pPr>
        <w:numPr>
          <w:ilvl w:val="0"/>
          <w:numId w:val="1002"/>
        </w:numPr>
      </w:pPr>
      <w:r>
        <w:rPr>
          <w:rFonts w:ascii="Times New Roman" w:hAnsi="Times New Roman"/>
          <w:i/>
          <w:iCs/>
          <w:color w:val="000000"/>
          <w:sz w:val="22"/>
        </w:rPr>
        <w:t xml:space="preserve">Equilibrium monument stock at PP-calibrated parameters.</w:t>
      </w:r>
      <w:r>
        <w:rPr>
          <w:rFonts w:ascii="Times New Roman" w:hAnsi="Times New Roman"/>
          <w:color w:val="000000"/>
          <w:sz w:val="22"/>
        </w:rPr>
        <w:t xml:space="preserve"> </w:t>
      </w:r>
      <w:r>
        <w:rPr>
          <w:rFonts w:ascii="Times New Roman" w:hAnsi="Times New Roman"/>
          <w:color w:val="000000"/>
          <w:sz w:val="22"/>
        </w:rPr>
        <w:t xml:space="preserve">At PP parameters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analytical equilibrium model returns equilibrium stock</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w:t>
      </w:r>
      <w:r>
        <w:rPr>
          <w:rFonts w:ascii="Times New Roman" w:hAnsi="Times New Roman"/>
          <w:color w:val="000000"/>
          <w:sz w:val="22"/>
        </w:rPr>
        <w:t xml:space="preserve">(computed via</w:t>
      </w:r>
      <w:r>
        <w:rPr>
          <w:rFonts w:ascii="Times New Roman" w:hAnsi="Times New Roman"/>
          <w:color w:val="000000"/>
          <w:sz w:val="22"/>
        </w:rPr>
        <w:t xml:space="preserve"> </w:t>
      </w:r>
      <w:r>
        <w:rPr>
          <w:rStyle w:val="VerbatimChar"/>
          <w:rFonts w:ascii="Times New Roman" w:hAnsi="Times New Roman"/>
          <w:color w:val="000000"/>
          <w:sz w:val="22"/>
        </w:rPr>
        <w:t xml:space="preserve">critical_threshold</w:t>
      </w:r>
      <w:r>
        <w:rPr>
          <w:rFonts w:ascii="Times New Roman" w:hAnsi="Times New Roman"/>
          <w:color w:val="000000"/>
          <w:sz w:val="22"/>
        </w:rPr>
        <w:t xml:space="preserve"> </w:t>
      </w:r>
      <w:r>
        <w:rPr>
          <w:rFonts w:ascii="Times New Roman" w:hAnsi="Times New Roman"/>
          <w:color w:val="000000"/>
          <w:sz w:val="22"/>
        </w:rPr>
        <w:t xml:space="preserve">in</w:t>
      </w:r>
      <w:r>
        <w:rPr>
          <w:rFonts w:ascii="Times New Roman" w:hAnsi="Times New Roman"/>
          <w:color w:val="000000"/>
          <w:sz w:val="22"/>
        </w:rPr>
        <w:t xml:space="preserve"> </w:t>
      </w:r>
      <w:r>
        <w:rPr>
          <w:rStyle w:val="VerbatimChar"/>
          <w:rFonts w:ascii="Times New Roman" w:hAnsi="Times New Roman"/>
          <w:color w:val="000000"/>
          <w:sz w:val="22"/>
        </w:rPr>
        <w:t xml:space="preserve">src/poverty_point/signaling_core.py</w:t>
      </w:r>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Equilibrium monument stock at WB-calibrated parameters.</w:t>
      </w:r>
      <w:r>
        <w:rPr>
          <w:rFonts w:ascii="Times New Roman" w:hAnsi="Times New Roman"/>
          <w:color w:val="000000"/>
          <w:sz w:val="22"/>
        </w:rPr>
        <w:t xml:space="preserve"> </w:t>
      </w:r>
      <w:r>
        <w:rPr>
          <w:rFonts w:ascii="Times New Roman" w:hAnsi="Times New Roman"/>
          <w:color w:val="000000"/>
          <w:sz w:val="22"/>
        </w:rPr>
        <w:t xml:space="preserve">At WB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r>
              <m:rPr>
                <m:sty m:val="p"/>
              </m:rPr>
              <m:t>,</m:t>
            </m:r>
            <m:r>
              <m:t>W</m:t>
            </m:r>
            <m:r>
              <m:t>B</m:t>
            </m:r>
          </m:sub>
        </m:sSub>
        <m:r>
          <m:rPr>
            <m:sty m:val="p"/>
          </m:rPr>
          <m:t>=</m:t>
        </m:r>
        <m:r>
          <m:t>41.54</m:t>
        </m:r>
      </m:oMath>
      <w:r>
        <w:rPr>
          <w:rFonts w:ascii="Times New Roman" w:hAnsi="Times New Roman"/>
          <w:color w:val="000000"/>
          <w:sz w:val="22"/>
        </w:rPr>
        <w:t xml:space="preserve">.</w:t>
      </w:r>
    </w:p>
    <w:p>
      <w:pPr>
        <w:numPr>
          <w:ilvl w:val="0"/>
          <w:numId w:val="1002"/>
        </w:numPr>
      </w:pPr>
      <w:r>
        <w:rPr>
          <w:rFonts w:ascii="Times New Roman" w:hAnsi="Times New Roman"/>
          <w:i/>
          <w:iCs/>
          <w:color w:val="000000"/>
          <w:sz w:val="22"/>
        </w:rPr>
        <w:t xml:space="preserve">Volume calibration anchor.</w:t>
      </w:r>
      <w:r>
        <w:rPr>
          <w:rFonts w:ascii="Times New Roman" w:hAnsi="Times New Roman"/>
          <w:color w:val="000000"/>
          <w:sz w:val="22"/>
        </w:rPr>
        <w:t xml:space="preserve"> </w:t>
      </w:r>
      <w:r>
        <w:rPr>
          <w:rFonts w:ascii="Times New Roman" w:hAnsi="Times New Roman"/>
          <w:color w:val="000000"/>
          <w:sz w:val="22"/>
        </w:rPr>
        <w:t xml:space="preserve">The calibration uses the PP type-site core volume of 750,000 m³ (Gibson 2000; Ortmann and Kidder 2013) as the empirical anchor for</w:t>
      </w:r>
      <w:r>
        <w:rPr>
          <w:rFonts w:ascii="Times New Roman" w:hAnsi="Times New Roman"/>
          <w:color w:val="000000"/>
          <w:sz w:val="22"/>
        </w:rPr>
        <w:t xml:space="preserve"> </w:t>
      </w:r>
      <m:oMath>
        <m:sSub>
          <m:e>
            <m:r>
              <m:t>M</m:t>
            </m:r>
          </m:e>
          <m:sub>
            <m:r>
              <m:t>g</m:t>
            </m:r>
            <m:r>
              <m:rPr>
                <m:sty m:val="p"/>
              </m:rPr>
              <m:t>,</m:t>
            </m:r>
            <m:r>
              <m:t>P</m:t>
            </m:r>
            <m:r>
              <m:t>P</m:t>
            </m:r>
          </m:sub>
        </m:sSub>
        <m:r>
          <m:rPr>
            <m:sty m:val="p"/>
          </m:rPr>
          <m:t>=</m:t>
        </m:r>
        <m:r>
          <m:t>129.78</m:t>
        </m:r>
      </m:oMath>
      <w:r>
        <w:rPr>
          <w:rFonts w:ascii="Times New Roman" w:hAnsi="Times New Roman"/>
          <w:color w:val="000000"/>
          <w:sz w:val="22"/>
        </w:rPr>
        <w:t xml:space="preserve">. The volume-per-equilibrium-stock conversion is therefore</w:t>
      </w:r>
      <w:r>
        <w:rPr>
          <w:rFonts w:ascii="Times New Roman" w:hAnsi="Times New Roman"/>
          <w:color w:val="000000"/>
          <w:sz w:val="22"/>
        </w:rPr>
        <w:t xml:space="preserve"> </w:t>
      </w:r>
      <m:oMath>
        <m:r>
          <m:t>750</m:t>
        </m:r>
        <m:r>
          <m:rPr>
            <m:sty m:val="p"/>
          </m:rPr>
          <m:t>,</m:t>
        </m:r>
        <m:r>
          <m:t>000</m:t>
        </m:r>
        <m:r>
          <m:rPr>
            <m:sty m:val="p"/>
          </m:rPr>
          <m:t>/</m:t>
        </m:r>
        <m:r>
          <m:t>129.78</m:t>
        </m:r>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at the PP-fit calibration.</w:t>
      </w:r>
    </w:p>
    <w:p>
      <w:pPr>
        <w:numPr>
          <w:ilvl w:val="0"/>
          <w:numId w:val="1002"/>
        </w:numPr>
      </w:pPr>
      <w:r>
        <w:rPr>
          <w:rFonts w:ascii="Times New Roman" w:hAnsi="Times New Roman"/>
          <w:i/>
          <w:iCs/>
          <w:color w:val="000000"/>
          <w:sz w:val="22"/>
        </w:rPr>
        <w:t xml:space="preserve">Predicted WB volume under continuous-equilibrium operation.</w:t>
      </w:r>
      <w:r>
        <w:rPr>
          <w:rFonts w:ascii="Times New Roman" w:hAnsi="Times New Roman"/>
          <w:color w:val="000000"/>
          <w:sz w:val="22"/>
        </w:rPr>
        <w:t xml:space="preserve"> </w:t>
      </w:r>
      <w:r>
        <w:rPr>
          <w:rFonts w:ascii="Times New Roman" w:hAnsi="Times New Roman"/>
          <w:color w:val="000000"/>
          <w:sz w:val="22"/>
        </w:rPr>
        <w:t xml:space="preserve">Applying the same conversion to WB: predicted volume =</w:t>
      </w:r>
      <w:r>
        <w:rPr>
          <w:rFonts w:ascii="Times New Roman" w:hAnsi="Times New Roman"/>
          <w:color w:val="000000"/>
          <w:sz w:val="22"/>
        </w:rP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w:t>
      </w:r>
    </w:p>
    <w:p>
      <w:pPr>
        <w:numPr>
          <w:ilvl w:val="0"/>
          <w:numId w:val="1002"/>
        </w:numPr>
      </w:pPr>
      <w:r>
        <w:rPr>
          <w:rFonts w:ascii="Times New Roman" w:hAnsi="Times New Roman"/>
          <w:i/>
          <w:iCs/>
          <w:color w:val="000000"/>
          <w:sz w:val="22"/>
        </w:rPr>
        <w:t xml:space="preserve">Comparison with the LiDAR-derived per-mound volume (27,065 m³).</w:t>
      </w:r>
      <w:r>
        <w:rPr>
          <w:rFonts w:ascii="Times New Roman" w:hAnsi="Times New Roman"/>
          <w:color w:val="000000"/>
          <w:sz w:val="22"/>
        </w:rPr>
        <w:t xml:space="preserve"> </w:t>
      </w:r>
      <w:r>
        <w:rPr>
          <w:rFonts w:ascii="Times New Roman" w:hAnsi="Times New Roman"/>
          <w:color w:val="000000"/>
          <w:sz w:val="22"/>
        </w:rPr>
        <w:t xml:space="preserve">The continuous-equilibrium prediction overshoots by a factor of</w:t>
      </w:r>
      <w:r>
        <w:rPr>
          <w:rFonts w:ascii="Times New Roman" w:hAnsi="Times New Roman"/>
          <w:color w:val="000000"/>
          <w:sz w:val="22"/>
        </w:rPr>
        <w:t xml:space="preserve"> </w:t>
      </w:r>
      <m:oMath>
        <m:r>
          <m:t>240</m:t>
        </m:r>
        <m:r>
          <m:rPr>
            <m:sty m:val="p"/>
          </m:rPr>
          <m:t>,</m:t>
        </m:r>
        <m:r>
          <m:t>000</m:t>
        </m:r>
        <m:r>
          <m:rPr>
            <m:sty m:val="p"/>
          </m:rPr>
          <m:t>/</m:t>
        </m:r>
        <m:r>
          <m:t>27</m:t>
        </m:r>
        <m:r>
          <m:rPr>
            <m:sty m:val="p"/>
          </m:rPr>
          <m:t>,</m:t>
        </m:r>
        <m:r>
          <m:t>065</m:t>
        </m:r>
        <m:r>
          <m:rPr>
            <m:sty m:val="p"/>
          </m:rPr>
          <m:t>≈</m:t>
        </m:r>
        <m:r>
          <m:t>9</m:t>
        </m:r>
        <m:r>
          <m:rPr>
            <m:sty m:val="p"/>
          </m:rPr>
          <m:t>×</m:t>
        </m:r>
      </m:oMath>
      <w:r>
        <w:rPr>
          <w:rFonts w:ascii="Times New Roman" w:hAnsi="Times New Roman"/>
          <w:color w:val="000000"/>
          <w:sz w:val="22"/>
        </w:rPr>
        <w:t xml:space="preserve">. The same continuous-equilibrium calculation propagated through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sensitivity sweep below confirms that no plausible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closes the 9× gap. Methodology and per-cluster breakdown for the 27,065 m³ figure are in §5.1. The analysis script is</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scripts/analysis/watson_brake_volume.py</w:t>
      </w:r>
      <w:r>
        <w:rPr>
          <w:rFonts w:ascii="Times New Roman" w:hAnsi="Times New Roman"/>
          <w:color w:val="000000"/>
          <w:sz w:val="22"/>
        </w:rPr>
        <w:t xml:space="preserve">.</w:t>
      </w:r>
    </w:p>
    <w:p>
      <w:pPr>
        <w:pStyle w:val="FirstParagraph"/>
      </w:pPr>
      <w:r>
        <w:rPr>
          <w:rFonts w:ascii="Times New Roman" w:hAnsi="Times New Roman"/>
          <w:color w:val="000000"/>
          <w:sz w:val="22"/>
        </w:rP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rFonts w:ascii="Times New Roman" w:hAnsi="Times New Roman"/>
          <w:i/>
          <w:iCs/>
          <w:color w:val="000000"/>
          <w:sz w:val="22"/>
        </w:rPr>
        <w:t xml:space="preserve">Spatial extent.</w:t>
      </w:r>
      <w:r>
        <w:rPr>
          <w:rFonts w:ascii="Times New Roman" w:hAnsi="Times New Roman"/>
          <w:color w:val="000000"/>
          <w:sz w:val="22"/>
        </w:rPr>
        <w:t xml:space="preserve"> </w:t>
      </w:r>
      <w:r>
        <w:rPr>
          <w:rFonts w:ascii="Times New Roman" w:hAnsi="Times New Roman"/>
          <w:color w:val="000000"/>
          <w:sz w:val="22"/>
        </w:rP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rFonts w:ascii="Times New Roman" w:hAnsi="Times New Roman"/>
          <w:i/>
          <w:iCs/>
          <w:color w:val="000000"/>
          <w:sz w:val="22"/>
        </w:rPr>
        <w:t xml:space="preserve">Construction tempo.</w:t>
      </w:r>
      <w:r>
        <w:rPr>
          <w:rFonts w:ascii="Times New Roman" w:hAnsi="Times New Roman"/>
          <w:color w:val="000000"/>
          <w:sz w:val="22"/>
        </w:rPr>
        <w:t xml:space="preserve"> </w:t>
      </w:r>
      <w:r>
        <w:rPr>
          <w:rFonts w:ascii="Times New Roman" w:hAnsi="Times New Roman"/>
          <w:color w:val="000000"/>
          <w:sz w:val="22"/>
        </w:rP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rFonts w:ascii="Times New Roman" w:hAnsi="Times New Roman"/>
          <w:i/>
          <w:iCs/>
          <w:color w:val="000000"/>
          <w:sz w:val="22"/>
        </w:rPr>
        <w:t xml:space="preserve">Threshold proximity.</w:t>
      </w:r>
      <w:r>
        <w:rPr>
          <w:rFonts w:ascii="Times New Roman" w:hAnsi="Times New Roman"/>
          <w:color w:val="000000"/>
          <w:sz w:val="22"/>
        </w:rPr>
        <w:t xml:space="preserve"> </w:t>
      </w:r>
      <w:r>
        <w:rPr>
          <w:rFonts w:ascii="Times New Roman" w:hAnsi="Times New Roman"/>
          <w:color w:val="000000"/>
          <w:sz w:val="22"/>
        </w:rPr>
        <w:t xml:space="preserve">The smaller margin between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rPr>
          <w:rFonts w:ascii="Times New Roman" w:hAnsi="Times New Roman"/>
          <w:color w:val="000000"/>
          <w:sz w:val="22"/>
        </w:rPr>
        <w:t xml:space="preserve">The 30× volume overprediction therefore reflects a</w:t>
      </w:r>
      <w:r>
        <w:rPr>
          <w:rFonts w:ascii="Times New Roman" w:hAnsi="Times New Roman"/>
          <w:color w:val="000000"/>
          <w:sz w:val="22"/>
        </w:rPr>
        <w:t xml:space="preserve"> </w:t>
      </w:r>
      <w:r>
        <w:rPr>
          <w:rFonts w:ascii="Times New Roman" w:hAnsi="Times New Roman"/>
          <w:i/>
          <w:iCs/>
          <w:color w:val="000000"/>
          <w:sz w:val="22"/>
        </w:rPr>
        <w:t xml:space="preserve">modeling choice</w:t>
      </w:r>
      <w:r>
        <w:rPr>
          <w:rFonts w:ascii="Times New Roman" w:hAnsi="Times New Roman"/>
          <w:color w:val="000000"/>
          <w:sz w:val="22"/>
        </w:rPr>
        <w:t xml:space="preserve"> </w:t>
      </w:r>
      <w:r>
        <w:rPr>
          <w:rFonts w:ascii="Times New Roman" w:hAnsi="Times New Roman"/>
          <w:color w:val="000000"/>
          <w:sz w:val="22"/>
        </w:rP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rPr>
          <w:rFonts w:ascii="Times New Roman" w:hAnsi="Times New Roman"/>
          <w:color w:val="000000"/>
          <w:sz w:val="22"/>
        </w:rPr>
        <w:t xml:space="preserve">If the bistable reading is correct, the same framework would account for both PP-style sustained mass aggregation and WB-style intermittent episodic construction, with the difference between the two regimes set by the</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 and the resulting fraction of time spent in the aggregator regime. PP’s 75-year construction window would be what the framework predicts when conditions sit comfortably above threshold and a large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attained through convergence (main text §5.1). WB’s punctuated 700-year construction record would be what the framework predicts when conditions sit just above threshold,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89"/>
    <w:bookmarkStart w:id="90" w:name="s10.2-n_agg-sensitivity-probe"/>
    <w:p>
      <w:pPr>
        <w:pStyle w:val="Heading3"/>
      </w:pPr>
      <w:r>
        <w:rPr>
          <w:rFonts w:ascii="Times New Roman" w:hAnsi="Times New Roman"/>
          <w:b w:val="0"/>
          <w:i w:val="0"/>
          <w:color w:val="000000"/>
          <w:sz w:val="22"/>
          <w:u w:val="single"/>
        </w:rPr>
        <w:t xml:space="preserve">S10.2</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sensitivity probe</w:t>
      </w:r>
    </w:p>
    <w:p>
      <w:pPr>
        <w:pStyle w:val="FirstParagraph"/>
      </w:pPr>
      <w:r>
        <w:rPr>
          <w:rFonts w:ascii="Times New Roman" w:hAnsi="Times New Roman"/>
          <w:color w:val="000000"/>
          <w:sz w:val="22"/>
        </w:rPr>
        <w:t xml:space="preserve">To partially probe the bistable hypothesis we ran two analytical sensitivity tests. First,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sweep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rPr>
          <w:rFonts w:ascii="Times New Roman" w:hAnsi="Times New Roman"/>
          <w:color w:val="000000"/>
          <w:sz w:val="22"/>
        </w:rPr>
        <w:t xml:space="preserve">). Across this 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varies only between 0.374 and 0.378 (the framework’s threshold is essentially insensitive to</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 and equilibrium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scales nearly linearly with</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15.6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g</m:t>
            </m:r>
          </m:sub>
        </m:sSub>
        <m:r>
          <m:rPr>
            <m:sty m:val="p"/>
          </m:rPr>
          <m:t>=</m:t>
        </m:r>
        <m:r>
          <m:t>41.6</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(the value used in main §6.3 and in the S10.1 derivation above), and</w:t>
      </w:r>
      <w:r>
        <w:rPr>
          <w:rFonts w:ascii="Times New Roman" w:hAnsi="Times New Roman"/>
          <w:color w:val="000000"/>
          <w:sz w:val="22"/>
        </w:rPr>
        <w:t xml:space="preserve"> </w:t>
      </w:r>
      <m:oMath>
        <m:sSub>
          <m:e>
            <m:r>
              <m:t>M</m:t>
            </m:r>
          </m:e>
          <m:sub>
            <m:r>
              <m:t>g</m:t>
            </m:r>
          </m:sub>
        </m:sSub>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Applying the S10.1 conversion factor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the predicted volume at</w:t>
      </w:r>
      <w:r>
        <w:rPr>
          <w:rFonts w:ascii="Times New Roman" w:hAnsi="Times New Roman"/>
          <w:color w:val="000000"/>
          <w:sz w:val="22"/>
        </w:rPr>
        <w:t xml:space="preserve"> </w:t>
      </w:r>
      <m:oMath>
        <m:sSub>
          <m:e>
            <m:r>
              <m:t>n</m:t>
            </m:r>
          </m:e>
          <m:sub>
            <m:r>
              <m:t>a</m:t>
            </m:r>
            <m:r>
              <m:t>g</m:t>
            </m:r>
            <m:r>
              <m:t>g</m:t>
            </m:r>
          </m:sub>
        </m:sSub>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15.6</m:t>
        </m:r>
        <m:r>
          <m:rPr>
            <m:sty m:val="p"/>
          </m:rPr>
          <m:t>×</m:t>
        </m:r>
        <m:r>
          <m:t>5</m:t>
        </m:r>
        <m:r>
          <m:rPr>
            <m:sty m:val="p"/>
          </m:rPr>
          <m:t>,</m:t>
        </m:r>
        <m:r>
          <m:t>779</m:t>
        </m:r>
        <m:r>
          <m:rPr>
            <m:sty m:val="p"/>
          </m:rPr>
          <m:t>≈</m:t>
        </m:r>
        <m:r>
          <m:t>90</m:t>
        </m:r>
        <m:r>
          <m:rPr>
            <m:sty m:val="p"/>
          </m:rPr>
          <m:t>,</m:t>
        </m:r>
        <m:r>
          <m:t>000</m:t>
        </m:r>
      </m:oMath>
      <w:r>
        <w:rPr>
          <w:rFonts w:ascii="Times New Roman" w:hAnsi="Times New Roman"/>
          <w:color w:val="000000"/>
          <w:sz w:val="22"/>
        </w:rPr>
        <w:t xml:space="preserve"> </w:t>
      </w:r>
      <w:r>
        <w:rPr>
          <w:rFonts w:ascii="Times New Roman" w:hAnsi="Times New Roman"/>
          <w:color w:val="000000"/>
          <w:sz w:val="22"/>
        </w:rPr>
        <w:t xml:space="preserve">m³, still ~3× larger than the LiDAR-derived per-mound volume of 27,065 m³. Demographic uncertainty over plausible WB band counts therefore cannot by itself close the continuous-equilibrium overshoot. Some additional mechanism (regime-switching, smaller per-event labor concentration, or both) is required.</w:t>
      </w:r>
    </w:p>
    <w:p>
      <w:pPr>
        <w:pStyle w:val="BodyText"/>
      </w:pPr>
      <w:r>
        <w:rPr>
          <w:rFonts w:ascii="Times New Roman" w:hAnsi="Times New Roman"/>
          <w:color w:val="000000"/>
          <w:sz w:val="22"/>
        </w:rPr>
        <w:t xml:space="preserve">Second, a stochastic-environment pilot at WB parameters. Treating the year-to-year regional environmental fluctuations as Gaussian noise around the central WB estimate (</w:t>
      </w:r>
      <m:oMath>
        <m:r>
          <m:t>σ</m:t>
        </m:r>
      </m:oMath>
      <w:r>
        <w:rPr>
          <w:rFonts w:ascii="Times New Roman" w:hAnsi="Times New Roman"/>
          <w:color w:val="000000"/>
          <w:sz w:val="22"/>
        </w:rPr>
        <w:t xml:space="preserve"> </w:t>
      </w:r>
      <w:r>
        <w:rPr>
          <w:rFonts w:ascii="Times New Roman" w:hAnsi="Times New Roman"/>
          <w:color w:val="000000"/>
          <w:sz w:val="22"/>
        </w:rPr>
        <w:t xml:space="preserve">mean 0.56, sd 0.13, derived from the main-text §6.2 paleoclimate confidence interval) and computing the fraction of years for which</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exceeds the WB threshold</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Under the refined LiDAR-derived per-mound WB volume of 27,065 m³, the 22.5% aggregator-share interval combined with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(§S17.2) produces ~25,000 m³ of cumulative investment, essentially matching the observed value within ~9%. Closing the gap therefore primarily requires the per-event labor-scaling extension. The bistable regime-switching mechanism contributes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(matching the 200+-year inter-stage gaps documented by Saunders et al. 2005) rather than the total volume. Both extensions are implemented in §S17.1 (regime switching) and §S17.2 (per-event labor scaling) below.</w:t>
      </w:r>
    </w:p>
    <w:bookmarkEnd w:id="90"/>
    <w:bookmarkEnd w:id="91"/>
    <w:bookmarkStart w:id="92" w:name="X0769aa5741e11170a5f27a581a02296b6581b8e"/>
    <w:p>
      <w:pPr>
        <w:pStyle w:val="Heading2"/>
      </w:pPr>
      <w:r>
        <w:rPr>
          <w:rFonts w:ascii="Times New Roman" w:hAnsi="Times New Roman"/>
          <w:b w:val="0"/>
          <w:i/>
          <w:color w:val="000000"/>
          <w:sz w:val="24"/>
          <w:u w:val="none"/>
        </w:rPr>
        <w:t xml:space="preserve">S11. Magnitude prediction: five gaps the framework does not address</w:t>
      </w:r>
    </w:p>
    <w:p>
      <w:pPr>
        <w:pStyle w:val="FirstParagraph"/>
      </w:pPr>
      <w:r>
        <w:rPr>
          <w:rFonts w:ascii="Times New Roman" w:hAnsi="Times New Roman"/>
          <w:color w:val="000000"/>
          <w:sz w:val="22"/>
        </w:rPr>
        <w:t xml:space="preserve">The main text (§4.6, §5.1) summarizes that the framework correctly predicts the threshold-crossing condition (all eleven LMV sites in Table 2 above their site-specific</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rFonts w:ascii="Times New Roman" w:hAnsi="Times New Roman"/>
          <w:i/>
          <w:iCs/>
          <w:color w:val="000000"/>
          <w:sz w:val="22"/>
        </w:rPr>
        <w:t xml:space="preserve">Spatial network topology and routing.</w:t>
      </w:r>
      <w:r>
        <w:rPr>
          <w:rFonts w:ascii="Times New Roman" w:hAnsi="Times New Roman"/>
          <w:color w:val="000000"/>
          <w:sz w:val="22"/>
        </w:rPr>
        <w:t xml:space="preserve"> </w:t>
      </w:r>
      <w:r>
        <w:rPr>
          <w:rFonts w:ascii="Times New Roman" w:hAnsi="Times New Roman"/>
          <w:color w:val="000000"/>
          <w:sz w:val="22"/>
        </w:rP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rFonts w:ascii="Times New Roman" w:hAnsi="Times New Roman"/>
          <w:i/>
          <w:iCs/>
          <w:color w:val="000000"/>
          <w:sz w:val="22"/>
        </w:rPr>
        <w:t xml:space="preserve">Carrying capacity at the gathering.</w:t>
      </w:r>
      <w:r>
        <w:rPr>
          <w:rFonts w:ascii="Times New Roman" w:hAnsi="Times New Roman"/>
          <w:color w:val="000000"/>
          <w:sz w:val="22"/>
        </w:rPr>
        <w:t xml:space="preserve"> </w:t>
      </w:r>
      <w:r>
        <w:rPr>
          <w:rFonts w:ascii="Times New Roman" w:hAnsi="Times New Roman"/>
          <w:color w:val="000000"/>
          <w:sz w:val="22"/>
        </w:rPr>
        <w:t xml:space="preserve">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rPr>
          <w:rFonts w:ascii="Times New Roman" w:hAnsi="Times New Roman"/>
          <w:color w:val="000000"/>
          <w:sz w:val="22"/>
        </w:rPr>
        <w:t xml:space="preserve"> </w:t>
      </w:r>
      <m:oMath>
        <m:r>
          <m:t>ε</m:t>
        </m:r>
      </m:oMath>
      <w:r>
        <w:rPr>
          <w:rFonts w:ascii="Times New Roman" w:hAnsi="Times New Roman"/>
          <w:color w:val="000000"/>
          <w:sz w:val="22"/>
        </w:rPr>
        <w:t xml:space="preserve">. We do not explicitly model the population × duration × resource budget that determines this ceiling.</w:t>
      </w:r>
    </w:p>
    <w:p>
      <w:pPr>
        <w:numPr>
          <w:ilvl w:val="0"/>
          <w:numId w:val="1003"/>
        </w:numPr>
      </w:pPr>
      <w:r>
        <w:rPr>
          <w:rFonts w:ascii="Times New Roman" w:hAnsi="Times New Roman"/>
          <w:i/>
          <w:iCs/>
          <w:color w:val="000000"/>
          <w:sz w:val="22"/>
        </w:rPr>
        <w:t xml:space="preserve">Path dependence and first-mover advantage.</w:t>
      </w:r>
      <w:r>
        <w:rPr>
          <w:rFonts w:ascii="Times New Roman" w:hAnsi="Times New Roman"/>
          <w:color w:val="000000"/>
          <w:sz w:val="22"/>
        </w:rPr>
        <w:t xml:space="preserve"> </w:t>
      </w:r>
      <w:r>
        <w:rPr>
          <w:rFonts w:ascii="Times New Roman" w:hAnsi="Times New Roman"/>
          <w:color w:val="000000"/>
          <w:sz w:val="22"/>
        </w:rP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rFonts w:ascii="Times New Roman" w:hAnsi="Times New Roman"/>
          <w:i/>
          <w:iCs/>
          <w:color w:val="000000"/>
          <w:sz w:val="22"/>
        </w:rPr>
        <w:t xml:space="preserve">Temporal heterogeneity in</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The Middle Archaic LMV sites (Watson Brake, Caney, Insley, Frenchman’s Bend, Lower Jackson) operated under mid-Holocene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The Late Archaic sites (Poverty Point, J.W. Copes, Jaketown, Cowpen Slough) operated under</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Comparing all eleven sites against a single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smooths over real environmental differences in their</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A time-stratified analysis would tighten the cross-site comparison.</w:t>
      </w:r>
    </w:p>
    <w:p>
      <w:pPr>
        <w:numPr>
          <w:ilvl w:val="0"/>
          <w:numId w:val="1003"/>
        </w:numPr>
      </w:pPr>
      <w:r>
        <w:rPr>
          <w:rFonts w:ascii="Times New Roman" w:hAnsi="Times New Roman"/>
          <w:i/>
          <w:iCs/>
          <w:color w:val="000000"/>
          <w:sz w:val="22"/>
        </w:rPr>
        <w:t xml:space="preserve">Reduction of structure to a single number.</w:t>
      </w:r>
      <w:r>
        <w:rPr>
          <w:rFonts w:ascii="Times New Roman" w:hAnsi="Times New Roman"/>
          <w:color w:val="000000"/>
          <w:sz w:val="22"/>
        </w:rPr>
        <w:t xml:space="preserve"> </w:t>
      </w:r>
      <w:r>
        <w:rPr>
          <w:rFonts w:ascii="Times New Roman" w:hAnsi="Times New Roman"/>
          <w:color w:val="000000"/>
          <w:sz w:val="22"/>
        </w:rPr>
        <w:t xml:space="preserve">The Shannon index reduces five zone weights to one scalar, washing out structural differences (one-dominant vs. evenly-distributed) that may matter for sustained aggregation. The EPA Level IV ecoregion measurement (S12) shows that two operationalizations of</w:t>
      </w:r>
      <w:r>
        <w:rPr>
          <w:rFonts w:ascii="Times New Roman" w:hAnsi="Times New Roman"/>
          <w:color w:val="000000"/>
          <w:sz w:val="22"/>
        </w:rPr>
        <w:t xml:space="preserve"> </w:t>
      </w:r>
      <w:r>
        <w:rPr>
          <w:rFonts w:ascii="Times New Roman" w:hAnsi="Times New Roman"/>
          <w:color w:val="000000"/>
          <w:sz w:val="22"/>
        </w:rPr>
        <w:t xml:space="preserve">“ecotone diversity”</w:t>
      </w:r>
      <w:r>
        <w:rPr>
          <w:rFonts w:ascii="Times New Roman" w:hAnsi="Times New Roman"/>
          <w:color w:val="000000"/>
          <w:sz w:val="22"/>
        </w:rPr>
        <w:t xml:space="preserve"> </w:t>
      </w:r>
      <w:r>
        <w:rPr>
          <w:rFonts w:ascii="Times New Roman" w:hAnsi="Times New Roman"/>
          <w:color w:val="000000"/>
          <w:sz w:val="22"/>
        </w:rP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that captures the relevant ecological-diversity dimension.</w:t>
      </w:r>
    </w:p>
    <w:p>
      <w:pPr>
        <w:pStyle w:val="FirstParagraph"/>
      </w:pPr>
      <w:r>
        <w:rPr>
          <w:rFonts w:ascii="Times New Roman" w:hAnsi="Times New Roman"/>
          <w:color w:val="000000"/>
          <w:sz w:val="22"/>
        </w:rPr>
        <w:t xml:space="preserve">These five gaps explain why the framework correctly predicts the</w:t>
      </w:r>
      <w:r>
        <w:rPr>
          <w:rFonts w:ascii="Times New Roman" w:hAnsi="Times New Roman"/>
          <w:color w:val="000000"/>
          <w:sz w:val="22"/>
        </w:rPr>
        <w:t xml:space="preserve"> </w:t>
      </w:r>
      <w:r>
        <w:rPr>
          <w:rFonts w:ascii="Times New Roman" w:hAnsi="Times New Roman"/>
          <w:i/>
          <w:iCs/>
          <w:color w:val="000000"/>
          <w:sz w:val="22"/>
        </w:rPr>
        <w:t xml:space="preserve">threshold-crossing condition</w:t>
      </w:r>
      <w:r>
        <w:rPr>
          <w:rFonts w:ascii="Times New Roman" w:hAnsi="Times New Roman"/>
          <w:color w:val="000000"/>
          <w:sz w:val="22"/>
        </w:rPr>
        <w:t xml:space="preserve"> </w:t>
      </w:r>
      <w:r>
        <w:rPr>
          <w:rFonts w:ascii="Times New Roman" w:hAnsi="Times New Roman"/>
          <w:color w:val="000000"/>
          <w:sz w:val="22"/>
        </w:rPr>
        <w:t xml:space="preserve">but not the</w:t>
      </w:r>
      <w:r>
        <w:rPr>
          <w:rFonts w:ascii="Times New Roman" w:hAnsi="Times New Roman"/>
          <w:color w:val="000000"/>
          <w:sz w:val="22"/>
        </w:rPr>
        <w:t xml:space="preserve"> </w:t>
      </w:r>
      <w:r>
        <w:rPr>
          <w:rFonts w:ascii="Times New Roman" w:hAnsi="Times New Roman"/>
          <w:i/>
          <w:iCs/>
          <w:color w:val="000000"/>
          <w:sz w:val="22"/>
        </w:rPr>
        <w:t xml:space="preserve">magnitude variation</w:t>
      </w:r>
      <w:r>
        <w:rPr>
          <w:rFonts w:ascii="Times New Roman" w:hAnsi="Times New Roman"/>
          <w:color w:val="000000"/>
          <w:sz w:val="22"/>
        </w:rPr>
        <w:t xml:space="preserve"> </w:t>
      </w:r>
      <w:r>
        <w:rPr>
          <w:rFonts w:ascii="Times New Roman" w:hAnsi="Times New Roman"/>
          <w:color w:val="000000"/>
          <w:sz w:val="22"/>
        </w:rP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bookmarkEnd w:id="92"/>
    <w:bookmarkStart w:id="93" w:name="Xe0ea6b23fc108217560814ad28b4dba14359c18"/>
    <w:p>
      <w:pPr>
        <w:pStyle w:val="Heading2"/>
      </w:pPr>
      <w:r>
        <w:rPr>
          <w:rFonts w:ascii="Times New Roman" w:hAnsi="Times New Roman"/>
          <w:b w:val="0"/>
          <w:i/>
          <w:color w:val="000000"/>
          <w:sz w:val="24"/>
          <w:u w:val="none"/>
        </w:rPr>
        <w:t xml:space="preserve">S12. GIS-based ecotone diversity comparison (EPA Level IV ecoregions)</w:t>
      </w:r>
    </w:p>
    <w:p>
      <w:pPr>
        <w:pStyle w:val="FirstParagraph"/>
      </w:pPr>
      <w:r>
        <w:rPr>
          <w:rFonts w:ascii="Times New Roman" w:hAnsi="Times New Roman"/>
          <w:color w:val="000000"/>
          <w:sz w:val="22"/>
        </w:rP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rPr>
          <w:rFonts w:ascii="Times New Roman" w:hAnsi="Times New Roman"/>
          <w:color w:val="000000"/>
          <w:sz w:val="22"/>
        </w:rPr>
        <w:t xml:space="preserve">, n.s.) and not at all with Level IV ecological diversity (</w:t>
      </w:r>
      <m:oMath>
        <m:r>
          <m:t>ρ</m:t>
        </m:r>
        <m:r>
          <m:rPr>
            <m:sty m:val="p"/>
          </m:rPr>
          <m:t>=</m:t>
        </m:r>
        <m:r>
          <m:rPr>
            <m:sty m:val="p"/>
          </m:rPr>
          <m:t>−</m:t>
        </m:r>
        <m:r>
          <m:t>0.02</m:t>
        </m:r>
      </m:oMath>
      <w:r>
        <w:rPr>
          <w:rFonts w:ascii="Times New Roman" w:hAnsi="Times New Roman"/>
          <w:color w:val="000000"/>
          <w:sz w:val="22"/>
        </w:rPr>
        <w:t xml:space="preserve">, n.s.). Full detail is given here.</w:t>
      </w:r>
    </w:p>
    <w:p>
      <w:pPr>
        <w:pStyle w:val="BodyText"/>
      </w:pPr>
      <w:r>
        <w:rPr>
          <w:rFonts w:ascii="Times New Roman" w:hAnsi="Times New Roman"/>
          <w:color w:val="000000"/>
          <w:sz w:val="22"/>
        </w:rP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rPr>
          <w:rFonts w:ascii="Times New Roman" w:hAnsi="Times New Roman"/>
          <w:color w:val="000000"/>
          <w:sz w:val="22"/>
        </w:rPr>
        <w:t xml:space="preserve">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GIS-measured geomorphic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(Spearman</w:t>
      </w:r>
      <w:r>
        <w:rPr>
          <w:rFonts w:ascii="Times New Roman" w:hAnsi="Times New Roman"/>
          <w:color w:val="000000"/>
          <w:sz w:val="22"/>
        </w:rPr>
        <w:t xml:space="preserve"> </w:t>
      </w:r>
      <m:oMath>
        <m:r>
          <m:t>ρ</m:t>
        </m:r>
        <m:r>
          <m:rPr>
            <m:sty m:val="p"/>
          </m:rPr>
          <m:t>=</m:t>
        </m:r>
        <m:r>
          <m:t>0.22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0.53</m:t>
        </m:r>
      </m:oMath>
      <w:r>
        <w:rPr>
          <w:rFonts w:ascii="Times New Roman" w:hAnsi="Times New Roman"/>
          <w:color w:val="000000"/>
          <w:sz w:val="22"/>
        </w:rPr>
        <w:t xml:space="preserve">), and the correlation is not statistically significant. Against EPA-L4</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it does not track at all (</w:t>
      </w:r>
      <m:oMath>
        <m:r>
          <m:t>ρ</m:t>
        </m:r>
        <m:r>
          <m:rPr>
            <m:sty m:val="p"/>
          </m:rPr>
          <m:t>=</m:t>
        </m:r>
        <m:r>
          <m:rPr>
            <m:sty m:val="p"/>
          </m:rPr>
          <m:t>−</m:t>
        </m:r>
        <m:r>
          <m:t>0.02</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0.96</m:t>
        </m:r>
      </m:oMath>
      <w:r>
        <w:rPr>
          <w:rFonts w:ascii="Times New Roman" w:hAnsi="Times New Roman"/>
          <w:color w:val="000000"/>
          <w:sz w:val="22"/>
        </w:rPr>
        <w:t xml:space="preserve">).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exists and that PP-style monument scale is not produced by terrestrial-buffer ecological diversity alone.</w:t>
      </w:r>
    </w:p>
    <w:p>
      <w:pPr>
        <w:pStyle w:val="BodyText"/>
      </w:pPr>
      <w:r>
        <w:rPr>
          <w:rFonts w:ascii="Times New Roman" w:hAnsi="Times New Roman"/>
          <w:color w:val="000000"/>
          <w:sz w:val="22"/>
        </w:rPr>
        <w:t xml:space="preserve">The cross-LMV ecoregion map showing all eleven sites with 25-km foraging buffers on the EPA Level IV ecoregion polygon background is now main-text Figure 13.</w:t>
      </w:r>
    </w:p>
    <w:p>
      <w:pPr>
        <w:pStyle w:val="BodyText"/>
      </w:pPr>
      <w:r>
        <w:rPr>
          <w:rFonts w:ascii="Times New Roman" w:hAnsi="Times New Roman"/>
          <w:b/>
          <w:bCs/>
          <w:color w:val="000000"/>
          <w:sz w:val="22"/>
        </w:rPr>
        <w:t xml:space="preserve">Category-level recalibration.</w:t>
      </w:r>
      <w:r>
        <w:rPr>
          <w:rFonts w:ascii="Times New Roman" w:hAnsi="Times New Roman"/>
          <w:color w:val="000000"/>
          <w:sz w:val="22"/>
        </w:rPr>
        <w:t xml:space="preserve"> </w:t>
      </w:r>
      <w:r>
        <w:rPr>
          <w:rFonts w:ascii="Times New Roman" w:hAnsi="Times New Roman"/>
          <w:color w:val="000000"/>
          <w:sz w:val="22"/>
        </w:rPr>
        <w:t xml:space="preserve">A reasonable concern about the L4-class Shannon analysis is that ecoregion classes are not equally distinct: an</w:t>
      </w:r>
      <w:r>
        <w:rPr>
          <w:rFonts w:ascii="Times New Roman" w:hAnsi="Times New Roman"/>
          <w:color w:val="000000"/>
          <w:sz w:val="22"/>
        </w:rPr>
        <w:t xml:space="preserve"> </w:t>
      </w:r>
      <w:r>
        <w:rPr>
          <w:rFonts w:ascii="Times New Roman" w:hAnsi="Times New Roman"/>
          <w:color w:val="000000"/>
          <w:sz w:val="22"/>
        </w:rPr>
        <w:t xml:space="preserve">“upland”</w:t>
      </w:r>
      <w:r>
        <w:rPr>
          <w:rFonts w:ascii="Times New Roman" w:hAnsi="Times New Roman"/>
          <w:color w:val="000000"/>
          <w:sz w:val="22"/>
        </w:rPr>
        <w:t xml:space="preserve"> </w:t>
      </w:r>
      <w:r>
        <w:rPr>
          <w:rFonts w:ascii="Times New Roman" w:hAnsi="Times New Roman"/>
          <w:color w:val="000000"/>
          <w:sz w:val="22"/>
        </w:rPr>
        <w:t xml:space="preserve">ecoregion is fundamentally different from a</w:t>
      </w:r>
      <w:r>
        <w:rPr>
          <w:rFonts w:ascii="Times New Roman" w:hAnsi="Times New Roman"/>
          <w:color w:val="000000"/>
          <w:sz w:val="22"/>
        </w:rPr>
        <w:t xml:space="preserve"> </w:t>
      </w:r>
      <w:r>
        <w:rPr>
          <w:rFonts w:ascii="Times New Roman" w:hAnsi="Times New Roman"/>
          <w:color w:val="000000"/>
          <w:sz w:val="22"/>
        </w:rPr>
        <w:t xml:space="preserve">“lowland alluvial”</w:t>
      </w:r>
      <w:r>
        <w:rPr>
          <w:rFonts w:ascii="Times New Roman" w:hAnsi="Times New Roman"/>
          <w:color w:val="000000"/>
          <w:sz w:val="22"/>
        </w:rPr>
        <w:t xml:space="preserve"> </w:t>
      </w:r>
      <w:r>
        <w:rPr>
          <w:rFonts w:ascii="Times New Roman" w:hAnsi="Times New Roman"/>
          <w:color w:val="000000"/>
          <w:sz w:val="22"/>
        </w:rP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rPr>
          <w:rFonts w:ascii="Times New Roman" w:hAnsi="Times New Roman"/>
          <w:color w:val="000000"/>
          <w:sz w:val="22"/>
        </w:rPr>
        <w:t xml:space="preserve"> </w:t>
      </w:r>
      <m:oMath>
        <m:sSub>
          <m:e>
            <m:r>
              <m:t>ε</m:t>
            </m:r>
          </m:e>
          <m:sub>
            <m:r>
              <m:t>c</m:t>
            </m:r>
            <m:r>
              <m:t>a</m:t>
            </m:r>
            <m:r>
              <m:t>t</m:t>
            </m:r>
          </m:sub>
        </m:sSub>
        <m:r>
          <m:rPr>
            <m:sty m:val="p"/>
          </m:rPr>
          <m:t>=</m:t>
        </m:r>
        <m:r>
          <m:t>0.305</m:t>
        </m:r>
      </m:oMath>
      <w:r>
        <w:rPr>
          <w:rFonts w:ascii="Times New Roman" w:hAnsi="Times New Roman"/>
          <w:color w:val="000000"/>
          <w:sz w:val="22"/>
        </w:rPr>
        <w:t xml:space="preserve">. Caney also intersects 4 categories (</w:t>
      </w:r>
      <m:oMath>
        <m:sSub>
          <m:e>
            <m:r>
              <m:t>ε</m:t>
            </m:r>
          </m:e>
          <m:sub>
            <m:r>
              <m:t>c</m:t>
            </m:r>
            <m:r>
              <m:t>a</m:t>
            </m:r>
            <m:r>
              <m:t>t</m:t>
            </m:r>
          </m:sub>
        </m:sSub>
        <m:r>
          <m:rPr>
            <m:sty m:val="p"/>
          </m:rPr>
          <m:t>=</m:t>
        </m:r>
        <m:r>
          <m:t>0.304</m:t>
        </m:r>
      </m:oMath>
      <w:r>
        <w:rPr>
          <w:rFonts w:ascii="Times New Roman" w:hAnsi="Times New Roman"/>
          <w:color w:val="000000"/>
          <w:sz w:val="22"/>
        </w:rPr>
        <w:t xml:space="preserve">). Watson Brake intersects 4 categories (</w:t>
      </w:r>
      <m:oMath>
        <m:sSub>
          <m:e>
            <m:r>
              <m:t>ε</m:t>
            </m:r>
          </m:e>
          <m:sub>
            <m:r>
              <m:t>c</m:t>
            </m:r>
            <m:r>
              <m:t>a</m:t>
            </m:r>
            <m:r>
              <m:t>t</m:t>
            </m:r>
          </m:sub>
        </m:sSub>
        <m:r>
          <m:rPr>
            <m:sty m:val="p"/>
          </m:rPr>
          <m:t>=</m:t>
        </m:r>
        <m:r>
          <m:t>0.299</m:t>
        </m:r>
      </m:oMath>
      <w:r>
        <w:rPr>
          <w:rFonts w:ascii="Times New Roman" w:hAnsi="Times New Roman"/>
          <w:color w:val="000000"/>
          <w:sz w:val="22"/>
        </w:rPr>
        <w:t xml:space="preserve">). J.W. Copes, Cowpen Slough, Insley, Lower Jackson, and Poverty Point all intersect 3 categories (Alluvial Active, Backswamp, Pleistocene Terrace), with</w:t>
      </w:r>
      <w:r>
        <w:rPr>
          <w:rFonts w:ascii="Times New Roman" w:hAnsi="Times New Roman"/>
          <w:color w:val="000000"/>
          <w:sz w:val="22"/>
        </w:rPr>
        <w:t xml:space="preserve"> </w:t>
      </w:r>
      <m:oMath>
        <m:sSub>
          <m:e>
            <m:r>
              <m:t>ε</m:t>
            </m:r>
          </m:e>
          <m:sub>
            <m:r>
              <m:t>c</m:t>
            </m:r>
            <m:r>
              <m:t>a</m:t>
            </m:r>
            <m:r>
              <m:t>t</m:t>
            </m:r>
          </m:sub>
        </m:sSub>
      </m:oMath>
      <w:r>
        <w:rPr>
          <w:rFonts w:ascii="Times New Roman" w:hAnsi="Times New Roman"/>
          <w:color w:val="000000"/>
          <w:sz w:val="22"/>
        </w:rPr>
        <w:t xml:space="preserve"> </w:t>
      </w:r>
      <w:r>
        <w:rPr>
          <w:rFonts w:ascii="Times New Roman" w:hAnsi="Times New Roman"/>
          <w:color w:val="000000"/>
          <w:sz w:val="22"/>
        </w:rPr>
        <w:t xml:space="preserve">values clustering at 0.241–0.248. The coastal Pearl River sites (Claiborne and Cedarland) intersect 3 categories each (Coastal Plain Upland, Coastal Marsh, Alluvial Active) at</w:t>
      </w:r>
      <w:r>
        <w:rPr>
          <w:rFonts w:ascii="Times New Roman" w:hAnsi="Times New Roman"/>
          <w:color w:val="000000"/>
          <w:sz w:val="22"/>
        </w:rPr>
        <w:t xml:space="preserve"> </w:t>
      </w:r>
      <m:oMath>
        <m:sSub>
          <m:e>
            <m:r>
              <m:t>ε</m:t>
            </m:r>
          </m:e>
          <m:sub>
            <m:r>
              <m:t>c</m:t>
            </m:r>
            <m:r>
              <m:t>a</m:t>
            </m:r>
            <m:r>
              <m:t>t</m:t>
            </m:r>
          </m:sub>
        </m:sSub>
        <m:r>
          <m:rPr>
            <m:sty m:val="p"/>
          </m:rPr>
          <m:t>≈</m:t>
        </m:r>
        <m:r>
          <m:t>0.227</m:t>
        </m:r>
      </m:oMath>
      <w:r>
        <w:rPr>
          <w:rFonts w:ascii="Times New Roman" w:hAnsi="Times New Roman"/>
          <w:color w:val="000000"/>
          <w:sz w:val="22"/>
        </w:rPr>
        <w:t xml:space="preserve">. Jaketown intersects 3 categories at the lowest entropy (</w:t>
      </w:r>
      <m:oMath>
        <m:sSub>
          <m:e>
            <m:r>
              <m:t>ε</m:t>
            </m:r>
          </m:e>
          <m:sub>
            <m:r>
              <m:t>c</m:t>
            </m:r>
            <m:r>
              <m:t>a</m:t>
            </m:r>
            <m:r>
              <m:t>t</m:t>
            </m:r>
          </m:sub>
        </m:sSub>
        <m:r>
          <m:rPr>
            <m:sty m:val="p"/>
          </m:rPr>
          <m:t>=</m:t>
        </m:r>
        <m:r>
          <m:t>0.116</m:t>
        </m:r>
      </m:oMath>
      <w:r>
        <w:rPr>
          <w:rFonts w:ascii="Times New Roman" w:hAnsi="Times New Roman"/>
          <w:color w:val="000000"/>
          <w:sz w:val="22"/>
        </w:rPr>
        <w:t xml:space="preserve">). The category-level Spearman correlation between qualitative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category-</w:t>
      </w:r>
      <m:oMath>
        <m:r>
          <m:t>ε</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m:oMath>
        <m:r>
          <m:t>ρ</m:t>
        </m:r>
        <m:r>
          <m:rPr>
            <m:sty m:val="p"/>
          </m:rPr>
          <m:t>=</m:t>
        </m:r>
        <m:r>
          <m:t>0.44</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0.17</m:t>
        </m:r>
      </m:oMath>
      <w:r>
        <w:rPr>
          <w:rFonts w:ascii="Times New Roman" w:hAnsi="Times New Roman"/>
          <w:color w:val="000000"/>
          <w:sz w:val="22"/>
        </w:rPr>
        <w:t xml:space="preserve">), stronger than the L4-level</w:t>
      </w:r>
      <w:r>
        <w:rPr>
          <w:rFonts w:ascii="Times New Roman" w:hAnsi="Times New Roman"/>
          <w:color w:val="000000"/>
          <w:sz w:val="22"/>
        </w:rPr>
        <w:t xml:space="preserve"> </w:t>
      </w:r>
      <m:oMath>
        <m:r>
          <m:t>ρ</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but still not statistically significant. The L4-vs-category Spearman correlation is</w:t>
      </w:r>
      <w:r>
        <w:rPr>
          <w:rFonts w:ascii="Times New Roman" w:hAnsi="Times New Roman"/>
          <w:color w:val="000000"/>
          <w:sz w:val="22"/>
        </w:rPr>
        <w:t xml:space="preserve"> </w:t>
      </w:r>
      <m:oMath>
        <m:r>
          <m:t>ρ</m:t>
        </m:r>
        <m:r>
          <m:rPr>
            <m:sty m:val="p"/>
          </m:rPr>
          <m:t>=</m:t>
        </m:r>
        <m:r>
          <m:t>0.72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0.012</m:t>
        </m:r>
      </m:oMath>
      <w:r>
        <w:rPr>
          <w:rFonts w:ascii="Times New Roman" w:hAnsi="Times New Roman"/>
          <w:color w:val="000000"/>
          <w:sz w:val="22"/>
        </w:rPr>
        <w:t xml:space="preserve">), confirming that the category-level aggregation captures most of the L4 variance while smoothing out subtype distinctions. The recalibration therefore moderately strengthens the qualitative rubric’s correspondence with the GIS measurement but</w:t>
      </w:r>
      <w:r>
        <w:rPr>
          <w:rFonts w:ascii="Times New Roman" w:hAnsi="Times New Roman"/>
          <w:color w:val="000000"/>
          <w:sz w:val="22"/>
        </w:rPr>
        <w:t xml:space="preserve"> </w:t>
      </w:r>
      <w:r>
        <w:rPr>
          <w:rFonts w:ascii="Times New Roman" w:hAnsi="Times New Roman"/>
          <w:i/>
          <w:iCs/>
          <w:color w:val="000000"/>
          <w:sz w:val="22"/>
        </w:rPr>
        <w:t xml:space="preserve">does not</w:t>
      </w:r>
      <w:r>
        <w:rPr>
          <w:rFonts w:ascii="Times New Roman" w:hAnsi="Times New Roman"/>
          <w:color w:val="000000"/>
          <w:sz w:val="22"/>
        </w:rPr>
        <w:t xml:space="preserve"> </w:t>
      </w:r>
      <w:r>
        <w:rPr>
          <w:rFonts w:ascii="Times New Roman" w:hAnsi="Times New Roman"/>
          <w:color w:val="000000"/>
          <w:sz w:val="22"/>
        </w:rP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rPr>
          <w:rFonts w:ascii="Times New Roman" w:hAnsi="Times New Roman"/>
          <w:color w:val="000000"/>
          <w:sz w:val="22"/>
        </w:rPr>
        <w:t xml:space="preserve">The qualitative rubric, the Saucier-geomorphic, the EPA-L4, and the broad-category indices share a single fundamental limitation: they all measure raw zone count and area within a 25-km circular</w:t>
      </w:r>
      <w:r>
        <w:rPr>
          <w:rFonts w:ascii="Times New Roman" w:hAnsi="Times New Roman"/>
          <w:color w:val="000000"/>
          <w:sz w:val="22"/>
        </w:rPr>
        <w:t xml:space="preserve"> </w:t>
      </w:r>
      <w:r>
        <w:rPr>
          <w:rFonts w:ascii="Times New Roman" w:hAnsi="Times New Roman"/>
          <w:i/>
          <w:iCs/>
          <w:color w:val="000000"/>
          <w:sz w:val="22"/>
        </w:rPr>
        <w:t xml:space="preserve">terrestrial</w:t>
      </w:r>
      <w:r>
        <w:rPr>
          <w:rFonts w:ascii="Times New Roman" w:hAnsi="Times New Roman"/>
          <w:color w:val="000000"/>
          <w:sz w:val="22"/>
        </w:rPr>
        <w:t xml:space="preserve"> </w:t>
      </w:r>
      <w:r>
        <w:rPr>
          <w:rFonts w:ascii="Times New Roman" w:hAnsi="Times New Roman"/>
          <w:color w:val="000000"/>
          <w:sz w:val="22"/>
        </w:rPr>
        <w:t xml:space="preserve">buffer, not the covariance-based shortfall buffering that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coastal Pearl River pair does not) is the only inferential weight they carry.</w:t>
      </w:r>
    </w:p>
    <w:p>
      <w:pPr>
        <w:pStyle w:val="BodyText"/>
      </w:pPr>
      <w:r>
        <w:rPr>
          <w:rFonts w:ascii="Times New Roman" w:hAnsi="Times New Roman"/>
          <w:color w:val="000000"/>
          <w:sz w:val="22"/>
        </w:rP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bookmarkEnd w:id="93"/>
    <w:bookmarkStart w:id="94" w:name="X93a86e26ee9455cac49026e2f6b920d4c40c83f"/>
    <w:p>
      <w:pPr>
        <w:pStyle w:val="Heading2"/>
      </w:pPr>
      <w:r>
        <w:rPr>
          <w:rFonts w:ascii="Times New Roman" w:hAnsi="Times New Roman"/>
          <w:b w:val="0"/>
          <w:i/>
          <w:color w:val="000000"/>
          <w:sz w:val="24"/>
          <w:u w:val="none"/>
        </w:rPr>
        <w:t xml:space="preserve">S13. Table 2 Monte Carlo perturbation analysis</w:t>
      </w:r>
    </w:p>
    <w:p>
      <w:pPr>
        <w:pStyle w:val="FirstParagraph"/>
      </w:pPr>
      <w:r>
        <w:rPr>
          <w:rFonts w:ascii="Times New Roman" w:hAnsi="Times New Roman"/>
          <w:color w:val="000000"/>
          <w:sz w:val="22"/>
        </w:rPr>
        <w:t xml:space="preserve">The main text (§6.4) reports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between the qualitative-rubric</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across perturbations is 0.27 with 95% CI including negative values (</w:t>
      </w:r>
      <m:oMath>
        <m:r>
          <m:rPr>
            <m:sty m:val="p"/>
          </m:rPr>
          <m:t>−</m:t>
        </m:r>
        <m:r>
          <m:t>0.06</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0.59</m:t>
        </m:r>
      </m:oMath>
      <w:r>
        <w:rPr>
          <w:rFonts w:ascii="Times New Roman" w:hAnsi="Times New Roman"/>
          <w:color w:val="000000"/>
          <w:sz w:val="22"/>
        </w:rPr>
        <w:t xml:space="preserve">). The PP-vs-coast contrast is robust against the perturbation. The interior ordering is not. This pattern is consistent with the §6.4 interpretation that ecotone diversity admits multiple candidate sites without uniquely identifying the regional center.</w:t>
      </w:r>
    </w:p>
    <w:bookmarkEnd w:id="94"/>
    <w:bookmarkStart w:id="95" w:name="X212a8a5c68b94ccf018abad951e52510cd00633"/>
    <w:p>
      <w:pPr>
        <w:pStyle w:val="Heading2"/>
      </w:pPr>
      <w:r>
        <w:rPr>
          <w:rFonts w:ascii="Times New Roman" w:hAnsi="Times New Roman"/>
          <w:b w:val="0"/>
          <w:i/>
          <w:color w:val="000000"/>
          <w:sz w:val="24"/>
          <w:u w:val="none"/>
        </w:rPr>
        <w:t xml:space="preserve">S14. Per-material exotic decomposition: extended discussion</w:t>
      </w:r>
    </w:p>
    <w:p>
      <w:pPr>
        <w:pStyle w:val="FirstParagraph"/>
      </w:pPr>
      <w:r>
        <w:rPr>
          <w:rFonts w:ascii="Times New Roman" w:hAnsi="Times New Roman"/>
          <w:color w:val="000000"/>
          <w:sz w:val="22"/>
        </w:rP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rFonts w:ascii="Times New Roman" w:hAnsi="Times New Roman"/>
          <w:i/>
          <w:iCs/>
          <w:color w:val="000000"/>
          <w:sz w:val="22"/>
        </w:rPr>
        <w:t xml:space="preserve">Counting-unit non-comparability across materials.</w:t>
      </w:r>
      <w:r>
        <w:rPr>
          <w:rFonts w:ascii="Times New Roman" w:hAnsi="Times New Roman"/>
          <w:color w:val="000000"/>
          <w:sz w:val="22"/>
        </w:rPr>
        <w:t xml:space="preserve"> </w:t>
      </w:r>
      <w:r>
        <w:rPr>
          <w:rFonts w:ascii="Times New Roman" w:hAnsi="Times New Roman"/>
          <w:color w:val="000000"/>
          <w:sz w:val="22"/>
        </w:rPr>
        <w:t xml:space="preserve">Each call to the model’s</w:t>
      </w:r>
      <w:r>
        <w:rPr>
          <w:rFonts w:ascii="Times New Roman" w:hAnsi="Times New Roman"/>
          <w:color w:val="000000"/>
          <w:sz w:val="22"/>
        </w:rPr>
        <w:t xml:space="preserve"> </w:t>
      </w:r>
      <w:r>
        <w:rPr>
          <w:rStyle w:val="VerbatimChar"/>
          <w:rFonts w:ascii="Times New Roman" w:hAnsi="Times New Roman"/>
          <w:color w:val="000000"/>
          <w:sz w:val="22"/>
        </w:rPr>
        <w:t xml:space="preserve">acquire_exotic</w:t>
      </w:r>
      <w:r>
        <w:rPr>
          <w:rFonts w:ascii="Times New Roman" w:hAnsi="Times New Roman"/>
          <w:color w:val="000000"/>
          <w:sz w:val="22"/>
        </w:rPr>
        <w:t xml:space="preserve"> </w:t>
      </w:r>
      <w:r>
        <w:rPr>
          <w:rFonts w:ascii="Times New Roman" w:hAnsi="Times New Roman"/>
          <w:color w:val="000000"/>
          <w:sz w:val="22"/>
        </w:rPr>
        <w:t xml:space="preserve">routine increments the per-material counter by one, so the model</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represents one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steatite bowl, one galena mass, one copper sheet or pendant). The archaeological counts use heterogeneous units. Steatite is reported as fragments (Webb 1982 describes the 2,221 figure as</w:t>
      </w:r>
      <w:r>
        <w:rPr>
          <w:rFonts w:ascii="Times New Roman" w:hAnsi="Times New Roman"/>
          <w:color w:val="000000"/>
          <w:sz w:val="22"/>
        </w:rPr>
        <w:t xml:space="preserve"> </w:t>
      </w:r>
      <w:r>
        <w:rPr>
          <w:rFonts w:ascii="Times New Roman" w:hAnsi="Times New Roman"/>
          <w:color w:val="000000"/>
          <w:sz w:val="22"/>
        </w:rPr>
        <w:t xml:space="preserve">“fragments representing several hundred vessels”</w:t>
      </w:r>
      <w:r>
        <w:rPr>
          <w:rFonts w:ascii="Times New Roman" w:hAnsi="Times New Roman"/>
          <w:color w:val="000000"/>
          <w:sz w:val="22"/>
        </w:rP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rPr>
          <w:rFonts w:ascii="Times New Roman" w:hAnsi="Times New Roman"/>
          <w:color w:val="000000"/>
          <w:sz w:val="22"/>
        </w:rPr>
        <w:t xml:space="preserve"> </w:t>
      </w:r>
      <w:r>
        <w:rPr>
          <w:rFonts w:ascii="Times New Roman" w:hAnsi="Times New Roman"/>
          <w:color w:val="000000"/>
          <w:sz w:val="22"/>
        </w:rPr>
        <w:t xml:space="preserve">“steatite items”</w:t>
      </w:r>
      <w:r>
        <w:rPr>
          <w:rFonts w:ascii="Times New Roman" w:hAnsi="Times New Roman"/>
          <w:color w:val="000000"/>
          <w:sz w:val="22"/>
        </w:rPr>
        <w:t xml:space="preserve"> </w:t>
      </w:r>
      <w:r>
        <w:rPr>
          <w:rFonts w:ascii="Times New Roman" w:hAnsi="Times New Roman"/>
          <w:color w:val="000000"/>
          <w:sz w:val="22"/>
        </w:rPr>
        <w:t xml:space="preserve">therefore should be compared to the archaeological</w:t>
      </w:r>
      <w:r>
        <w:rPr>
          <w:rFonts w:ascii="Times New Roman" w:hAnsi="Times New Roman"/>
          <w:color w:val="000000"/>
          <w:sz w:val="22"/>
        </w:rPr>
        <w:t xml:space="preserve"> </w:t>
      </w:r>
      <w:r>
        <w:rPr>
          <w:rFonts w:ascii="Times New Roman" w:hAnsi="Times New Roman"/>
          <w:i/>
          <w:iCs/>
          <w:color w:val="000000"/>
          <w:sz w:val="22"/>
        </w:rPr>
        <w:t xml:space="preserve">vessel</w:t>
      </w:r>
      <w:r>
        <w:rPr>
          <w:rFonts w:ascii="Times New Roman" w:hAnsi="Times New Roman"/>
          <w:color w:val="000000"/>
          <w:sz w:val="22"/>
        </w:rPr>
        <w:t xml:space="preserve"> </w:t>
      </w:r>
      <w:r>
        <w:rPr>
          <w:rFonts w:ascii="Times New Roman" w:hAnsi="Times New Roman"/>
          <w:color w:val="000000"/>
          <w:sz w:val="22"/>
        </w:rPr>
        <w:t xml:space="preserve">count, not the</w:t>
      </w:r>
      <w:r>
        <w:rPr>
          <w:rFonts w:ascii="Times New Roman" w:hAnsi="Times New Roman"/>
          <w:color w:val="000000"/>
          <w:sz w:val="22"/>
        </w:rPr>
        <w:t xml:space="preserve"> </w:t>
      </w:r>
      <w:r>
        <w:rPr>
          <w:rFonts w:ascii="Times New Roman" w:hAnsi="Times New Roman"/>
          <w:i/>
          <w:iCs/>
          <w:color w:val="000000"/>
          <w:sz w:val="22"/>
        </w:rPr>
        <w:t xml:space="preserve">fragment</w:t>
      </w:r>
      <w:r>
        <w:rPr>
          <w:rFonts w:ascii="Times New Roman" w:hAnsi="Times New Roman"/>
          <w:color w:val="000000"/>
          <w:sz w:val="22"/>
        </w:rPr>
        <w:t xml:space="preserve"> </w:t>
      </w:r>
      <w:r>
        <w:rPr>
          <w:rFonts w:ascii="Times New Roman" w:hAnsi="Times New Roman"/>
          <w:color w:val="000000"/>
          <w:sz w:val="22"/>
        </w:rPr>
        <w:t xml:space="preserve">count. Webb’s</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rPr>
          <w:rFonts w:ascii="Times New Roman" w:hAnsi="Times New Roman"/>
          <w:color w:val="000000"/>
          <w:sz w:val="22"/>
        </w:rPr>
        <w:t xml:space="preserve">The remainder of this section discusses three further considerations under the assumption that the per-material comparison is conducted at</w:t>
      </w:r>
      <w:r>
        <w:rPr>
          <w:rFonts w:ascii="Times New Roman" w:hAnsi="Times New Roman"/>
          <w:color w:val="000000"/>
          <w:sz w:val="22"/>
        </w:rPr>
        <w:t xml:space="preserve"> </w:t>
      </w:r>
      <w:r>
        <w:rPr>
          <w:rFonts w:ascii="Times New Roman" w:hAnsi="Times New Roman"/>
          <w:i/>
          <w:iCs/>
          <w:color w:val="000000"/>
          <w:sz w:val="22"/>
        </w:rPr>
        <w:t xml:space="preserve">whatever</w:t>
      </w:r>
      <w:r>
        <w:rPr>
          <w:rFonts w:ascii="Times New Roman" w:hAnsi="Times New Roman"/>
          <w:color w:val="000000"/>
          <w:sz w:val="22"/>
        </w:rPr>
        <w:t xml:space="preserve"> </w:t>
      </w:r>
      <w:r>
        <w:rPr>
          <w:rFonts w:ascii="Times New Roman" w:hAnsi="Times New Roman"/>
          <w:color w:val="000000"/>
          <w:sz w:val="22"/>
        </w:rPr>
        <w:t xml:space="preserve">counting unit one chooses. The conclusions hold for any reasonable conversion.</w:t>
      </w:r>
    </w:p>
    <w:p>
      <w:pPr>
        <w:pStyle w:val="BodyText"/>
      </w:pPr>
      <w:r>
        <w:rPr>
          <w:rFonts w:ascii="Times New Roman" w:hAnsi="Times New Roman"/>
          <w:i/>
          <w:iCs/>
          <w:color w:val="000000"/>
          <w:sz w:val="22"/>
        </w:rPr>
        <w:t xml:space="preserve">Overshoot is not symmetric to undershoot.</w:t>
      </w:r>
      <w:r>
        <w:rPr>
          <w:rFonts w:ascii="Times New Roman" w:hAnsi="Times New Roman"/>
          <w:color w:val="000000"/>
          <w:sz w:val="22"/>
        </w:rPr>
        <w:t xml:space="preserve"> </w:t>
      </w:r>
      <w:r>
        <w:rPr>
          <w:rFonts w:ascii="Times New Roman" w:hAnsi="Times New Roman"/>
          <w:color w:val="000000"/>
          <w:sz w:val="22"/>
        </w:rP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rFonts w:ascii="Times New Roman" w:hAnsi="Times New Roman"/>
          <w:i/>
          <w:iCs/>
          <w:color w:val="000000"/>
          <w:sz w:val="22"/>
        </w:rPr>
        <w:t xml:space="preserve">Steatite undershoot is consistent with the framework rather than against it.</w:t>
      </w:r>
      <w:r>
        <w:rPr>
          <w:rFonts w:ascii="Times New Roman" w:hAnsi="Times New Roman"/>
          <w:color w:val="000000"/>
          <w:sz w:val="22"/>
        </w:rPr>
        <w:t xml:space="preserve"> </w:t>
      </w:r>
      <w:r>
        <w:rPr>
          <w:rFonts w:ascii="Times New Roman" w:hAnsi="Times New Roman"/>
          <w:color w:val="000000"/>
          <w:sz w:val="22"/>
        </w:rP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rPr>
          <w:rFonts w:ascii="Times New Roman" w:hAnsi="Times New Roman"/>
          <w:color w:val="000000"/>
          <w:sz w:val="22"/>
        </w:rPr>
        <w:t xml:space="preserve"> </w:t>
      </w:r>
      <w:r>
        <w:rPr>
          <w:rFonts w:ascii="Times New Roman" w:hAnsi="Times New Roman"/>
          <w:i/>
          <w:iCs/>
          <w:color w:val="000000"/>
          <w:sz w:val="22"/>
        </w:rPr>
        <w:t xml:space="preserve">more</w:t>
      </w:r>
      <w:r>
        <w:rPr>
          <w:rFonts w:ascii="Times New Roman" w:hAnsi="Times New Roman"/>
          <w:color w:val="000000"/>
          <w:sz w:val="22"/>
        </w:rPr>
        <w:t xml:space="preserve"> </w:t>
      </w:r>
      <w:r>
        <w:rPr>
          <w:rFonts w:ascii="Times New Roman" w:hAnsi="Times New Roman"/>
          <w:color w:val="000000"/>
          <w:sz w:val="22"/>
        </w:rP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rPr>
          <w:rFonts w:ascii="Times New Roman" w:hAnsi="Times New Roman"/>
          <w:color w:val="000000"/>
          <w:sz w:val="22"/>
        </w:rPr>
        <w:t xml:space="preserve"> </w:t>
      </w:r>
      <w:r>
        <w:rPr>
          <w:rFonts w:ascii="Times New Roman" w:hAnsi="Times New Roman"/>
          <w:i/>
          <w:iCs/>
          <w:color w:val="000000"/>
          <w:sz w:val="22"/>
        </w:rPr>
        <w:t xml:space="preserve">implementation</w:t>
      </w:r>
      <w:r>
        <w:rPr>
          <w:rFonts w:ascii="Times New Roman" w:hAnsi="Times New Roman"/>
          <w:color w:val="000000"/>
          <w:sz w:val="22"/>
        </w:rPr>
        <w:t xml:space="preserve">, in which</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w:t>
      </w:r>
      <w:r>
        <w:rPr>
          <w:rFonts w:ascii="Times New Roman" w:hAnsi="Times New Roman"/>
          <w:color w:val="000000"/>
          <w:sz w:val="22"/>
        </w:rPr>
        <w:t xml:space="preserve">omits material-specific signal value. Adding a steatite-specific value coefficient would close the undershoot without affecting the framework’s qualitative claims.</w:t>
      </w:r>
    </w:p>
    <w:p>
      <w:pPr>
        <w:pStyle w:val="BodyText"/>
      </w:pPr>
      <w:r>
        <w:rPr>
          <w:rFonts w:ascii="Times New Roman" w:hAnsi="Times New Roman"/>
          <w:i/>
          <w:iCs/>
          <w:color w:val="000000"/>
          <w:sz w:val="22"/>
        </w:rPr>
        <w:t xml:space="preserve">Sampling representativeness modifies all three ratios.</w:t>
      </w:r>
      <w:r>
        <w:rPr>
          <w:rFonts w:ascii="Times New Roman" w:hAnsi="Times New Roman"/>
          <w:color w:val="000000"/>
          <w:sz w:val="22"/>
        </w:rPr>
        <w:t xml:space="preserve"> </w:t>
      </w:r>
      <w:r>
        <w:rPr>
          <w:rFonts w:ascii="Times New Roman" w:hAnsi="Times New Roman"/>
          <w:color w:val="000000"/>
          <w:sz w:val="22"/>
        </w:rP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rFonts w:ascii="Times New Roman" w:hAnsi="Times New Roman"/>
          <w:i/>
          <w:iCs/>
          <w:color w:val="000000"/>
          <w:sz w:val="22"/>
        </w:rPr>
        <w:t xml:space="preserve">The steatite-galena diagnostic.</w:t>
      </w:r>
      <w:r>
        <w:rPr>
          <w:rFonts w:ascii="Times New Roman" w:hAnsi="Times New Roman"/>
          <w:color w:val="000000"/>
          <w:sz w:val="22"/>
        </w:rPr>
        <w:t xml:space="preserve"> </w:t>
      </w:r>
      <w:r>
        <w:rPr>
          <w:rFonts w:ascii="Times New Roman" w:hAnsi="Times New Roman"/>
          <w:color w:val="000000"/>
          <w:sz w:val="22"/>
        </w:rP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Adding a steatite-specific value coefficient would close the inversion without affecting the framework’s qualitative claims.</w:t>
      </w:r>
    </w:p>
    <w:p>
      <w:pPr>
        <w:pStyle w:val="BodyText"/>
      </w:pPr>
      <w:r>
        <w:rPr>
          <w:rFonts w:ascii="Times New Roman" w:hAnsi="Times New Roman"/>
          <w:color w:val="000000"/>
          <w:sz w:val="22"/>
        </w:rP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bookmarkEnd w:id="95"/>
    <w:bookmarkStart w:id="96" w:name="Xae4e2e09dac333b71eb214b52917dfa5d2cdd61"/>
    <w:p>
      <w:pPr>
        <w:pStyle w:val="Heading2"/>
      </w:pPr>
      <w:r>
        <w:rPr>
          <w:rFonts w:ascii="Times New Roman" w:hAnsi="Times New Roman"/>
          <w:b w:val="0"/>
          <w:i/>
          <w:color w:val="000000"/>
          <w:sz w:val="24"/>
          <w:u w:val="none"/>
        </w:rPr>
        <w:t xml:space="preserve">S15. Modern hydrograph data: empirical test of the multi-drainage independence claim</w:t>
      </w:r>
    </w:p>
    <w:p>
      <w:pPr>
        <w:pStyle w:val="FirstParagraph"/>
      </w:pPr>
      <w:r>
        <w:rPr>
          <w:rFonts w:ascii="Times New Roman" w:hAnsi="Times New Roman"/>
          <w:color w:val="000000"/>
          <w:sz w:val="22"/>
        </w:rPr>
        <w:t xml:space="preserve">The main text (§6.5) asserts that PP’s confluence position integrates four canoe-accessible drainages (Bayou Maçon, Mississippi, Tensas, Yazoo) with non-synchronized hydrographs. We test this empirically using USGS gauge records (</w:t>
      </w:r>
      <w:r>
        <w:rPr>
          <w:rStyle w:val="VerbatimChar"/>
          <w:rFonts w:ascii="Times New Roman" w:hAnsi="Times New Roman"/>
          <w:color w:val="000000"/>
          <w:sz w:val="22"/>
        </w:rPr>
        <w:t xml:space="preserve">scripts/analysis/hydrograph_covariance.py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rPr>
          <w:rFonts w:ascii="Times New Roman" w:hAnsi="Times New Roman"/>
          <w:color w:val="000000"/>
          <w:sz w:val="22"/>
        </w:rPr>
        <w:t xml:space="preserve">No four-gauge overlap exists (Bayou Maçon’s gauge was only operational 1985-1992, before the Mississippi gauge came online), so the four-drainage analysis is performed pairwise on each pair’s available overlap.</w:t>
      </w:r>
    </w:p>
    <w:p>
      <w:pPr>
        <w:pStyle w:val="BodyText"/>
      </w:pPr>
      <w:r>
        <w:rPr>
          <w:rFonts w:ascii="Times New Roman" w:hAnsi="Times New Roman"/>
          <w:b/>
          <w:bCs/>
          <w:color w:val="000000"/>
          <w:sz w:val="22"/>
        </w:rPr>
        <w:t xml:space="preserve">Anomaly construction.</w:t>
      </w:r>
      <w:r>
        <w:rPr>
          <w:rFonts w:ascii="Times New Roman" w:hAnsi="Times New Roman"/>
          <w:color w:val="000000"/>
          <w:sz w:val="22"/>
        </w:rPr>
        <w:t xml:space="preserve"> </w:t>
      </w:r>
      <w:r>
        <w:rPr>
          <w:rFonts w:ascii="Times New Roman" w:hAnsi="Times New Roman"/>
          <w:color w:val="000000"/>
          <w:sz w:val="22"/>
        </w:rPr>
        <w:t xml:space="preserve">The framework’s question is whether two rivers go up and down together</w:t>
      </w:r>
      <w:r>
        <w:rPr>
          <w:rFonts w:ascii="Times New Roman" w:hAnsi="Times New Roman"/>
          <w:color w:val="000000"/>
          <w:sz w:val="22"/>
        </w:rPr>
        <w:t xml:space="preserve"> </w:t>
      </w:r>
      <w:r>
        <w:rPr>
          <w:rFonts w:ascii="Times New Roman" w:hAnsi="Times New Roman"/>
          <w:i/>
          <w:iCs/>
          <w:color w:val="000000"/>
          <w:sz w:val="22"/>
        </w:rPr>
        <w:t xml:space="preserve">after removing the predictable seasonal cycle</w:t>
      </w:r>
      <w:r>
        <w:rPr>
          <w:rFonts w:ascii="Times New Roman" w:hAnsi="Times New Roman"/>
          <w:color w:val="000000"/>
          <w:sz w:val="22"/>
        </w:rP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rPr>
          <w:rFonts w:ascii="Times New Roman" w:hAnsi="Times New Roman"/>
          <w:color w:val="000000"/>
          <w:sz w:val="22"/>
        </w:rPr>
        <w:t xml:space="preserve"> </w:t>
      </w:r>
      <m:oMath>
        <m:r>
          <m:rPr>
            <m:sty m:val="p"/>
          </m:rPr>
          <m:t>+</m:t>
        </m:r>
        <m:r>
          <m:t>0.01</m:t>
        </m:r>
      </m:oMath>
      <w:r>
        <w:rPr>
          <w:rFonts w:ascii="Times New Roman" w:hAnsi="Times New Roman"/>
          <w:color w:val="000000"/>
          <w:sz w:val="22"/>
        </w:rPr>
        <w:t xml:space="preserve"> </w:t>
      </w:r>
      <w:r>
        <w:rPr>
          <w:rFonts w:ascii="Times New Roman" w:hAnsi="Times New Roman"/>
          <w:color w:val="000000"/>
          <w:sz w:val="22"/>
        </w:rPr>
        <w:t xml:space="preserve">shift to handle zero-discharge months at the smaller drainages), and a monthly climatology was computed as the long-term mean log-discharge for each calendar month</w:t>
      </w:r>
      <w:r>
        <w:rPr>
          <w:rFonts w:ascii="Times New Roman" w:hAnsi="Times New Roman"/>
          <w:color w:val="000000"/>
          <w:sz w:val="22"/>
        </w:rP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rPr>
          <w:rFonts w:ascii="Times New Roman" w:hAnsi="Times New Roman"/>
          <w:color w:val="000000"/>
          <w:sz w:val="22"/>
        </w:rPr>
        <w:t xml:space="preserve"> </w:t>
      </w:r>
      <w:r>
        <w:rPr>
          <w:rFonts w:ascii="Times New Roman" w:hAnsi="Times New Roman"/>
          <w:color w:val="000000"/>
          <w:sz w:val="22"/>
        </w:rPr>
        <w:t xml:space="preserve">over the full available record at that gauge. Anomalies were taken as residuals</w:t>
      </w:r>
      <w:r>
        <w:rPr>
          <w:rFonts w:ascii="Times New Roman" w:hAnsi="Times New Roman"/>
          <w:color w:val="000000"/>
          <w:sz w:val="22"/>
        </w:rP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rPr>
          <w:rFonts w:ascii="Times New Roman" w:hAnsi="Times New Roman"/>
          <w:color w:val="000000"/>
          <w:sz w:val="22"/>
        </w:rP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rFonts w:ascii="Times New Roman" w:hAnsi="Times New Roman"/>
          <w:b/>
          <w:bCs/>
          <w:color w:val="000000"/>
          <w:sz w:val="22"/>
        </w:rPr>
        <w:t xml:space="preserve">Pairwise log-monthly-anomaly correlations</w:t>
      </w:r>
      <w:r>
        <w:rPr>
          <w:rFonts w:ascii="Times New Roman" w:hAnsi="Times New Roman"/>
          <w:color w:val="000000"/>
          <w:sz w:val="22"/>
        </w:rPr>
        <w:t xml:space="preserve"> </w:t>
      </w:r>
      <w:r>
        <w:rPr>
          <w:rFonts w:ascii="Times New Roman" w:hAnsi="Times New Roman"/>
          <w:color w:val="000000"/>
          <w:sz w:val="22"/>
        </w:rP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rPr>
          <w:rFonts w:ascii="Times New Roman" w:hAnsi="Times New Roman"/>
          <w:color w:val="000000"/>
          <w:sz w:val="22"/>
        </w:rPr>
        <w:t xml:space="preserve">The empirical result modifies the framework’s four-drainage claim in a substantive way:</w:t>
      </w:r>
      <w:r>
        <w:rPr>
          <w:rFonts w:ascii="Times New Roman" w:hAnsi="Times New Roman"/>
          <w:color w:val="000000"/>
          <w:sz w:val="22"/>
        </w:rPr>
        <w:t xml:space="preserve"> </w:t>
      </w:r>
      <w:r>
        <w:rPr>
          <w:rFonts w:ascii="Times New Roman" w:hAnsi="Times New Roman"/>
          <w:b/>
          <w:bCs/>
          <w:color w:val="000000"/>
          <w:sz w:val="22"/>
        </w:rPr>
        <w:t xml:space="preserve">Bayou Maçon and the Tensas are not independent drainages</w:t>
      </w:r>
      <w:r>
        <w:rPr>
          <w:rFonts w:ascii="Times New Roman" w:hAnsi="Times New Roman"/>
          <w:color w:val="000000"/>
          <w:sz w:val="22"/>
        </w:rPr>
        <w:t xml:space="preserve">. Their 90% Pearson correlation reflects their shared Macon-Ridge geomorphology and tightly-coupled precipitation forcing. 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Bayou Maçon plus the Tensas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rather than as two independent shortfall regimes. The genuinely independent drainage signals at PP’s catchment are therefore: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Macon Ridge system</w:t>
      </w:r>
      <w:r>
        <w:rPr>
          <w:rFonts w:ascii="Times New Roman" w:hAnsi="Times New Roman"/>
          <w:color w:val="000000"/>
          <w:sz w:val="22"/>
        </w:rPr>
        <w:t xml:space="preserve"> </w:t>
      </w:r>
      <w:r>
        <w:rPr>
          <w:rFonts w:ascii="Times New Roman" w:hAnsi="Times New Roman"/>
          <w:color w:val="000000"/>
          <w:sz w:val="22"/>
        </w:rPr>
        <w:t xml:space="preserve">(Bayou Maçon + 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between them);</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Yazoo Basin</w:t>
      </w:r>
      <w:r>
        <w:rPr>
          <w:rFonts w:ascii="Times New Roman" w:hAnsi="Times New Roman"/>
          <w:color w:val="000000"/>
          <w:sz w:val="22"/>
        </w:rPr>
        <w:t xml:space="preserve"> </w:t>
      </w:r>
      <w:r>
        <w:rPr>
          <w:rFonts w:ascii="Times New Roman" w:hAnsi="Times New Roman"/>
          <w:color w:val="000000"/>
          <w:sz w:val="22"/>
        </w:rPr>
        <w:t xml:space="preserve">(uncorrelated with Mississippi,</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w:t>
      </w:r>
    </w:p>
    <w:p>
      <w:pPr>
        <w:pStyle w:val="Compact"/>
        <w:numPr>
          <w:ilvl w:val="0"/>
          <w:numId w:val="1004"/>
        </w:numPr>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Mississippi mainstem</w:t>
      </w:r>
      <w:r>
        <w:rPr>
          <w:rFonts w:ascii="Times New Roman" w:hAnsi="Times New Roman"/>
          <w:color w:val="000000"/>
          <w:sz w:val="22"/>
        </w:rPr>
        <w:t xml:space="preserve"> </w:t>
      </w:r>
      <w:r>
        <w:rPr>
          <w:rFonts w:ascii="Times New Roman" w:hAnsi="Times New Roman"/>
          <w:color w:val="000000"/>
          <w:sz w:val="22"/>
        </w:rPr>
        <w:t xml:space="preserve">(continental snowmelt + storm-track signal,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w:t>
      </w:r>
    </w:p>
    <w:p>
      <w:pPr>
        <w:pStyle w:val="FirstParagraph"/>
      </w:pPr>
      <w:r>
        <w:rPr>
          <w:rFonts w:ascii="Times New Roman" w:hAnsi="Times New Roman"/>
          <w:color w:val="000000"/>
          <w:sz w:val="22"/>
        </w:rP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p>
    <w:p>
      <w:pPr>
        <w:pStyle w:val="BodyText"/>
      </w:pPr>
      <w:r>
        <w:rPr>
          <w:rFonts w:ascii="Times New Roman" w:hAnsi="Times New Roman"/>
          <w:b/>
          <w:bCs/>
          <w:color w:val="000000"/>
          <w:sz w:val="22"/>
        </w:rPr>
        <w:t xml:space="preserve">Bottom-quartile co-incidence</w:t>
      </w:r>
      <w:r>
        <w:rPr>
          <w:rFonts w:ascii="Times New Roman" w:hAnsi="Times New Roman"/>
          <w:color w:val="000000"/>
          <w:sz w:val="22"/>
        </w:rPr>
        <w:t xml:space="preserve"> </w:t>
      </w:r>
      <w:r>
        <w:rPr>
          <w:rFonts w:ascii="Times New Roman" w:hAnsi="Times New Roman"/>
          <w:color w:val="000000"/>
          <w:sz w:val="22"/>
        </w:rP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rPr>
          <w:rFonts w:ascii="Times New Roman" w:hAnsi="Times New Roman"/>
          <w:color w:val="000000"/>
          <w:sz w:val="22"/>
        </w:rP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rPr>
          <w:rFonts w:ascii="Times New Roman" w:hAnsi="Times New Roman"/>
          <w:color w:val="000000"/>
          <w:sz w:val="22"/>
        </w:rP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advantage over other LMV sites.</w:t>
      </w:r>
    </w:p>
    <w:bookmarkEnd w:id="96"/>
    <w:bookmarkStart w:id="97" w:name="Xf8019c3df050ee7c851b7155ab1292c8dda8ae8"/>
    <w:p>
      <w:pPr>
        <w:pStyle w:val="Heading2"/>
      </w:pPr>
      <w:r>
        <w:rPr>
          <w:rFonts w:ascii="Times New Roman" w:hAnsi="Times New Roman"/>
          <w:b w:val="0"/>
          <w:i/>
          <w:color w:val="000000"/>
          <w:sz w:val="24"/>
          <w:u w:val="none"/>
        </w:rPr>
        <w:t xml:space="preserve">S16. Seasonal resource phenology and temporal staggering</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encodes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15 makes this distinction visible.</w:t>
      </w:r>
    </w:p>
    <w:p>
      <w:pPr>
        <w:pStyle w:val="BodyText"/>
      </w:pPr>
      <w:r>
        <w:rPr>
          <w:rFonts w:ascii="Times New Roman" w:hAnsi="Times New Roman"/>
          <w:color w:val="000000"/>
          <w:sz w:val="22"/>
        </w:rPr>
        <w:t xml:space="preserve">The Lower Mississippi Valley supports a small number of well-documented seasonal resource peaks driven by independent climate and ecological mechanisms. Hardwood mast (hickory, pecan, acorn) peaks in September-November. Webb (1982:1) reports that</w:t>
      </w:r>
      <w:r>
        <w:rPr>
          <w:rFonts w:ascii="Times New Roman" w:hAnsi="Times New Roman"/>
          <w:color w:val="000000"/>
          <w:sz w:val="22"/>
        </w:rPr>
        <w:t xml:space="preserve"> </w:t>
      </w:r>
      <w:r>
        <w:rPr>
          <w:rFonts w:ascii="Times New Roman" w:hAnsi="Times New Roman"/>
          <w:color w:val="000000"/>
          <w:sz w:val="22"/>
        </w:rPr>
        <w:t xml:space="preserve">“fall and winter provide acorns and other nuts,”</w:t>
      </w:r>
      <w:r>
        <w:rPr>
          <w:rFonts w:ascii="Times New Roman" w:hAnsi="Times New Roman"/>
          <w:color w:val="000000"/>
          <w:sz w:val="22"/>
        </w:rPr>
        <w:t xml:space="preserve"> </w:t>
      </w:r>
      <w:r>
        <w:rPr>
          <w:rFonts w:ascii="Times New Roman" w:hAnsi="Times New Roman"/>
          <w:color w:val="000000"/>
          <w:sz w:val="22"/>
        </w:rPr>
        <w:t xml:space="preserve">and Thomas and Campbell (1978), summarized in Jackson (1986), attribute peak Poverty Point population to the fall mast harvest. Spring fish spawning runs (drum, gar, buffalo, catfish) peak February-May. Webb (1982:1) reports that</w:t>
      </w:r>
      <w:r>
        <w:rPr>
          <w:rFonts w:ascii="Times New Roman" w:hAnsi="Times New Roman"/>
          <w:color w:val="000000"/>
          <w:sz w:val="22"/>
        </w:rPr>
        <w:t xml:space="preserve"> </w:t>
      </w:r>
      <w:r>
        <w:rPr>
          <w:rFonts w:ascii="Times New Roman" w:hAnsi="Times New Roman"/>
          <w:color w:val="000000"/>
          <w:sz w:val="22"/>
        </w:rPr>
        <w:t xml:space="preserve">“spring and summer offer … most varieties of fish and crustaceans,”</w:t>
      </w:r>
      <w:r>
        <w:rPr>
          <w:rFonts w:ascii="Times New Roman" w:hAnsi="Times New Roman"/>
          <w:color w:val="000000"/>
          <w:sz w:val="22"/>
        </w:rPr>
        <w:t xml:space="preserve"> </w:t>
      </w:r>
      <w:r>
        <w:rPr>
          <w:rFonts w:ascii="Times New Roman" w:hAnsi="Times New Roman"/>
          <w:color w:val="000000"/>
          <w:sz w:val="22"/>
        </w:rP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rPr>
          <w:rFonts w:ascii="Times New Roman" w:hAnsi="Times New Roman"/>
          <w:color w:val="000000"/>
          <w:sz w:val="22"/>
        </w:rPr>
        <w:t xml:space="preserve"> </w:t>
      </w:r>
      <w:r>
        <w:rPr>
          <w:rFonts w:ascii="Times New Roman" w:hAnsi="Times New Roman"/>
          <w:color w:val="000000"/>
          <w:sz w:val="22"/>
        </w:rPr>
        <w:t xml:space="preserve">“millions of migratory waterfowl, ducks, geese, swans, pigeons”</w:t>
      </w:r>
      <w:r>
        <w:rPr>
          <w:rFonts w:ascii="Times New Roman" w:hAnsi="Times New Roman"/>
          <w:color w:val="000000"/>
          <w:sz w:val="22"/>
        </w:rPr>
        <w:t xml:space="preserve"> </w:t>
      </w:r>
      <w:r>
        <w:rPr>
          <w:rFonts w:ascii="Times New Roman" w:hAnsi="Times New Roman"/>
          <w:color w:val="000000"/>
          <w:sz w:val="22"/>
        </w:rP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rPr>
          <w:rFonts w:ascii="Times New Roman" w:hAnsi="Times New Roman"/>
          <w:color w:val="000000"/>
          <w:sz w:val="22"/>
        </w:rP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rPr>
          <w:rFonts w:ascii="Times New Roman" w:hAnsi="Times New Roman"/>
          <w:color w:val="000000"/>
          <w:sz w:val="22"/>
        </w:rPr>
        <w:t xml:space="preserve">The peak-window access measure, summarized in Panel C of main-text Figure 15, is a weighted sum (full access contributes 1.0, partial single-drainage access contributes 0.5, no access contributes 0.0; maximum 5.0 across the five peak windows). Poverty Point alone reaches 5.0; J.W. Copes and Jaketown follow at 4.0; Lower Jackson at 3.5; Watson Brake and Cowpen Slough at 3.0; Frenchman’s Bend and Insley at 2.5; Caney, Claiborne, and Cedarland at 2.0. The weighted sum graduates the partial-access codings that a binary threshold count collapses, producing a graded hierarchy that places PP alone at the top. The two coding corrections relative to the prior coding pass are: Cowpen Slough hardwood mast set to 0.0 (per §6.5 the site is on the Red/Black confluence floodplain only with no upland regime), and J.W. Copes hardwood mast set to 1.0 (per §6.5 Copes is on Macon Ridge). The weighted sum is complementary to §6.5’s regime count: §6.5 measures the number of substantively independent shortfall regimes (clusters of drainages and uplands). Panel C measures the integrated peak-access weight across the five regional peak windows. Both place PP at the top. The graded middle differs slightly because the two metrics weight partial drainage access differently.</w:t>
      </w:r>
    </w:p>
    <w:p>
      <w:pPr>
        <w:pStyle w:val="BodyText"/>
      </w:pPr>
      <w:r>
        <w:rPr>
          <w:rFonts w:ascii="Times New Roman" w:hAnsi="Times New Roman"/>
          <w:color w:val="000000"/>
          <w:sz w:val="22"/>
        </w:rPr>
        <w:t xml:space="preserve">This analysis is not a finished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rFonts w:ascii="Times New Roman" w:hAnsi="Times New Roman"/>
          <w:b/>
          <w:bCs/>
          <w:color w:val="000000"/>
          <w:sz w:val="22"/>
        </w:rPr>
        <w:t xml:space="preserve">Cross-site test against observed monument scale.</w:t>
      </w:r>
      <w:r>
        <w:rPr>
          <w:rFonts w:ascii="Times New Roman" w:hAnsi="Times New Roman"/>
          <w:color w:val="000000"/>
          <w:sz w:val="22"/>
        </w:rPr>
        <w:t xml:space="preserve"> </w:t>
      </w:r>
      <w:r>
        <w:rPr>
          <w:rFonts w:ascii="Times New Roman" w:hAnsi="Times New Roman"/>
          <w:color w:val="000000"/>
          <w:sz w:val="22"/>
        </w:rPr>
        <w:t xml:space="preserve">As a quantitative check, we asked whether substituting the phenology peak count for the static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in the Table 2 cross-site comparison improves the Spearman correlation against ordinal observed monument scale. Phenology peaks (1-5) were rescaled to</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to match the framework’s tested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range,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was computed per site at</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and</w:t>
      </w:r>
      <w:r>
        <w:rPr>
          <w:rFonts w:ascii="Times New Roman" w:hAnsi="Times New Roman"/>
          <w:color w:val="000000"/>
          <w:sz w:val="22"/>
        </w:rPr>
        <w:t xml:space="preserve"> </w:t>
      </w:r>
      <m:oMath>
        <m:r>
          <m:t>σ</m:t>
        </m:r>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margins were correlated with the ordinal scale (minimal = 0, small = 1, mid = 2, very large = 3) at the regional Late Archaic</w:t>
      </w:r>
      <w:r>
        <w:rPr>
          <w:rFonts w:ascii="Times New Roman" w:hAnsi="Times New Roman"/>
          <w:color w:val="000000"/>
          <w:sz w:val="22"/>
        </w:rPr>
        <w:t xml:space="preserve"> </w:t>
      </w:r>
      <m:oMath>
        <m:r>
          <m:t>σ</m:t>
        </m:r>
        <m:r>
          <m:rPr>
            <m:sty m:val="p"/>
          </m:rPr>
          <m:t>=</m:t>
        </m:r>
        <m:r>
          <m:t>0.64</m:t>
        </m:r>
      </m:oMath>
      <w:r>
        <w:rPr>
          <w:rFonts w:ascii="Times New Roman" w:hAnsi="Times New Roman"/>
          <w:color w:val="000000"/>
          <w:sz w:val="22"/>
        </w:rPr>
        <w:t xml:space="preserve">. The result: static-</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Phenology-</w:t>
      </w:r>
      <m:oMath>
        <m:r>
          <m:t>ε</m:t>
        </m:r>
      </m:oMath>
      <w:r>
        <w:rPr>
          <w:rFonts w:ascii="Times New Roman" w:hAnsi="Times New Roman"/>
          <w:color w:val="000000"/>
          <w:sz w:val="22"/>
        </w:rPr>
        <w:t xml:space="preserve"> </w:t>
      </w:r>
      <w:r>
        <w:rPr>
          <w:rFonts w:ascii="Times New Roman" w:hAnsi="Times New Roman"/>
          <w:color w:val="000000"/>
          <w:sz w:val="22"/>
        </w:rPr>
        <w:t xml:space="preserve">gives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Neither operationalization significantly predicts ordinal monument scale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interpretation we report in main §7.1 is consistent with this null result: monument scale is not determined by</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but by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the contingent convergence dynamics that pulled bands to specific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w:t>
      </w:r>
    </w:p>
    <w:p>
      <w:pPr>
        <w:pStyle w:val="BodyText"/>
      </w:pPr>
      <w:r>
        <w:rPr>
          <w:rFonts w:ascii="Times New Roman" w:hAnsi="Times New Roman"/>
          <w:b/>
          <w:bCs/>
          <w:color w:val="000000"/>
          <w:sz w:val="22"/>
        </w:rPr>
        <w:t xml:space="preserve">Enriched variance-based phenology epsilon.</w:t>
      </w:r>
      <w:r>
        <w:rPr>
          <w:rFonts w:ascii="Times New Roman" w:hAnsi="Times New Roman"/>
          <w:color w:val="000000"/>
          <w:sz w:val="22"/>
        </w:rPr>
        <w:t xml:space="preserve"> </w:t>
      </w:r>
      <w:r>
        <w:rPr>
          <w:rFonts w:ascii="Times New Roman" w:hAnsi="Times New Roman"/>
          <w:color w:val="000000"/>
          <w:sz w:val="22"/>
        </w:rPr>
        <w:t xml:space="preserve">The peak-count operationalization (Test A) is itself a static count and does not directly capture the framework’s</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logic. We constructed a variance-based alternative (</w:t>
      </w:r>
      <w:r>
        <w:rPr>
          <w:rStyle w:val="VerbatimChar"/>
          <w:rFonts w:ascii="Times New Roman" w:hAnsi="Times New Roman"/>
          <w:color w:val="000000"/>
          <w:sz w:val="22"/>
        </w:rPr>
        <w:t xml:space="preserve">scripts/analysis/phenology_variance_epsilon.py</w:t>
      </w:r>
      <w:r>
        <w:rPr>
          <w:rFonts w:ascii="Times New Roman" w:hAnsi="Times New Roman"/>
          <w:color w:val="000000"/>
          <w:sz w:val="22"/>
        </w:rPr>
        <w:t xml:space="preserve">): a 1,000-year simulation in which each of the five resource-peak categories receives a stochastic productivity multiplier with category-pair correlations</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matching the S15 regional shortfall driver. For each site, total accessible productivity (weighted by the site’s HM/SFS/SA/FWA/WF flag vector) is computed for each year, and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rPr>
          <w:rFonts w:ascii="Times New Roman" w:hAnsi="Times New Roman"/>
          <w:color w:val="000000"/>
          <w:sz w:val="22"/>
        </w:rPr>
        <w:t xml:space="preserve">Results (regional shortfall correlation</w:t>
      </w:r>
      <w:r>
        <w:rPr>
          <w:rFonts w:ascii="Times New Roman" w:hAnsi="Times New Roman"/>
          <w:color w:val="000000"/>
          <w:sz w:val="22"/>
        </w:rPr>
        <w:t xml:space="preserve"> </w:t>
      </w:r>
      <m:oMath>
        <m:r>
          <m:t>ρ</m:t>
        </m:r>
        <m:r>
          <m:rPr>
            <m:sty m:val="p"/>
          </m:rPr>
          <m:t>=</m:t>
        </m:r>
        <m:r>
          <m:t>0.30</m:t>
        </m:r>
      </m:oMath>
      <w:r>
        <w:rPr>
          <w:rFonts w:ascii="Times New Roman" w:hAnsi="Times New Roman"/>
          <w:color w:val="000000"/>
          <w:sz w:val="22"/>
        </w:rP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rPr>
          <w:rFonts w:ascii="Times New Roman" w:hAnsi="Times New Roman"/>
          <w:color w:val="000000"/>
          <w:sz w:val="22"/>
        </w:rPr>
        <w:t xml:space="preserve">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Jaketown, and the multi-zone interior sites in the top band and Caney plus the coastal pair at the bottom, consistent with the framework’s negative-covariance logic. Spearman correlation against observed ordinal monument scale is</w:t>
      </w:r>
      <w:r>
        <w:rPr>
          <w:rFonts w:ascii="Times New Roman" w:hAnsi="Times New Roman"/>
          <w:color w:val="000000"/>
          <w:sz w:val="22"/>
        </w:rPr>
        <w:t xml:space="preserve"> </w:t>
      </w:r>
      <m:oMath>
        <m:r>
          <m:t>ρ</m:t>
        </m:r>
        <m:r>
          <m:rPr>
            <m:sty m:val="p"/>
          </m:rPr>
          <m:t>=</m:t>
        </m:r>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0.95</m:t>
        </m:r>
      </m:oMath>
      <w:r>
        <w:rPr>
          <w:rFonts w:ascii="Times New Roman" w:hAnsi="Times New Roman"/>
          <w:color w:val="000000"/>
          <w:sz w:val="22"/>
        </w:rPr>
        <w:t xml:space="preserve">), again null. This third null result confirms the main §7.1 reading directly: monument scale is not what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at fixed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regardless of which operationalization (static rubric, phenology peak count, or variance-based) one uses.</w:t>
      </w:r>
    </w:p>
    <w:p>
      <w:pPr>
        <w:pStyle w:val="BodyText"/>
      </w:pPr>
      <w:r>
        <w:rPr>
          <w:rFonts w:ascii="Times New Roman" w:hAnsi="Times New Roman"/>
          <w:color w:val="000000"/>
          <w:sz w:val="22"/>
        </w:rPr>
        <w:t xml:space="preserve">What the 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does</w:t>
      </w:r>
      <w:r>
        <w:rPr>
          <w:rFonts w:ascii="Times New Roman" w:hAnsi="Times New Roman"/>
          <w:color w:val="000000"/>
          <w:sz w:val="22"/>
        </w:rPr>
        <w:t xml:space="preserve"> </w:t>
      </w:r>
      <w:r>
        <w:rPr>
          <w:rFonts w:ascii="Times New Roman" w:hAnsi="Times New Roman"/>
          <w:color w:val="000000"/>
          <w:sz w:val="22"/>
        </w:rPr>
        <w:t xml:space="preserve">support is the screening role:</w:t>
      </w:r>
      <w:r>
        <w:rPr>
          <w:rFonts w:ascii="Times New Roman" w:hAnsi="Times New Roman"/>
          <w:color w:val="000000"/>
          <w:sz w:val="22"/>
        </w:rPr>
        <w:t xml:space="preserve"> </w:t>
      </w:r>
      <m:oMath>
        <m:sSub>
          <m:e>
            <m:r>
              <m:t>ε</m:t>
            </m:r>
          </m:e>
          <m:sub>
            <m:r>
              <m:t>v</m:t>
            </m:r>
            <m:r>
              <m:t>a</m:t>
            </m:r>
            <m:r>
              <m:t>r</m:t>
            </m:r>
          </m:sub>
        </m:sSub>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rPr>
            <m:sty m:val="p"/>
          </m:rPr>
          <m:t>∼</m:t>
        </m:r>
        <m:r>
          <m:t>0.17</m:t>
        </m:r>
      </m:oMath>
      <w:r>
        <w:rPr>
          <w:rFonts w:ascii="Times New Roman" w:hAnsi="Times New Roman"/>
          <w:color w:val="000000"/>
          <w:sz w:val="22"/>
        </w:rPr>
        <w:t xml:space="preserve"> </w:t>
      </w:r>
      <w:r>
        <w:rPr>
          <w:rFonts w:ascii="Times New Roman" w:hAnsi="Times New Roman"/>
          <w:color w:val="000000"/>
          <w:sz w:val="22"/>
        </w:rPr>
        <w:t xml:space="preserve">for PP, Jaketown, LJ, WB, Cowpen, JWC and</w:t>
      </w:r>
      <w:r>
        <w:rPr>
          <w:rFonts w:ascii="Times New Roman" w:hAnsi="Times New Roman"/>
          <w:color w:val="000000"/>
          <w:sz w:val="22"/>
        </w:rPr>
        <w:t xml:space="preserve"> </w:t>
      </w:r>
      <m:oMath>
        <m:r>
          <m:rPr>
            <m:sty m:val="p"/>
          </m:rPr>
          <m:t>∼</m:t>
        </m:r>
        <m:r>
          <m:t>0.12</m:t>
        </m:r>
      </m:oMath>
      <w:r>
        <w:rPr>
          <w:rFonts w:ascii="Times New Roman" w:hAnsi="Times New Roman"/>
          <w:color w:val="000000"/>
          <w:sz w:val="22"/>
        </w:rPr>
        <w:t xml:space="preserve"> </w:t>
      </w:r>
      <w:r>
        <w:rPr>
          <w:rFonts w:ascii="Times New Roman" w:hAnsi="Times New Roman"/>
          <w:color w:val="000000"/>
          <w:sz w:val="22"/>
        </w:rP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rPr>
          <w:rFonts w:ascii="Times New Roman" w:hAnsi="Times New Roman"/>
          <w:color w:val="000000"/>
          <w:sz w:val="22"/>
        </w:rPr>
        <w:t xml:space="preserve">The full numerical output is in</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results/phenology/phenology_epsilon_test.json</w:t>
      </w:r>
      <w:r>
        <w:rPr>
          <w:rFonts w:ascii="Times New Roman" w:hAnsi="Times New Roman"/>
          <w:color w:val="000000"/>
          <w:sz w:val="22"/>
        </w:rPr>
        <w:t xml:space="preserve"> </w:t>
      </w:r>
      <w:r>
        <w:rPr>
          <w:rFonts w:ascii="Times New Roman" w:hAnsi="Times New Roman"/>
          <w:color w:val="000000"/>
          <w:sz w:val="22"/>
        </w:rPr>
        <w:t xml:space="preserve">(Test A) and</w:t>
      </w:r>
      <w:r>
        <w:rPr>
          <w:rFonts w:ascii="Times New Roman" w:hAnsi="Times New Roman"/>
          <w:color w:val="000000"/>
          <w:sz w:val="22"/>
        </w:rPr>
        <w:t xml:space="preserve"> </w:t>
      </w:r>
      <w:r>
        <w:rPr>
          <w:rStyle w:val="VerbatimChar"/>
          <w:rFonts w:ascii="Times New Roman" w:hAnsi="Times New Roman"/>
          <w:color w:val="000000"/>
          <w:sz w:val="22"/>
        </w:rPr>
        <w:t xml:space="preserve">results/phenology/phenology_variance_epsilon.json</w:t>
      </w:r>
      <w:r>
        <w:rPr>
          <w:rFonts w:ascii="Times New Roman" w:hAnsi="Times New Roman"/>
          <w:color w:val="000000"/>
          <w:sz w:val="22"/>
        </w:rPr>
        <w:t xml:space="preserve"> </w:t>
      </w:r>
      <w:r>
        <w:rPr>
          <w:rFonts w:ascii="Times New Roman" w:hAnsi="Times New Roman"/>
          <w:color w:val="000000"/>
          <w:sz w:val="22"/>
        </w:rPr>
        <w:t xml:space="preserve">(variance-based test).</w:t>
      </w:r>
    </w:p>
    <w:p>
      <w:pPr>
        <w:pStyle w:val="BodyText"/>
      </w:pPr>
      <w:r>
        <w:rPr>
          <w:rFonts w:ascii="Times New Roman" w:hAnsi="Times New Roman"/>
          <w:color w:val="000000"/>
          <w:sz w:val="22"/>
        </w:rPr>
        <w:t xml:space="preserve">The seasonal phenology figure is presented as main-text Figure 15 (§6.7). See also §S16 below.</w:t>
      </w:r>
    </w:p>
    <w:bookmarkEnd w:id="97"/>
    <w:bookmarkStart w:id="106" w:name="X36576ea3f795908e3034c54bbd7a9ce1f683672"/>
    <w:p>
      <w:pPr>
        <w:pStyle w:val="Heading2"/>
      </w:pPr>
      <w:r>
        <w:rPr>
          <w:rFonts w:ascii="Times New Roman" w:hAnsi="Times New Roman"/>
          <w:b w:val="0"/>
          <w:i/>
          <w:color w:val="000000"/>
          <w:sz w:val="24"/>
          <w:u w:val="none"/>
        </w:rPr>
        <w:t xml:space="preserve">S17. Model components used in §6 and priority follow-up work</w:t>
      </w:r>
    </w:p>
    <w:p>
      <w:pPr>
        <w:pStyle w:val="FirstParagraph"/>
      </w:pPr>
      <w:r>
        <w:rPr>
          <w:rFonts w:ascii="Times New Roman" w:hAnsi="Times New Roman"/>
          <w:color w:val="000000"/>
          <w:sz w:val="22"/>
        </w:rPr>
        <w:t xml:space="preserve">This section consolidates the seven model components developed for the empirical evaluations in §6 and, for each, identifies the follow-up work that would tighten or extend the present implementation. Three components are central to specific §6 results (regime switching for §6.3 Watson Brake; per-event labor scaling for §6.3 and §6.6; water-route catchment for §6.5). Two are sensitivity demonstrations of internal consistency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in §6.6; regional band allocation in §6.6). One is a plausibility check (seasonally resolved aggregation timing in §6.7). One is an independently weighted falsifiable prediction (maintenance-to-new-construction ratio for §6.8 / §7.4(h)). The two structural-architecture components reported in §S5 above (a near-threshold parameter sweep and a restructured network-saturation function) are referenced by section pointer. A consolidated list of priority follow-up work appears in §S17.8.</w:t>
      </w:r>
    </w:p>
    <w:bookmarkStart w:id="98" w:name="Xde57d3fc74c0c8da7e408217bf51105bc4f0e8f"/>
    <w:p>
      <w:pPr>
        <w:pStyle w:val="Heading3"/>
      </w:pPr>
      <w:r>
        <w:rPr>
          <w:rFonts w:ascii="Times New Roman" w:hAnsi="Times New Roman"/>
          <w:b w:val="0"/>
          <w:i w:val="0"/>
          <w:color w:val="000000"/>
          <w:sz w:val="22"/>
          <w:u w:val="single"/>
        </w:rPr>
        <w:t xml:space="preserve">S17.1 Regime switching for the Watson Brake bistable closure</w:t>
      </w:r>
    </w:p>
    <w:p>
      <w:pPr>
        <w:pStyle w:val="FirstParagraph"/>
      </w:pPr>
      <w:r>
        <w:rPr>
          <w:rFonts w:ascii="Times New Roman" w:hAnsi="Times New Roman"/>
          <w:color w:val="000000"/>
          <w:sz w:val="22"/>
        </w:rPr>
        <w:t xml:space="preserve">(Main text §6.3;</w:t>
      </w:r>
      <w:r>
        <w:rPr>
          <w:rFonts w:ascii="Times New Roman" w:hAnsi="Times New Roman"/>
          <w:color w:val="000000"/>
          <w:sz w:val="22"/>
        </w:rPr>
        <w:t xml:space="preserve"> </w:t>
      </w:r>
      <w:r>
        <w:rPr>
          <w:rFonts w:ascii="Times New Roman" w:hAnsi="Times New Roman"/>
          <w:i/>
          <w:iCs/>
          <w:color w:val="000000"/>
          <w:sz w:val="22"/>
        </w:rPr>
        <w:t xml:space="preserve">Continuous-equilibrium treatment</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(analytical-stochastic version). Central to the §6.3 closure.</w:t>
      </w:r>
      <w:r>
        <w:rPr>
          <w:rFonts w:ascii="Times New Roman" w:hAnsi="Times New Roman"/>
          <w:color w:val="000000"/>
          <w:sz w:val="22"/>
        </w:rPr>
        <w:t xml:space="preserve"> </w:t>
      </w:r>
      <w:r>
        <w:rPr>
          <w:rFonts w:ascii="Times New Roman" w:hAnsi="Times New Roman"/>
          <w:color w:val="000000"/>
          <w:sz w:val="22"/>
        </w:rPr>
        <w:t xml:space="preserve">A 700-year simulation samples</w:t>
      </w:r>
      <w:r>
        <w:rPr>
          <w:rFonts w:ascii="Times New Roman" w:hAnsi="Times New Roman"/>
          <w:color w:val="000000"/>
          <w:sz w:val="22"/>
        </w:rP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each year at WB parameters (</w:t>
      </w:r>
      <m:oMath>
        <m:sSub>
          <m:e>
            <m:r>
              <m:t>μ</m:t>
            </m:r>
          </m:e>
          <m:sub>
            <m:r>
              <m:t>e</m:t>
            </m:r>
            <m:r>
              <m:t>f</m:t>
            </m:r>
            <m:r>
              <m:t>f</m:t>
            </m:r>
          </m:sub>
        </m:sSub>
        <m:r>
          <m:rPr>
            <m:sty m:val="p"/>
          </m:rPr>
          <m:t>=</m:t>
        </m:r>
        <m:r>
          <m:t>0.319</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r>
          <m:rPr>
            <m:sty m:val="p"/>
          </m:rPr>
          <m:t>=</m:t>
        </m:r>
        <m:r>
          <m:t>0.43</m:t>
        </m:r>
      </m:oMath>
      <w:r>
        <w:rPr>
          <w:rFonts w:ascii="Times New Roman" w:hAnsi="Times New Roman"/>
          <w:color w:val="000000"/>
          <w:sz w:val="22"/>
        </w:rPr>
        <w:t xml:space="preserve">), classifies each year above or below the analytical</w:t>
      </w:r>
      <w:r>
        <w:rPr>
          <w:rFonts w:ascii="Times New Roman" w:hAnsi="Times New Roman"/>
          <w:color w:val="000000"/>
          <w:sz w:val="22"/>
        </w:rPr>
        <w:t xml:space="preserve"> </w:t>
      </w:r>
      <m:oMath>
        <m:sSup>
          <m:e>
            <m:r>
              <m:t>σ</m:t>
            </m:r>
          </m:e>
          <m:sup>
            <m:r>
              <m:rPr>
                <m:sty m:val="p"/>
              </m:rPr>
              <m:t>*</m:t>
            </m:r>
          </m:sup>
        </m:sSup>
        <m:r>
          <m:rPr>
            <m:sty m:val="p"/>
          </m:rPr>
          <m:t>=</m:t>
        </m:r>
        <m:r>
          <m:t>0.375</m:t>
        </m:r>
      </m:oMath>
      <w:r>
        <w:rPr>
          <w:rFonts w:ascii="Times New Roman" w:hAnsi="Times New Roman"/>
          <w:color w:val="000000"/>
          <w:sz w:val="22"/>
        </w:rPr>
        <w:t xml:space="preserve">, requires a minimum-persistence run length</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years to count as a regime transition (band-coordination delay), and accumulates monument volume during persistent above-threshold intervals at the per-event labor-scaled rate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§S17.2). Sweeping</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K</m:t>
        </m:r>
        <m:r>
          <m:rPr>
            <m:sty m:val="p"/>
          </m:rPr>
          <m:t>∈</m:t>
        </m:r>
        <m:r>
          <m:rPr>
            <m:sty m:val="p"/>
          </m:rPr>
          <m:t>[</m:t>
        </m:r>
        <m:r>
          <m:t>1</m:t>
        </m:r>
        <m:r>
          <m:rPr>
            <m:sty m:val="p"/>
          </m:rPr>
          <m:t>,</m:t>
        </m:r>
        <m:r>
          <m:t>5</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rPr>
          <w:rFonts w:ascii="Times New Roman" w:hAnsi="Times New Roman"/>
          <w:color w:val="000000"/>
          <w:sz w:val="22"/>
        </w:rPr>
        <w:t xml:space="preserve">Across the swept</w:t>
      </w:r>
      <w:r>
        <w:rPr>
          <w:rFonts w:ascii="Times New Roman" w:hAnsi="Times New Roman"/>
          <w:color w:val="000000"/>
          <w:sz w:val="22"/>
        </w:rPr>
        <w:t xml:space="preserve"> </w:t>
      </w:r>
      <m:oMath>
        <m:r>
          <m:rPr>
            <m:sty m:val="p"/>
          </m:rPr>
          <m:t>(</m:t>
        </m:r>
        <m:sSub>
          <m:e>
            <m:r>
              <m:t>σ</m:t>
            </m:r>
          </m:e>
          <m:sub>
            <m:r>
              <m:t>s</m:t>
            </m:r>
            <m:r>
              <m:t>d</m:t>
            </m:r>
          </m:sub>
        </m:sSub>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grid at the LiDAR-derived per-mound WB volume of 27,065 m³ (§5.1), regime-switching predictions for cumulative WB volume span ~2,800 to ~89,000 m³ at</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s</m:t>
            </m:r>
            <m:r>
              <m:t>d</m:t>
            </m:r>
          </m:sub>
        </m:sSub>
        <m:r>
          <m:rPr>
            <m:sty m:val="p"/>
          </m:rPr>
          <m:t>∈</m:t>
        </m:r>
        <m:r>
          <m:rPr>
            <m:sty m:val="p"/>
          </m:rPr>
          <m:t>[</m:t>
        </m:r>
        <m:r>
          <m:t>0.075</m:t>
        </m:r>
        <m:r>
          <m:rPr>
            <m:sty m:val="p"/>
          </m:rPr>
          <m:t>,</m:t>
        </m:r>
        <m:r>
          <m:t>0.20</m:t>
        </m:r>
        <m:r>
          <m:rPr>
            <m:sty m:val="p"/>
          </m:rPr>
          <m:t>]</m:t>
        </m:r>
      </m:oMath>
      <w:r>
        <w:rPr>
          <w:rFonts w:ascii="Times New Roman" w:hAnsi="Times New Roman"/>
          <w:color w:val="000000"/>
          <w:sz w:val="22"/>
        </w:rPr>
        <w:t xml:space="preserve">. The observed 27,065 m³ sits inside the K=2 sweep range (~12,000 to ~35,000 m³ across this</w:t>
      </w:r>
      <w:r>
        <w:rPr>
          <w:rFonts w:ascii="Times New Roman" w:hAnsi="Times New Roman"/>
          <w:color w:val="000000"/>
          <w:sz w:val="22"/>
        </w:rPr>
        <w:t xml:space="preserve"> </w:t>
      </w:r>
      <m:oMath>
        <m:sSub>
          <m:e>
            <m:r>
              <m:t>σ</m:t>
            </m:r>
          </m:e>
          <m:sub>
            <m:r>
              <m:t>s</m:t>
            </m:r>
            <m:r>
              <m:t>d</m:t>
            </m:r>
          </m:sub>
        </m:sSub>
      </m:oMath>
      <w:r>
        <w:rPr>
          <w:rFonts w:ascii="Times New Roman" w:hAnsi="Times New Roman"/>
          <w:color w:val="000000"/>
          <w:sz w:val="22"/>
        </w:rPr>
        <w:t xml:space="preserve"> </w:t>
      </w:r>
      <w:r>
        <w:rPr>
          <w:rFonts w:ascii="Times New Roman" w:hAnsi="Times New Roman"/>
          <w:color w:val="000000"/>
          <w:sz w:val="22"/>
        </w:rPr>
        <w:t xml:space="preserve">range), with K=1 overshooting (~52,000 to ~89,000 m³) and K=3 undershooting (~2,800 to ~13,600 m³). The per-event labor-scaling extension (§S17.2) closes the WB gap essentially exactly (~25,000 m³ predicted, 0.91× of observed) independently of any specific</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value sweep-selected against the volume observation. We therefore no longer treat the regime-switching closure as the principal reconciliation. The regime-switching extension’s substantive role in the framework is to account for the episodic</w:t>
      </w:r>
      <w:r>
        <w:rPr>
          <w:rFonts w:ascii="Times New Roman" w:hAnsi="Times New Roman"/>
          <w:color w:val="000000"/>
          <w:sz w:val="22"/>
        </w:rPr>
        <w:t xml:space="preserve"> </w:t>
      </w:r>
      <w:r>
        <w:rPr>
          <w:rFonts w:ascii="Times New Roman" w:hAnsi="Times New Roman"/>
          <w:i/>
          <w:iCs/>
          <w:color w:val="000000"/>
          <w:sz w:val="22"/>
        </w:rPr>
        <w:t xml:space="preserve">tempo</w:t>
      </w:r>
      <w:r>
        <w:rPr>
          <w:rFonts w:ascii="Times New Roman" w:hAnsi="Times New Roman"/>
          <w:color w:val="000000"/>
          <w:sz w:val="22"/>
        </w:rPr>
        <w:t xml:space="preserve"> </w:t>
      </w:r>
      <w:r>
        <w:rPr>
          <w:rFonts w:ascii="Times New Roman" w:hAnsi="Times New Roman"/>
          <w:color w:val="000000"/>
          <w:sz w:val="22"/>
        </w:rPr>
        <w:t xml:space="preserve">of WB construction (the 200+-year inter-stage gaps), which it does at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the WB threshold proximity. This episodic structure is the prediction the framework makes about WB irrespective of the volume figure. The independent ethnographic anchoring of</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multi-band cooperation timescales (Wiessner 2002:434-435; Kelly 2013:159-167) remains identified as priority follow-up.</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scripts/analysis/regime_switching_simulation.py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results/sensitivity/regime_switching_wb.json</w:t>
      </w:r>
      <w:r>
        <w:rPr>
          <w:rFonts w:ascii="Times New Roman" w:hAnsi="Times New Roman"/>
          <w:color w:val="000000"/>
          <w:sz w:val="22"/>
        </w:rPr>
        <w:t xml:space="preserve">. Full ABM-level regime-switching with endogenous strategy switching and explicit annual fitness comparison remains as future work.</w:t>
      </w:r>
    </w:p>
    <w:bookmarkEnd w:id="98"/>
    <w:bookmarkStart w:id="99" w:name="s17.2-per-event-labor-scaling"/>
    <w:p>
      <w:pPr>
        <w:pStyle w:val="Heading3"/>
      </w:pPr>
      <w:r>
        <w:rPr>
          <w:rFonts w:ascii="Times New Roman" w:hAnsi="Times New Roman"/>
          <w:b w:val="0"/>
          <w:i w:val="0"/>
          <w:color w:val="000000"/>
          <w:sz w:val="22"/>
          <w:u w:val="single"/>
        </w:rPr>
        <w:t xml:space="preserve">S17.2 Per-event labor scaling</w:t>
      </w:r>
    </w:p>
    <w:p>
      <w:pPr>
        <w:pStyle w:val="FirstParagraph"/>
      </w:pPr>
      <w:r>
        <w:rPr>
          <w:rFonts w:ascii="Times New Roman" w:hAnsi="Times New Roman"/>
          <w:color w:val="000000"/>
          <w:sz w:val="22"/>
        </w:rPr>
        <w:t xml:space="preserve">(Main text §6.1;</w:t>
      </w:r>
      <w:r>
        <w:rPr>
          <w:rFonts w:ascii="Times New Roman" w:hAnsi="Times New Roman"/>
          <w:color w:val="000000"/>
          <w:sz w:val="22"/>
        </w:rPr>
        <w:t xml:space="preserve"> </w:t>
      </w:r>
      <w:r>
        <w:rPr>
          <w:rFonts w:ascii="Times New Roman" w:hAnsi="Times New Roman"/>
          <w:i/>
          <w:iCs/>
          <w:color w:val="000000"/>
          <w:sz w:val="22"/>
        </w:rPr>
        <w:t xml:space="preserve">Labor-to-volume calibration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§6.3 Watson Brake closure and the §6.6 cross-LMV magnitude correlation.</w:t>
      </w:r>
      <w:r>
        <w:rPr>
          <w:rFonts w:ascii="Times New Roman" w:hAnsi="Times New Roman"/>
          <w:color w:val="000000"/>
          <w:sz w:val="22"/>
        </w:rPr>
        <w:t xml:space="preserve"> </w:t>
      </w:r>
      <w:r>
        <w:rPr>
          <w:rFonts w:ascii="Times New Roman" w:hAnsi="Times New Roman"/>
          <w:color w:val="000000"/>
          <w:sz w:val="22"/>
        </w:rPr>
        <w:t xml:space="preserve">We add a power-law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where</w:t>
      </w:r>
      <w:r>
        <w:rPr>
          <w:rFonts w:ascii="Times New Roman" w:hAnsi="Times New Roman"/>
          <w:color w:val="000000"/>
          <w:sz w:val="22"/>
        </w:rPr>
        <w:t xml:space="preserve"> </w:t>
      </w:r>
      <m:oMath>
        <m:sSub>
          <m:e>
            <m:r>
              <m:t>b</m:t>
            </m:r>
          </m:e>
          <m:sub>
            <m:r>
              <m:t>0</m:t>
            </m:r>
          </m:sub>
        </m:sSub>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anchors PP to its observed 750,000 m³ and the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encodes how strongly per-crew output scales with crew size. Sweeping</w:t>
      </w:r>
      <w:r>
        <w:rPr>
          <w:rFonts w:ascii="Times New Roman" w:hAnsi="Times New Roman"/>
          <w:color w:val="000000"/>
          <w:sz w:val="22"/>
        </w:rP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 comparing predicted-vs-observed volumes across the eleven LMV sites: the rank-correlation Spearman</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is invariant at</w:t>
      </w:r>
      <w:r>
        <w:rPr>
          <w:rFonts w:ascii="Times New Roman" w:hAnsi="Times New Roman"/>
          <w:color w:val="000000"/>
          <w:sz w:val="22"/>
        </w:rPr>
        <w:t xml:space="preserve"> </w:t>
      </w:r>
      <m:oMath>
        <m:r>
          <m:t>0.85</m:t>
        </m:r>
      </m:oMath>
      <w:r>
        <w:rPr>
          <w:rFonts w:ascii="Times New Roman" w:hAnsi="Times New Roman"/>
          <w:color w:val="000000"/>
          <w:sz w:val="22"/>
        </w:rPr>
        <w:t xml:space="preserve">-</w:t>
      </w:r>
      <m:oMath>
        <m:r>
          <m:t>0.90</m:t>
        </m:r>
      </m:oMath>
      <w:r>
        <w:rPr>
          <w:rFonts w:ascii="Times New Roman" w:hAnsi="Times New Roman"/>
          <w:color w:val="000000"/>
          <w:sz w:val="22"/>
        </w:rPr>
        <w:t xml:space="preserve"> </w:t>
      </w:r>
      <w:r>
        <w:rPr>
          <w:rFonts w:ascii="Times New Roman" w:hAnsi="Times New Roman"/>
          <w:color w:val="000000"/>
          <w:sz w:val="22"/>
        </w:rPr>
        <w:t xml:space="preserve">(the scaling factor preserves relative ordering by design). The absolute calibration is closest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where mean</w:t>
      </w:r>
      <w:r>
        <w:rPr>
          <w:rFonts w:ascii="Times New Roman" w:hAnsi="Times New Roman"/>
          <w:color w:val="000000"/>
          <w:sz w:val="22"/>
        </w:rP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across the sample (all sites within ~10</w:t>
      </w:r>
      <m:oMath>
        <m:sSup>
          <m:e>
            <m:r>
              <m:t>​</m:t>
            </m:r>
          </m:e>
          <m:sup>
            <m:r>
              <m:t>0.5</m:t>
            </m:r>
          </m:sup>
        </m:sSup>
      </m:oMath>
      <w:r>
        <w:rPr>
          <w:rFonts w:ascii="Times New Roman" w:hAnsi="Times New Roman"/>
          <w:color w:val="000000"/>
          <w:sz w:val="22"/>
        </w:rPr>
        <w:t xml:space="preserve"> </w:t>
      </w:r>
      <w:r>
        <w:rPr>
          <w:rFonts w:ascii="Times New Roman" w:hAnsi="Times New Roman"/>
          <w:color w:val="000000"/>
          <w:sz w:val="22"/>
        </w:rPr>
        <w:t xml:space="preserve">=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volume; std of log-ratios is 0.54).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the WB prediction drops from 240,000 m³ to ~25,000 m³, essentially matching the LiDAR-derived per-mound volume of 27,065 m³ (§5.1) within ~9% (ratio 0.91×). J.W. Copes drops from 90,000 m³ to ~1,300 m³ (vs observed 500 m³, ~2.6</w:t>
      </w:r>
      <m:oMath>
        <m:r>
          <m:rPr>
            <m:sty m:val="p"/>
          </m:rPr>
          <m:t>×</m:t>
        </m:r>
      </m:oMath>
      <w:r>
        <w:rPr>
          <w:rFonts w:ascii="Times New Roman" w:hAnsi="Times New Roman"/>
          <w:color w:val="000000"/>
          <w:sz w:val="22"/>
        </w:rPr>
        <w:t xml:space="preserve">). Insley drops from 180,000 m³ to ~10,400 m³ (vs observed 14,000 m³, ~0.7</w:t>
      </w:r>
      <m:oMath>
        <m:r>
          <m:rPr>
            <m:sty m:val="p"/>
          </m:rPr>
          <m:t>×</m:t>
        </m:r>
      </m:oMath>
      <w:r>
        <w:rPr>
          <w:rFonts w:ascii="Times New Roman" w:hAnsi="Times New Roman"/>
          <w:color w:val="000000"/>
          <w:sz w:val="22"/>
        </w:rPr>
        <w:t xml:space="preserve">, slight underpredict).</w:t>
      </w:r>
    </w:p>
    <w:p>
      <w:pPr>
        <w:pStyle w:val="BodyText"/>
      </w:pPr>
      <w:r>
        <w:rPr>
          <w:rFonts w:ascii="Times New Roman" w:hAnsi="Times New Roman"/>
          <w:color w:val="000000"/>
          <w:sz w:val="22"/>
        </w:rPr>
        <w:t xml:space="preserve">The interpretation requires honest framing. The rank-correlation invariance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across all</w:t>
      </w:r>
      <w:r>
        <w:rPr>
          <w:rFonts w:ascii="Times New Roman" w:hAnsi="Times New Roman"/>
          <w:color w:val="000000"/>
          <w:sz w:val="22"/>
        </w:rPr>
        <w:t xml:space="preserve"> </w:t>
      </w:r>
      <m:oMath>
        <m:r>
          <m:t>α</m:t>
        </m:r>
      </m:oMath>
      <w:r>
        <w:rPr>
          <w:rFonts w:ascii="Times New Roman" w:hAnsi="Times New Roman"/>
          <w:color w:val="000000"/>
          <w:sz w:val="22"/>
        </w:rPr>
        <w:t xml:space="preserve">) reflects that the n-power scaling preserves rank order by construction. The absolute-volume agreement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a prediction:</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was selected as the value that minimizes mean</w:t>
      </w:r>
      <w:r>
        <w:rPr>
          <w:rFonts w:ascii="Times New Roman" w:hAnsi="Times New Roman"/>
          <w:color w:val="000000"/>
          <w:sz w:val="22"/>
        </w:rP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of observed is correct.</w:t>
      </w:r>
    </w:p>
    <w:p>
      <w:pPr>
        <w:pStyle w:val="BodyText"/>
      </w:pPr>
      <w:r>
        <w:rPr>
          <w:rFonts w:ascii="Times New Roman" w:hAnsi="Times New Roman"/>
          <w:color w:val="000000"/>
          <w:sz w:val="22"/>
        </w:rPr>
        <w:t xml:space="preserve">The framework’s substantive claim is therefore (i) the rank-correlation invariant in</w:t>
      </w:r>
      <w:r>
        <w:rPr>
          <w:rFonts w:ascii="Times New Roman" w:hAnsi="Times New Roman"/>
          <w:color w:val="000000"/>
          <w:sz w:val="22"/>
        </w:rPr>
        <w:t xml:space="preserve"> </w:t>
      </w:r>
      <m:oMath>
        <m:r>
          <m:t>α</m:t>
        </m:r>
      </m:oMath>
      <w:r>
        <w:rPr>
          <w:rFonts w:ascii="Times New Roman" w:hAnsi="Times New Roman"/>
          <w:color w:val="000000"/>
          <w:sz w:val="22"/>
        </w:rPr>
        <w:t xml:space="preserve">, which establishes that the relative-ordering signal is in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structure rather than the labor-scaling exponent; and (ii) the WB-specific result at</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which closes the ~9</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overprediction (240,000 vs LiDAR-derived 27,065 m³) subject to the labor-scaling assumption.</w:t>
      </w:r>
    </w:p>
    <w:p>
      <w:pPr>
        <w:pStyle w:val="BodyText"/>
      </w:pPr>
      <w:r>
        <w:rPr>
          <w:rFonts w:ascii="Times New Roman" w:hAnsi="Times New Roman"/>
          <w:b/>
          <w:bCs/>
          <w:color w:val="000000"/>
          <w:sz w:val="22"/>
        </w:rPr>
        <w:t xml:space="preserve">Independent ethnographic anchoring of</w:t>
      </w:r>
      <w:r>
        <w:rPr>
          <w:rFonts w:ascii="Times New Roman" w:hAnsi="Times New Roman"/>
          <w:b/>
          <w:bCs/>
          <w:color w:val="000000"/>
          <w:sz w:val="22"/>
        </w:rPr>
        <w:t xml:space="preserve"> </w:t>
      </w:r>
      <m:oMath>
        <m:r>
          <m:t>α</m:t>
        </m:r>
      </m:oMath>
      <w:r>
        <w:rPr>
          <w:rFonts w:ascii="Times New Roman" w:hAnsi="Times New Roman"/>
          <w:b/>
          <w:bCs/>
          <w:color w:val="000000"/>
          <w:sz w:val="22"/>
        </w:rPr>
        <w:t xml:space="preserve">.</w:t>
      </w:r>
      <w:r>
        <w:rPr>
          <w:rFonts w:ascii="Times New Roman" w:hAnsi="Times New Roman"/>
          <w:color w:val="000000"/>
          <w:sz w:val="22"/>
        </w:rPr>
        <w:t xml:space="preserve"> </w:t>
      </w:r>
      <w:r>
        <w:rPr>
          <w:rFonts w:ascii="Times New Roman" w:hAnsi="Times New Roman"/>
          <w:color w:val="000000"/>
          <w:sz w:val="22"/>
        </w:rP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in the framework’s scaling factor</w:t>
      </w:r>
      <w:r>
        <w:rPr>
          <w:rFonts w:ascii="Times New Roman" w:hAnsi="Times New Roman"/>
          <w:color w:val="000000"/>
          <w:sz w:val="22"/>
        </w:rP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rPr>
          <w:rFonts w:ascii="Times New Roman" w:hAnsi="Times New Roman"/>
          <w:color w:val="000000"/>
          <w:sz w:val="22"/>
        </w:rPr>
        <w:t xml:space="preserve">: total m³ output scales linearly with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selected here implies</w:t>
      </w:r>
      <w:r>
        <w:rPr>
          <w:rFonts w:ascii="Times New Roman" w:hAnsi="Times New Roman"/>
          <w:color w:val="000000"/>
          <w:sz w:val="22"/>
        </w:rPr>
        <w:t xml:space="preserve"> </w:t>
      </w:r>
      <w:r>
        <w:rPr>
          <w:rFonts w:ascii="Times New Roman" w:hAnsi="Times New Roman"/>
          <w:i/>
          <w:iCs/>
          <w:color w:val="000000"/>
          <w:sz w:val="22"/>
        </w:rPr>
        <w:t xml:space="preserve">superadditive</w:t>
      </w:r>
      <w:r>
        <w:rPr>
          <w:rFonts w:ascii="Times New Roman" w:hAnsi="Times New Roman"/>
          <w:color w:val="000000"/>
          <w:sz w:val="22"/>
        </w:rPr>
        <w:t xml:space="preserve"> </w:t>
      </w:r>
      <w:r>
        <w:rPr>
          <w:rFonts w:ascii="Times New Roman" w:hAnsi="Times New Roman"/>
          <w:color w:val="000000"/>
          <w:sz w:val="22"/>
        </w:rP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leaves the framework underpredicting Watson Brake’s LiDAR-derived 27,065 m³ by approximately 7.7-fold. Restricting to</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scripts/analysis/per_event_labor_scaling.py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results/sensitivity/per_event_labor_scaling.json</w:t>
      </w:r>
      <w:r>
        <w:rPr>
          <w:rFonts w:ascii="Times New Roman" w:hAnsi="Times New Roman"/>
          <w:color w:val="000000"/>
          <w:sz w:val="22"/>
        </w:rPr>
        <w:t xml:space="preserve">.</w:t>
      </w:r>
    </w:p>
    <w:bookmarkEnd w:id="99"/>
    <w:bookmarkStart w:id="100" w:name="Xb22f72dfb61d671a9569575f81429ccb36a3121"/>
    <w:p>
      <w:pPr>
        <w:pStyle w:val="Heading3"/>
      </w:pPr>
      <w:r>
        <w:rPr>
          <w:rFonts w:ascii="Times New Roman" w:hAnsi="Times New Roman"/>
          <w:b w:val="0"/>
          <w:i w:val="0"/>
          <w:color w:val="000000"/>
          <w:sz w:val="22"/>
          <w:u w:val="single"/>
        </w:rPr>
        <w:t xml:space="preserve">S17.3 Regional band allocation (minimal regional spatially-explicit model)</w:t>
      </w:r>
    </w:p>
    <w:p>
      <w:pPr>
        <w:pStyle w:val="FirstParagraph"/>
      </w:pPr>
      <w:r>
        <w:rPr>
          <w:rFonts w:ascii="Times New Roman" w:hAnsi="Times New Roman"/>
          <w:color w:val="000000"/>
          <w:sz w:val="22"/>
        </w:rPr>
        <w:t xml:space="preserve">(Main text §7.1;</w:t>
      </w:r>
      <w:r>
        <w:rPr>
          <w:rFonts w:ascii="Times New Roman" w:hAnsi="Times New Roman"/>
          <w:color w:val="000000"/>
          <w:sz w:val="22"/>
        </w:rPr>
        <w:t xml:space="preserve"> </w:t>
      </w:r>
      <w:r>
        <w:rPr>
          <w:rFonts w:ascii="Times New Roman" w:hAnsi="Times New Roman"/>
          <w:i/>
          <w:iCs/>
          <w:color w:val="000000"/>
          <w:sz w:val="22"/>
        </w:rPr>
        <w:t xml:space="preserve">Single-site abstraction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Sensitivity demonstration for §6.6.</w:t>
      </w:r>
      <w:r>
        <w:rPr>
          <w:rFonts w:ascii="Times New Roman" w:hAnsi="Times New Roman"/>
          <w:color w:val="000000"/>
          <w:sz w:val="22"/>
        </w:rPr>
        <w:t xml:space="preserve"> </w:t>
      </w:r>
      <w:r>
        <w:rPr>
          <w:rFonts w:ascii="Times New Roman" w:hAnsi="Times New Roman"/>
          <w:color w:val="000000"/>
          <w:sz w:val="22"/>
        </w:rPr>
        <w:t xml:space="preserve">A regional band-allocation model with 50 bands, 11 candidate sites, canoe-day travel costs (~30 km/day), and a critical-mass network bonus once</w:t>
      </w:r>
      <w:r>
        <w:rPr>
          <w:rFonts w:ascii="Times New Roman" w:hAnsi="Times New Roman"/>
          <w:color w:val="000000"/>
          <w:sz w:val="22"/>
        </w:rPr>
        <w:t xml:space="preserve"> </w:t>
      </w:r>
      <m:oMath>
        <m:sSub>
          <m:e>
            <m:r>
              <m:t>n</m:t>
            </m:r>
          </m:e>
          <m:sub>
            <m:r>
              <m:t>a</m:t>
            </m:r>
            <m:r>
              <m:t>g</m:t>
            </m:r>
            <m:r>
              <m:t>g</m:t>
            </m:r>
          </m:sub>
        </m:sSub>
        <m:r>
          <m:rPr>
            <m:sty m:val="p"/>
          </m:rPr>
          <m:t>≥</m:t>
        </m:r>
        <m:sSub>
          <m:e>
            <m:r>
              <m:t>N</m:t>
            </m:r>
          </m:e>
          <m:sub>
            <m:r>
              <m:t>t</m:t>
            </m:r>
            <m:r>
              <m:t>h</m:t>
            </m:r>
            <m:r>
              <m:t>r</m:t>
            </m:r>
            <m:r>
              <m:t>e</m:t>
            </m:r>
            <m:r>
              <m:t>s</m:t>
            </m:r>
            <m:r>
              <m:t>h</m:t>
            </m:r>
          </m:sub>
        </m:sSub>
      </m:oMath>
      <w:r>
        <w:rPr>
          <w:rFonts w:ascii="Times New Roman" w:hAnsi="Times New Roman"/>
          <w:color w:val="000000"/>
          <w:sz w:val="22"/>
        </w:rPr>
        <w:t xml:space="preserve"> </w:t>
      </w:r>
      <w:r>
        <w:rPr>
          <w:rFonts w:ascii="Times New Roman" w:hAnsi="Times New Roman"/>
          <w:color w:val="000000"/>
          <w:sz w:val="22"/>
        </w:rPr>
        <w:t xml:space="preserve">converges in three iterative rounds. At default parameters (NETWORK_BONUS = 0.05,</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5</m:t>
        </m:r>
      </m:oMath>
      <w:r>
        <w:rPr>
          <w:rFonts w:ascii="Times New Roman" w:hAnsi="Times New Roman"/>
          <w:color w:val="000000"/>
          <w:sz w:val="22"/>
        </w:rPr>
        <w:t xml:space="preserve">): winner-takes-most outcome with PP = 43 bands, Jaketown = 7 bands, all other interior sites = 0 bands. Spearman correlation of endogenized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against observed monument scale: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0.24</m:t>
        </m:r>
      </m:oMath>
      <w:r>
        <w:rPr>
          <w:rFonts w:ascii="Times New Roman" w:hAnsi="Times New Roman"/>
          <w:color w:val="000000"/>
          <w:sz w:val="22"/>
        </w:rPr>
        <w:t xml:space="preserve">, NS); against the convergence-model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w:t>
      </w:r>
      <w:r>
        <w:rPr>
          <w:rFonts w:ascii="Times New Roman" w:hAnsi="Times New Roman"/>
          <w:color w:val="000000"/>
          <w:sz w:val="22"/>
        </w:rPr>
        <w:t xml:space="preserve"> </w:t>
      </w:r>
      <m:oMath>
        <m:r>
          <m:t>ρ</m:t>
        </m:r>
        <m:r>
          <m:rPr>
            <m:sty m:val="p"/>
          </m:rPr>
          <m:t>=</m:t>
        </m:r>
        <m:r>
          <m:rPr>
            <m:sty m:val="p"/>
          </m:rPr>
          <m:t>+</m:t>
        </m:r>
        <m:r>
          <m:t>0.65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0.03</m:t>
        </m:r>
      </m:oMath>
      <w:r>
        <w:rPr>
          <w:rFonts w:ascii="Times New Roman" w:hAnsi="Times New Roman"/>
          <w:color w:val="000000"/>
          <w:sz w:val="22"/>
        </w:rPr>
        <w:t xml:space="preserve">).</w:t>
      </w:r>
    </w:p>
    <w:p>
      <w:pPr>
        <w:pStyle w:val="BodyText"/>
      </w:pPr>
      <w:r>
        <w:rPr>
          <w:rFonts w:ascii="Times New Roman" w:hAnsi="Times New Roman"/>
          <w:b/>
          <w:bCs/>
          <w:color w:val="000000"/>
          <w:sz w:val="22"/>
        </w:rPr>
        <w:t xml:space="preserve">Parameter sensitivity.</w:t>
      </w:r>
      <w:r>
        <w:rPr>
          <w:rFonts w:ascii="Times New Roman" w:hAnsi="Times New Roman"/>
          <w:color w:val="000000"/>
          <w:sz w:val="22"/>
        </w:rPr>
        <w:t xml:space="preserve"> </w:t>
      </w:r>
      <w:r>
        <w:rPr>
          <w:rFonts w:ascii="Times New Roman" w:hAnsi="Times New Roman"/>
          <w:color w:val="000000"/>
          <w:sz w:val="22"/>
        </w:rPr>
        <w:t xml:space="preserve">A sensitivity sweep across NETWORK_BONUS</w:t>
      </w:r>
      <w:r>
        <w:rPr>
          <w:rFonts w:ascii="Times New Roman" w:hAnsi="Times New Roman"/>
          <w:color w:val="000000"/>
          <w:sz w:val="22"/>
        </w:rP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rPr>
          <w:rFonts w:ascii="Times New Roman" w:hAnsi="Times New Roman"/>
          <w:color w:val="000000"/>
          <w:sz w:val="22"/>
        </w:rPr>
        <w:t xml:space="preserve"> </w:t>
      </w:r>
      <w:r>
        <w:rPr>
          <w:rFonts w:ascii="Times New Roman" w:hAnsi="Times New Roman"/>
          <w:color w:val="000000"/>
          <w:sz w:val="22"/>
        </w:rPr>
        <w:t xml:space="preserve">(20 cells) confirms the winner-takes-most outcome is robust to parameter choice: 16 of 20 cells produce the same PP = 43 / Jaketown = 7 split (ρ = +0.39 against observed scale), and the remaining 4 cells (those with</w:t>
      </w:r>
      <w:r>
        <w:rPr>
          <w:rFonts w:ascii="Times New Roman" w:hAnsi="Times New Roman"/>
          <w:color w:val="000000"/>
          <w:sz w:val="22"/>
        </w:rPr>
        <w:t xml:space="preserve"> </w:t>
      </w:r>
      <m:oMath>
        <m:sSub>
          <m:e>
            <m:r>
              <m:t>N</m:t>
            </m:r>
          </m:e>
          <m:sub>
            <m:r>
              <m:t>t</m:t>
            </m:r>
            <m:r>
              <m:t>h</m:t>
            </m:r>
            <m:r>
              <m:t>r</m:t>
            </m:r>
            <m:r>
              <m:t>e</m:t>
            </m:r>
            <m:r>
              <m:t>s</m:t>
            </m:r>
            <m:r>
              <m:t>h</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 is therefore not a parameter artifact: the qualitative result (PP as dominant regional attractor, Jaketown as secondary, all others as zero) holds across the tested parameter space.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results/sensitivity/regional_band_allocation_sensitivity.json</w:t>
      </w:r>
      <w:r>
        <w:rPr>
          <w:rFonts w:ascii="Times New Roman" w:hAnsi="Times New Roman"/>
          <w:color w:val="000000"/>
          <w:sz w:val="22"/>
        </w:rPr>
        <w:t xml:space="preserve">.</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 </w:t>
      </w:r>
      <w:r>
        <w:rPr>
          <w:rFonts w:ascii="Times New Roman" w:hAnsi="Times New Roman"/>
          <w:color w:val="000000"/>
          <w:sz w:val="22"/>
        </w:rPr>
        <w:t xml:space="preserve">against observed scale is the framework’s genuine (n_agg-endogenized) magnitude-prediction power, substantially weaker than the</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that emerges when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are supplied as inputs (§S17.5 below). This confirms the partial-correlation finding directly: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predicts location of regional attractors but not the gradation of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between PP and the smaller LMV monument-building sites. 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scripts/analysis/regional_band_allocation.py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results/sensitivity/regional_band_allocation.json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regional_band_allocation_sensitivity.json</w:t>
      </w:r>
      <w:r>
        <w:rPr>
          <w:rFonts w:ascii="Times New Roman" w:hAnsi="Times New Roman"/>
          <w:color w:val="000000"/>
          <w:sz w:val="22"/>
        </w:rP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 matching the convergence-model values.</w:t>
      </w:r>
    </w:p>
    <w:bookmarkEnd w:id="100"/>
    <w:bookmarkStart w:id="101" w:name="X99de2ea1146afca61ca1bb737b1f0d9599c4879"/>
    <w:p>
      <w:pPr>
        <w:pStyle w:val="Heading3"/>
      </w:pPr>
      <w:r>
        <w:rPr>
          <w:rFonts w:ascii="Times New Roman" w:hAnsi="Times New Roman"/>
          <w:b w:val="0"/>
          <w:i w:val="0"/>
          <w:color w:val="000000"/>
          <w:sz w:val="22"/>
          <w:u w:val="single"/>
        </w:rPr>
        <w:t xml:space="preserve">S17.4 Covariance-based, water-route-aware travel-time catchment</w:t>
      </w:r>
    </w:p>
    <w:p>
      <w:pPr>
        <w:pStyle w:val="FirstParagraph"/>
      </w:pPr>
      <w:r>
        <w:rPr>
          <w:rFonts w:ascii="Times New Roman" w:hAnsi="Times New Roman"/>
          <w:color w:val="000000"/>
          <w:sz w:val="22"/>
        </w:rPr>
        <w:t xml:space="preserve">(Main text §6.5;</w:t>
      </w:r>
      <w:r>
        <w:rPr>
          <w:rFonts w:ascii="Times New Roman" w:hAnsi="Times New Roman"/>
          <w:color w:val="000000"/>
          <w:sz w:val="22"/>
        </w:rPr>
        <w:t xml:space="preserve"> </w:t>
      </w:r>
      <w:r>
        <w:rPr>
          <w:rFonts w:ascii="Times New Roman" w:hAnsi="Times New Roman"/>
          <w:i/>
          <w:iCs/>
          <w:color w:val="000000"/>
          <w:sz w:val="22"/>
        </w:rPr>
        <w:t xml:space="preserve">Ecotone operationalization</w:t>
      </w:r>
      <w:r>
        <w:rPr>
          <w:rFonts w:ascii="Times New Roman" w:hAnsi="Times New Roman"/>
          <w:color w:val="000000"/>
          <w:sz w:val="22"/>
        </w:rPr>
        <w:t xml:space="preserve"> </w:t>
      </w:r>
      <w:r>
        <w:rPr>
          <w:rFonts w:ascii="Times New Roman" w:hAnsi="Times New Roman"/>
          <w:color w:val="000000"/>
          <w:sz w:val="22"/>
        </w:rPr>
        <w:t xml:space="preserve">in main §7.4.)</w:t>
      </w:r>
      <w:r>
        <w:rPr>
          <w:rFonts w:ascii="Times New Roman" w:hAnsi="Times New Roman"/>
          <w:color w:val="000000"/>
          <w:sz w:val="22"/>
        </w:rPr>
        <w:t xml:space="preserve"> </w:t>
      </w:r>
      <w:r>
        <w:rPr>
          <w:rFonts w:ascii="Times New Roman" w:hAnsi="Times New Roman"/>
          <w:b/>
          <w:bCs/>
          <w:color w:val="000000"/>
          <w:sz w:val="22"/>
        </w:rPr>
        <w:t xml:space="preserve">Implemented in this revision. Central to the §6.5 multi-drainage analysis.</w:t>
      </w:r>
      <w:r>
        <w:rPr>
          <w:rFonts w:ascii="Times New Roman" w:hAnsi="Times New Roman"/>
          <w:color w:val="000000"/>
          <w:sz w:val="22"/>
        </w:rPr>
        <w:t xml:space="preserve"> </w:t>
      </w:r>
      <w:r>
        <w:rPr>
          <w:rFonts w:ascii="Times New Roman" w:hAnsi="Times New Roman"/>
          <w:color w:val="000000"/>
          <w:sz w:val="22"/>
        </w:rP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Mississippi-Tensas</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Tensas-Yazoo</w:t>
      </w:r>
      <w:r>
        <w:rPr>
          <w:rFonts w:ascii="Times New Roman" w:hAnsi="Times New Roman"/>
          <w:color w:val="000000"/>
          <w:sz w:val="22"/>
        </w:rPr>
        <w:t xml:space="preserve"> </w:t>
      </w:r>
      <m:oMath>
        <m:r>
          <m:t>r</m:t>
        </m:r>
        <m:r>
          <m:rPr>
            <m:sty m:val="p"/>
          </m:rPr>
          <m:t>=</m:t>
        </m:r>
        <m:r>
          <m:t>0.54</m:t>
        </m:r>
      </m:oMath>
      <w:r>
        <w:rPr>
          <w:rFonts w:ascii="Times New Roman" w:hAnsi="Times New Roman"/>
          <w:color w:val="000000"/>
          <w:sz w:val="22"/>
        </w:rPr>
        <w:t xml:space="preserve">, Bayou Maçon-Tensas</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is used to drive a 5,000-year stochastic simulation of correlated drainage productivity. The water-route</w:t>
      </w:r>
      <w:r>
        <w:rPr>
          <w:rFonts w:ascii="Times New Roman" w:hAnsi="Times New Roman"/>
          <w:color w:val="000000"/>
          <w:sz w:val="22"/>
        </w:rPr>
        <w:t xml:space="preserve"> </w:t>
      </w:r>
      <m:oMath>
        <m:sSub>
          <m:e>
            <m:r>
              <m:t>ε</m:t>
            </m:r>
          </m:e>
          <m:sub>
            <m:r>
              <m:t>w</m:t>
            </m:r>
            <m:r>
              <m:t>r</m:t>
            </m:r>
          </m:sub>
        </m:sSub>
      </m:oMath>
      <w:r>
        <w:rPr>
          <w:rFonts w:ascii="Times New Roman" w:hAnsi="Times New Roman"/>
          <w:color w:val="000000"/>
          <w:sz w:val="22"/>
        </w:rPr>
        <w:t xml:space="preserve"> </w:t>
      </w:r>
      <w:r>
        <w:rPr>
          <w:rFonts w:ascii="Times New Roman" w:hAnsi="Times New Roman"/>
          <w:color w:val="000000"/>
          <w:sz w:val="22"/>
        </w:rPr>
        <w:t xml:space="preserve">is the variance reduction in total accessible productivity relative to a single-drainage baseline.</w:t>
      </w:r>
    </w:p>
    <w:p>
      <w:pPr>
        <w:pStyle w:val="BodyText"/>
      </w:pPr>
      <w:r>
        <w:rPr>
          <w:rFonts w:ascii="Times New Roman" w:hAnsi="Times New Roman"/>
          <w:color w:val="000000"/>
          <w:sz w:val="22"/>
        </w:rPr>
        <w:t xml:space="preserve">Per-site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(Red/Black ≈ Ouachita-system + Upland partial)</w:t>
            </w:r>
          </w:p>
        </w:tc>
        <w:tc>
          <w:tcPr/>
          <w:p>
            <w:pPr>
              <w:pStyle w:val="Compact"/>
            </w:pPr>
            <w:r>
              <w:t xml:space="preserve">0.101</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rPr>
          <w:rFonts w:ascii="Times New Roman" w:hAnsi="Times New Roman"/>
          <w:color w:val="000000"/>
          <w:sz w:val="22"/>
        </w:rPr>
        <w:t xml:space="preserve">The water-route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rPr>
          <w:rFonts w:ascii="Times New Roman" w:hAnsi="Times New Roman"/>
          <w:color w:val="000000"/>
          <w:sz w:val="22"/>
        </w:rPr>
        <w:t xml:space="preserve"> </w:t>
      </w:r>
      <m:oMath>
        <m:sSub>
          <m:e>
            <m:r>
              <m:t>ε</m:t>
            </m:r>
          </m:e>
          <m:sub>
            <m:r>
              <m:t>w</m:t>
            </m:r>
            <m:r>
              <m:t>r</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in the LMV interior categorization (they access PearlGulf only, structurally distinct).</w:t>
      </w:r>
    </w:p>
    <w:p>
      <w:pPr>
        <w:pStyle w:val="BodyText"/>
      </w:pPr>
      <w:r>
        <w:rPr>
          <w:rFonts w:ascii="Times New Roman" w:hAnsi="Times New Roman"/>
          <w:b/>
          <w:bCs/>
          <w:color w:val="000000"/>
          <w:sz w:val="22"/>
        </w:rPr>
        <w:t xml:space="preserve">Joint test combining §S17.2 (per-event labor scaling at</w:t>
      </w:r>
      <w:r>
        <w:rPr>
          <w:rFonts w:ascii="Times New Roman" w:hAnsi="Times New Roman"/>
          <w:b/>
          <w:bCs/>
          <w:color w:val="000000"/>
          <w:sz w:val="22"/>
        </w:rPr>
        <w:t xml:space="preserve"> </w:t>
      </w:r>
      <m:oMath>
        <m:r>
          <m:t>α</m:t>
        </m:r>
        <m:r>
          <m:rPr>
            <m:sty m:val="p"/>
          </m:rPr>
          <m:t>=</m:t>
        </m:r>
        <m:r>
          <m:t>2</m:t>
        </m:r>
      </m:oMath>
      <w:r>
        <w:rPr>
          <w:rFonts w:ascii="Times New Roman" w:hAnsi="Times New Roman"/>
          <w:b/>
          <w:bCs/>
          <w:color w:val="000000"/>
          <w:sz w:val="22"/>
        </w:rPr>
        <w:t xml:space="preserve">), §S17.5 (per-site</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and the water-route</w:t>
      </w:r>
      <w:r>
        <w:rPr>
          <w:rFonts w:ascii="Times New Roman" w:hAnsi="Times New Roman"/>
          <w:b/>
          <w:bCs/>
          <w:color w:val="000000"/>
          <w:sz w:val="22"/>
        </w:rPr>
        <w:t xml:space="preserve"> </w:t>
      </w:r>
      <m:oMath>
        <m:r>
          <m:t>ε</m:t>
        </m:r>
      </m:oMath>
      <w:r>
        <w:rPr>
          <w:rFonts w:ascii="Times New Roman" w:hAnsi="Times New Roman"/>
          <w:b/>
          <w:bCs/>
          <w:color w:val="000000"/>
          <w:sz w:val="22"/>
        </w:rPr>
        <w:t xml:space="preserve"> </w:t>
      </w:r>
      <w:r>
        <w:rPr>
          <w:rFonts w:ascii="Times New Roman" w:hAnsi="Times New Roman"/>
          <w:b/>
          <w:bCs/>
          <w:color w:val="000000"/>
          <w:sz w:val="22"/>
        </w:rPr>
        <w:t xml:space="preserve">developed here.</w:t>
      </w:r>
      <w:r>
        <w:rPr>
          <w:rFonts w:ascii="Times New Roman" w:hAnsi="Times New Roman"/>
          <w:color w:val="000000"/>
          <w:sz w:val="22"/>
        </w:rPr>
        <w:t xml:space="preserve"> </w:t>
      </w:r>
      <w:r>
        <w:rPr>
          <w:rFonts w:ascii="Times New Roman" w:hAnsi="Times New Roman"/>
          <w:color w:val="000000"/>
          <w:sz w:val="22"/>
        </w:rPr>
        <w:t xml:space="preserve">Combining the three implemented extensions: predicted volumes correlate with observed monument scale at Spearman</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(vs ordinal,</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(vs observed volume,</w:t>
      </w:r>
      <w:r>
        <w:rPr>
          <w:rFonts w:ascii="Times New Roman" w:hAnsi="Times New Roman"/>
          <w:color w:val="000000"/>
          <w:sz w:val="22"/>
        </w:rPr>
        <w:t xml:space="preserve"> </w:t>
      </w:r>
      <m:oMath>
        <m:r>
          <m:t>p</m:t>
        </m:r>
        <m:r>
          <m:rPr>
            <m:sty m:val="p"/>
          </m:rPr>
          <m:t>&lt;</m:t>
        </m:r>
        <m:r>
          <m:t>0.001</m:t>
        </m:r>
      </m:oMath>
      <w:r>
        <w:rPr>
          <w:rFonts w:ascii="Times New Roman" w:hAnsi="Times New Roman"/>
          <w:color w:val="000000"/>
          <w:sz w:val="22"/>
        </w:rPr>
        <w:t xml:space="preserve">). At the canoe-day catchment, the predicted PP volume = 750,000 m³ (calibration anchor); WB = 24,585 m³ (0.91× of LiDAR-derived per-mound 27,065 m³, §5.1); Insley = 10,375 m³ (0.7</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observed 14,000 m³); Lower Jackson = 49 m³ (correctly identifies it as the smallest above-threshold site at</w:t>
      </w:r>
      <w:r>
        <w:rPr>
          <w:rFonts w:ascii="Times New Roman" w:hAnsi="Times New Roman"/>
          <w:color w:val="000000"/>
          <w:sz w:val="22"/>
        </w:rPr>
        <w:t xml:space="preserve"> </w:t>
      </w:r>
      <m:oMath>
        <m:sSub>
          <m:e>
            <m:r>
              <m:t>n</m:t>
            </m:r>
          </m:e>
          <m:sub>
            <m:r>
              <m:t>a</m:t>
            </m:r>
            <m:r>
              <m:t>g</m:t>
            </m:r>
            <m:r>
              <m:t>g</m:t>
            </m:r>
          </m:sub>
        </m:sSub>
        <m:r>
          <m:rPr>
            <m:sty m:val="p"/>
          </m:rPr>
          <m:t>=</m:t>
        </m:r>
        <m:r>
          <m:t>1</m:t>
        </m:r>
      </m:oMath>
      <w:r>
        <w:rPr>
          <w:rFonts w:ascii="Times New Roman" w:hAnsi="Times New Roman"/>
          <w:color w:val="000000"/>
          <w:sz w:val="22"/>
        </w:rPr>
        <w:t xml:space="preserve">). The water-route operationalization marginally improves the magnitude correlation over the static-rubric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0.90</m:t>
        </m:r>
      </m:oMath>
      <w:r>
        <w:rPr>
          <w:rFonts w:ascii="Times New Roman" w:hAnsi="Times New Roman"/>
          <w:color w:val="000000"/>
          <w:sz w:val="22"/>
        </w:rPr>
        <w:t xml:space="preserve">, but the substantial improvement comes from making the framework’s central</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claim</w:t>
      </w:r>
      <w:r>
        <w:rPr>
          <w:rFonts w:ascii="Times New Roman" w:hAnsi="Times New Roman"/>
          <w:color w:val="000000"/>
          <w:sz w:val="22"/>
        </w:rPr>
        <w:t xml:space="preserve"> </w:t>
      </w:r>
      <w:r>
        <w:rPr>
          <w:rFonts w:ascii="Times New Roman" w:hAnsi="Times New Roman"/>
          <w:i/>
          <w:iCs/>
          <w:color w:val="000000"/>
          <w:sz w:val="22"/>
        </w:rPr>
        <w:t xml:space="preserve">measured</w:t>
      </w:r>
      <w:r>
        <w:rPr>
          <w:rFonts w:ascii="Times New Roman" w:hAnsi="Times New Roman"/>
          <w:color w:val="000000"/>
          <w:sz w:val="22"/>
        </w:rPr>
        <w:t xml:space="preserve"> </w:t>
      </w:r>
      <w:r>
        <w:rPr>
          <w:rFonts w:ascii="Times New Roman" w:hAnsi="Times New Roman"/>
          <w:color w:val="000000"/>
          <w:sz w:val="22"/>
        </w:rPr>
        <w:t xml:space="preserve">rather than asserted: PP’s distinguishing feature is now the integration of three to four substantively independent shortfall regimes via canoe-day catchment, supported empirically by the S15 correlation matrix.</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scripts/analysis/water_route_catchment_epsilon.py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results/sensitivity/water_route_epsilon.json</w:t>
      </w:r>
      <w:r>
        <w:rPr>
          <w:rFonts w:ascii="Times New Roman" w:hAnsi="Times New Roman"/>
          <w:color w:val="000000"/>
          <w:sz w:val="22"/>
        </w:rP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101"/>
    <w:bookmarkStart w:id="102" w:name="X6e88c9cd923ecba424d25efe32d2f1b2164e0a7"/>
    <w:p>
      <w:pPr>
        <w:pStyle w:val="Heading3"/>
      </w:pPr>
      <w:r>
        <w:rPr>
          <w:rFonts w:ascii="Times New Roman" w:hAnsi="Times New Roman"/>
          <w:b w:val="0"/>
          <w:i w:val="0"/>
          <w:color w:val="000000"/>
          <w:sz w:val="22"/>
          <w:u w:val="single"/>
        </w:rPr>
        <w:t xml:space="preserve">S17.5 Predicted equilibrium scale ratios under per-site</w:t>
      </w:r>
      <w:r>
        <w:rPr>
          <w:rFonts w:ascii="Times New Roman" w:hAnsi="Times New Roman"/>
          <w:b w:val="0"/>
          <w:i w:val="0"/>
          <w:color w:val="000000"/>
          <w:sz w:val="22"/>
          <w:u w:val="single"/>
        </w:rPr>
        <w:t xml:space="preserve"> </w:t>
      </w:r>
      <m:oMath>
        <m:sSub>
          <m:e>
            <m:r>
              <m:t>n</m:t>
            </m:r>
          </m:e>
          <m:sub>
            <m:r>
              <m:t>a</m:t>
            </m:r>
            <m:r>
              <m:t>g</m:t>
            </m:r>
            <m:r>
              <m:t>g</m:t>
            </m:r>
          </m:sub>
        </m:sSub>
      </m:oMath>
      <w:r>
        <w:rPr>
          <w:rFonts w:ascii="Times New Roman" w:hAnsi="Times New Roman"/>
          <w:b w:val="0"/>
          <w:i w:val="0"/>
          <w:color w:val="000000"/>
          <w:sz w:val="22"/>
          <w:u w:val="single"/>
        </w:rPr>
        <w:t xml:space="preserve"> </w:t>
      </w:r>
      <w:r>
        <w:rPr>
          <w:rFonts w:ascii="Times New Roman" w:hAnsi="Times New Roman"/>
          <w:b w:val="0"/>
          <w:i w:val="0"/>
          <w:color w:val="000000"/>
          <w:sz w:val="22"/>
          <w:u w:val="single"/>
        </w:rPr>
        <w:t xml:space="preserve">and resolved</w:t>
      </w:r>
      <w:r>
        <w:rPr>
          <w:rFonts w:ascii="Times New Roman" w:hAnsi="Times New Roman"/>
          <w:b w:val="0"/>
          <w:i w:val="0"/>
          <w:color w:val="000000"/>
          <w:sz w:val="22"/>
          <w:u w:val="single"/>
        </w:rPr>
        <w:t xml:space="preserve"> </w:t>
      </w:r>
      <m:oMath>
        <m:r>
          <m:t>ε</m:t>
        </m:r>
      </m:oMath>
    </w:p>
    <w:p>
      <w:pPr>
        <w:pStyle w:val="FirstParagraph"/>
      </w:pPr>
      <w:r>
        <w:rPr>
          <w:rFonts w:ascii="Times New Roman" w:hAnsi="Times New Roman"/>
          <w:color w:val="000000"/>
          <w:sz w:val="22"/>
        </w:rPr>
        <w:t xml:space="preserve">(Main text §6.6.)</w:t>
      </w:r>
      <w:r>
        <w:rPr>
          <w:rFonts w:ascii="Times New Roman" w:hAnsi="Times New Roman"/>
          <w:color w:val="000000"/>
          <w:sz w:val="22"/>
        </w:rPr>
        <w:t xml:space="preserve"> </w:t>
      </w:r>
      <w:r>
        <w:rPr>
          <w:rFonts w:ascii="Times New Roman" w:hAnsi="Times New Roman"/>
          <w:b/>
          <w:bCs/>
          <w:color w:val="000000"/>
          <w:sz w:val="22"/>
        </w:rPr>
        <w:t xml:space="preserve">Implemented in this revision. Sensitivity demonstration of internal consistency, with substantive caveats noted below.</w:t>
      </w:r>
      <w:r>
        <w:rPr>
          <w:rFonts w:ascii="Times New Roman" w:hAnsi="Times New Roman"/>
          <w:color w:val="000000"/>
          <w:sz w:val="22"/>
        </w:rPr>
        <w:t xml:space="preserve"> </w:t>
      </w:r>
      <w:r>
        <w:rPr>
          <w:rFonts w:ascii="Times New Roman" w:hAnsi="Times New Roman"/>
          <w:color w:val="000000"/>
          <w:sz w:val="22"/>
        </w:rPr>
        <w:t xml:space="preserve">With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Insley</w:t>
      </w:r>
      <w:r>
        <w:rPr>
          <w:rFonts w:ascii="Times New Roman" w:hAnsi="Times New Roman"/>
          <w:color w:val="000000"/>
          <w:sz w:val="22"/>
        </w:rPr>
        <w:t xml:space="preserve"> </w:t>
      </w:r>
      <m:oMath>
        <m:r>
          <m:rPr>
            <m:sty m:val="p"/>
          </m:rPr>
          <m:t>=</m:t>
        </m:r>
        <m:r>
          <m:t>6</m:t>
        </m:r>
      </m:oMath>
      <w:r>
        <w:rPr>
          <w:rFonts w:ascii="Times New Roman" w:hAnsi="Times New Roman"/>
          <w:color w:val="000000"/>
          <w:sz w:val="22"/>
        </w:rPr>
        <w:t xml:space="preserve">, Caney and Frenchman’s Bend</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Claiborne and Cedarland</w:t>
      </w:r>
      <w:r>
        <w:rPr>
          <w:rFonts w:ascii="Times New Roman" w:hAnsi="Times New Roman"/>
          <w:color w:val="000000"/>
          <w:sz w:val="22"/>
        </w:rPr>
        <w:t xml:space="preserve"> </w:t>
      </w:r>
      <m:oMath>
        <m:r>
          <m:rPr>
            <m:sty m:val="p"/>
          </m:rPr>
          <m:t>=</m:t>
        </m:r>
        <m:r>
          <m:t>4</m:t>
        </m:r>
      </m:oMath>
      <w:r>
        <w:rPr>
          <w:rFonts w:ascii="Times New Roman" w:hAnsi="Times New Roman"/>
          <w:color w:val="000000"/>
          <w:sz w:val="22"/>
        </w:rPr>
        <w:t xml:space="preserve">, J.W. Copes and Cowpen Slough</w:t>
      </w:r>
      <w:r>
        <w:rPr>
          <w:rFonts w:ascii="Times New Roman" w:hAnsi="Times New Roman"/>
          <w:color w:val="000000"/>
          <w:sz w:val="22"/>
        </w:rPr>
        <w:t xml:space="preserve"> </w:t>
      </w:r>
      <m:oMath>
        <m:r>
          <m:rPr>
            <m:sty m:val="p"/>
          </m:rPr>
          <m:t>=</m:t>
        </m:r>
        <m:r>
          <m:t>3</m:t>
        </m:r>
      </m:oMath>
      <w:r>
        <w:rPr>
          <w:rFonts w:ascii="Times New Roman" w:hAnsi="Times New Roman"/>
          <w:color w:val="000000"/>
          <w:sz w:val="22"/>
        </w:rPr>
        <w:t xml:space="preserve">, Lower Jackson</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the analytical equilibrium model produces site-specific equilibrium stocks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 predicted earthwork volumes via the PP-fit conversion (</w:t>
      </w:r>
      <m:oMath>
        <m:r>
          <m:rPr>
            <m:sty m:val="p"/>
          </m:rPr>
          <m:t>∼</m:t>
        </m:r>
        <m:r>
          <m:t>5</m:t>
        </m:r>
        <m:r>
          <m:rPr>
            <m:sty m:val="p"/>
          </m:rPr>
          <m:t>,</m:t>
        </m:r>
        <m:r>
          <m:t>779</m:t>
        </m:r>
      </m:oMath>
      <w:r>
        <w:rPr>
          <w:rFonts w:ascii="Times New Roman" w:hAnsi="Times New Roman"/>
          <w:color w:val="000000"/>
          <w:sz w:val="22"/>
        </w:rPr>
        <w:t xml:space="preserve"> </w:t>
      </w:r>
      <w:r>
        <w:rPr>
          <w:rFonts w:ascii="Times New Roman" w:hAnsi="Times New Roman"/>
          <w:color w:val="000000"/>
          <w:sz w:val="22"/>
        </w:rPr>
        <w:t xml:space="preserve">m³ per</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unit). Predicted volumes correlate strongly with observed ordinal monument scale: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0.001</m:t>
        </m:r>
      </m:oMath>
      <w:r>
        <w:rPr>
          <w:rFonts w:ascii="Times New Roman" w:hAnsi="Times New Roman"/>
          <w:color w:val="000000"/>
          <w:sz w:val="22"/>
        </w:rPr>
        <w:t xml:space="preserve">) under static-</w:t>
      </w:r>
      <m:oMath>
        <m:r>
          <m:t>ε</m:t>
        </m:r>
      </m:oMath>
      <w:r>
        <w:rPr>
          <w:rFonts w:ascii="Times New Roman" w:hAnsi="Times New Roman"/>
          <w:color w:val="000000"/>
          <w:sz w:val="22"/>
        </w:rPr>
        <w:t xml:space="preserve"> </w:t>
      </w:r>
      <w:r>
        <w:rPr>
          <w:rFonts w:ascii="Times New Roman" w:hAnsi="Times New Roman"/>
          <w:color w:val="000000"/>
          <w:sz w:val="22"/>
        </w:rPr>
        <w:t xml:space="preserve">inputs,</w:t>
      </w:r>
      <w:r>
        <w:rPr>
          <w:rFonts w:ascii="Times New Roman" w:hAnsi="Times New Roman"/>
          <w:color w:val="000000"/>
          <w:sz w:val="22"/>
        </w:rPr>
        <w:t xml:space="preserve"> </w:t>
      </w:r>
      <m:oMath>
        <m:r>
          <m:t>ρ</m:t>
        </m:r>
        <m:r>
          <m:rPr>
            <m:sty m:val="p"/>
          </m:rPr>
          <m:t>=</m:t>
        </m:r>
        <m:r>
          <m:rPr>
            <m:sty m:val="p"/>
          </m:rPr>
          <m:t>+</m:t>
        </m:r>
        <m:r>
          <m:t>0.88</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&lt;</m:t>
        </m:r>
        <m:r>
          <m:t>0.001</m:t>
        </m:r>
      </m:oMath>
      <w:r>
        <w:rPr>
          <w:rFonts w:ascii="Times New Roman" w:hAnsi="Times New Roman"/>
          <w:color w:val="000000"/>
          <w:sz w:val="22"/>
        </w:rPr>
        <w:t xml:space="preserve">) under phenology-</w:t>
      </w:r>
      <m:oMath>
        <m:r>
          <m:t>ε</m:t>
        </m:r>
      </m:oMath>
      <w:r>
        <w:rPr>
          <w:rFonts w:ascii="Times New Roman" w:hAnsi="Times New Roman"/>
          <w:color w:val="000000"/>
          <w:sz w:val="22"/>
        </w:rPr>
        <w:t xml:space="preserve"> </w:t>
      </w:r>
      <w:r>
        <w:rPr>
          <w:rFonts w:ascii="Times New Roman" w:hAnsi="Times New Roman"/>
          <w:color w:val="000000"/>
          <w:sz w:val="22"/>
        </w:rPr>
        <w:t xml:space="preserve">inputs, and</w:t>
      </w:r>
      <w:r>
        <w:rPr>
          <w:rFonts w:ascii="Times New Roman" w:hAnsi="Times New Roman"/>
          <w:color w:val="000000"/>
          <w:sz w:val="22"/>
        </w:rPr>
        <w:t xml:space="preserve"> </w:t>
      </w:r>
      <m:oMath>
        <m:r>
          <m:t>ρ</m:t>
        </m:r>
        <m:r>
          <m:rPr>
            <m:sty m:val="p"/>
          </m:rPr>
          <m:t>=</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under water-route-</w:t>
      </w:r>
      <m:oMath>
        <m:r>
          <m:t>ε</m:t>
        </m:r>
      </m:oMath>
      <w:r>
        <w:rPr>
          <w:rFonts w:ascii="Times New Roman" w:hAnsi="Times New Roman"/>
          <w:color w:val="000000"/>
          <w:sz w:val="22"/>
        </w:rPr>
        <w:t xml:space="preserve"> </w:t>
      </w:r>
      <w:r>
        <w:rPr>
          <w:rFonts w:ascii="Times New Roman" w:hAnsi="Times New Roman"/>
          <w:color w:val="000000"/>
          <w:sz w:val="22"/>
        </w:rPr>
        <w:t xml:space="preserve">inputs. Against observed volumes (where reported),</w:t>
      </w:r>
      <w:r>
        <w:rPr>
          <w:rFonts w:ascii="Times New Roman" w:hAnsi="Times New Roman"/>
          <w:color w:val="000000"/>
          <w:sz w:val="22"/>
        </w:rPr>
        <w:t xml:space="preserve"> </w:t>
      </w:r>
      <m:oMath>
        <m:r>
          <m:t>ρ</m:t>
        </m:r>
        <m:r>
          <m:rPr>
            <m:sty m:val="p"/>
          </m:rPr>
          <m:t>=</m:t>
        </m:r>
        <m:r>
          <m:rPr>
            <m:sty m:val="p"/>
          </m:rPr>
          <m:t>+</m:t>
        </m:r>
        <m:r>
          <m:t>0.89</m:t>
        </m:r>
      </m:oMath>
      <w:r>
        <w:rPr>
          <w:rFonts w:ascii="Times New Roman" w:hAnsi="Times New Roman"/>
          <w:color w:val="000000"/>
          <w:sz w:val="22"/>
        </w:rPr>
        <w:t xml:space="preserve"> </w:t>
      </w:r>
      <w:r>
        <w:rPr>
          <w:rFonts w:ascii="Times New Roman" w:hAnsi="Times New Roman"/>
          <w:color w:val="000000"/>
          <w:sz w:val="22"/>
        </w:rPr>
        <w:t xml:space="preserve">(static) and</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(water-route).</w:t>
      </w:r>
    </w:p>
    <w:p>
      <w:pPr>
        <w:pStyle w:val="BodyText"/>
      </w:pPr>
      <w:r>
        <w:rPr>
          <w:rFonts w:ascii="Times New Roman" w:hAnsi="Times New Roman"/>
          <w:color w:val="000000"/>
          <w:sz w:val="22"/>
        </w:rPr>
        <w:t xml:space="preserve">A partial-correlation decomposition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is necessary to interpret these numbers honestly. The diagnostic question is: if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(from the convergence-model literature), how much</w:t>
      </w:r>
      <w:r>
        <w:rPr>
          <w:rFonts w:ascii="Times New Roman" w:hAnsi="Times New Roman"/>
          <w:color w:val="000000"/>
          <w:sz w:val="22"/>
        </w:rPr>
        <w:t xml:space="preserve"> </w:t>
      </w:r>
      <w:r>
        <w:rPr>
          <w:rFonts w:ascii="Times New Roman" w:hAnsi="Times New Roman"/>
          <w:i/>
          <w:iCs/>
          <w:color w:val="000000"/>
          <w:sz w:val="22"/>
        </w:rPr>
        <w:t xml:space="preserve">extra</w:t>
      </w:r>
      <w:r>
        <w:rPr>
          <w:rFonts w:ascii="Times New Roman" w:hAnsi="Times New Roman"/>
          <w:color w:val="000000"/>
          <w:sz w:val="22"/>
        </w:rPr>
        <w:t xml:space="preserve"> </w:t>
      </w:r>
      <w:r>
        <w:rPr>
          <w:rFonts w:ascii="Times New Roman" w:hAnsi="Times New Roman"/>
          <w:color w:val="000000"/>
          <w:sz w:val="22"/>
        </w:rPr>
        <w:t xml:space="preserve">predictive power does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provide? Almost none.</w:t>
      </w:r>
      <w:r>
        <w:rPr>
          <w:rFonts w:ascii="Times New Roman" w:hAnsi="Times New Roman"/>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alone, with no framework, gives Spearman</w:t>
      </w:r>
      <w:r>
        <w:rPr>
          <w:rFonts w:ascii="Times New Roman" w:hAnsi="Times New Roman"/>
          <w:b/>
          <w:bCs/>
          <w:color w:val="000000"/>
          <w:sz w:val="22"/>
        </w:rPr>
        <w:t xml:space="preserve"> </w:t>
      </w:r>
      <m:oMath>
        <m:r>
          <m:t>ρ</m:t>
        </m:r>
        <m:r>
          <m:rPr>
            <m:sty m:val="p"/>
          </m:rPr>
          <m:t>=</m:t>
        </m:r>
        <m:r>
          <m:rPr>
            <m:sty m:val="p"/>
          </m:rPr>
          <m:t>+</m:t>
        </m:r>
        <m:r>
          <m:t>0.87</m:t>
        </m:r>
      </m:oMath>
      <w:r>
        <w:rPr>
          <w:rFonts w:ascii="Times New Roman" w:hAnsi="Times New Roman"/>
          <w:b/>
          <w:bCs/>
          <w:color w:val="000000"/>
          <w:sz w:val="22"/>
        </w:rPr>
        <w:t xml:space="preserve"> </w:t>
      </w:r>
      <w:r>
        <w:rPr>
          <w:rFonts w:ascii="Times New Roman" w:hAnsi="Times New Roman"/>
          <w:b/>
          <w:bCs/>
          <w:color w:val="000000"/>
          <w:sz w:val="22"/>
        </w:rPr>
        <w:t xml:space="preserve">against ordinal scale and</w:t>
      </w:r>
      <w:r>
        <w:rPr>
          <w:rFonts w:ascii="Times New Roman" w:hAnsi="Times New Roman"/>
          <w:b/>
          <w:bCs/>
          <w:color w:val="000000"/>
          <w:sz w:val="22"/>
        </w:rPr>
        <w:t xml:space="preserve"> </w:t>
      </w:r>
      <m:oMath>
        <m:r>
          <m:t>ρ</m:t>
        </m:r>
        <m:r>
          <m:rPr>
            <m:sty m:val="p"/>
          </m:rPr>
          <m:t>=</m:t>
        </m:r>
        <m:r>
          <m:rPr>
            <m:sty m:val="p"/>
          </m:rPr>
          <m:t>+</m:t>
        </m:r>
        <m:r>
          <m:t>0.91</m:t>
        </m:r>
      </m:oMath>
      <w:r>
        <w:rPr>
          <w:rFonts w:ascii="Times New Roman" w:hAnsi="Times New Roman"/>
          <w:b/>
          <w:bCs/>
          <w:color w:val="000000"/>
          <w:sz w:val="22"/>
        </w:rPr>
        <w:t xml:space="preserve"> </w:t>
      </w:r>
      <w:r>
        <w:rPr>
          <w:rFonts w:ascii="Times New Roman" w:hAnsi="Times New Roman"/>
          <w:b/>
          <w:bCs/>
          <w:color w:val="000000"/>
          <w:sz w:val="22"/>
        </w:rPr>
        <w:t xml:space="preserve">against observed volume.</w:t>
      </w:r>
      <w:r>
        <w:rPr>
          <w:rFonts w:ascii="Times New Roman" w:hAnsi="Times New Roman"/>
          <w:color w:val="000000"/>
          <w:sz w:val="22"/>
        </w:rPr>
        <w:t xml:space="preserve"> </w:t>
      </w:r>
      <w:r>
        <w:rPr>
          <w:rFonts w:ascii="Times New Roman" w:hAnsi="Times New Roman"/>
          <w:color w:val="000000"/>
          <w:sz w:val="22"/>
        </w:rPr>
        <w:t xml:space="preserve">The marginal contribution of each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operationalization to the joint correlation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minus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-alone</w:t>
      </w:r>
      <w:r>
        <w:rPr>
          <w:rFonts w:ascii="Times New Roman" w:hAnsi="Times New Roman"/>
          <w:color w:val="000000"/>
          <w:sz w:val="22"/>
        </w:rPr>
        <w:t xml:space="preserve"> </w:t>
      </w:r>
      <m:oMath>
        <m:r>
          <m:t>ρ</m:t>
        </m:r>
      </m:oMath>
      <w:r>
        <w:rPr>
          <w:rFonts w:ascii="Times New Roman" w:hAnsi="Times New Roman"/>
          <w:color w:val="000000"/>
          <w:sz w:val="22"/>
        </w:rPr>
        <w:t xml:space="preserve">), against ordinal scale, is:</w:t>
      </w:r>
      <w:r>
        <w:rPr>
          <w:rFonts w:ascii="Times New Roman" w:hAnsi="Times New Roman"/>
          <w:color w:val="000000"/>
          <w:sz w:val="22"/>
        </w:rPr>
        <w:t xml:space="preserve"> </w:t>
      </w:r>
      <m:oMath>
        <m:r>
          <m:rPr>
            <m:sty m:val="p"/>
          </m:rPr>
          <m:t>−</m:t>
        </m:r>
        <m:r>
          <m:t>0.019</m:t>
        </m:r>
      </m:oMath>
      <w:r>
        <w:rPr>
          <w:rFonts w:ascii="Times New Roman" w:hAnsi="Times New Roman"/>
          <w:color w:val="000000"/>
          <w:sz w:val="22"/>
        </w:rPr>
        <w:t xml:space="preserve"> </w:t>
      </w:r>
      <w:r>
        <w:rPr>
          <w:rFonts w:ascii="Times New Roman" w:hAnsi="Times New Roman"/>
          <w:color w:val="000000"/>
          <w:sz w:val="22"/>
        </w:rPr>
        <w:t xml:space="preserve">(static),</w:t>
      </w:r>
      <w:r>
        <w:rPr>
          <w:rFonts w:ascii="Times New Roman" w:hAnsi="Times New Roman"/>
          <w:color w:val="000000"/>
          <w:sz w:val="22"/>
        </w:rPr>
        <w:t xml:space="preserve"> </w:t>
      </w:r>
      <m:oMath>
        <m:r>
          <m:rPr>
            <m:sty m:val="p"/>
          </m:rPr>
          <m:t>+</m:t>
        </m:r>
        <m:r>
          <m:t>0.015</m:t>
        </m:r>
      </m:oMath>
      <w:r>
        <w:rPr>
          <w:rFonts w:ascii="Times New Roman" w:hAnsi="Times New Roman"/>
          <w:color w:val="000000"/>
          <w:sz w:val="22"/>
        </w:rPr>
        <w:t xml:space="preserve"> </w:t>
      </w:r>
      <w:r>
        <w:rPr>
          <w:rFonts w:ascii="Times New Roman" w:hAnsi="Times New Roman"/>
          <w:color w:val="000000"/>
          <w:sz w:val="22"/>
        </w:rPr>
        <w:t xml:space="preserve">(phenology),</w:t>
      </w:r>
      <w:r>
        <w:rPr>
          <w:rFonts w:ascii="Times New Roman" w:hAnsi="Times New Roman"/>
          <w:color w:val="000000"/>
          <w:sz w:val="22"/>
        </w:rPr>
        <w:t xml:space="preserve"> </w:t>
      </w:r>
      <m:oMath>
        <m:r>
          <m:rPr>
            <m:sty m:val="p"/>
          </m:rPr>
          <m:t>+</m:t>
        </m:r>
        <m:r>
          <m:t>0.029</m:t>
        </m:r>
      </m:oMath>
      <w:r>
        <w:rPr>
          <w:rFonts w:ascii="Times New Roman" w:hAnsi="Times New Roman"/>
          <w:color w:val="000000"/>
          <w:sz w:val="22"/>
        </w:rPr>
        <w:t xml:space="preserve"> </w:t>
      </w:r>
      <w:r>
        <w:rPr>
          <w:rFonts w:ascii="Times New Roman" w:hAnsi="Times New Roman"/>
          <w:color w:val="000000"/>
          <w:sz w:val="22"/>
        </w:rPr>
        <w:t xml:space="preserve">(water-route). At</w:t>
      </w:r>
      <w:r>
        <w:rPr>
          <w:rFonts w:ascii="Times New Roman" w:hAnsi="Times New Roman"/>
          <w:color w:val="000000"/>
          <w:sz w:val="22"/>
        </w:rPr>
        <w:t xml:space="preserve"> </w:t>
      </w:r>
      <m:oMath>
        <m:r>
          <m:t>n</m:t>
        </m:r>
        <m:r>
          <m:rPr>
            <m:sty m:val="p"/>
          </m:rPr>
          <m:t>=</m:t>
        </m:r>
        <m:r>
          <m:t>11</m:t>
        </m:r>
      </m:oMath>
      <w:r>
        <w:rPr>
          <w:rFonts w:ascii="Times New Roman" w:hAnsi="Times New Roman"/>
          <w:color w:val="000000"/>
          <w:sz w:val="22"/>
        </w:rPr>
        <w:t xml:space="preserve">, Spearman noise is about</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so all three marginal contributions are within noise. The honest reading: the framework’s</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equilibrium 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(a within-model consistency property), but it does not predict cross-site magnitude beyond what</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from convergence-model evidence already implies.</w:t>
      </w:r>
    </w:p>
    <w:p>
      <w:pPr>
        <w:pStyle w:val="BodyText"/>
      </w:pPr>
      <w:r>
        <w:rPr>
          <w:rFonts w:ascii="Times New Roman" w:hAnsi="Times New Roman"/>
          <w:color w:val="000000"/>
          <w:sz w:val="22"/>
        </w:rPr>
        <w:t xml:space="preserve">The framework’s structural claim about magnitude is therefore:</w:t>
      </w:r>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w:r>
        <w:rPr>
          <w:rFonts w:ascii="Times New Roman" w:hAnsi="Times New Roman"/>
          <w:color w:val="000000"/>
          <w:sz w:val="22"/>
        </w:rPr>
        <w:t xml:space="preserve">exogenously supplied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ranks across LMV sites, the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 those ranks. This is an internal consistency property of the equation set, not an independent prediction of monument scale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static-</w:t>
      </w:r>
      <m:oMath>
        <m:r>
          <m:t>ε</m:t>
        </m:r>
      </m:oMath>
      <w:r>
        <w:rPr>
          <w:rFonts w:ascii="Times New Roman" w:hAnsi="Times New Roman"/>
          <w:color w:val="000000"/>
          <w:sz w:val="22"/>
        </w:rPr>
        <w:t xml:space="preserve"> </w:t>
      </w:r>
      <w:r>
        <w:rPr>
          <w:rFonts w:ascii="Times New Roman" w:hAnsi="Times New Roman"/>
          <w:color w:val="000000"/>
          <w:sz w:val="22"/>
        </w:rPr>
        <w:t xml:space="preserve">Test A null result reported earlier in S16 (</w:t>
      </w:r>
      <m:oMath>
        <m:r>
          <m:t>ρ</m:t>
        </m:r>
        <m:r>
          <m:rPr>
            <m:sty m:val="p"/>
          </m:rPr>
          <m:t>=</m:t>
        </m:r>
        <m:r>
          <m:rPr>
            <m:sty m:val="p"/>
          </m:rPr>
          <m:t>+</m:t>
        </m:r>
        <m:r>
          <m:t>0.39</m:t>
        </m:r>
      </m:oMath>
      <w:r>
        <w:rPr>
          <w:rFonts w:ascii="Times New Roman" w:hAnsi="Times New Roman"/>
          <w:color w:val="000000"/>
          <w:sz w:val="22"/>
        </w:rPr>
        <w:t xml:space="preserve">) tests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at fixed</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 </w:t>
      </w:r>
      <w:r>
        <w:rPr>
          <w:rFonts w:ascii="Times New Roman" w:hAnsi="Times New Roman"/>
          <w:color w:val="000000"/>
          <w:sz w:val="22"/>
        </w:rPr>
        <w:t xml:space="preserve">and finds the right answer: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a screening / necessity variable, not a magnitude predictor.</w:t>
      </w:r>
    </w:p>
    <w:p>
      <w:pPr>
        <w:pStyle w:val="BodyText"/>
      </w:pPr>
      <w:r>
        <w:rPr>
          <w:rFonts w:ascii="Times New Roman" w:hAnsi="Times New Roman"/>
          <w:color w:val="000000"/>
          <w:sz w:val="22"/>
        </w:rPr>
        <w:t xml:space="preserve">Future work could test whether the framework predicts magnitude</w:t>
      </w:r>
      <w:r>
        <w:rPr>
          <w:rFonts w:ascii="Times New Roman" w:hAnsi="Times New Roman"/>
          <w:color w:val="000000"/>
          <w:sz w:val="22"/>
        </w:rPr>
        <w:t xml:space="preserve"> </w:t>
      </w:r>
      <w:r>
        <w:rPr>
          <w:rFonts w:ascii="Times New Roman" w:hAnsi="Times New Roman"/>
          <w:i/>
          <w:iCs/>
          <w:color w:val="000000"/>
          <w:sz w:val="22"/>
        </w:rPr>
        <w:t xml:space="preserve">independently</w:t>
      </w:r>
      <w:r>
        <w:rPr>
          <w:rFonts w:ascii="Times New Roman" w:hAnsi="Times New Roman"/>
          <w:color w:val="000000"/>
          <w:sz w:val="22"/>
        </w:rPr>
        <w:t xml:space="preserve"> </w:t>
      </w:r>
      <w:r>
        <w:rPr>
          <w:rFonts w:ascii="Times New Roman" w:hAnsi="Times New Roman"/>
          <w:color w:val="000000"/>
          <w:sz w:val="22"/>
        </w:rP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the joint prediction returns. The absence of that test in this article is a real limitation. We report it transparently rather than treating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as evidence of magnitude prediction by the framework. Full reproducibility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scripts/analysis/predicted_scale_ratios.py</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scripts/analysis/partial_correlation_eps_nagg.py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results/sensitivity/predicted_scale_ratios.json</w:t>
      </w:r>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results/sensitivity/partial_correlation_eps_nagg.json</w:t>
      </w:r>
      <w:r>
        <w:rPr>
          <w:rFonts w:ascii="Times New Roman" w:hAnsi="Times New Roman"/>
          <w:color w:val="000000"/>
          <w:sz w:val="22"/>
        </w:rPr>
        <w:t xml:space="preserve">.</w:t>
      </w:r>
    </w:p>
    <w:bookmarkEnd w:id="102"/>
    <w:bookmarkStart w:id="103" w:name="Xe4e7d8e25edca0f09f895447481ac1599bb9806"/>
    <w:p>
      <w:pPr>
        <w:pStyle w:val="Heading3"/>
      </w:pPr>
      <w:r>
        <w:rPr>
          <w:rFonts w:ascii="Times New Roman" w:hAnsi="Times New Roman"/>
          <w:b w:val="0"/>
          <w:i w:val="0"/>
          <w:color w:val="000000"/>
          <w:sz w:val="22"/>
          <w:u w:val="single"/>
        </w:rPr>
        <w:t xml:space="preserve">S17.6 Seasonally resolved aggregation timing</w:t>
      </w:r>
    </w:p>
    <w:p>
      <w:pPr>
        <w:pStyle w:val="FirstParagraph"/>
      </w:pPr>
      <w:r>
        <w:rPr>
          <w:rFonts w:ascii="Times New Roman" w:hAnsi="Times New Roman"/>
          <w:color w:val="000000"/>
          <w:sz w:val="22"/>
        </w:rPr>
        <w:t xml:space="preserve">(Main text §6.7.)</w:t>
      </w:r>
      <w:r>
        <w:rPr>
          <w:rFonts w:ascii="Times New Roman" w:hAnsi="Times New Roman"/>
          <w:color w:val="000000"/>
          <w:sz w:val="22"/>
        </w:rPr>
        <w:t xml:space="preserve"> </w:t>
      </w:r>
      <w:r>
        <w:rPr>
          <w:rFonts w:ascii="Times New Roman" w:hAnsi="Times New Roman"/>
          <w:b/>
          <w:bCs/>
          <w:color w:val="000000"/>
          <w:sz w:val="22"/>
        </w:rPr>
        <w:t xml:space="preserve">Minimal version implemented in this revision. Plausibility check for §6.7, with a structural caveat noted below.</w:t>
      </w:r>
      <w:r>
        <w:rPr>
          <w:rFonts w:ascii="Times New Roman" w:hAnsi="Times New Roman"/>
          <w:color w:val="000000"/>
          <w:sz w:val="22"/>
        </w:rPr>
        <w:t xml:space="preserve"> </w:t>
      </w:r>
      <w:r>
        <w:rPr>
          <w:rFonts w:ascii="Times New Roman" w:hAnsi="Times New Roman"/>
          <w:color w:val="000000"/>
          <w:sz w:val="22"/>
        </w:rP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0.326</m:t>
        </m:r>
      </m:oMath>
      <w:r>
        <w:rPr>
          <w:rFonts w:ascii="Times New Roman" w:hAnsi="Times New Roman"/>
          <w:color w:val="000000"/>
          <w:sz w:val="22"/>
        </w:rPr>
        <w:t xml:space="preserve">), the model predicts top 3 aggregation months October, September, November and a fall-winter (Sep-Feb) mean share of 0.82 vs spring-summer (Mar-Aug) mean of 0.92 (script-internal verdict:</w:t>
      </w:r>
      <w:r>
        <w:rPr>
          <w:rFonts w:ascii="Times New Roman" w:hAnsi="Times New Roman"/>
          <w:color w:val="000000"/>
          <w:sz w:val="22"/>
        </w:rPr>
        <w:t xml:space="preserve"> </w:t>
      </w:r>
      <w:r>
        <w:rPr>
          <w:rFonts w:ascii="Times New Roman" w:hAnsi="Times New Roman"/>
          <w:color w:val="000000"/>
          <w:sz w:val="22"/>
        </w:rPr>
        <w:t xml:space="preserve">“framework prediction does NOT match published evidence”</w:t>
      </w:r>
      <w:r>
        <w:rPr>
          <w:rFonts w:ascii="Times New Roman" w:hAnsi="Times New Roman"/>
          <w:color w:val="000000"/>
          <w:sz w:val="22"/>
        </w:rPr>
        <w:t xml:space="preserve"> </w:t>
      </w:r>
      <w:r>
        <w:rPr>
          <w:rFonts w:ascii="Times New Roman" w:hAnsi="Times New Roman"/>
          <w:color w:val="000000"/>
          <w:sz w:val="22"/>
        </w:rPr>
        <w:t xml:space="preserve">because the spring-summer mean share exceeds the fall-winter share when January is included).</w:t>
      </w:r>
    </w:p>
    <w:p>
      <w:pPr>
        <w:pStyle w:val="BodyText"/>
      </w:pPr>
      <w:r>
        <w:rPr>
          <w:rFonts w:ascii="Times New Roman" w:hAnsi="Times New Roman"/>
          <w:color w:val="000000"/>
          <w:sz w:val="22"/>
        </w:rPr>
        <w:t xml:space="preserve">The structural caveat is that</w:t>
      </w:r>
      <w:r>
        <w:rPr>
          <w:rFonts w:ascii="Times New Roman" w:hAnsi="Times New Roman"/>
          <w:color w:val="000000"/>
          <w:sz w:val="22"/>
        </w:rPr>
        <w:t xml:space="preserve"> </w:t>
      </w:r>
      <w:r>
        <w:rPr>
          <w:rFonts w:ascii="Times New Roman" w:hAnsi="Times New Roman"/>
          <w:b/>
          <w:bCs/>
          <w:color w:val="000000"/>
          <w:sz w:val="22"/>
        </w:rPr>
        <w:t xml:space="preserve">the top-3-months prediction is partly tautological</w:t>
      </w:r>
      <w:r>
        <w:rPr>
          <w:rFonts w:ascii="Times New Roman" w:hAnsi="Times New Roman"/>
          <w:color w:val="000000"/>
          <w:sz w:val="22"/>
        </w:rP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that the framework, given the same phenology calendar the published interpretations use, returns the same fall-month emphasis, not as evidence the framework predicts seasonality.</w:t>
      </w:r>
    </w:p>
    <w:p>
      <w:pPr>
        <w:pStyle w:val="BodyText"/>
      </w:pPr>
      <w:r>
        <w:rPr>
          <w:rFonts w:ascii="Times New Roman" w:hAnsi="Times New Roman"/>
          <w:color w:val="000000"/>
          <w:sz w:val="22"/>
        </w:rPr>
        <w:t xml:space="preserve">The script’s broader-window output (substantial aggregation share in spring fish-spawn months and summer aquatic months)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tautological in the same way: the framework’s multi-zone access enables aggregation throughout the year, while published peripheral-site plant-remains interpretations emphasize fall-winter as the documented season and infer spring dispersal. This generates a genuine falsifiable prediction. Because acidic soils have dissolved bone at the type-site core, the test cannot run on existing faunal collections. It requires new research using non-faunal seasonality proxies (macrobotanical assemblages from new excavations, phytolith and pollen records from contexts that preserve those signatures, stable-isotope sequencing of preserved tooth or shell where present, and microbotanical residues). A multi-peak signal across mast, fish-spawning, and summer aquatic months across multiple such proxies would be consistent with the framework. An exclusively fall-winter signal would tension with it.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scripts/analysis/seasonal_aggregation_timing.py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results/sensitivity/seasonal_aggregation_timing.json</w:t>
      </w:r>
      <w:r>
        <w:rPr>
          <w:rFonts w:ascii="Times New Roman" w:hAnsi="Times New Roman"/>
          <w:color w:val="000000"/>
          <w:sz w:val="22"/>
        </w:rPr>
        <w:t xml:space="preserve">. The full version (within-month time resolution, species-resolved subsistence dynamics, non-LMV-derived phenology calendar) remains as future work that would test the framework’s seasonality prediction non-circularly.</w:t>
      </w:r>
    </w:p>
    <w:bookmarkEnd w:id="103"/>
    <w:bookmarkStart w:id="104" w:name="Xb3d12c0ca8d5c240fada9f9a6fe85afecdfd9b8"/>
    <w:p>
      <w:pPr>
        <w:pStyle w:val="Heading3"/>
      </w:pPr>
      <w:r>
        <w:rPr>
          <w:rFonts w:ascii="Times New Roman" w:hAnsi="Times New Roman"/>
          <w:b w:val="0"/>
          <w:i w:val="0"/>
          <w:color w:val="000000"/>
          <w:sz w:val="22"/>
          <w:u w:val="single"/>
        </w:rPr>
        <w:t xml:space="preserve">S17.7 Maintenance-to-new-construction ratio under signal depreciation</w:t>
      </w:r>
    </w:p>
    <w:p>
      <w:pPr>
        <w:pStyle w:val="FirstParagraph"/>
      </w:pPr>
      <w:r>
        <w:rPr>
          <w:rFonts w:ascii="Times New Roman" w:hAnsi="Times New Roman"/>
          <w:color w:val="000000"/>
          <w:sz w:val="22"/>
        </w:rPr>
        <w:t xml:space="preserve">(Main text §6.8; falsifiable prediction §7.4(h).) Derived from the geometric depreciation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each period’s investment flow decomposes into the share that offsets depreciation,</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(maintenance / signal renewal), and the share</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that is net new construction. Their ratio is</w:t>
      </w:r>
    </w:p>
    <w:p>
      <w:pPr>
        <w:pStyle w:val="BodyText"/>
      </w:pPr>
      <m:oMathPara>
        <m:oMathParaPr>
          <m:jc m:val="center"/>
        </m:oMathParaPr>
        <m:oMath>
          <m:r>
            <m:t>R</m:t>
          </m:r>
          <m:r>
            <m:rPr>
              <m:sty m:val="p"/>
            </m:rPr>
            <m:t>(</m:t>
          </m:r>
          <m:sSub>
            <m:e>
              <m:r>
                <m:t>M</m:t>
              </m:r>
            </m:e>
            <m:sub>
              <m:r>
                <m:t>g</m:t>
              </m:r>
            </m:sub>
          </m:sSub>
          <m:r>
            <m:rPr>
              <m:sty m:val="p"/>
            </m:rPr>
            <m:t>)</m:t>
          </m:r>
          <m:r>
            <m:rPr>
              <m:sty m:val="p"/>
            </m:rPr>
            <m:t>=</m:t>
          </m:r>
          <m:f>
            <m:fPr>
              <m:type m:val="bar"/>
            </m:fPr>
            <m:num>
              <m:r>
                <m:t>δ</m:t>
              </m:r>
              <m:sSub>
                <m:e>
                  <m:r>
                    <m:t>M</m:t>
                  </m:r>
                </m:e>
                <m:sub>
                  <m:r>
                    <m:t>g</m:t>
                  </m:r>
                </m:sub>
              </m:sSub>
            </m:num>
            <m:den>
              <m:sSub>
                <m:e>
                  <m:r>
                    <m:t>I</m:t>
                  </m:r>
                </m:e>
                <m:sub>
                  <m:r>
                    <m:t>g</m:t>
                  </m:r>
                </m:sub>
              </m:sSub>
              <m:r>
                <m:rPr>
                  <m:sty m:val="p"/>
                </m:rPr>
                <m:t>−</m:t>
              </m:r>
              <m:r>
                <m:t>δ</m:t>
              </m:r>
              <m:sSub>
                <m:e>
                  <m:r>
                    <m:t>M</m:t>
                  </m:r>
                </m:e>
                <m:sub>
                  <m:r>
                    <m:t>g</m:t>
                  </m:r>
                </m:sub>
              </m:sSub>
            </m:den>
          </m:f>
        </m:oMath>
      </m:oMathPara>
    </w:p>
    <w:p>
      <w:pPr>
        <w:pStyle w:val="FirstParagraph"/>
      </w:pPr>
      <w:r>
        <w:rPr>
          <w:rFonts w:ascii="Times New Roman" w:hAnsi="Times New Roman"/>
          <w:color w:val="000000"/>
          <w:sz w:val="22"/>
        </w:rPr>
        <w:t xml:space="preserve">defined on the growth regime</w:t>
      </w:r>
      <w:r>
        <w:rPr>
          <w:rFonts w:ascii="Times New Roman" w:hAnsi="Times New Roman"/>
          <w:color w:val="000000"/>
          <w:sz w:val="22"/>
        </w:rPr>
        <w:t xml:space="preserve"> </w:t>
      </w:r>
      <m:oMath>
        <m:r>
          <m:t>0</m:t>
        </m:r>
        <m:r>
          <m:rPr>
            <m:sty m:val="p"/>
          </m:rPr>
          <m:t>≤</m:t>
        </m:r>
        <m:r>
          <m:t>δ</m:t>
        </m:r>
        <m:sSub>
          <m:e>
            <m:r>
              <m:t>M</m:t>
            </m:r>
          </m:e>
          <m:sub>
            <m:r>
              <m:t>g</m:t>
            </m:r>
          </m:sub>
        </m:sSub>
        <m:r>
          <m:rPr>
            <m:sty m:val="p"/>
          </m:rPr>
          <m:t>&lt;</m:t>
        </m:r>
        <m:sSub>
          <m:e>
            <m:r>
              <m:t>I</m:t>
            </m:r>
          </m:e>
          <m:sub>
            <m:r>
              <m:t>g</m:t>
            </m:r>
          </m:sub>
        </m:sSub>
      </m:oMath>
      <w:r>
        <w:rPr>
          <w:rFonts w:ascii="Times New Roman" w:hAnsi="Times New Roman"/>
          <w:color w:val="000000"/>
          <w:sz w:val="22"/>
        </w:rPr>
        <w:t xml:space="preserve">, monotonically increasing in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and diverging at the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(at saturation all investment is maintenance). Positive depreciation</w:t>
      </w:r>
      <w:r>
        <w:rPr>
          <w:rFonts w:ascii="Times New Roman" w:hAnsi="Times New Roman"/>
          <w:color w:val="000000"/>
          <w:sz w:val="22"/>
        </w:rPr>
        <w:t xml:space="preserve"> </w:t>
      </w:r>
      <m:oMath>
        <m:r>
          <m:t>δ</m:t>
        </m:r>
        <m:r>
          <m:rPr>
            <m:sty m:val="p"/>
          </m:rPr>
          <m:t>&gt;</m:t>
        </m:r>
        <m:r>
          <m:t>0</m:t>
        </m:r>
      </m:oMath>
      <w:r>
        <w:rPr>
          <w:rFonts w:ascii="Times New Roman" w:hAnsi="Times New Roman"/>
          <w:color w:val="000000"/>
          <w:sz w:val="22"/>
        </w:rPr>
        <w:t xml:space="preserve"> </w:t>
      </w:r>
      <w:r>
        <w:rPr>
          <w:rFonts w:ascii="Times New Roman" w:hAnsi="Times New Roman"/>
          <w:color w:val="000000"/>
          <w:sz w:val="22"/>
        </w:rPr>
        <w:t xml:space="preserve">follows from the multi-period Spence condition under durable signals (Bliege Bird and Smith 2005). Identifying the model’s maintenance flow with archaeologically observed renovation labor (and net growth with initial construction) is an interpretive mapping, not part of the derivation.</w:t>
      </w:r>
    </w:p>
    <w:p>
      <w:pPr>
        <w:pStyle w:val="BodyText"/>
      </w:pPr>
      <w:r>
        <w:rPr>
          <w:rFonts w:ascii="Times New Roman" w:hAnsi="Times New Roman"/>
          <w:b/>
          <w:bCs/>
          <w:color w:val="000000"/>
          <w:sz w:val="22"/>
        </w:rPr>
        <w:t xml:space="preserve">PP-scenario trajectory.</w:t>
      </w:r>
      <w:r>
        <w:rPr>
          <w:rFonts w:ascii="Times New Roman" w:hAnsi="Times New Roman"/>
          <w:color w:val="000000"/>
          <w:sz w:val="22"/>
        </w:rPr>
        <w:t xml:space="preserve"> </w:t>
      </w:r>
      <w:r>
        <w:rPr>
          <w:rFonts w:ascii="Times New Roman" w:hAnsi="Times New Roman"/>
          <w:color w:val="000000"/>
          <w:sz w:val="22"/>
        </w:rPr>
        <w:t xml:space="preserve">At PP-calibrated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lambda-sigma fixed point gives</w:t>
      </w:r>
      <w:r>
        <w:rPr>
          <w:rFonts w:ascii="Times New Roman" w:hAnsi="Times New Roman"/>
          <w:color w:val="000000"/>
          <w:sz w:val="22"/>
        </w:rPr>
        <w:t xml:space="preserve"> </w:t>
      </w:r>
      <m:oMath>
        <m:sSubSup>
          <m:e>
            <m:r>
              <m:t>M</m:t>
            </m:r>
          </m:e>
          <m:sub>
            <m:r>
              <m:t>g</m:t>
            </m:r>
          </m:sub>
          <m:sup>
            <m:r>
              <m:rPr>
                <m:sty m:val="p"/>
              </m:rPr>
              <m:t>*</m:t>
            </m:r>
          </m:sup>
        </m:sSubSup>
        <m:r>
          <m:rPr>
            <m:sty m:val="p"/>
          </m:rPr>
          <m:t>=</m:t>
        </m:r>
        <m:r>
          <m:t>129.8</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10.38</m:t>
        </m:r>
      </m:oMath>
      <w:r>
        <w:rPr>
          <w:rFonts w:ascii="Times New Roman" w:hAnsi="Times New Roman"/>
          <w:color w:val="000000"/>
          <w:sz w:val="22"/>
        </w:rPr>
        <w:t xml:space="preserve"> </w:t>
      </w:r>
      <w:r>
        <w:rPr>
          <w:rFonts w:ascii="Times New Roman" w:hAnsi="Times New Roman"/>
          <w:color w:val="000000"/>
          <w:sz w:val="22"/>
        </w:rPr>
        <w:t xml:space="preserve">units/yr. Depreciation timescale</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Starting from</w:t>
      </w:r>
      <w:r>
        <w:rPr>
          <w:rFonts w:ascii="Times New Roman" w:hAnsi="Times New Roman"/>
          <w:color w:val="000000"/>
          <w:sz w:val="22"/>
        </w:rPr>
        <w:t xml:space="preserve"> </w:t>
      </w:r>
      <m:oMath>
        <m:sSub>
          <m:e>
            <m:r>
              <m:t>M</m:t>
            </m:r>
          </m:e>
          <m:sub>
            <m:r>
              <m:t>g</m:t>
            </m:r>
          </m:sub>
        </m:sSub>
        <m:r>
          <m:rPr>
            <m:sty m:val="p"/>
          </m:rPr>
          <m:t>(</m:t>
        </m:r>
        <m:r>
          <m:t>0</m:t>
        </m:r>
        <m:r>
          <m:rPr>
            <m:sty m:val="p"/>
          </m:rPr>
          <m:t>)</m:t>
        </m:r>
        <m:r>
          <m:rPr>
            <m:sty m:val="p"/>
          </m:rPr>
          <m:t>=</m:t>
        </m:r>
        <m:r>
          <m:t>0</m:t>
        </m:r>
      </m:oMath>
      <w:r>
        <w:rPr>
          <w:rFonts w:ascii="Times New Roman" w:hAnsi="Times New Roman"/>
          <w:color w:val="000000"/>
          <w:sz w:val="22"/>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r>
              <w:t xml:space="preserve"> </w:t>
            </w:r>
            <m:oMath>
              <m:r>
                <m:t>t</m:t>
              </m:r>
            </m:oMath>
          </w:p>
        </w:tc>
        <w:tc>
          <w:tcPr/>
          <w:p>
            <w:pPr>
              <w:pStyle w:val="Compact"/>
            </w:pPr>
            <m:oMath>
              <m:sSub>
                <m:e>
                  <m:r>
                    <m:t>M</m:t>
                  </m:r>
                </m:e>
                <m:sub>
                  <m:r>
                    <m:t>g</m:t>
                  </m:r>
                </m:sub>
              </m:sSub>
              <m:r>
                <m:rPr>
                  <m:sty m:val="p"/>
                </m:rPr>
                <m:t>(</m:t>
              </m:r>
              <m:r>
                <m:t>t</m:t>
              </m:r>
              <m:r>
                <m:rPr>
                  <m:sty m:val="p"/>
                </m:rPr>
                <m:t>)</m:t>
              </m:r>
            </m:oMath>
          </w:p>
        </w:tc>
        <w:tc>
          <w:tcPr/>
          <w:p>
            <w:pPr>
              <w:pStyle w:val="Compact"/>
            </w:pPr>
            <m:oMath>
              <m:r>
                <m:t>δ</m:t>
              </m:r>
              <m:sSub>
                <m:e>
                  <m:r>
                    <m:t>M</m:t>
                  </m:r>
                </m:e>
                <m:sub>
                  <m:r>
                    <m:t>g</m:t>
                  </m:r>
                </m:sub>
              </m:sSub>
            </m:oMath>
            <w:r>
              <w:t xml:space="preserve"> </w:t>
            </w:r>
            <w:r>
              <w:t xml:space="preserve">(maint.)</w:t>
            </w:r>
          </w:p>
        </w:tc>
        <w:tc>
          <w:tcPr/>
          <w:p>
            <w:pPr>
              <w:pStyle w:val="Compact"/>
            </w:pPr>
            <m:oMath>
              <m:sSub>
                <m:e>
                  <m:r>
                    <m:t>I</m:t>
                  </m:r>
                </m:e>
                <m:sub>
                  <m:r>
                    <m:t>g</m:t>
                  </m:r>
                </m:sub>
              </m:sSub>
              <m:r>
                <m:rPr>
                  <m:sty m:val="p"/>
                </m:rPr>
                <m:t>−</m:t>
              </m:r>
              <m:r>
                <m:t>δ</m:t>
              </m:r>
              <m:sSub>
                <m:e>
                  <m:r>
                    <m:t>M</m:t>
                  </m:r>
                </m:e>
                <m:sub>
                  <m:r>
                    <m:t>g</m:t>
                  </m:r>
                </m:sub>
              </m:sSub>
            </m:oMath>
            <w:r>
              <w:t xml:space="preserve"> </w:t>
            </w:r>
            <w:r>
              <w:t xml:space="preserve">(new)</w:t>
            </w:r>
          </w:p>
        </w:tc>
        <w:tc>
          <w:tcPr/>
          <w:p>
            <w:pPr>
              <w:pStyle w:val="Compact"/>
            </w:pPr>
            <m:oMath>
              <m:r>
                <m:t>R</m:t>
              </m:r>
              <m:r>
                <m:rPr>
                  <m:sty m:val="p"/>
                </m:rPr>
                <m:t>(</m:t>
              </m:r>
              <m:sSub>
                <m:e>
                  <m:r>
                    <m:t>M</m:t>
                  </m:r>
                </m:e>
                <m:sub>
                  <m:r>
                    <m:t>g</m:t>
                  </m:r>
                </m:sub>
              </m:sSub>
              <m:r>
                <m:rPr>
                  <m:sty m:val="p"/>
                </m:rPr>
                <m:t>)</m:t>
              </m:r>
            </m:oMath>
          </w:p>
        </w:tc>
      </w:tr>
      <w:tr>
        <w:tc>
          <w:tcPr/>
          <w:p>
            <w:pPr>
              <w:pStyle w:val="Compact"/>
            </w:pPr>
            <w:r>
              <w:t xml:space="preserve">12</w:t>
            </w:r>
          </w:p>
        </w:tc>
        <w:tc>
          <w:tcPr/>
          <w:p>
            <w:pPr>
              <w:pStyle w:val="Compact"/>
            </w:pPr>
            <w:r>
              <w:t xml:space="preserve">81</w:t>
            </w:r>
          </w:p>
        </w:tc>
        <w:tc>
          <w:tcPr/>
          <w:p>
            <w:pPr>
              <w:pStyle w:val="Compact"/>
            </w:pPr>
            <w:r>
              <w:t xml:space="preserve">6.5</w:t>
            </w:r>
          </w:p>
        </w:tc>
        <w:tc>
          <w:tcPr/>
          <w:p>
            <w:pPr>
              <w:pStyle w:val="Compact"/>
            </w:pPr>
            <w:r>
              <w:t xml:space="preserve">3.9</w:t>
            </w:r>
          </w:p>
        </w:tc>
        <w:tc>
          <w:tcPr/>
          <w:p>
            <w:pPr>
              <w:pStyle w:val="Compact"/>
            </w:pPr>
            <w:r>
              <w:t xml:space="preserve">1.65</w:t>
            </w:r>
          </w:p>
        </w:tc>
      </w:tr>
      <w:tr>
        <w:tc>
          <w:tcPr/>
          <w:p>
            <w:pPr>
              <w:pStyle w:val="Compact"/>
            </w:pPr>
            <w:r>
              <w:t xml:space="preserve">25</w:t>
            </w:r>
          </w:p>
        </w:tc>
        <w:tc>
          <w:tcPr/>
          <w:p>
            <w:pPr>
              <w:pStyle w:val="Compact"/>
            </w:pPr>
            <w:r>
              <w:t xml:space="preserve">112</w:t>
            </w:r>
          </w:p>
        </w:tc>
        <w:tc>
          <w:tcPr/>
          <w:p>
            <w:pPr>
              <w:pStyle w:val="Compact"/>
            </w:pPr>
            <w:r>
              <w:t xml:space="preserve">8.96</w:t>
            </w:r>
          </w:p>
        </w:tc>
        <w:tc>
          <w:tcPr/>
          <w:p>
            <w:pPr>
              <w:pStyle w:val="Compact"/>
            </w:pPr>
            <w:r>
              <w:t xml:space="preserve">1.44</w:t>
            </w:r>
          </w:p>
        </w:tc>
        <w:tc>
          <w:tcPr/>
          <w:p>
            <w:pPr>
              <w:pStyle w:val="Compact"/>
            </w:pPr>
            <w:r>
              <w:t xml:space="preserve">6.2</w:t>
            </w:r>
          </w:p>
        </w:tc>
      </w:tr>
      <w:tr>
        <w:tc>
          <w:tcPr/>
          <w:p>
            <w:pPr>
              <w:pStyle w:val="Compact"/>
            </w:pPr>
            <w:r>
              <w:t xml:space="preserve">50</w:t>
            </w:r>
          </w:p>
        </w:tc>
        <w:tc>
          <w:tcPr/>
          <w:p>
            <w:pPr>
              <w:pStyle w:val="Compact"/>
            </w:pPr>
            <w:r>
              <w:t xml:space="preserve">127</w:t>
            </w:r>
          </w:p>
        </w:tc>
        <w:tc>
          <w:tcPr/>
          <w:p>
            <w:pPr>
              <w:pStyle w:val="Compact"/>
            </w:pPr>
            <w:r>
              <w:t xml:space="preserve">10.16</w:t>
            </w:r>
          </w:p>
        </w:tc>
        <w:tc>
          <w:tcPr/>
          <w:p>
            <w:pPr>
              <w:pStyle w:val="Compact"/>
            </w:pPr>
            <w:r>
              <w:t xml:space="preserve">0.24</w:t>
            </w:r>
          </w:p>
        </w:tc>
        <w:tc>
          <w:tcPr/>
          <w:p>
            <w:pPr>
              <w:pStyle w:val="Compact"/>
            </w:pPr>
            <w:r>
              <w:t xml:space="preserve">42</w:t>
            </w:r>
          </w:p>
        </w:tc>
      </w:tr>
      <w:tr>
        <w:tc>
          <w:tcPr/>
          <w:p>
            <w:pPr>
              <w:pStyle w:val="Compact"/>
            </w:pPr>
            <w:r>
              <w:t xml:space="preserve">75</w:t>
            </w:r>
          </w:p>
        </w:tc>
        <w:tc>
          <w:tcPr/>
          <w:p>
            <w:pPr>
              <w:pStyle w:val="Compact"/>
            </w:pPr>
            <w:r>
              <w:t xml:space="preserve">129.5</w:t>
            </w:r>
          </w:p>
        </w:tc>
        <w:tc>
          <w:tcPr/>
          <w:p>
            <w:pPr>
              <w:pStyle w:val="Compact"/>
            </w:pPr>
            <w:r>
              <w:t xml:space="preserve">10.36</w:t>
            </w:r>
          </w:p>
        </w:tc>
        <w:tc>
          <w:tcPr/>
          <w:p>
            <w:pPr>
              <w:pStyle w:val="Compact"/>
            </w:pPr>
            <w:r>
              <w:t xml:space="preserve">0.02</w:t>
            </w:r>
          </w:p>
        </w:tc>
        <w:tc>
          <w:tcPr/>
          <w:p>
            <w:pPr>
              <w:pStyle w:val="Compact"/>
            </w:pPr>
            <w:r>
              <w:t xml:space="preserve">&gt;500</w:t>
            </w:r>
          </w:p>
        </w:tc>
      </w:tr>
    </w:tbl>
    <w:p>
      <w:pPr>
        <w:pStyle w:val="BodyText"/>
      </w:pPr>
      <w:r>
        <w:rPr>
          <w:rFonts w:ascii="Times New Roman" w:hAnsi="Times New Roman"/>
          <w:color w:val="000000"/>
          <w:sz w:val="22"/>
        </w:rPr>
        <w:t xml:space="preserve">Over the 75-year active interval (Kidder and Grooms 2024 Bayesian-modeled active-construction window), cumulative maintenance is</w:t>
      </w:r>
      <w:r>
        <w:rPr>
          <w:rFonts w:ascii="Times New Roman" w:hAnsi="Times New Roman"/>
          <w:color w:val="000000"/>
          <w:sz w:val="22"/>
        </w:rPr>
        <w:t xml:space="preserve"> </w:t>
      </w:r>
      <m:oMath>
        <m:r>
          <m:rPr>
            <m:sty m:val="p"/>
          </m:rPr>
          <m:t>≈</m:t>
        </m:r>
        <m:r>
          <m:t>5.0</m:t>
        </m:r>
      </m:oMath>
      <w:r>
        <w:rPr>
          <w:rFonts w:ascii="Times New Roman" w:hAnsi="Times New Roman"/>
          <w:color w:val="000000"/>
          <w:sz w:val="22"/>
        </w:rPr>
        <w:t xml:space="preserve"> </w:t>
      </w:r>
      <w:r>
        <w:rPr>
          <w:rFonts w:ascii="Times New Roman" w:hAnsi="Times New Roman"/>
          <w:color w:val="000000"/>
          <w:sz w:val="22"/>
        </w:rPr>
        <w:t xml:space="preserve">times cumulative net new construction (83% of total labor is renewal). PP therefore sits deep in the maintenance-dominated regime for most of its active interval, as predicted by the framework.</w:t>
      </w:r>
    </w:p>
    <w:p>
      <w:pPr>
        <w:pStyle w:val="BodyText"/>
      </w:pPr>
      <w:r>
        <w:rPr>
          <w:rFonts w:ascii="Times New Roman" w:hAnsi="Times New Roman"/>
          <w:b/>
          <w:bCs/>
          <w:color w:val="000000"/>
          <w:sz w:val="22"/>
        </w:rPr>
        <w:t xml:space="preserve">WB-scenario trajectory.</w:t>
      </w:r>
      <w:r>
        <w:rPr>
          <w:rFonts w:ascii="Times New Roman" w:hAnsi="Times New Roman"/>
          <w:color w:val="000000"/>
          <w:sz w:val="22"/>
        </w:rPr>
        <w:t xml:space="preserve"> </w:t>
      </w:r>
      <w:r>
        <w:rPr>
          <w:rFonts w:ascii="Times New Roman" w:hAnsi="Times New Roman"/>
          <w:color w:val="000000"/>
          <w:sz w:val="22"/>
        </w:rPr>
        <w:t xml:space="preserve">At WB-scenario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same</w:t>
      </w:r>
      <w:r>
        <w:rPr>
          <w:rFonts w:ascii="Times New Roman" w:hAnsi="Times New Roman"/>
          <w:color w:val="000000"/>
          <w:sz w:val="22"/>
        </w:rPr>
        <w:t xml:space="preserve"> </w:t>
      </w:r>
      <m:oMath>
        <m:r>
          <m:t>δ</m:t>
        </m:r>
      </m:oMath>
      <w:r>
        <w:rPr>
          <w:rFonts w:ascii="Times New Roman" w:hAnsi="Times New Roman"/>
          <w:color w:val="000000"/>
          <w:sz w:val="22"/>
        </w:rPr>
        <w:t xml:space="preserve">),</w:t>
      </w:r>
      <w:r>
        <w:rPr>
          <w:rFonts w:ascii="Times New Roman" w:hAnsi="Times New Roman"/>
          <w:color w:val="000000"/>
          <w:sz w:val="22"/>
        </w:rPr>
        <w:t xml:space="preserve"> </w:t>
      </w:r>
      <m:oMath>
        <m:sSubSup>
          <m:e>
            <m:r>
              <m:t>M</m:t>
            </m:r>
          </m:e>
          <m:sub>
            <m:r>
              <m:t>g</m:t>
            </m:r>
          </m:sub>
          <m:sup>
            <m:r>
              <m:rPr>
                <m:sty m:val="p"/>
              </m:rPr>
              <m:t>*</m:t>
            </m:r>
          </m:sup>
        </m:sSubSup>
        <m:r>
          <m:rPr>
            <m:sty m:val="p"/>
          </m:rPr>
          <m:t>=</m:t>
        </m:r>
        <m:r>
          <m:t>41.5</m:t>
        </m:r>
      </m:oMath>
      <w:r>
        <w:rPr>
          <w:rFonts w:ascii="Times New Roman" w:hAnsi="Times New Roman"/>
          <w:color w:val="000000"/>
          <w:sz w:val="22"/>
        </w:rPr>
        <w:t xml:space="preserve"> </w:t>
      </w:r>
      <w:r>
        <w:rPr>
          <w:rFonts w:ascii="Times New Roman" w:hAnsi="Times New Roman"/>
          <w:color w:val="000000"/>
          <w:sz w:val="22"/>
        </w:rPr>
        <w:t xml:space="preserve">units and</w:t>
      </w:r>
      <w:r>
        <w:rPr>
          <w:rFonts w:ascii="Times New Roman" w:hAnsi="Times New Roman"/>
          <w:color w:val="000000"/>
          <w:sz w:val="22"/>
        </w:rPr>
        <w:t xml:space="preserve"> </w:t>
      </w:r>
      <m:oMath>
        <m:sSub>
          <m:e>
            <m:r>
              <m:t>I</m:t>
            </m:r>
          </m:e>
          <m:sub>
            <m:r>
              <m:t>g</m:t>
            </m:r>
          </m:sub>
        </m:sSub>
        <m:r>
          <m:rPr>
            <m:sty m:val="p"/>
          </m:rPr>
          <m:t>=</m:t>
        </m:r>
        <m:r>
          <m:t>3.32</m:t>
        </m:r>
      </m:oMath>
      <w:r>
        <w:rPr>
          <w:rFonts w:ascii="Times New Roman" w:hAnsi="Times New Roman"/>
          <w:color w:val="000000"/>
          <w:sz w:val="22"/>
        </w:rPr>
        <w:t xml:space="preserve"> </w:t>
      </w:r>
      <w:r>
        <w:rPr>
          <w:rFonts w:ascii="Times New Roman" w:hAnsi="Times New Roman"/>
          <w:color w:val="000000"/>
          <w:sz w:val="22"/>
        </w:rPr>
        <w:t xml:space="preserve">units/yr. Under the documented episodic regime (Saunders et al. 2005: 200+ year inter-stage gaps), each construction burst begins from a partly-depreciated stock and operates closer to initial construction than maintenance. Modeled as 4 episodes</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50 yr separated by 200 yr hiatuses (illustrative simplification of the actual chronology): within-episode</w:t>
      </w:r>
      <w:r>
        <w:rPr>
          <w:rFonts w:ascii="Times New Roman" w:hAnsi="Times New Roman"/>
          <w:color w:val="000000"/>
          <w:sz w:val="22"/>
        </w:rPr>
        <w:t xml:space="preserve"> </w:t>
      </w:r>
      <m:oMath>
        <m:r>
          <m:t>R</m:t>
        </m:r>
        <m:r>
          <m:rPr>
            <m:sty m:val="p"/>
          </m:rPr>
          <m:t>≈</m:t>
        </m:r>
        <m:r>
          <m:t>4</m:t>
        </m:r>
      </m:oMath>
      <w:r>
        <w:rPr>
          <w:rFonts w:ascii="Times New Roman" w:hAnsi="Times New Roman"/>
          <w:color w:val="000000"/>
          <w:sz w:val="22"/>
        </w:rPr>
        <w:t xml:space="preserve">, but the cumulative-across-700 yr event rate is dominated by the long silences.</w:t>
      </w:r>
    </w:p>
    <w:p>
      <w:pPr>
        <w:pStyle w:val="BodyText"/>
      </w:pPr>
      <w:r>
        <w:rPr>
          <w:rFonts w:ascii="Times New Roman" w:hAnsi="Times New Roman"/>
          <w:b/>
          <w:bCs/>
          <w:color w:val="000000"/>
          <w:sz w:val="22"/>
        </w:rPr>
        <w:t xml:space="preserve">Event-density operationalization.</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not directly observable in the archaeological record because preserved evidence does not cleanly separate maintenance from new construction. The framework’s operational expression is event density per unit time: a maintenance-dominated regime produces many small renewal events per active year (re-cappings, surface preparations, post-circle rebuilds), while a growth-dominated regime produces fewer initial-construction events with long gaps.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Event count (lower bound)</w:t>
            </w:r>
          </w:p>
        </w:tc>
        <w:tc>
          <w:tcPr/>
          <w:p>
            <w:pPr>
              <w:pStyle w:val="Compact"/>
            </w:pPr>
            <w:r>
              <w:t xml:space="preserve">Active interval</w:t>
            </w:r>
          </w:p>
        </w:tc>
        <w:tc>
          <w:tcPr/>
          <w:p>
            <w:pPr>
              <w:pStyle w:val="Compact"/>
            </w:pPr>
            <w:r>
              <w:t xml:space="preserve">Event density (yr</w:t>
            </w:r>
            <m:oMath>
              <m:sSup>
                <m:e>
                  <m:r>
                    <m:t>​</m:t>
                  </m:r>
                </m:e>
                <m:sup>
                  <m:r>
                    <m:rPr>
                      <m:sty m:val="p"/>
                    </m:rPr>
                    <m:t>−</m:t>
                  </m:r>
                  <m:r>
                    <m:t>1</m:t>
                  </m:r>
                </m:sup>
              </m:sSup>
            </m:oMath>
            <w:r>
              <w:t xml:space="preserve">)</w:t>
            </w:r>
          </w:p>
        </w:tc>
        <w:tc>
          <w:tcPr/>
          <w:p>
            <w:pPr>
              <w:pStyle w:val="Compact"/>
            </w:pPr>
            <w:r>
              <w:t xml:space="preserve">Source</w:t>
            </w:r>
          </w:p>
        </w:tc>
      </w:tr>
      <w:tr>
        <w:tc>
          <w:tcPr/>
          <w:p>
            <w:pPr>
              <w:pStyle w:val="Compact"/>
            </w:pPr>
            <w:r>
              <w:t xml:space="preserve">Poverty Point</w:t>
            </w:r>
          </w:p>
        </w:tc>
        <w:tc>
          <w:tcPr/>
          <w:p>
            <w:pPr>
              <w:pStyle w:val="Compact"/>
            </w:pPr>
            <m:oMath>
              <m:r>
                <m:rPr>
                  <m:sty m:val="p"/>
                </m:rPr>
                <m:t>≥</m:t>
              </m:r>
              <m:r>
                <m:t>100</m:t>
              </m:r>
            </m:oMath>
            <w:r>
              <w:t xml:space="preserve"> </w:t>
            </w:r>
            <w:r>
              <w:t xml:space="preserve">(64 ridge components + 16 prepared surfaces beneath Mound C + plaza post-circle build-decommission-rebuild cycles)</w:t>
            </w:r>
          </w:p>
        </w:tc>
        <w:tc>
          <w:tcPr/>
          <w:p>
            <w:pPr>
              <w:pStyle w:val="Compact"/>
            </w:pPr>
            <w:r>
              <w:t xml:space="preserve">75 yr</w:t>
            </w:r>
          </w:p>
        </w:tc>
        <w:tc>
          <w:tcPr/>
          <w:p>
            <w:pPr>
              <w:pStyle w:val="Compact"/>
            </w:pPr>
            <m:oMath>
              <m:r>
                <m:rPr>
                  <m:sty m:val="p"/>
                </m:rPr>
                <m:t>≥</m:t>
              </m:r>
              <m:r>
                <m:t>1.33</m:t>
              </m:r>
            </m:oMath>
          </w:p>
        </w:tc>
        <w:tc>
          <w:tcPr/>
          <w:p>
            <w:pPr>
              <w:pStyle w:val="Compact"/>
            </w:pPr>
            <w:r>
              <w:t xml:space="preserve">Hargrave et al. 2021; Clay 2023; Ortmann and Kidder 2013; Kidder and Grooms 2024</w:t>
            </w:r>
          </w:p>
        </w:tc>
      </w:tr>
      <w:tr>
        <w:tc>
          <w:tcPr/>
          <w:p>
            <w:pPr>
              <w:pStyle w:val="Compact"/>
            </w:pPr>
            <w:r>
              <w:t xml:space="preserve">Watson Brake</w:t>
            </w:r>
          </w:p>
        </w:tc>
        <w:tc>
          <w:tcPr/>
          <w:p>
            <w:pPr>
              <w:pStyle w:val="Compact"/>
            </w:pPr>
            <w:r>
              <w:t xml:space="preserve">11-20 (11 mounds + connecting ridges, 200+ yr inter-stage gaps)</w:t>
            </w:r>
          </w:p>
        </w:tc>
        <w:tc>
          <w:tcPr/>
          <w:p>
            <w:pPr>
              <w:pStyle w:val="Compact"/>
            </w:pPr>
            <w:r>
              <w:t xml:space="preserve">700 yr</w:t>
            </w:r>
          </w:p>
        </w:tc>
        <w:tc>
          <w:tcPr/>
          <w:p>
            <w:pPr>
              <w:pStyle w:val="Compact"/>
            </w:pPr>
            <w:r>
              <w:t xml:space="preserve">0.016-0.029</w:t>
            </w:r>
          </w:p>
        </w:tc>
        <w:tc>
          <w:tcPr/>
          <w:p>
            <w:pPr>
              <w:pStyle w:val="Compact"/>
            </w:pPr>
            <w:r>
              <w:t xml:space="preserve">Saunders et al. 2005</w:t>
            </w:r>
          </w:p>
        </w:tc>
      </w:tr>
    </w:tbl>
    <w:p>
      <w:pPr>
        <w:pStyle w:val="BodyText"/>
      </w:pPr>
      <w:r>
        <w:rPr>
          <w:rFonts w:ascii="Times New Roman" w:hAnsi="Times New Roman"/>
          <w:color w:val="000000"/>
          <w:sz w:val="22"/>
        </w:rPr>
        <w:t xml:space="preserve">PP-to-WB event-density ratio:</w:t>
      </w:r>
      <w:r>
        <w:rPr>
          <w:rFonts w:ascii="Times New Roman" w:hAnsi="Times New Roman"/>
          <w:color w:val="000000"/>
          <w:sz w:val="22"/>
        </w:rPr>
        <w:t xml:space="preserve"> </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47-85</w:t>
      </w:r>
      <m:oMath>
        <m:r>
          <m:rPr>
            <m:sty m:val="p"/>
          </m:rPr>
          <m:t>×</m:t>
        </m:r>
      </m:oMath>
      <w:r>
        <w:rPr>
          <w:rFonts w:ascii="Times New Roman" w:hAnsi="Times New Roman"/>
          <w:color w:val="000000"/>
          <w:sz w:val="22"/>
        </w:rPr>
        <w:t xml:space="preserve">. The framework predicts a ratio substantially greater than unity, given that PP held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near saturation for the duration of its 75-year active interval while WB operated episodically with depreciation gaps that reset the system toward zero between bursts. The observed contrast matches.</w:t>
      </w:r>
    </w:p>
    <w:p>
      <w:pPr>
        <w:pStyle w:val="BodyText"/>
      </w:pPr>
      <w:r>
        <w:rPr>
          <w:rFonts w:ascii="Times New Roman" w:hAnsi="Times New Roman"/>
          <w:b/>
          <w:bCs/>
          <w:color w:val="000000"/>
          <w:sz w:val="22"/>
        </w:rPr>
        <w:t xml:space="preserve">Status: independently weighted test.</w:t>
      </w:r>
      <w:r>
        <w:rPr>
          <w:rFonts w:ascii="Times New Roman" w:hAnsi="Times New Roman"/>
          <w:color w:val="000000"/>
          <w:sz w:val="22"/>
        </w:rPr>
        <w:t xml:space="preserve"> </w:t>
      </w:r>
      <w:r>
        <w:rPr>
          <w:rFonts w:ascii="Times New Roman" w:hAnsi="Times New Roman"/>
          <w:color w:val="000000"/>
          <w:sz w:val="22"/>
        </w:rPr>
        <w:t xml:space="preserve">The PP-vs-WB event-density contrast is a second-axis test on top of the §6.3 magnitude contrast: both predictions follow from the same lambda-sigma fixed point plus the geometric depreciation recurrence, without additional free parameters. A reversal of the contrast (WB showing higher event density than PP) or its reduction below an order of magnitude would weaken the signal-half-life mechanism. The mechanism is currently supported.</w:t>
      </w:r>
    </w:p>
    <w:p>
      <w:pPr>
        <w:pStyle w:val="BodyText"/>
      </w:pPr>
      <w:r>
        <w:rPr>
          <w:rFonts w:ascii="Times New Roman" w:hAnsi="Times New Roman"/>
          <w:b/>
          <w:bCs/>
          <w:color w:val="000000"/>
          <w:sz w:val="22"/>
        </w:rPr>
        <w:t xml:space="preserve">Caveats.</w:t>
      </w:r>
      <w:r>
        <w:rPr>
          <w:rFonts w:ascii="Times New Roman" w:hAnsi="Times New Roman"/>
          <w:color w:val="000000"/>
          <w:sz w:val="22"/>
        </w:rPr>
        <w:t xml:space="preserve"> </w:t>
      </w:r>
      <w:r>
        <w:rPr>
          <w:rFonts w:ascii="Times New Roman" w:hAnsi="Times New Roman"/>
          <w:color w:val="000000"/>
          <w:sz w:val="22"/>
        </w:rPr>
        <w:t xml:space="preserve">- The constant-</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approximation does not capture within-interval labor variation. Mound A’s compressed $</w:t>
      </w:r>
      <m:oMath>
        <m:r>
          <m:t>90</m:t>
        </m:r>
        <m:r>
          <m:rPr>
            <m:sty m:val="p"/>
          </m:rPr>
          <m:t>−</m:t>
        </m:r>
        <m:r>
          <m:t>d</m:t>
        </m:r>
        <m:r>
          <m:t>a</m:t>
        </m:r>
        <m:r>
          <m:t>y</m:t>
        </m:r>
        <m:r>
          <m:t>c</m:t>
        </m:r>
        <m:r>
          <m:t>o</m:t>
        </m:r>
        <m:r>
          <m:t>n</m:t>
        </m:r>
        <m:r>
          <m:t>s</m:t>
        </m:r>
        <m:r>
          <m:t>t</m:t>
        </m:r>
        <m:r>
          <m:t>r</m:t>
        </m:r>
        <m:r>
          <m:t>u</m:t>
        </m:r>
        <m:r>
          <m:t>c</m:t>
        </m:r>
        <m:r>
          <m:t>t</m:t>
        </m:r>
        <m:r>
          <m:t>i</m:t>
        </m:r>
        <m:r>
          <m:t>o</m:t>
        </m:r>
        <m:r>
          <m:t>n</m:t>
        </m:r>
        <m:r>
          <m:rPr>
            <m:sty m:val="p"/>
          </m:rPr>
          <m:t>(</m:t>
        </m:r>
        <m:r>
          <m:t>O</m:t>
        </m:r>
        <m:r>
          <m:t>r</m:t>
        </m:r>
        <m:r>
          <m:t>t</m:t>
        </m:r>
        <m:r>
          <m:t>m</m:t>
        </m:r>
        <m:r>
          <m:t>a</m:t>
        </m:r>
        <m:r>
          <m:t>n</m:t>
        </m:r>
        <m:r>
          <m:t>n</m:t>
        </m:r>
        <m:r>
          <m:t>a</m:t>
        </m:r>
        <m:r>
          <m:t>n</m:t>
        </m:r>
        <m:r>
          <m:t>d</m:t>
        </m:r>
        <m:r>
          <m:t>K</m:t>
        </m:r>
        <m:r>
          <m:t>i</m:t>
        </m:r>
        <m:r>
          <m:t>d</m:t>
        </m:r>
        <m:r>
          <m:t>d</m:t>
        </m:r>
        <m:r>
          <m:t>e</m:t>
        </m:r>
        <m:r>
          <m:t>r</m:t>
        </m:r>
        <m:r>
          <m:t>2013</m:t>
        </m:r>
        <m:r>
          <m:rPr>
            <m:sty m:val="p"/>
          </m:rPr>
          <m:t>)</m:t>
        </m:r>
        <m:r>
          <m:t>a</m:t>
        </m:r>
        <m:r>
          <m:t>n</m:t>
        </m:r>
        <m:r>
          <m:t>d</m:t>
        </m:r>
        <m:r>
          <m:t>t</m:t>
        </m:r>
        <m:r>
          <m:t>h</m:t>
        </m:r>
        <m:r>
          <m:t>e</m:t>
        </m:r>
        <m:r>
          <m:t>d</m:t>
        </m:r>
        <m:r>
          <m:t>e</m:t>
        </m:r>
        <m:r>
          <m:t>n</m:t>
        </m:r>
        <m:r>
          <m:t>s</m:t>
        </m:r>
        <m:r>
          <m:t>e</m:t>
        </m:r>
        <m:r>
          <m:t>e</m:t>
        </m:r>
        <m:r>
          <m:t>a</m:t>
        </m:r>
        <m:r>
          <m:t>r</m:t>
        </m:r>
        <m:r>
          <m:t>l</m:t>
        </m:r>
        <m:r>
          <m:t>y</m:t>
        </m:r>
        <m:r>
          <m:rPr>
            <m:sty m:val="p"/>
          </m:rPr>
          <m:t>−</m:t>
        </m:r>
        <m:r>
          <m:t>a</m:t>
        </m:r>
        <m:r>
          <m:t>c</m:t>
        </m:r>
        <m:r>
          <m:t>t</m:t>
        </m:r>
        <m:r>
          <m:t>i</m:t>
        </m:r>
        <m:r>
          <m:t>v</m:t>
        </m:r>
        <m:r>
          <m:t>e</m:t>
        </m:r>
        <m:r>
          <m:rPr>
            <m:sty m:val="p"/>
          </m:rPr>
          <m:t>−</m:t>
        </m:r>
        <m:r>
          <m:t>i</m:t>
        </m:r>
        <m:r>
          <m:t>n</m:t>
        </m:r>
        <m:r>
          <m:t>t</m:t>
        </m:r>
        <m:r>
          <m:t>e</m:t>
        </m:r>
        <m:r>
          <m:t>r</m:t>
        </m:r>
        <m:r>
          <m:t>v</m:t>
        </m:r>
        <m:r>
          <m:t>a</m:t>
        </m:r>
        <m:r>
          <m:t>l</m:t>
        </m:r>
        <m:r>
          <m:t>c</m:t>
        </m:r>
        <m:r>
          <m:t>o</m:t>
        </m:r>
        <m:r>
          <m:t>n</m:t>
        </m:r>
        <m:r>
          <m:t>s</m:t>
        </m:r>
        <m:r>
          <m:t>t</m:t>
        </m:r>
        <m:r>
          <m:t>r</m:t>
        </m:r>
        <m:r>
          <m:t>u</m:t>
        </m:r>
        <m:r>
          <m:t>c</m:t>
        </m:r>
        <m:r>
          <m:t>t</m:t>
        </m:r>
        <m:r>
          <m:t>i</m:t>
        </m:r>
        <m:r>
          <m:t>o</m:t>
        </m:r>
        <m:r>
          <m:t>n</m:t>
        </m:r>
        <m:r>
          <m:t>a</m:t>
        </m:r>
        <m:r>
          <m:t>t</m:t>
        </m:r>
        <m:r>
          <m:t>R</m:t>
        </m:r>
        <m:r>
          <m:t>i</m:t>
        </m:r>
        <m:r>
          <m:t>d</m:t>
        </m:r>
        <m:r>
          <m:t>g</m:t>
        </m:r>
        <m:r>
          <m:t>e</m:t>
        </m:r>
        <m:r>
          <m:t>3</m:t>
        </m:r>
        <m:r>
          <m:t>W</m:t>
        </m:r>
        <m:r>
          <m:t>e</m:t>
        </m:r>
        <m:r>
          <m:t>s</m:t>
        </m:r>
        <m:r>
          <m:t>t</m:t>
        </m:r>
        <m:r>
          <m:rPr>
            <m:sty m:val="p"/>
          </m:rPr>
          <m:t>(</m:t>
        </m:r>
        <m:r>
          <m:t>K</m:t>
        </m:r>
        <m:r>
          <m:t>i</m:t>
        </m:r>
        <m:r>
          <m:t>d</m:t>
        </m:r>
        <m:r>
          <m:t>d</m:t>
        </m:r>
        <m:r>
          <m:t>e</m:t>
        </m:r>
        <m:r>
          <m:t>r</m:t>
        </m:r>
        <m:r>
          <m:t>e</m:t>
        </m:r>
        <m:r>
          <m:t>t</m:t>
        </m:r>
        <m:r>
          <m:t>a</m:t>
        </m:r>
        <m:r>
          <m:t>l</m:t>
        </m:r>
        <m:r>
          <m:rPr>
            <m:sty m:val="p"/>
          </m:rPr>
          <m:t>.</m:t>
        </m:r>
        <m:r>
          <m:t>2021</m:t>
        </m:r>
        <m:r>
          <m:rPr>
            <m:sty m:val="p"/>
          </m:rPr>
          <m:t>)</m:t>
        </m:r>
        <m:r>
          <m:t>s</m:t>
        </m:r>
        <m:r>
          <m:t>u</m:t>
        </m:r>
        <m:r>
          <m:t>g</m:t>
        </m:r>
        <m:r>
          <m:t>g</m:t>
        </m:r>
        <m:r>
          <m:t>e</m:t>
        </m:r>
        <m:r>
          <m:t>s</m:t>
        </m:r>
        <m:r>
          <m:t>t</m:t>
        </m:r>
        <m:r>
          <m:t>p</m:t>
        </m:r>
        <m:r>
          <m:t>e</m:t>
        </m:r>
        <m:r>
          <m:t>a</m:t>
        </m:r>
        <m:r>
          <m:t>k</m:t>
        </m:r>
        <m:r>
          <m:t>l</m:t>
        </m:r>
        <m:r>
          <m:t>a</m:t>
        </m:r>
        <m:r>
          <m:t>b</m:t>
        </m:r>
        <m:r>
          <m:t>o</m:t>
        </m:r>
        <m:r>
          <m:t>r</m:t>
        </m:r>
        <m:r>
          <m:t>e</m:t>
        </m:r>
        <m:r>
          <m:t>a</m:t>
        </m:r>
        <m:r>
          <m:t>r</m:t>
        </m:r>
        <m:r>
          <m:t>l</m:t>
        </m:r>
        <m:r>
          <m:t>y</m:t>
        </m:r>
        <m:r>
          <m:t>f</m:t>
        </m:r>
        <m:r>
          <m:t>o</m:t>
        </m:r>
        <m:r>
          <m:t>l</m:t>
        </m:r>
        <m:r>
          <m:t>l</m:t>
        </m:r>
        <m:r>
          <m:t>o</m:t>
        </m:r>
        <m:r>
          <m:t>w</m:t>
        </m:r>
        <m:r>
          <m:t>e</m:t>
        </m:r>
        <m:r>
          <m:t>d</m:t>
        </m:r>
        <m:r>
          <m:t>b</m:t>
        </m:r>
        <m:r>
          <m:t>y</m:t>
        </m:r>
        <m:r>
          <m:t>t</m:t>
        </m:r>
        <m:r>
          <m:t>a</m:t>
        </m:r>
        <m:r>
          <m:t>i</m:t>
        </m:r>
        <m:r>
          <m:t>l</m:t>
        </m:r>
        <m:r>
          <m:rPr>
            <m:sty m:val="p"/>
          </m:rPr>
          <m:t>,</m:t>
        </m:r>
        <m:r>
          <m:t>w</m:t>
        </m:r>
        <m:r>
          <m:t>h</m:t>
        </m:r>
        <m:r>
          <m:t>i</m:t>
        </m:r>
        <m:r>
          <m:t>c</m:t>
        </m:r>
        <m:r>
          <m:t>h</m:t>
        </m:r>
        <m:r>
          <m:t>t</m:t>
        </m:r>
        <m:r>
          <m:t>h</m:t>
        </m:r>
        <m:r>
          <m:t>e</m:t>
        </m:r>
        <m:r>
          <m:t>c</m:t>
        </m:r>
        <m:r>
          <m:t>o</m:t>
        </m:r>
        <m:r>
          <m:t>n</m:t>
        </m:r>
        <m:r>
          <m:t>s</m:t>
        </m:r>
        <m:r>
          <m:t>t</m:t>
        </m:r>
        <m:r>
          <m:t>a</m:t>
        </m:r>
        <m:r>
          <m:t>n</m:t>
        </m:r>
        <m:r>
          <m:t>t</m:t>
        </m:r>
        <m:r>
          <m:rPr>
            <m:sty m:val="p"/>
          </m:rPr>
          <m:t>−</m:t>
        </m:r>
      </m:oMath>
      <w:r>
        <w:rPr>
          <w:rFonts w:ascii="Times New Roman" w:hAnsi="Times New Roman"/>
          <w:color w:val="000000"/>
          <w:sz w:val="22"/>
        </w:rPr>
        <w:t xml:space="preserve">I_g$ model does not capture. The cumulative-labor decomposition is unaffected, but the year-by-year</w:t>
      </w:r>
      <w:r>
        <w:rPr>
          <w:rFonts w:ascii="Times New Roman" w:hAnsi="Times New Roman"/>
          <w:color w:val="000000"/>
          <w:sz w:val="22"/>
        </w:rPr>
        <w:t xml:space="preserve"> </w:t>
      </w:r>
      <m:oMath>
        <m:r>
          <m:t>R</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trajectory is approximate.</w:t>
      </w:r>
      <w:r>
        <w:rPr>
          <w:rFonts w:ascii="Times New Roman" w:hAnsi="Times New Roman"/>
          <w:color w:val="000000"/>
          <w:sz w:val="22"/>
        </w:rPr>
        <w:t xml:space="preserve"> </w:t>
      </w:r>
      <w:r>
        <w:rPr>
          <w:rFonts w:ascii="Times New Roman" w:hAnsi="Times New Roman"/>
          <w:color w:val="000000"/>
          <w:sz w:val="22"/>
        </w:rPr>
        <w:t xml:space="preserve">- The published event counts mix renewal and new-construction events without a clean separator. The framework’s maintenance-vs-new split cannot be directly verified at per-event resolution from the existing archaeology.</w:t>
      </w:r>
      <w:r>
        <w:rPr>
          <w:rFonts w:ascii="Times New Roman" w:hAnsi="Times New Roman"/>
          <w:color w:val="000000"/>
          <w:sz w:val="22"/>
        </w:rPr>
        <w:t xml:space="preserve"> </w:t>
      </w:r>
      <w:r>
        <w:rPr>
          <w:rFonts w:ascii="Times New Roman" w:hAnsi="Times New Roman"/>
          <w:color w:val="000000"/>
          <w:sz w:val="22"/>
        </w:rPr>
        <w:t xml:space="preserve">- The WB episodic structure is approximated as four equal-spaced 50-year blocks. The published WB chronology (Saunders et al. 2005) shows actual episode timing differing from this simplification. The qualitative event-density contrast does not depend on the specific episode schedule.</w:t>
      </w:r>
      <w:r>
        <w:rPr>
          <w:rFonts w:ascii="Times New Roman" w:hAnsi="Times New Roman"/>
          <w:color w:val="000000"/>
          <w:sz w:val="22"/>
        </w:rPr>
        <w:t xml:space="preserve"> </w:t>
      </w:r>
      <w:r>
        <w:rPr>
          <w:rFonts w:ascii="Times New Roman" w:hAnsi="Times New Roman"/>
          <w:color w:val="000000"/>
          <w:sz w:val="22"/>
        </w:rPr>
        <w:t xml:space="preserve">- The depreciation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set from Table S2’s earthen-mound weathering-rate range</w:t>
      </w:r>
      <w:r>
        <w:rPr>
          <w:rFonts w:ascii="Times New Roman" w:hAnsi="Times New Roman"/>
          <w:color w:val="000000"/>
          <w:sz w:val="22"/>
        </w:rPr>
        <w:t xml:space="preserve"> </w:t>
      </w:r>
      <m:oMath>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but is not derived from a per-site earthwork-decay study. The PP-vs-WB contrast is robust across this range. The precise</w:t>
      </w:r>
      <w:r>
        <w:rPr>
          <w:rFonts w:ascii="Times New Roman" w:hAnsi="Times New Roman"/>
          <w:color w:val="000000"/>
          <w:sz w:val="22"/>
        </w:rPr>
        <w:t xml:space="preserve"> </w:t>
      </w:r>
      <m:oMath>
        <m:r>
          <m:t>R</m:t>
        </m:r>
      </m:oMath>
      <w:r>
        <w:rPr>
          <w:rFonts w:ascii="Times New Roman" w:hAnsi="Times New Roman"/>
          <w:color w:val="000000"/>
          <w:sz w:val="22"/>
        </w:rPr>
        <w:t xml:space="preserve"> </w:t>
      </w:r>
      <w:r>
        <w:rPr>
          <w:rFonts w:ascii="Times New Roman" w:hAnsi="Times New Roman"/>
          <w:color w:val="000000"/>
          <w:sz w:val="22"/>
        </w:rPr>
        <w:t xml:space="preserve">values are not.</w:t>
      </w:r>
    </w:p>
    <w:p>
      <w:pPr>
        <w:pStyle w:val="BodyText"/>
      </w:pPr>
      <w:r>
        <w:rPr>
          <w:rFonts w:ascii="Times New Roman" w:hAnsi="Times New Roman"/>
          <w:color w:val="000000"/>
          <w:sz w:val="22"/>
        </w:rPr>
        <w:t xml:space="preserve">Reproducible from</w:t>
      </w:r>
      <w:r>
        <w:rPr>
          <w:rFonts w:ascii="Times New Roman" w:hAnsi="Times New Roman"/>
          <w:color w:val="000000"/>
          <w:sz w:val="22"/>
        </w:rPr>
        <w:t xml:space="preserve"> </w:t>
      </w:r>
      <w:r>
        <w:rPr>
          <w:rStyle w:val="VerbatimChar"/>
          <w:rFonts w:ascii="Times New Roman" w:hAnsi="Times New Roman"/>
          <w:color w:val="000000"/>
          <w:sz w:val="22"/>
        </w:rPr>
        <w:t xml:space="preserve">scripts/analysis/renovation_ratio.py</w:t>
      </w:r>
      <w:r>
        <w:rPr>
          <w:rFonts w:ascii="Times New Roman" w:hAnsi="Times New Roman"/>
          <w:color w:val="000000"/>
          <w:sz w:val="22"/>
        </w:rPr>
        <w:t xml:space="preserve">, with outputs in</w:t>
      </w:r>
      <w:r>
        <w:rPr>
          <w:rFonts w:ascii="Times New Roman" w:hAnsi="Times New Roman"/>
          <w:color w:val="000000"/>
          <w:sz w:val="22"/>
        </w:rPr>
        <w:t xml:space="preserve"> </w:t>
      </w:r>
      <w:r>
        <w:rPr>
          <w:rStyle w:val="VerbatimChar"/>
          <w:rFonts w:ascii="Times New Roman" w:hAnsi="Times New Roman"/>
          <w:color w:val="000000"/>
          <w:sz w:val="22"/>
        </w:rPr>
        <w:t xml:space="preserve">results/sensitivity/renovation_ratio.json</w:t>
      </w:r>
      <w:r>
        <w:rPr>
          <w:rFonts w:ascii="Times New Roman" w:hAnsi="Times New Roman"/>
          <w:color w:val="000000"/>
          <w:sz w:val="22"/>
        </w:rPr>
        <w:t xml:space="preserve">.</w:t>
      </w:r>
    </w:p>
    <w:bookmarkEnd w:id="104"/>
    <w:bookmarkStart w:id="105" w:name="s17.8-priority-follow-up-work"/>
    <w:p>
      <w:pPr>
        <w:pStyle w:val="Heading3"/>
      </w:pPr>
      <w:r>
        <w:rPr>
          <w:rFonts w:ascii="Times New Roman" w:hAnsi="Times New Roman"/>
          <w:b w:val="0"/>
          <w:i w:val="0"/>
          <w:color w:val="000000"/>
          <w:sz w:val="22"/>
          <w:u w:val="single"/>
        </w:rPr>
        <w:t xml:space="preserve">S17.8 Priority follow-up work</w:t>
      </w:r>
    </w:p>
    <w:p>
      <w:pPr>
        <w:pStyle w:val="FirstParagraph"/>
      </w:pPr>
      <w:r>
        <w:rPr>
          <w:rFonts w:ascii="Times New Roman" w:hAnsi="Times New Roman"/>
          <w:color w:val="000000"/>
          <w:sz w:val="22"/>
        </w:rPr>
        <w:t xml:space="preserve">The seven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rFonts w:ascii="Times New Roman" w:hAnsi="Times New Roman"/>
          <w:b/>
          <w:bCs/>
          <w:color w:val="000000"/>
          <w:sz w:val="22"/>
        </w:rPr>
        <w:t xml:space="preserve">Full ABM-level regime switching</w:t>
      </w:r>
      <w:r>
        <w:rPr>
          <w:rFonts w:ascii="Times New Roman" w:hAnsi="Times New Roman"/>
          <w:color w:val="000000"/>
          <w:sz w:val="22"/>
        </w:rPr>
        <w:t xml:space="preserve"> </w:t>
      </w:r>
      <w:r>
        <w:rPr>
          <w:rFonts w:ascii="Times New Roman" w:hAnsi="Times New Roman"/>
          <w:color w:val="000000"/>
          <w:sz w:val="22"/>
        </w:rPr>
        <w:t xml:space="preserve">with endogenous strategy choice and explicit annual fitness comparison, replacing the analytical-stochastic version implemented in §S17.1. This would derive the band-coordination persistence parameter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from agent dynamics rather than treating it as a free parameter.</w:t>
      </w:r>
    </w:p>
    <w:p>
      <w:pPr>
        <w:numPr>
          <w:ilvl w:val="0"/>
          <w:numId w:val="1005"/>
        </w:numPr>
      </w:pPr>
      <w:r>
        <w:rPr>
          <w:rFonts w:ascii="Times New Roman" w:hAnsi="Times New Roman"/>
          <w:b/>
          <w:bCs/>
          <w:color w:val="000000"/>
          <w:sz w:val="22"/>
        </w:rPr>
        <w:t xml:space="preserve">Independent ethnographic anchoring of the labor-scaling exponent</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(§S17.2) at the crew sizes relevant for Watson Brake versus Poverty Point. The current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closure exceeds the Erasmus (1965) baseline of</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and is calibrated to the eleven-site sample rather than derived independently.</w:t>
      </w:r>
    </w:p>
    <w:p>
      <w:pPr>
        <w:numPr>
          <w:ilvl w:val="0"/>
          <w:numId w:val="1005"/>
        </w:numPr>
      </w:pPr>
      <w:r>
        <w:rPr>
          <w:rFonts w:ascii="Times New Roman" w:hAnsi="Times New Roman"/>
          <w:b/>
          <w:bCs/>
          <w:color w:val="000000"/>
          <w:sz w:val="22"/>
        </w:rPr>
        <w:t xml:space="preserve">Full hydrographic-routing regional ABM</w:t>
      </w:r>
      <w:r>
        <w:rPr>
          <w:rFonts w:ascii="Times New Roman" w:hAnsi="Times New Roman"/>
          <w:color w:val="000000"/>
          <w:sz w:val="22"/>
        </w:rPr>
        <w:t xml:space="preserve"> </w:t>
      </w:r>
      <w:r>
        <w:rPr>
          <w:rFonts w:ascii="Times New Roman" w:hAnsi="Times New Roman"/>
          <w:color w:val="000000"/>
          <w:sz w:val="22"/>
        </w:rP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predictions.</w:t>
      </w:r>
    </w:p>
    <w:p>
      <w:pPr>
        <w:numPr>
          <w:ilvl w:val="0"/>
          <w:numId w:val="1005"/>
        </w:numPr>
      </w:pPr>
      <w:r>
        <w:rPr>
          <w:rFonts w:ascii="Times New Roman" w:hAnsi="Times New Roman"/>
          <w:b/>
          <w:bCs/>
          <w:color w:val="000000"/>
          <w:sz w:val="22"/>
        </w:rPr>
        <w:t xml:space="preserve">Paleo-discharge-resolved</w:t>
      </w:r>
      <w:r>
        <w:rPr>
          <w:rFonts w:ascii="Times New Roman" w:hAnsi="Times New Roman"/>
          <w:b/>
          <w:bCs/>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rFonts w:ascii="Times New Roman" w:hAnsi="Times New Roman"/>
          <w:b/>
          <w:bCs/>
          <w:color w:val="000000"/>
          <w:sz w:val="22"/>
        </w:rPr>
        <w:t xml:space="preserve">Footprint-independent</w:t>
      </w:r>
      <w:r>
        <w:rPr>
          <w:rFonts w:ascii="Times New Roman" w:hAnsi="Times New Roman"/>
          <w:b/>
          <w:bCs/>
          <w:color w:val="000000"/>
          <w:sz w:val="22"/>
        </w:rPr>
        <w:t xml:space="preserve"> </w:t>
      </w:r>
      <m:oMath>
        <m:sSub>
          <m:e>
            <m:r>
              <m:t>n</m:t>
            </m:r>
          </m:e>
          <m:sub>
            <m:r>
              <m:t>a</m:t>
            </m:r>
            <m:r>
              <m:t>g</m:t>
            </m:r>
            <m:r>
              <m:t>g</m:t>
            </m:r>
          </m:sub>
        </m:sSub>
      </m:oMath>
      <w:r>
        <w:rPr>
          <w:rFonts w:ascii="Times New Roman" w:hAnsi="Times New Roman"/>
          <w:b/>
          <w:bCs/>
          <w:color w:val="000000"/>
          <w:sz w:val="22"/>
        </w:rPr>
        <w:t xml:space="preserve"> </w:t>
      </w:r>
      <w:r>
        <w:rPr>
          <w:rFonts w:ascii="Times New Roman" w:hAnsi="Times New Roman"/>
          <w:b/>
          <w:bCs/>
          <w:color w:val="000000"/>
          <w:sz w:val="22"/>
        </w:rPr>
        <w:t xml:space="preserve">estimates</w:t>
      </w:r>
      <w:r>
        <w:rPr>
          <w:rFonts w:ascii="Times New Roman" w:hAnsi="Times New Roman"/>
          <w:color w:val="000000"/>
          <w:sz w:val="22"/>
        </w:rPr>
        <w:t xml:space="preserve"> </w:t>
      </w:r>
      <w:r>
        <w:rPr>
          <w:rFonts w:ascii="Times New Roman" w:hAnsi="Times New Roman"/>
          <w:color w:val="000000"/>
          <w:sz w:val="22"/>
        </w:rPr>
        <w:t xml:space="preserve">(Bayesian-modeled radiocarbon density per site, lithic-density catchment estimates) and out-of-sample tests at non-LMV sites with independently-derived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addressing the partial-correlation result in §S17.5 that the joint</w:t>
      </w:r>
      <w:r>
        <w:rPr>
          <w:rFonts w:ascii="Times New Roman" w:hAnsi="Times New Roman"/>
          <w:color w:val="000000"/>
          <w:sz w:val="22"/>
        </w:rPr>
        <w:t xml:space="preserve"> </w:t>
      </w:r>
      <m:oMath>
        <m:r>
          <m:t>ρ</m:t>
        </m:r>
        <m:r>
          <m:rPr>
            <m:sty m:val="p"/>
          </m:rPr>
          <m:t>=</m:t>
        </m:r>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is dominated by the literature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values rather than by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numPr>
          <w:ilvl w:val="0"/>
          <w:numId w:val="1005"/>
        </w:numPr>
      </w:pPr>
      <w:r>
        <w:rPr>
          <w:rFonts w:ascii="Times New Roman" w:hAnsi="Times New Roman"/>
          <w:b/>
          <w:bCs/>
          <w:color w:val="000000"/>
          <w:sz w:val="22"/>
        </w:rPr>
        <w:t xml:space="preserve">Non-LMV-derived phenology calendar</w:t>
      </w:r>
      <w:r>
        <w:rPr>
          <w:rFonts w:ascii="Times New Roman" w:hAnsi="Times New Roman"/>
          <w:color w:val="000000"/>
          <w:sz w:val="22"/>
        </w:rPr>
        <w:t xml:space="preserve"> </w:t>
      </w:r>
      <w:r>
        <w:rPr>
          <w:rFonts w:ascii="Times New Roman" w:hAnsi="Times New Roman"/>
          <w:color w:val="000000"/>
          <w:sz w:val="22"/>
        </w:rP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numPr>
          <w:ilvl w:val="0"/>
          <w:numId w:val="1005"/>
        </w:numPr>
      </w:pPr>
      <w:r>
        <w:rPr>
          <w:rFonts w:ascii="Times New Roman" w:hAnsi="Times New Roman"/>
          <w:b/>
          <w:bCs/>
          <w:color w:val="000000"/>
          <w:sz w:val="22"/>
        </w:rPr>
        <w:t xml:space="preserve">Per-site earthwork-decay calibration of</w:t>
      </w:r>
      <w:r>
        <w:rPr>
          <w:rFonts w:ascii="Times New Roman" w:hAnsi="Times New Roman"/>
          <w:b/>
          <w:bCs/>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and labor-resolved chronology for the</w:t>
      </w:r>
      <w:r>
        <w:rPr>
          <w:rFonts w:ascii="Times New Roman" w:hAnsi="Times New Roman"/>
          <w:color w:val="000000"/>
          <w:sz w:val="22"/>
        </w:rPr>
        <w:t xml:space="preserve"> </w:t>
      </w:r>
      <m:oMath>
        <m:r>
          <m:t>R</m:t>
        </m:r>
        <m:r>
          <m:rPr>
            <m:sty m:val="p"/>
          </m:rPr>
          <m:t>(</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event-density prediction (§S17.7). The current PP-vs-WB contrast uses Table S2’s earthen-mound weathering-rate range</w:t>
      </w:r>
      <w:r>
        <w:rPr>
          <w:rFonts w:ascii="Times New Roman" w:hAnsi="Times New Roman"/>
          <w:color w:val="000000"/>
          <w:sz w:val="22"/>
        </w:rPr>
        <w:t xml:space="preserve"> </w:t>
      </w:r>
      <m:oMath>
        <m:r>
          <m:t>δ</m:t>
        </m:r>
        <m:r>
          <m:rPr>
            <m:sty m:val="p"/>
          </m:rPr>
          <m:t>∈</m:t>
        </m:r>
        <m:r>
          <m:rPr>
            <m:sty m:val="p"/>
          </m:rPr>
          <m:t>[</m:t>
        </m:r>
        <m:r>
          <m:t>0.04</m:t>
        </m:r>
        <m:r>
          <m:rPr>
            <m:sty m:val="p"/>
          </m:rPr>
          <m:t>,</m:t>
        </m:r>
        <m:r>
          <m:t>0.16</m:t>
        </m:r>
        <m:r>
          <m:rPr>
            <m:sty m:val="p"/>
          </m:rPr>
          <m:t>]</m:t>
        </m:r>
      </m:oMath>
      <w:r>
        <w:rPr>
          <w:rFonts w:ascii="Times New Roman" w:hAnsi="Times New Roman"/>
          <w:color w:val="000000"/>
          <w:sz w:val="22"/>
        </w:rPr>
        <w:t xml:space="preserve"> </w:t>
      </w:r>
      <w:r>
        <w:rPr>
          <w:rFonts w:ascii="Times New Roman" w:hAnsi="Times New Roman"/>
          <w:color w:val="000000"/>
          <w:sz w:val="22"/>
        </w:rPr>
        <w:t xml:space="preserve">rather than a site-specific decay estimate, and the published event counts mix maintenance/renewal with new construction without a clean separator. Per-site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sediment-cap weathering studies and event-resolved labor estimates (per-component fill volumes, per-stage labor budgets) would convert the structural event-density contrast into a quantitative</w:t>
      </w:r>
      <w:r>
        <w:rPr>
          <w:rFonts w:ascii="Times New Roman" w:hAnsi="Times New Roman"/>
          <w:color w:val="000000"/>
          <w:sz w:val="22"/>
        </w:rPr>
        <w:t xml:space="preserve"> </w:t>
      </w:r>
      <m:oMath>
        <m:r>
          <m:t>R</m:t>
        </m:r>
      </m:oMath>
      <w:r>
        <w:rPr>
          <w:rFonts w:ascii="Times New Roman" w:hAnsi="Times New Roman"/>
          <w:color w:val="000000"/>
          <w:sz w:val="22"/>
        </w:rPr>
        <w:t xml:space="preserve">-vs-</w:t>
      </w:r>
      <m:oMath>
        <m:r>
          <m:t>R</m:t>
        </m:r>
      </m:oMath>
      <w:r>
        <w:rPr>
          <w:rFonts w:ascii="Times New Roman" w:hAnsi="Times New Roman"/>
          <w:color w:val="000000"/>
          <w:sz w:val="22"/>
        </w:rPr>
        <w:t xml:space="preserve"> </w:t>
      </w:r>
      <w:r>
        <w:rPr>
          <w:rFonts w:ascii="Times New Roman" w:hAnsi="Times New Roman"/>
          <w:color w:val="000000"/>
          <w:sz w:val="22"/>
        </w:rPr>
        <w:t xml:space="preserve">comparison.</w:t>
      </w:r>
    </w:p>
    <w:p>
      <w:pPr>
        <w:pStyle w:val="FirstParagraph"/>
      </w:pPr>
      <w:r>
        <w:rPr>
          <w:rFonts w:ascii="Times New Roman" w:hAnsi="Times New Roman"/>
          <w:color w:val="000000"/>
          <w:sz w:val="22"/>
        </w:rPr>
        <w:t xml:space="preserve">The framework’s contribution sits in the structural register: the threshold-crossing necessity claim, the asymmetric-flow signature, the screening claim across LMV sites, and the event-density contrast under depreciation are all defended by the analyses in the main text. The predictive register at the magnitude scale awaits the full implementations of items 1, 3, 4, 6, and 7.</w:t>
      </w:r>
    </w:p>
    <w:bookmarkEnd w:id="105"/>
    <w:bookmarkEnd w:id="106"/>
    <w:bookmarkStart w:id="107" w:name="supplemental-references"/>
    <w:p>
      <w:pPr>
        <w:pStyle w:val="Heading2"/>
      </w:pPr>
      <w:r>
        <w:rPr>
          <w:rFonts w:ascii="Times New Roman" w:hAnsi="Times New Roman"/>
          <w:b w:val="0"/>
          <w:i/>
          <w:color w:val="000000"/>
          <w:sz w:val="24"/>
          <w:u w:val="none"/>
        </w:rPr>
        <w:t xml:space="preserve">Supplemental References</w:t>
      </w:r>
    </w:p>
    <w:p>
      <w:pPr>
        <w:pStyle w:val="FirstParagraph"/>
      </w:pPr>
      <w:r>
        <w:rPr>
          <w:rFonts w:ascii="Times New Roman" w:hAnsi="Times New Roman"/>
          <w:color w:val="000000"/>
          <w:sz w:val="22"/>
        </w:rPr>
        <w:t xml:space="preserve">In addition to the references in the main paper:</w:t>
      </w:r>
    </w:p>
    <w:p>
      <w:pPr>
        <w:pStyle w:val="BodyText"/>
      </w:pPr>
      <w:r>
        <w:rPr>
          <w:rFonts w:ascii="Times New Roman" w:hAnsi="Times New Roman"/>
          <w:color w:val="000000"/>
          <w:sz w:val="22"/>
        </w:rPr>
        <w:t xml:space="preserve">Conkey, M.W., 1980. The identification of prehistoric hunter-gatherer aggregation sites: The case of Altamira. Current Anthropology 21, 609-630.</w:t>
      </w:r>
    </w:p>
    <w:p>
      <w:pPr>
        <w:pStyle w:val="BodyText"/>
      </w:pPr>
      <w:r>
        <w:rPr>
          <w:rFonts w:ascii="Times New Roman" w:hAnsi="Times New Roman"/>
          <w:color w:val="000000"/>
          <w:sz w:val="22"/>
        </w:rPr>
        <w:t xml:space="preserve">Erasmus, C.J., 1965. Monument building: Some field experiments. Southwestern Journal of Anthropology 21, 277-301.</w:t>
      </w:r>
    </w:p>
    <w:p>
      <w:pPr>
        <w:pStyle w:val="BodyText"/>
      </w:pPr>
      <w:r>
        <w:rPr>
          <w:rFonts w:ascii="Times New Roman" w:hAnsi="Times New Roman"/>
          <w:color w:val="000000"/>
          <w:sz w:val="22"/>
        </w:rPr>
        <w:t xml:space="preserve">Ford, J.A., Phillips, P., Haag, W.G., 1955. The Jaketown Site in West-Central Mississippi. Anthropological Papers of the American Museum of Natural History 45(1).</w:t>
      </w:r>
    </w:p>
    <w:p>
      <w:pPr>
        <w:pStyle w:val="BodyText"/>
      </w:pPr>
      <w:r>
        <w:rPr>
          <w:rFonts w:ascii="Times New Roman" w:hAnsi="Times New Roman"/>
          <w:color w:val="000000"/>
          <w:sz w:val="22"/>
        </w:rPr>
        <w:t xml:space="preserve">Grimm, V., Berger, U., DeAngelis, D.L., Polhill, J.G., Giske, J., Railsback, S.F., 2010. The ODD protocol: A review and first update. Ecological Modelling 221, 2760-2768.</w:t>
      </w:r>
    </w:p>
    <w:p>
      <w:pPr>
        <w:pStyle w:val="BodyText"/>
      </w:pPr>
      <w:r>
        <w:rPr>
          <w:rFonts w:ascii="Times New Roman" w:hAnsi="Times New Roman"/>
          <w:color w:val="000000"/>
          <w:sz w:val="22"/>
        </w:rPr>
        <w:t xml:space="preserve">Hawkes, K., 2000. Hunting and the evolution of egalitarian societies: Lessons from the Hadza. In Hierarchies in Action (M.W. Diehl, ed.), pp. 59-83. Center for Archaeological Investigations, Carbondale.</w:t>
      </w:r>
    </w:p>
    <w:p>
      <w:pPr>
        <w:pStyle w:val="BodyText"/>
      </w:pPr>
      <w:r>
        <w:rPr>
          <w:rFonts w:ascii="Times New Roman" w:hAnsi="Times New Roman"/>
          <w:color w:val="000000"/>
          <w:sz w:val="22"/>
        </w:rPr>
        <w:t xml:space="preserve">Liefert, D.T., Shuman, B.N., 2022. Pervasive Late Holocene ENSO-Like Hydroclimate in the U.S. Lower Mississippi Valley. Geophysical Research Letters 49, e2022GL098345.</w:t>
      </w:r>
    </w:p>
    <w:p>
      <w:pPr>
        <w:pStyle w:val="BodyText"/>
      </w:pPr>
      <w:r>
        <w:rPr>
          <w:rFonts w:ascii="Times New Roman" w:hAnsi="Times New Roman"/>
          <w:color w:val="000000"/>
          <w:sz w:val="22"/>
        </w:rPr>
        <w:t xml:space="preserve">Saunders, J.W., Allen, T., Labatt, D., Jones, R., Griffing, D., 2001. An assessment of the antiquity of the Lower Jackson Mound. Southeastern Archaeology 20, 67-77.</w:t>
      </w:r>
    </w:p>
    <w:p>
      <w:pPr>
        <w:pStyle w:val="BodyText"/>
      </w:pPr>
      <w:r>
        <w:rPr>
          <w:rFonts w:ascii="Times New Roman" w:hAnsi="Times New Roman"/>
          <w:color w:val="000000"/>
          <w:sz w:val="22"/>
        </w:rPr>
        <w:t xml:space="preserve">Sherwood, S.C., Kidder, T.R., 2011. The DaVincis of dirt: Geoarchaeological perspectives on Native American mound building in the Mississippi River basin. Journal of Anthropological Archaeology 30, 69-87.</w:t>
      </w:r>
    </w:p>
    <w:p>
      <w:pPr>
        <w:pStyle w:val="BodyText"/>
      </w:pPr>
      <w:r>
        <w:rPr>
          <w:rFonts w:ascii="Times New Roman" w:hAnsi="Times New Roman"/>
          <w:color w:val="000000"/>
          <w:sz w:val="22"/>
        </w:rPr>
        <w:t xml:space="preserve">Wiessner, P., 2002. Hunting, healing, and hxaro exchange: A long-term perspective on !Kung (Ju/’hoansi) large-game hunting. Evolution and Human Behavior 23, 407-436.</w:t>
      </w:r>
    </w:p>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37" Type="http://schemas.openxmlformats.org/officeDocument/2006/relationships/image" Target="media/rId37.png"/><Relationship Id="rId53" Type="http://schemas.openxmlformats.org/officeDocument/2006/relationships/image" Target="media/rId53.png"/><Relationship Id="rId49" Type="http://schemas.openxmlformats.org/officeDocument/2006/relationships/image" Target="media/rId49.png"/><Relationship Id="rId40" Type="http://schemas.openxmlformats.org/officeDocument/2006/relationships/image" Target="media/rId40.png"/><Relationship Id="rId60" Type="http://schemas.openxmlformats.org/officeDocument/2006/relationships/image" Target="media/rId60.png"/><Relationship Id="rId43" Type="http://schemas.openxmlformats.org/officeDocument/2006/relationships/image" Target="media/rId43.png"/><Relationship Id="rId66" Type="http://schemas.openxmlformats.org/officeDocument/2006/relationships/image" Target="media/rId66.png"/><Relationship Id="rId69" Type="http://schemas.openxmlformats.org/officeDocument/2006/relationships/image" Target="media/rId69.png"/><Relationship Id="rId82" Type="http://schemas.openxmlformats.org/officeDocument/2006/relationships/image" Target="media/rId82.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2026-06-29T17:00:21Z</dcterms:created>
  <dcterms:modified xsi:type="dcterms:W3CDTF">2026-06-29T17:00:21Z</dcterms:modified>
</cp:coreProperties>
</file>

<file path=docProps/custom.xml><?xml version="1.0" encoding="utf-8"?>
<Properties xmlns="http://schemas.openxmlformats.org/officeDocument/2006/custom-properties" xmlns:vt="http://schemas.openxmlformats.org/officeDocument/2006/docPropsVTypes"/>
</file>