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Many Villages at Once? Bayesian Assessment of Occupation Contemporaneity in the Upper Susquehanna Valley</w:t>
      </w:r>
    </w:p>
    <w:p>
      <w:pPr>
        <w:pStyle w:val="Subtitle"/>
      </w:pPr>
      <w:r>
        <w:t xml:space="preserve">A radiocarbon chronology for 34 deposits near Binghamton, New York</w:t>
      </w:r>
    </w:p>
    <w:p>
      <w:pPr>
        <w:pStyle w:val="Author"/>
      </w:pPr>
      <w:r>
        <w:t xml:space="preserve">Carl P. Lipo</w:t>
      </w:r>
    </w:p>
    <w:p>
      <w:pPr>
        <w:pStyle w:val="Date"/>
      </w:pPr>
      <w:r>
        <w:t xml:space="preserve">2026-08-15</w:t>
      </w:r>
    </w:p>
    <w:p>
      <w:pPr>
        <w:pStyle w:val="AbstractTitle"/>
      </w:pPr>
      <w:r>
        <w:t xml:space="preserve">Abstract</w:t>
      </w:r>
    </w:p>
    <w:p>
      <w:pPr>
        <w:pStyle w:val="Abstract"/>
      </w:pPr>
      <w:r>
        <w:t xml:space="preserve">Settlement histories are usually built from sites treated one at a time, yet</w:t>
      </w:r>
      <w:r>
        <w:t xml:space="preserve"> </w:t>
      </w:r>
      <w:r>
        <w:t xml:space="preserve">the questions that matter most concern how many communities occupied a region</w:t>
      </w:r>
      <w:r>
        <w:t xml:space="preserve"> </w:t>
      </w:r>
      <w:r>
        <w:t xml:space="preserve">together and for how long their occupations overlapped. We address that</w:t>
      </w:r>
      <w:r>
        <w:t xml:space="preserve"> </w:t>
      </w:r>
      <w:r>
        <w:t xml:space="preserve">question for the upper Susquehanna valley near Binghamton, New York, using 167</w:t>
      </w:r>
      <w:r>
        <w:t xml:space="preserve"> </w:t>
      </w:r>
      <w:r>
        <w:t xml:space="preserve">radiocarbon determinations from 34 deposits spanning roughly the last two</w:t>
      </w:r>
      <w:r>
        <w:t xml:space="preserve"> </w:t>
      </w:r>
      <w:r>
        <w:t xml:space="preserve">millennia. Our model treats each deposit as one or more occupation phases of</w:t>
      </w:r>
      <w:r>
        <w:t xml:space="preserve"> </w:t>
      </w:r>
      <w:r>
        <w:t xml:space="preserve">unknown position and duration, marginalising both the latent calendar date of</w:t>
      </w:r>
      <w:r>
        <w:t xml:space="preserve"> </w:t>
      </w:r>
      <w:r>
        <w:t xml:space="preserve">every determination and its assignment to a phase. Precomputing the cumulative</w:t>
      </w:r>
      <w:r>
        <w:t xml:space="preserve"> </w:t>
      </w:r>
      <w:r>
        <w:t xml:space="preserve">integral of each calibrated likelihood reduces the probability of a</w:t>
      </w:r>
      <w:r>
        <w:t xml:space="preserve"> </w:t>
      </w:r>
      <w:r>
        <w:t xml:space="preserve">determination given a uniform occupation phase to a difference of two</w:t>
      </w:r>
      <w:r>
        <w:t xml:space="preserve"> </w:t>
      </w:r>
      <w:r>
        <w:t xml:space="preserve">integrals, which removes 164 latent parameters and makes the posterior</w:t>
      </w:r>
      <w:r>
        <w:t xml:space="preserve"> </w:t>
      </w:r>
      <w:r>
        <w:t xml:space="preserve">tractable in Stan. Inbuilt age in wood samples and outlying measurements enter</w:t>
      </w:r>
      <w:r>
        <w:t xml:space="preserve"> </w:t>
      </w:r>
      <w:r>
        <w:t xml:space="preserve">as additional mixture components estimated from the data rather than assumed.</w:t>
      </w:r>
      <w:r>
        <w:t xml:space="preserve"> </w:t>
      </w:r>
      <w:r>
        <w:t xml:space="preserve">[RESULTS PENDING: the validation specified for this analysis has not yet been</w:t>
      </w:r>
      <w:r>
        <w:t xml:space="preserve"> </w:t>
      </w:r>
      <w:r>
        <w:t xml:space="preserve">run, and the multi-phase sampler remains unresolved. Findings, their</w:t>
      </w:r>
      <w:r>
        <w:t xml:space="preserve"> </w:t>
      </w:r>
      <w:r>
        <w:t xml:space="preserve">uncertainty, and their archaeological interpretation are deferred until those</w:t>
      </w:r>
      <w:r>
        <w:t xml:space="preserve"> </w:t>
      </w:r>
      <w:r>
        <w:t xml:space="preserve">are complete. See Section 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introduction"/>
    <w:p>
      <w:pPr>
        <w:pStyle w:val="Heading1"/>
      </w:pPr>
      <w:r>
        <w:t xml:space="preserve">1. Introduction</w:t>
      </w:r>
    </w:p>
    <w:bookmarkStart w:id="9" w:name="X8cb56ce2274165c7c03a63743d804d4f4fb9f06"/>
    <w:p>
      <w:pPr>
        <w:pStyle w:val="Heading2"/>
      </w:pPr>
      <w:r>
        <w:t xml:space="preserve">1.1 The problem of counting contemporaneous occupations</w:t>
      </w:r>
    </w:p>
    <w:p>
      <w:pPr>
        <w:pStyle w:val="FirstParagraph"/>
      </w:pPr>
      <w:r>
        <w:t xml:space="preserve">Whether two archaeological deposits were occupied at the same time is a</w:t>
      </w:r>
      <w:r>
        <w:t xml:space="preserve"> </w:t>
      </w:r>
      <w:r>
        <w:t xml:space="preserve">different question from when each was occupied, and it is the harder of the</w:t>
      </w:r>
      <w:r>
        <w:t xml:space="preserve"> </w:t>
      </w:r>
      <w:r>
        <w:t xml:space="preserve">two. Interaction, exchange, competition, and demographic reconstruction all</w:t>
      </w:r>
      <w:r>
        <w:t xml:space="preserve"> </w:t>
      </w:r>
      <w:r>
        <w:t xml:space="preserve">depend on contemporaneity rather than on chronology alone, yet the inferential</w:t>
      </w:r>
      <w:r>
        <w:t xml:space="preserve"> </w:t>
      </w:r>
      <w:r>
        <w:t xml:space="preserve">machinery archaeologists most often use returns calibrated ranges for</w:t>
      </w:r>
      <w:r>
        <w:t xml:space="preserve"> </w:t>
      </w:r>
      <w:r>
        <w:t xml:space="preserve">individual samples and leaves the comparison to visual inspection. Overlapping</w:t>
      </w:r>
      <w:r>
        <w:t xml:space="preserve"> </w:t>
      </w:r>
      <w:r>
        <w:t xml:space="preserve">probability distributions are not evidence of overlapping occupations. Two</w:t>
      </w:r>
      <w:r>
        <w:t xml:space="preserve"> </w:t>
      </w:r>
      <w:r>
        <w:t xml:space="preserve">deposits whose calibrated ranges intersect may have been occupied centuries</w:t>
      </w:r>
      <w:r>
        <w:t xml:space="preserve"> </w:t>
      </w:r>
      <w:r>
        <w:t xml:space="preserve">apart, and the appearance of overlap can be produced entirely by measurement</w:t>
      </w:r>
      <w:r>
        <w:t xml:space="preserve"> </w:t>
      </w:r>
      <w:r>
        <w:t xml:space="preserve">uncertainty and by the shape of the calibration curve.</w:t>
      </w:r>
    </w:p>
    <w:p>
      <w:pPr>
        <w:pStyle w:val="BodyText"/>
      </w:pPr>
      <w:r>
        <w:t xml:space="preserve">Bayesian chronological modelling addresses this by estimating the boundaries of</w:t>
      </w:r>
      <w:r>
        <w:t xml:space="preserve"> </w:t>
      </w:r>
      <w:r>
        <w:t xml:space="preserve">an occupation rather than the dates of its samples, and by propagating</w:t>
      </w:r>
      <w:r>
        <w:t xml:space="preserve"> </w:t>
      </w:r>
      <w:r>
        <w:t xml:space="preserve">calibration uncertainty into those boundary estimates</w:t>
      </w:r>
      <w:r>
        <w:t xml:space="preserve"> </w:t>
      </w:r>
      <w:r>
        <w:t xml:space="preserve">(Buck et al. 1996; Bronk Ramsey 2009a)</w:t>
      </w:r>
      <w:r>
        <w:t xml:space="preserve">. Where a deposit is represented by several determinations the</w:t>
      </w:r>
      <w:r>
        <w:t xml:space="preserve"> </w:t>
      </w:r>
      <w:r>
        <w:t xml:space="preserve">boundaries of a uniform occupation phase are identifiable, and the posterior</w:t>
      </w:r>
      <w:r>
        <w:t xml:space="preserve"> </w:t>
      </w:r>
      <w:r>
        <w:t xml:space="preserve">distribution of their difference is an estimate of duration</w:t>
      </w:r>
      <w:r>
        <w:t xml:space="preserve"> </w:t>
      </w:r>
      <w:r>
        <w:t xml:space="preserve">(Nicholls and Jones 2001)</w:t>
      </w:r>
      <w:r>
        <w:t xml:space="preserve">.</w:t>
      </w:r>
      <w:r>
        <w:t xml:space="preserve"> </w:t>
      </w:r>
      <w:r>
        <w:t xml:space="preserve">While that machinery is well established for single sites, it is applied far</w:t>
      </w:r>
      <w:r>
        <w:t xml:space="preserve"> </w:t>
      </w:r>
      <w:r>
        <w:t xml:space="preserve">less often across a whole assemblage, which is where the questions about</w:t>
      </w:r>
      <w:r>
        <w:t xml:space="preserve"> </w:t>
      </w:r>
      <w:r>
        <w:t xml:space="preserve">settlement actually live. Two further quantities follow directly once</w:t>
      </w:r>
      <w:r>
        <w:t xml:space="preserve"> </w:t>
      </w:r>
      <w:r>
        <w:t xml:space="preserve">boundaries are</w:t>
      </w:r>
      <w:r>
        <w:t xml:space="preserve"> </w:t>
      </w:r>
      <w:r>
        <w:t xml:space="preserve">estimated jointly across deposits. For any pair, the number of calendar years</w:t>
      </w:r>
      <w:r>
        <w:t xml:space="preserve"> </w:t>
      </w:r>
      <w:r>
        <w:t xml:space="preserve">during which both were occupied is a posterior distribution rather than a</w:t>
      </w:r>
      <w:r>
        <w:t xml:space="preserve"> </w:t>
      </w:r>
      <w:r>
        <w:t xml:space="preserve">yes-or-no verdict. For any calendar year, the number of deposits occupied at</w:t>
      </w:r>
      <w:r>
        <w:t xml:space="preserve"> </w:t>
      </w:r>
      <w:r>
        <w:t xml:space="preserve">that moment is likewise a distribution, and its trajectory through time is a</w:t>
      </w:r>
      <w:r>
        <w:t xml:space="preserve"> </w:t>
      </w:r>
      <w:r>
        <w:t xml:space="preserve">direct statement about settlement.</w:t>
      </w:r>
    </w:p>
    <w:p>
      <w:pPr>
        <w:pStyle w:val="BodyText"/>
      </w:pPr>
      <w:r>
        <w:t xml:space="preserve">Neither quantity is routinely reported. We suspect the reason is partly</w:t>
      </w:r>
      <w:r>
        <w:t xml:space="preserve"> </w:t>
      </w:r>
      <w:r>
        <w:t xml:space="preserve">technical, however, rather than a matter of interest. A common implementation</w:t>
      </w:r>
      <w:r>
        <w:t xml:space="preserve"> </w:t>
      </w:r>
      <w:r>
        <w:t xml:space="preserve">reports the probability that two occupation</w:t>
      </w:r>
      <w:r>
        <w:t xml:space="preserve"> </w:t>
      </w:r>
      <w:r>
        <w:t xml:space="preserve">intervals overlap at all, which saturates at unity for any pair of intervals</w:t>
      </w:r>
      <w:r>
        <w:t xml:space="preserve"> </w:t>
      </w:r>
      <w:r>
        <w:t xml:space="preserve">with uncertain boundaries, so it carries almost no information. An apparently</w:t>
      </w:r>
      <w:r>
        <w:t xml:space="preserve"> </w:t>
      </w:r>
      <w:r>
        <w:t xml:space="preserve">strong result of that kind reflects the metric rather than the archaeology.</w:t>
      </w:r>
    </w:p>
    <w:bookmarkEnd w:id="9"/>
    <w:bookmarkStart w:id="10" w:name="study-area"/>
    <w:p>
      <w:pPr>
        <w:pStyle w:val="Heading2"/>
      </w:pPr>
      <w:r>
        <w:t xml:space="preserve">1.2 Study area</w:t>
      </w:r>
    </w:p>
    <w:p>
      <w:pPr>
        <w:pStyle w:val="FirstParagraph"/>
      </w:pPr>
      <w:r>
        <w:t xml:space="preserve">Our analysis covers deposits in the upper Susquehanna drainage in and around</w:t>
      </w:r>
      <w:r>
        <w:t xml:space="preserve"> </w:t>
      </w:r>
      <w:r>
        <w:t xml:space="preserve">Binghamton, New York, including the lower Chenango valley and reaches of the</w:t>
      </w:r>
      <w:r>
        <w:t xml:space="preserve"> </w:t>
      </w:r>
      <w:r>
        <w:t xml:space="preserve">Susquehanna near Owego, Apalachin, and Sidney. Radiocarbon determinations from</w:t>
      </w:r>
      <w:r>
        <w:t xml:space="preserve"> </w:t>
      </w:r>
      <w:r>
        <w:t xml:space="preserve">this area accumulated across five decades of cultural resource work and</w:t>
      </w:r>
      <w:r>
        <w:t xml:space="preserve"> </w:t>
      </w:r>
      <w:r>
        <w:t xml:space="preserve">academic excavation, and they were reported piecemeal in site reports rather</w:t>
      </w:r>
      <w:r>
        <w:t xml:space="preserve"> </w:t>
      </w:r>
      <w:r>
        <w:t xml:space="preserve">than assembled for regional analysis. [CITE-CHECK: regional culture-historical</w:t>
      </w:r>
      <w:r>
        <w:t xml:space="preserve"> </w:t>
      </w:r>
      <w:r>
        <w:t xml:space="preserve">framework and the Late Woodland village sequence require sourcing before</w:t>
      </w:r>
      <w:r>
        <w:t xml:space="preserve"> </w:t>
      </w:r>
      <w:r>
        <w:t xml:space="preserve">submission.]</w:t>
      </w:r>
    </w:p>
    <w:p>
      <w:pPr>
        <w:pStyle w:val="BodyText"/>
      </w:pPr>
      <w:r>
        <w:t xml:space="preserve">The assemblage is heterogeneous in a way that shapes what can be asked of it.</w:t>
      </w:r>
      <w:r>
        <w:t xml:space="preserve"> </w:t>
      </w:r>
      <w:r>
        <w:t xml:space="preserve">Determinations run from 200 to 1760 radiocarbon years before present, so the</w:t>
      </w:r>
      <w:r>
        <w:t xml:space="preserve"> </w:t>
      </w:r>
      <w:r>
        <w:t xml:space="preserve">deposits are not all of one period, and several individual deposits span</w:t>
      </w:r>
      <w:r>
        <w:t xml:space="preserve"> </w:t>
      </w:r>
      <w:r>
        <w:t xml:space="preserve">intervals far too long to represent a single occupation. Samples range from</w:t>
      </w:r>
      <w:r>
        <w:t xml:space="preserve"> </w:t>
      </w:r>
      <w:r>
        <w:t xml:space="preserve">maize kernels and beans, which date the year they grew, to unidentified wood</w:t>
      </w:r>
      <w:r>
        <w:t xml:space="preserve"> </w:t>
      </w:r>
      <w:r>
        <w:t xml:space="preserve">charcoal, which may predate its deposition by an unknown interval</w:t>
      </w:r>
      <w:r>
        <w:t xml:space="preserve"> </w:t>
      </w:r>
      <w:r>
        <w:t xml:space="preserve">(Schiffer 1986)</w:t>
      </w:r>
      <w:r>
        <w:t xml:space="preserve">, and measurement precision ranges across an order of magnitude,</w:t>
      </w:r>
      <w:r>
        <w:t xml:space="preserve"> </w:t>
      </w:r>
      <w:r>
        <w:t xml:space="preserve">from 20 to 210 years, so that a determination from one deposit may constrain a</w:t>
      </w:r>
      <w:r>
        <w:t xml:space="preserve"> </w:t>
      </w:r>
      <w:r>
        <w:t xml:space="preserve">boundary an order of magnitude more tightly than a determination from the next.</w:t>
      </w:r>
      <w:r>
        <w:t xml:space="preserve"> </w:t>
      </w:r>
      <w:r>
        <w:t xml:space="preserve">Any analysis that ignores this heterogeneity will mistake sampling structure for</w:t>
      </w:r>
      <w:r>
        <w:t xml:space="preserve"> </w:t>
      </w:r>
      <w:r>
        <w:t xml:space="preserve">settlement history.</w:t>
      </w:r>
    </w:p>
    <w:bookmarkEnd w:id="10"/>
    <w:bookmarkStart w:id="11" w:name="research-questions"/>
    <w:p>
      <w:pPr>
        <w:pStyle w:val="Heading2"/>
      </w:pPr>
      <w:r>
        <w:t xml:space="preserve">1.3 Research questions</w:t>
      </w:r>
    </w:p>
    <w:p>
      <w:pPr>
        <w:pStyle w:val="FirstParagraph"/>
      </w:pPr>
      <w:r>
        <w:t xml:space="preserve">We ask three questions of this assemblage. How many deposits in this part of</w:t>
      </w:r>
      <w:r>
        <w:t xml:space="preserve"> </w:t>
      </w:r>
      <w:r>
        <w:t xml:space="preserve">the valley were occupied simultaneously, and how did that number change through</w:t>
      </w:r>
      <w:r>
        <w:t xml:space="preserve"> </w:t>
      </w:r>
      <w:r>
        <w:t xml:space="preserve">the sequence? For deposits that were occupied together, how many years did</w:t>
      </w:r>
      <w:r>
        <w:t xml:space="preserve"> </w:t>
      </w:r>
      <w:r>
        <w:t xml:space="preserve">their occupations share? And for which pairs can contemporaneity or its absence</w:t>
      </w:r>
      <w:r>
        <w:t xml:space="preserve"> </w:t>
      </w:r>
      <w:r>
        <w:t xml:space="preserve">actually be demonstrated, as against merely being consistent with the evidence?</w:t>
      </w:r>
    </w:p>
    <w:p>
      <w:pPr>
        <w:pStyle w:val="BodyText"/>
      </w:pPr>
      <w:r>
        <w:t xml:space="preserve">The third question deserves emphasis. Demonstrating that contemporaneity cannot</w:t>
      </w:r>
      <w:r>
        <w:t xml:space="preserve"> </w:t>
      </w:r>
      <w:r>
        <w:t xml:space="preserve">be resolved at a given temporal scale is a legitimate result, and it is not the</w:t>
      </w:r>
      <w:r>
        <w:t xml:space="preserve"> </w:t>
      </w:r>
      <w:r>
        <w:t xml:space="preserve">same as demonstrating that occupations were simultaneous. We report both</w:t>
      </w:r>
      <w:r>
        <w:t xml:space="preserve"> </w:t>
      </w:r>
      <w:r>
        <w:t xml:space="preserve">outcomes and distinguish them throughout.</w:t>
      </w:r>
    </w:p>
    <w:bookmarkEnd w:id="11"/>
    <w:bookmarkEnd w:id="12"/>
    <w:bookmarkStart w:id="23" w:name="materials-and-methods"/>
    <w:p>
      <w:pPr>
        <w:pStyle w:val="Heading1"/>
      </w:pPr>
      <w:r>
        <w:t xml:space="preserve">2. Materials and Methods</w:t>
      </w:r>
    </w:p>
    <w:bookmarkStart w:id="13" w:name="radiocarbon-dataset"/>
    <w:p>
      <w:pPr>
        <w:pStyle w:val="Heading2"/>
      </w:pPr>
      <w:r>
        <w:t xml:space="preserve">2.1 Radiocarbon dataset</w:t>
      </w:r>
    </w:p>
    <w:p>
      <w:pPr>
        <w:pStyle w:val="FirstParagraph"/>
      </w:pPr>
      <w:r>
        <w:t xml:space="preserve">Our analysis uses 167 radiocarbon determinations compiled from published site</w:t>
      </w:r>
      <w:r>
        <w:t xml:space="preserve"> </w:t>
      </w:r>
      <w:r>
        <w:t xml:space="preserve">reports and unpublished cultural resource management documents covering the</w:t>
      </w:r>
      <w:r>
        <w:t xml:space="preserve"> </w:t>
      </w:r>
      <w:r>
        <w:t xml:space="preserve">study area. The compilation records, for each determination, the site and</w:t>
      </w:r>
      <w:r>
        <w:t xml:space="preserve"> </w:t>
      </w:r>
      <w:r>
        <w:t xml:space="preserve">excavation context, the laboratory code, the conventional radiocarbon age and</w:t>
      </w:r>
      <w:r>
        <w:t xml:space="preserve"> </w:t>
      </w:r>
      <w:r>
        <w:t xml:space="preserve">its error, the dated material, and the source reference.</w:t>
      </w:r>
    </w:p>
    <w:p>
      <w:pPr>
        <w:pStyle w:val="BodyText"/>
      </w:pPr>
      <w:r>
        <w:t xml:space="preserve">Site names in the compilation concatenate site and excavation context, so</w:t>
      </w:r>
      <w:r>
        <w:t xml:space="preserve"> </w:t>
      </w:r>
      <w:r>
        <w:rPr>
          <w:rStyle w:val="VerbatimChar"/>
        </w:rPr>
        <w:t xml:space="preserve">Bates_66</w:t>
      </w:r>
      <w:r>
        <w:t xml:space="preserve"> </w:t>
      </w:r>
      <w:r>
        <w:t xml:space="preserve">denotes feature 66 at the Bates site. We parsed these into site and</w:t>
      </w:r>
      <w:r>
        <w:t xml:space="preserve"> </w:t>
      </w:r>
      <w:r>
        <w:t xml:space="preserve">context through a lookup table that was generated by rule and then audited by</w:t>
      </w:r>
      <w:r>
        <w:t xml:space="preserve"> </w:t>
      </w:r>
      <w:r>
        <w:t xml:space="preserve">hand, and that table rather than the rule is the authority used by the</w:t>
      </w:r>
      <w:r>
        <w:t xml:space="preserve"> </w:t>
      </w:r>
      <w:r>
        <w:t xml:space="preserve">analysis. Four labels were merged into other sites. Determinations labelled</w:t>
      </w:r>
      <w:r>
        <w:t xml:space="preserve"> </w:t>
      </w:r>
      <w:r>
        <w:rPr>
          <w:rStyle w:val="VerbatimChar"/>
        </w:rPr>
        <w:t xml:space="preserve">Broome_Tech_PAF</w:t>
      </w:r>
      <w:r>
        <w:t xml:space="preserve"> </w:t>
      </w:r>
      <w:r>
        <w:t xml:space="preserve">join</w:t>
      </w:r>
      <w:r>
        <w:t xml:space="preserve"> </w:t>
      </w:r>
      <w:r>
        <w:rPr>
          <w:rStyle w:val="VerbatimChar"/>
        </w:rPr>
        <w:t xml:space="preserve">Broome_Tech</w:t>
      </w:r>
      <w:r>
        <w:t xml:space="preserve">, because laboratory codes AA-31005,</w:t>
      </w:r>
      <w:r>
        <w:t xml:space="preserve"> </w:t>
      </w:r>
      <w:r>
        <w:t xml:space="preserve">AA-31006, and AA-31007 are consecutive across both labels and derive from a</w:t>
      </w:r>
      <w:r>
        <w:t xml:space="preserve"> </w:t>
      </w:r>
      <w:r>
        <w:t xml:space="preserve">single submission. Merging of</w:t>
      </w:r>
      <w:r>
        <w:t xml:space="preserve"> </w:t>
      </w:r>
      <w:r>
        <w:rPr>
          <w:rStyle w:val="VerbatimChar"/>
        </w:rPr>
        <w:t xml:space="preserve">Chenango_Point_South</w:t>
      </w:r>
      <w:r>
        <w:t xml:space="preserve"> </w:t>
      </w:r>
      <w:r>
        <w:t xml:space="preserve">into</w:t>
      </w:r>
      <w:r>
        <w:t xml:space="preserve"> </w:t>
      </w:r>
      <w:r>
        <w:rPr>
          <w:rStyle w:val="VerbatimChar"/>
        </w:rPr>
        <w:t xml:space="preserve">Chenango_Point</w:t>
      </w:r>
      <w:r>
        <w:t xml:space="preserve">, and</w:t>
      </w:r>
      <w:r>
        <w:t xml:space="preserve"> </w:t>
      </w:r>
      <w:r>
        <w:t xml:space="preserve">of the Sidney Hangar and Sidney AWOS loci into</w:t>
      </w:r>
      <w:r>
        <w:t xml:space="preserve"> </w:t>
      </w:r>
      <w:r>
        <w:rPr>
          <w:rStyle w:val="VerbatimChar"/>
        </w:rPr>
        <w:t xml:space="preserve">Sidney Airport</w:t>
      </w:r>
      <w:r>
        <w:t xml:space="preserve">, follows the</w:t>
      </w:r>
      <w:r>
        <w:t xml:space="preserve"> </w:t>
      </w:r>
      <w:r>
        <w:t xml:space="preserve">judgement of the investigator familiar with those excavations. The resulting</w:t>
      </w:r>
      <w:r>
        <w:t xml:space="preserve"> </w:t>
      </w:r>
      <w:r>
        <w:t xml:space="preserve">dataset comprises 34 deposits, of which nine carry six or more determinations</w:t>
      </w:r>
      <w:r>
        <w:t xml:space="preserve"> </w:t>
      </w:r>
      <w:r>
        <w:t xml:space="preserve">and twelve carry only one or two.</w:t>
      </w:r>
    </w:p>
    <w:p>
      <w:pPr>
        <w:pStyle w:val="BodyText"/>
      </w:pPr>
      <w:r>
        <w:t xml:space="preserve">Material was classified into three groups. Short-lived samples number 78 and</w:t>
      </w:r>
      <w:r>
        <w:t xml:space="preserve"> </w:t>
      </w:r>
      <w:r>
        <w:t xml:space="preserve">comprise maize, bean, squash, seed, and identified nutshell, all of which date</w:t>
      </w:r>
      <w:r>
        <w:t xml:space="preserve"> </w:t>
      </w:r>
      <w:r>
        <w:t xml:space="preserve">within a year or so of the event that deposited them. Wood samples number 68</w:t>
      </w:r>
      <w:r>
        <w:t xml:space="preserve"> </w:t>
      </w:r>
      <w:r>
        <w:t xml:space="preserve">and comprise wood, charcoal identified as wood, and material described as</w:t>
      </w:r>
      <w:r>
        <w:t xml:space="preserve"> </w:t>
      </w:r>
      <w:r>
        <w:t xml:space="preserve">probably wood. A third group of 21 determinations is genuinely indeterminate,</w:t>
      </w:r>
      <w:r>
        <w:t xml:space="preserve"> </w:t>
      </w:r>
      <w:r>
        <w:t xml:space="preserve">covering descriptions such as charred material and carbonized material along</w:t>
      </w:r>
      <w:r>
        <w:t xml:space="preserve"> </w:t>
      </w:r>
      <w:r>
        <w:t xml:space="preserve">with samples explicitly mixing wood and short-lived components. Rather than</w:t>
      </w:r>
      <w:r>
        <w:t xml:space="preserve"> </w:t>
      </w:r>
      <w:r>
        <w:t xml:space="preserve">assign the indeterminate group to wood by fiat, we estimate a separate inbuilt</w:t>
      </w:r>
      <w:r>
        <w:t xml:space="preserve"> </w:t>
      </w:r>
      <w:r>
        <w:t xml:space="preserve">age distribution for it and let the data decide how much inbuilt age those</w:t>
      </w:r>
      <w:r>
        <w:t xml:space="preserve"> </w:t>
      </w:r>
      <w:r>
        <w:t xml:space="preserve">samples carry.</w:t>
      </w:r>
    </w:p>
    <w:bookmarkEnd w:id="13"/>
    <w:bookmarkStart w:id="14" w:name="sample-level-preprocessing"/>
    <w:p>
      <w:pPr>
        <w:pStyle w:val="Heading2"/>
      </w:pPr>
      <w:r>
        <w:t xml:space="preserve">2.2 Sample-level preprocessing</w:t>
      </w:r>
    </w:p>
    <w:p>
      <w:pPr>
        <w:pStyle w:val="FirstParagraph"/>
      </w:pPr>
      <w:r>
        <w:t xml:space="preserve">Three determinations were altered before modelling, and each alteration is</w:t>
      </w:r>
      <w:r>
        <w:t xml:space="preserve"> </w:t>
      </w:r>
      <w:r>
        <w:t xml:space="preserve">recorded in a data quality report distributed with the analysis.</w:t>
      </w:r>
    </w:p>
    <w:p>
      <w:pPr>
        <w:pStyle w:val="BodyText"/>
      </w:pPr>
      <w:r>
        <w:t xml:space="preserve">Laboratory UGAMS-53046 and its rerun UGAMS-53046r at Bates feature 66 are one</w:t>
      </w:r>
      <w:r>
        <w:t xml:space="preserve"> </w:t>
      </w:r>
      <w:r>
        <w:t xml:space="preserve">sample measured twice, so they necessarily share a calendar date. A Ward and</w:t>
      </w:r>
      <w:r>
        <w:t xml:space="preserve"> </w:t>
      </w:r>
      <w:r>
        <w:t xml:space="preserve">Wilson test of consistency gives T equal to 8.08 on one degree of freedom</w:t>
      </w:r>
      <w:r>
        <w:t xml:space="preserve"> </w:t>
      </w:r>
      <w:r>
        <w:t xml:space="preserve">against a critical value of 3.84, so the two measurements are not statistically</w:t>
      </w:r>
      <w:r>
        <w:t xml:space="preserve"> </w:t>
      </w:r>
      <w:r>
        <w:t xml:space="preserve">consistent and cannot be pooled as reported</w:t>
      </w:r>
      <w:r>
        <w:t xml:space="preserve"> </w:t>
      </w:r>
      <w:r>
        <w:t xml:space="preserve">(Ward and Wilson 1978)</w:t>
      </w:r>
      <w:r>
        <w:t xml:space="preserve">. We combined them</w:t>
      </w:r>
      <w:r>
        <w:t xml:space="preserve"> </w:t>
      </w:r>
      <w:r>
        <w:t xml:space="preserve">into a single determination of 582 plus or minus 44 radiocarbon years, applying</w:t>
      </w:r>
      <w:r>
        <w:t xml:space="preserve"> </w:t>
      </w:r>
      <w:r>
        <w:t xml:space="preserve">the error inflation that procedure prescribes when the consistency test fails.</w:t>
      </w:r>
      <w:r>
        <w:t xml:space="preserve"> </w:t>
      </w:r>
      <w:r>
        <w:t xml:space="preserve">Entering both measurements would double-count one sample, and it would let the</w:t>
      </w:r>
      <w:r>
        <w:t xml:space="preserve"> </w:t>
      </w:r>
      <w:r>
        <w:t xml:space="preserve">model infer a spread within the feature that cannot exist.</w:t>
      </w:r>
    </w:p>
    <w:p>
      <w:pPr>
        <w:pStyle w:val="BodyText"/>
      </w:pPr>
      <w:r>
        <w:t xml:space="preserve">Four samples at Bates carry ring-year counts in their material descriptions,</w:t>
      </w:r>
      <w:r>
        <w:t xml:space="preserve"> </w:t>
      </w:r>
      <w:r>
        <w:t xml:space="preserve">identifying two wiggle-matched pairs from dated tree-ring sequences</w:t>
      </w:r>
      <w:r>
        <w:t xml:space="preserve"> </w:t>
      </w:r>
      <w:r>
        <w:t xml:space="preserve">(Bronk Ramsey et al. 2001)</w:t>
      </w:r>
      <w:r>
        <w:t xml:space="preserve">. Because the calendar offset within each pair is known from</w:t>
      </w:r>
      <w:r>
        <w:t xml:space="preserve"> </w:t>
      </w:r>
      <w:r>
        <w:t xml:space="preserve">ring counting, approximately 17 years at feature 46 and 25 years at feature 89,</w:t>
      </w:r>
      <w:r>
        <w:t xml:space="preserve"> </w:t>
      </w:r>
      <w:r>
        <w:t xml:space="preserve">the two members of a pair are not independent. We treat each pair as one</w:t>
      </w:r>
      <w:r>
        <w:t xml:space="preserve"> </w:t>
      </w:r>
      <w:r>
        <w:t xml:space="preserve">composite determination whose likelihood is the product of its members’</w:t>
      </w:r>
      <w:r>
        <w:t xml:space="preserve"> </w:t>
      </w:r>
      <w:r>
        <w:t xml:space="preserve">likelihoods with the known offset applied. After preprocessing, 164</w:t>
      </w:r>
      <w:r>
        <w:t xml:space="preserve"> </w:t>
      </w:r>
      <w:r>
        <w:t xml:space="preserve">determinations enter the model.</w:t>
      </w:r>
    </w:p>
    <w:bookmarkEnd w:id="14"/>
    <w:bookmarkStart w:id="15" w:name="X1877e54da16aea8be70fabcac9c64a8741abeb1"/>
    <w:p>
      <w:pPr>
        <w:pStyle w:val="Heading2"/>
      </w:pPr>
      <w:r>
        <w:t xml:space="preserve">2.3 Calibration and the phase-averaged likelihood</w:t>
      </w:r>
    </w:p>
    <w:p>
      <w:pPr>
        <w:pStyle w:val="FirstParagraph"/>
      </w:pPr>
      <w:r>
        <w:t xml:space="preserve">Determinations were calibrated against IntCal20</w:t>
      </w:r>
      <w:r>
        <w:t xml:space="preserve"> </w:t>
      </w:r>
      <w:r>
        <w:t xml:space="preserve">(</w:t>
      </w:r>
      <w:r>
        <w:t xml:space="preserve">Reimer et al.</w:t>
      </w:r>
      <w:r>
        <w:t xml:space="preserve"> </w:t>
      </w:r>
      <w:r>
        <w:t xml:space="preserve">2020)</w:t>
      </w:r>
      <w:r>
        <w:t xml:space="preserve">, accessed through</w:t>
      </w:r>
      <w:r>
        <w:t xml:space="preserve"> </w:t>
      </w:r>
      <w:r>
        <w:t xml:space="preserve">the</w:t>
      </w:r>
      <w:r>
        <w:t xml:space="preserve"> </w:t>
      </w:r>
      <w:r>
        <w:rPr>
          <w:rStyle w:val="VerbatimChar"/>
        </w:rPr>
        <w:t xml:space="preserve">IntCal</w:t>
      </w:r>
      <w:r>
        <w:t xml:space="preserve"> </w:t>
      </w:r>
      <w:r>
        <w:t xml:space="preserve">package</w:t>
      </w:r>
      <w:r>
        <w:t xml:space="preserve"> </w:t>
      </w:r>
      <w:r>
        <w:t xml:space="preserve">(Blaauw 2024)</w:t>
      </w:r>
      <w:r>
        <w:t xml:space="preserve">. For each determination we evaluate the</w:t>
      </w:r>
      <w:r>
        <w:t xml:space="preserve"> </w:t>
      </w:r>
      <w:r>
        <w:t xml:space="preserve">likelihood of the observed radiocarbon age as a function of calendar date on a</w:t>
      </w:r>
      <w:r>
        <w:t xml:space="preserve"> </w:t>
      </w:r>
      <w:r>
        <w:t xml:space="preserve">one-year grid spanning 0 to 2000 cal BP, combining measurement error with the</w:t>
      </w:r>
      <w:r>
        <w:t xml:space="preserve"> </w:t>
      </w:r>
      <w:r>
        <w:t xml:space="preserve">error of the calibration curve at each point.</w:t>
      </w:r>
    </w:p>
    <w:p>
      <w:pPr>
        <w:pStyle w:val="BodyText"/>
      </w:pPr>
      <w:r>
        <w:t xml:space="preserve">Standard implementations of phase models introduce a latent calendar date for</w:t>
      </w:r>
      <w:r>
        <w:t xml:space="preserve"> </w:t>
      </w:r>
      <w:r>
        <w:t xml:space="preserve">every determination and sample it alongside the phase boundaries. We avoid this</w:t>
      </w:r>
      <w:r>
        <w:t xml:space="preserve"> </w:t>
      </w:r>
      <w:r>
        <w:t xml:space="preserve">by integrating the latent date analytically. Alongside each likelihood we</w:t>
      </w:r>
      <w:r>
        <w:t xml:space="preserve"> </w:t>
      </w:r>
      <w:r>
        <w:t xml:space="preserve">precompute the exact integral of its piecewise linear interpolant, so that the</w:t>
      </w:r>
      <w:r>
        <w:t xml:space="preserve"> </w:t>
      </w:r>
      <w:r>
        <w:t xml:space="preserve">probability of a determination given a uniform occupation phase running from</w:t>
      </w:r>
      <w:r>
        <w:t xml:space="preserve"> </w:t>
      </w:r>
      <w:r>
        <w:rPr>
          <w:rStyle w:val="VerbatimChar"/>
        </w:rPr>
        <w:t xml:space="preserve">a</w:t>
      </w:r>
      <w:r>
        <w:t xml:space="preserve"> </w:t>
      </w:r>
      <w:r>
        <w:t xml:space="preserve">(older) to</w:t>
      </w:r>
      <w:r>
        <w:t xml:space="preserve"> </w:t>
      </w:r>
      <w:r>
        <w:rPr>
          <w:rStyle w:val="VerbatimChar"/>
        </w:rPr>
        <w:t xml:space="preserve">b</w:t>
      </w:r>
      <w:r>
        <w:t xml:space="preserve"> </w:t>
      </w:r>
      <w:r>
        <w:t xml:space="preserve">(younger) reduces to the difference of that integral at the</w:t>
      </w:r>
      <w:r>
        <w:t xml:space="preserve"> </w:t>
      </w:r>
      <w:r>
        <w:t xml:space="preserve">two boundaries divided by their separation. Three consequences follow. The</w:t>
      </w:r>
      <w:r>
        <w:t xml:space="preserve"> </w:t>
      </w:r>
      <w:r>
        <w:t xml:space="preserve">factor of one over the phase width is applied once per determination, which is</w:t>
      </w:r>
      <w:r>
        <w:t xml:space="preserve"> </w:t>
      </w:r>
      <w:r>
        <w:t xml:space="preserve">the correct normalisation for a uniform phase and the quantity that makes</w:t>
      </w:r>
      <w:r>
        <w:t xml:space="preserve"> </w:t>
      </w:r>
      <w:r>
        <w:t xml:space="preserve">duration identifiable. All 164 latent date parameters disappear. And because</w:t>
      </w:r>
      <w:r>
        <w:t xml:space="preserve"> </w:t>
      </w:r>
      <w:r>
        <w:t xml:space="preserve">the integral of a piecewise linear function is piecewise quadratic, the</w:t>
      </w:r>
      <w:r>
        <w:t xml:space="preserve"> </w:t>
      </w:r>
      <w:r>
        <w:t xml:space="preserve">resulting expression is continuously differentiable in the boundaries, which is</w:t>
      </w:r>
      <w:r>
        <w:t xml:space="preserve"> </w:t>
      </w:r>
      <w:r>
        <w:t xml:space="preserve">what Hamiltonian Monte Carlo requires.</w:t>
      </w:r>
    </w:p>
    <w:bookmarkEnd w:id="15"/>
    <w:bookmarkStart w:id="16" w:name="occupation-model"/>
    <w:p>
      <w:pPr>
        <w:pStyle w:val="Heading2"/>
      </w:pPr>
      <w:r>
        <w:t xml:space="preserve">2.4 Occupation model</w:t>
      </w:r>
    </w:p>
    <w:p>
      <w:pPr>
        <w:pStyle w:val="FirstParagraph"/>
      </w:pPr>
      <w:r>
        <w:t xml:space="preserve">We model each deposit as one or more occupation phases. Determinations are</w:t>
      </w:r>
      <w:r>
        <w:t xml:space="preserve"> </w:t>
      </w:r>
      <w:r>
        <w:t xml:space="preserve">distributed uniformly within whichever phase they belong to, following standard</w:t>
      </w:r>
      <w:r>
        <w:t xml:space="preserve"> </w:t>
      </w:r>
      <w:r>
        <w:t xml:space="preserve">practice for phase models</w:t>
      </w:r>
      <w:r>
        <w:t xml:space="preserve"> </w:t>
      </w:r>
      <w:r>
        <w:t xml:space="preserve">(Bronk Ramsey 2009a)</w:t>
      </w:r>
      <w:r>
        <w:t xml:space="preserve">, and phase membership is unknown</w:t>
      </w:r>
      <w:r>
        <w:t xml:space="preserve"> </w:t>
      </w:r>
      <w:r>
        <w:t xml:space="preserve">and marginalised as a mixture. Phase midpoints within a deposit are ordered and</w:t>
      </w:r>
      <w:r>
        <w:t xml:space="preserve"> </w:t>
      </w:r>
      <w:r>
        <w:t xml:space="preserve">confined to the calendar range by construction, which resolves label switching</w:t>
      </w:r>
      <w:r>
        <w:t xml:space="preserve"> </w:t>
      </w:r>
      <w:r>
        <w:t xml:space="preserve">and keeps the parameters of weakly supported components bounded.</w:t>
      </w:r>
    </w:p>
    <w:p>
      <w:pPr>
        <w:pStyle w:val="BodyText"/>
      </w:pPr>
      <w:r>
        <w:t xml:space="preserve">The number of candidate phases at each deposit is set from the data by</w:t>
      </w:r>
      <w:r>
        <w:t xml:space="preserve"> </w:t>
      </w:r>
      <w:r>
        <w:t xml:space="preserve">clustering its calibrated means, rather than fixed in advance. We adopted this</w:t>
      </w:r>
      <w:r>
        <w:t xml:space="preserve"> </w:t>
      </w:r>
      <w:r>
        <w:t xml:space="preserve">after establishing that candidate phases which no determination occupies make</w:t>
      </w:r>
      <w:r>
        <w:t xml:space="preserve"> </w:t>
      </w:r>
      <w:r>
        <w:t xml:space="preserve">the posterior geometry intractable, a difficulty related to the known behaviour</w:t>
      </w:r>
      <w:r>
        <w:t xml:space="preserve"> </w:t>
      </w:r>
      <w:r>
        <w:t xml:space="preserve">of overfitted mixtures</w:t>
      </w:r>
      <w:r>
        <w:t xml:space="preserve"> </w:t>
      </w:r>
      <w:r>
        <w:t xml:space="preserve">(Rousseau and Mengersen 2011)</w:t>
      </w:r>
      <w:r>
        <w:t xml:space="preserve">. Phase counts thus follow the evidence</w:t>
      </w:r>
      <w:r>
        <w:t xml:space="preserve"> </w:t>
      </w:r>
      <w:r>
        <w:t xml:space="preserve">rather than sample size. Fortin, with four determinations spanning 958</w:t>
      </w:r>
      <w:r>
        <w:t xml:space="preserve"> </w:t>
      </w:r>
      <w:r>
        <w:t xml:space="preserve">calendar years, receives four candidate phases, while Otsiningo Market, with</w:t>
      </w:r>
      <w:r>
        <w:t xml:space="preserve"> </w:t>
      </w:r>
      <w:r>
        <w:t xml:space="preserve">three determinations spanning 33 years, receives one. This is a data-dependent</w:t>
      </w:r>
      <w:r>
        <w:t xml:space="preserve"> </w:t>
      </w:r>
      <w:r>
        <w:t xml:space="preserve">model selection step and we report it as such, along with its sensitivity to</w:t>
      </w:r>
      <w:r>
        <w:t xml:space="preserve"> </w:t>
      </w:r>
      <w:r>
        <w:t xml:space="preserve">the clustering threshold.</w:t>
      </w:r>
    </w:p>
    <w:p>
      <w:pPr>
        <w:pStyle w:val="BodyText"/>
      </w:pPr>
      <w:r>
        <w:t xml:space="preserve">Occupation durations receive a weakly informative lognormal prior.</w:t>
      </w:r>
      <w:r>
        <w:t xml:space="preserve"> </w:t>
      </w:r>
      <w:r>
        <w:rPr>
          <w:b/>
          <w:bCs/>
        </w:rPr>
        <w:t xml:space="preserve">[CITE-CHECK:</w:t>
      </w:r>
      <w:r>
        <w:rPr>
          <w:b/>
          <w:bCs/>
        </w:rPr>
        <w:t xml:space="preserve"> </w:t>
      </w:r>
      <w:r>
        <w:rPr>
          <w:b/>
          <w:bCs/>
        </w:rPr>
        <w:t xml:space="preserve">village occupation duration.]</w:t>
      </w:r>
      <w:r>
        <w:t xml:space="preserve"> </w:t>
      </w:r>
      <w:r>
        <w:t xml:space="preserve">No source consulted for this analysis</w:t>
      </w:r>
      <w:r>
        <w:t xml:space="preserve"> </w:t>
      </w:r>
      <w:r>
        <w:t xml:space="preserve">establishes a value for the occupation length of villages in this region, and</w:t>
      </w:r>
      <w:r>
        <w:t xml:space="preserve"> </w:t>
      </w:r>
      <w:r>
        <w:t xml:space="preserve">we assert none. Because the durations of thinly dated deposits are governed by</w:t>
      </w:r>
      <w:r>
        <w:t xml:space="preserve"> </w:t>
      </w:r>
      <w:r>
        <w:t xml:space="preserve">this prior rather than by their own determinations, we refit the analysis under</w:t>
      </w:r>
      <w:r>
        <w:t xml:space="preserve"> </w:t>
      </w:r>
      <w:r>
        <w:t xml:space="preserve">three prior means and report every result under all three.</w:t>
      </w:r>
    </w:p>
    <w:bookmarkEnd w:id="16"/>
    <w:bookmarkStart w:id="17" w:name="inbuilt-age-and-outliers"/>
    <w:p>
      <w:pPr>
        <w:pStyle w:val="Heading2"/>
      </w:pPr>
      <w:r>
        <w:t xml:space="preserve">2.5 Inbuilt age and outliers</w:t>
      </w:r>
    </w:p>
    <w:p>
      <w:pPr>
        <w:pStyle w:val="FirstParagraph"/>
      </w:pPr>
      <w:r>
        <w:t xml:space="preserve">A wood sample records the year its wood grew, which may precede deposition by</w:t>
      </w:r>
      <w:r>
        <w:t xml:space="preserve"> </w:t>
      </w:r>
      <w:r>
        <w:t xml:space="preserve">an interval that depends on the age of the tree and on curation and reuse</w:t>
      </w:r>
      <w:r>
        <w:t xml:space="preserve"> </w:t>
      </w:r>
      <w:r>
        <w:t xml:space="preserve">(Schiffer 1986)</w:t>
      </w:r>
      <w:r>
        <w:t xml:space="preserve">. We model that interval as exponentially distributed and</w:t>
      </w:r>
      <w:r>
        <w:t xml:space="preserve"> </w:t>
      </w:r>
      <w:r>
        <w:t xml:space="preserve">convolve each wood likelihood with it. Because convolution with a fixed kernel</w:t>
      </w:r>
      <w:r>
        <w:t xml:space="preserve"> </w:t>
      </w:r>
      <w:r>
        <w:t xml:space="preserve">is a linear operation, the convolved likelihoods are precomputed at six values</w:t>
      </w:r>
      <w:r>
        <w:t xml:space="preserve"> </w:t>
      </w:r>
      <w:r>
        <w:t xml:space="preserve">of the mean inbuilt age, from zero to 240 years, and the weights over those six</w:t>
      </w:r>
      <w:r>
        <w:t xml:space="preserve"> </w:t>
      </w:r>
      <w:r>
        <w:t xml:space="preserve">values are estimated, so a weight concentrated at zero remains an available</w:t>
      </w:r>
      <w:r>
        <w:t xml:space="preserve"> </w:t>
      </w:r>
      <w:r>
        <w:t xml:space="preserve">conclusion rather than an excluded one. Separate distributions are estimated for</w:t>
      </w:r>
      <w:r>
        <w:t xml:space="preserve"> </w:t>
      </w:r>
      <w:r>
        <w:t xml:space="preserve">the wood and indeterminate groups, and short-lived samples are fixed at zero.</w:t>
      </w:r>
    </w:p>
    <w:p>
      <w:pPr>
        <w:pStyle w:val="BodyText"/>
      </w:pPr>
      <w:r>
        <w:t xml:space="preserve">Every determination additionally carries an outlier component in which the</w:t>
      </w:r>
      <w:r>
        <w:t xml:space="preserve"> </w:t>
      </w:r>
      <w:r>
        <w:t xml:space="preserve">measurement error is inflated fivefold, with the outlier rate estimated</w:t>
      </w:r>
      <w:r>
        <w:t xml:space="preserve"> </w:t>
      </w:r>
      <w:r>
        <w:t xml:space="preserve">separately for each material group</w:t>
      </w:r>
      <w:r>
        <w:t xml:space="preserve"> </w:t>
      </w:r>
      <w:r>
        <w:t xml:space="preserve">(Christen 1994; Bronk Ramsey 2009b)</w:t>
      </w:r>
      <w:r>
        <w:t xml:space="preserve">.</w:t>
      </w:r>
    </w:p>
    <w:bookmarkEnd w:id="17"/>
    <w:bookmarkStart w:id="18" w:name="estimation"/>
    <w:p>
      <w:pPr>
        <w:pStyle w:val="Heading2"/>
      </w:pPr>
      <w:r>
        <w:t xml:space="preserve">2.6 Estimation</w:t>
      </w:r>
    </w:p>
    <w:p>
      <w:pPr>
        <w:pStyle w:val="FirstParagraph"/>
      </w:pPr>
      <w:r>
        <w:t xml:space="preserve">Models were fitted in Stan</w:t>
      </w:r>
      <w:r>
        <w:t xml:space="preserve"> </w:t>
      </w:r>
      <w:r>
        <w:t xml:space="preserve">(Carpenter et al. 2017)</w:t>
      </w:r>
      <w:r>
        <w:t xml:space="preserve"> </w:t>
      </w:r>
      <w:r>
        <w:t xml:space="preserve">using CmdStan through</w:t>
      </w:r>
      <w:r>
        <w:t xml:space="preserve"> </w:t>
      </w:r>
      <w:r>
        <w:rPr>
          <w:rStyle w:val="VerbatimChar"/>
        </w:rPr>
        <w:t xml:space="preserve">cmdstanr</w:t>
      </w:r>
      <w:r>
        <w:t xml:space="preserve">,</w:t>
      </w:r>
      <w:r>
        <w:t xml:space="preserve"> </w:t>
      </w:r>
      <w:r>
        <w:t xml:space="preserve">with four chains and Hamiltonian Monte Carlo.</w:t>
      </w:r>
    </w:p>
    <w:p>
      <w:pPr>
        <w:pStyle w:val="BodyText"/>
      </w:pPr>
      <w:r>
        <w:t xml:space="preserve">Deposits are fitted independently rather than jointly. We arrived at this after</w:t>
      </w:r>
      <w:r>
        <w:t xml:space="preserve"> </w:t>
      </w:r>
      <w:r>
        <w:t xml:space="preserve">diagnosing a sampling failure in the joint model, and the evidence is direct.</w:t>
      </w:r>
      <w:r>
        <w:t xml:space="preserve"> </w:t>
      </w:r>
      <w:r>
        <w:t xml:space="preserve">Fitted alone, with one phase and no cross-deposit pooling, five different</w:t>
      </w:r>
      <w:r>
        <w:t xml:space="preserve"> </w:t>
      </w:r>
      <w:r>
        <w:t xml:space="preserve">deposits each produced no divergent transitions and R-hat of 1.00, including</w:t>
      </w:r>
      <w:r>
        <w:t xml:space="preserve"> </w:t>
      </w:r>
      <w:r>
        <w:t xml:space="preserve">deposits dated only on wood and deposits mixing materials. Four deposits fitted</w:t>
      </w:r>
      <w:r>
        <w:t xml:space="preserve"> </w:t>
      </w:r>
      <w:r>
        <w:t xml:space="preserve">together produced divergent transitions in 27 per cent of iterations, and ten</w:t>
      </w:r>
      <w:r>
        <w:t xml:space="preserve"> </w:t>
      </w:r>
      <w:r>
        <w:t xml:space="preserve">deposits produced 88 per cent. Because the failure scales with the number of</w:t>
      </w:r>
      <w:r>
        <w:t xml:space="preserve"> </w:t>
      </w:r>
      <w:r>
        <w:t xml:space="preserve">deposits in a configuration where the only quantity linking them is the shared</w:t>
      </w:r>
      <w:r>
        <w:t xml:space="preserve"> </w:t>
      </w:r>
      <w:r>
        <w:t xml:space="preserve">outlier and inbuilt age parameters, we attribute it to that coupling. Fitting</w:t>
      </w:r>
      <w:r>
        <w:t xml:space="preserve"> </w:t>
      </w:r>
      <w:r>
        <w:t xml:space="preserve">deposits separately removes it.</w:t>
      </w:r>
    </w:p>
    <w:p>
      <w:pPr>
        <w:pStyle w:val="BodyText"/>
      </w:pPr>
      <w:r>
        <w:t xml:space="preserve">The cost is that inbuilt age and outlier parameters are no longer pooled across</w:t>
      </w:r>
      <w:r>
        <w:t xml:space="preserve"> </w:t>
      </w:r>
      <w:r>
        <w:t xml:space="preserve">deposits. A deposit carrying both short-lived and wood determinations still</w:t>
      </w:r>
      <w:r>
        <w:t xml:space="preserve"> </w:t>
      </w:r>
      <w:r>
        <w:t xml:space="preserve">estimates its own offset from that internal contrast, but a deposit carrying</w:t>
      </w:r>
      <w:r>
        <w:t xml:space="preserve"> </w:t>
      </w:r>
      <w:r>
        <w:t xml:space="preserve">only one material class returns the prior, and we identify which deposits fall</w:t>
      </w:r>
      <w:r>
        <w:t xml:space="preserve"> </w:t>
      </w:r>
      <w:r>
        <w:t xml:space="preserve">into which case when reporting. Pooling was in any case carrying little weight</w:t>
      </w:r>
      <w:r>
        <w:t xml:space="preserve"> </w:t>
      </w:r>
      <w:r>
        <w:t xml:space="preserve">here, since only two deposits in the assemblage hold enough of both material</w:t>
      </w:r>
      <w:r>
        <w:t xml:space="preserve"> </w:t>
      </w:r>
      <w:r>
        <w:t xml:space="preserve">classes to constrain the wood offset at all.</w:t>
      </w:r>
    </w:p>
    <w:bookmarkEnd w:id="18"/>
    <w:bookmarkStart w:id="19" w:name="derived-quantities"/>
    <w:p>
      <w:pPr>
        <w:pStyle w:val="Heading2"/>
      </w:pPr>
      <w:r>
        <w:t xml:space="preserve">2.7 Derived quantities</w:t>
      </w:r>
    </w:p>
    <w:p>
      <w:pPr>
        <w:pStyle w:val="FirstParagraph"/>
      </w:pPr>
      <w:r>
        <w:t xml:space="preserve">From the posterior we compute, for each deposit and each calendar year, whether</w:t>
      </w:r>
      <w:r>
        <w:t xml:space="preserve"> </w:t>
      </w:r>
      <w:r>
        <w:t xml:space="preserve">an occupation phase covered that year. Summing across deposits gives the</w:t>
      </w:r>
      <w:r>
        <w:t xml:space="preserve"> </w:t>
      </w:r>
      <w:r>
        <w:t xml:space="preserve">posterior distribution of the number of simultaneously occupied deposits at</w:t>
      </w:r>
      <w:r>
        <w:t xml:space="preserve"> </w:t>
      </w:r>
      <w:r>
        <w:t xml:space="preserve">each year, which is our primary quantity. For each pair of deposits we compute</w:t>
      </w:r>
      <w:r>
        <w:t xml:space="preserve"> </w:t>
      </w:r>
      <w:r>
        <w:t xml:space="preserve">the number of years both were occupied, reported as a posterior distribution</w:t>
      </w:r>
      <w:r>
        <w:t xml:space="preserve"> </w:t>
      </w:r>
      <w:r>
        <w:t xml:space="preserve">together with the probability that the shared interval reached at least 25</w:t>
      </w:r>
      <w:r>
        <w:t xml:space="preserve"> </w:t>
      </w:r>
      <w:r>
        <w:t xml:space="preserve">years. We deliberately do not report the probability of any overlap at all,</w:t>
      </w:r>
      <w:r>
        <w:t xml:space="preserve"> </w:t>
      </w:r>
      <w:r>
        <w:t xml:space="preserve">because that quantity saturates for any pair of intervals with uncertain</w:t>
      </w:r>
      <w:r>
        <w:t xml:space="preserve"> </w:t>
      </w:r>
      <w:r>
        <w:t xml:space="preserve">boundaries and is uninformative.</w:t>
      </w:r>
    </w:p>
    <w:bookmarkEnd w:id="19"/>
    <w:bookmarkStart w:id="20" w:name="verification"/>
    <w:p>
      <w:pPr>
        <w:pStyle w:val="Heading2"/>
      </w:pPr>
      <w:r>
        <w:t xml:space="preserve">2.8 Verification</w:t>
      </w:r>
    </w:p>
    <w:p>
      <w:pPr>
        <w:pStyle w:val="FirstParagraph"/>
      </w:pPr>
      <w:r>
        <w:t xml:space="preserve">Because the calibration and integration machinery is written for this analysis</w:t>
      </w:r>
      <w:r>
        <w:t xml:space="preserve"> </w:t>
      </w:r>
      <w:r>
        <w:t xml:space="preserve">rather than taken from an existing package, we verified it three ways.</w:t>
      </w:r>
      <w:r>
        <w:t xml:space="preserve"> </w:t>
      </w:r>
      <w:r>
        <w:t xml:space="preserve">Calibrated densities agree with those produced by</w:t>
      </w:r>
      <w:r>
        <w:t xml:space="preserve"> </w:t>
      </w:r>
      <w:r>
        <w:rPr>
          <w:rStyle w:val="VerbatimChar"/>
        </w:rPr>
        <w:t xml:space="preserve">rcarbon</w:t>
      </w:r>
      <w:r>
        <w:t xml:space="preserve"> </w:t>
      </w:r>
      <w:r>
        <w:t xml:space="preserve">(Crema and Bevan 2021)</w:t>
      </w:r>
      <w:r>
        <w:t xml:space="preserve">, an</w:t>
      </w:r>
      <w:r>
        <w:t xml:space="preserve"> </w:t>
      </w:r>
      <w:r>
        <w:t xml:space="preserve">independent implementation, to better than one part in a thousand in total</w:t>
      </w:r>
      <w:r>
        <w:t xml:space="preserve"> </w:t>
      </w:r>
      <w:r>
        <w:t xml:space="preserve">variation. The interpolated integral evaluated inside Stan agrees with direct</w:t>
      </w:r>
      <w:r>
        <w:t xml:space="preserve"> </w:t>
      </w:r>
      <w:r>
        <w:t xml:space="preserve">numerical integration on a hundredth-year grid to one part in a million. And</w:t>
      </w:r>
      <w:r>
        <w:t xml:space="preserve"> </w:t>
      </w:r>
      <w:r>
        <w:t xml:space="preserve">the pointwise log likelihood returned by the fitted model agrees with an</w:t>
      </w:r>
      <w:r>
        <w:t xml:space="preserve"> </w:t>
      </w:r>
      <w:r>
        <w:t xml:space="preserve">independent recomputation in R to fourteen decimal places, which establishes</w:t>
      </w:r>
      <w:r>
        <w:t xml:space="preserve"> </w:t>
      </w:r>
      <w:r>
        <w:t xml:space="preserve">that any model comparison describes the model actually fitted.</w:t>
      </w:r>
    </w:p>
    <w:bookmarkEnd w:id="20"/>
    <w:bookmarkStart w:id="21" w:name="Xd8c9be55da23ebf5ee094ae79d6eb434ddab142"/>
    <w:p>
      <w:pPr>
        <w:pStyle w:val="Heading2"/>
      </w:pPr>
      <w:r>
        <w:t xml:space="preserve">2.9 Calibration structure in the study interval</w:t>
      </w:r>
    </w:p>
    <w:p>
      <w:pPr>
        <w:pStyle w:val="FirstParagraph"/>
      </w:pPr>
      <w:r>
        <w:t xml:space="preserve">Resolution is bounded by the shape of the calibration curve, and that bound</w:t>
      </w:r>
      <w:r>
        <w:t xml:space="preserve"> </w:t>
      </w:r>
      <w:r>
        <w:t xml:space="preserve">varies across the sequence. Measuring IntCal20 directly over the study</w:t>
      </w:r>
      <w:r>
        <w:t xml:space="preserve"> </w:t>
      </w:r>
      <w:r>
        <w:t xml:space="preserve">interval, we find six intervals in which radiocarbon age falls as calendar age</w:t>
      </w:r>
      <w:r>
        <w:t xml:space="preserve"> </w:t>
      </w:r>
      <w:r>
        <w:t xml:space="preserve">falls, so that calibration is multimodal and resolution collapses. In calendar</w:t>
      </w:r>
      <w:r>
        <w:t xml:space="preserve"> </w:t>
      </w:r>
      <w:r>
        <w:t xml:space="preserve">terms these fall at AD 1539 to 1606, AD 1064 to 1113, AD 1337 to 1373, AD 717</w:t>
      </w:r>
      <w:r>
        <w:t xml:space="preserve"> </w:t>
      </w:r>
      <w:r>
        <w:t xml:space="preserve">to 751, AD 487 to 521, and AD 909 to 936, the widest spanning 67 years. Between</w:t>
      </w:r>
      <w:r>
        <w:t xml:space="preserve"> </w:t>
      </w:r>
      <w:r>
        <w:t xml:space="preserve">them the curve retains sufficient slope for occupations to resolve to a few</w:t>
      </w:r>
      <w:r>
        <w:t xml:space="preserve"> </w:t>
      </w:r>
      <w:r>
        <w:t xml:space="preserve">decades given enough short-lived determinations. Resolution therefore varies</w:t>
      </w:r>
      <w:r>
        <w:t xml:space="preserve"> </w:t>
      </w:r>
      <w:r>
        <w:t xml:space="preserve">from deposit to deposit according to where an occupation happens to fall, and</w:t>
      </w:r>
      <w:r>
        <w:t xml:space="preserve"> </w:t>
      </w:r>
      <w:r>
        <w:t xml:space="preserve">we mark these intervals on every figure with a calendar axis so that a change</w:t>
      </w:r>
      <w:r>
        <w:t xml:space="preserve"> </w:t>
      </w:r>
      <w:r>
        <w:t xml:space="preserve">in the width of a credible interval can be read against calibration structure</w:t>
      </w:r>
      <w:r>
        <w:t xml:space="preserve"> </w:t>
      </w:r>
      <w:r>
        <w:t xml:space="preserve">rather than mistaken for a change in settlement.</w:t>
      </w:r>
    </w:p>
    <w:bookmarkEnd w:id="21"/>
    <w:bookmarkStart w:id="22" w:name="software-and-reproducibility"/>
    <w:p>
      <w:pPr>
        <w:pStyle w:val="Heading2"/>
      </w:pPr>
      <w:r>
        <w:t xml:space="preserve">2.10 Software and reproducibility</w:t>
      </w:r>
    </w:p>
    <w:p>
      <w:pPr>
        <w:pStyle w:val="FirstParagraph"/>
      </w:pPr>
      <w:r>
        <w:t xml:space="preserve">Analysis code, the audited lookup tables, and the figure-generating scripts are</w:t>
      </w:r>
      <w:r>
        <w:t xml:space="preserve"> </w:t>
      </w:r>
      <w:r>
        <w:t xml:space="preserve">available at</w:t>
      </w:r>
      <w:r>
        <w:t xml:space="preserve"> </w:t>
      </w:r>
      <w:r>
        <w:rPr>
          <w:rStyle w:val="VerbatimChar"/>
        </w:rPr>
        <w:t xml:space="preserve">https://github.com/clipo/village</w:t>
      </w:r>
      <w:r>
        <w:t xml:space="preserve">. Package versions are recorded</w:t>
      </w:r>
      <w:r>
        <w:t xml:space="preserve"> </w:t>
      </w:r>
      <w:r>
        <w:t xml:space="preserve">in</w:t>
      </w:r>
      <w:r>
        <w:t xml:space="preserve"> </w:t>
      </w:r>
      <w:r>
        <w:rPr>
          <w:rStyle w:val="VerbatimChar"/>
        </w:rPr>
        <w:t xml:space="preserve">renv.lock</w:t>
      </w:r>
      <w:r>
        <w:t xml:space="preserve">.</w:t>
      </w:r>
    </w:p>
    <w:bookmarkEnd w:id="22"/>
    <w:bookmarkEnd w:id="23"/>
    <w:bookmarkStart w:id="24" w:name="results"/>
    <w:p>
      <w:pPr>
        <w:pStyle w:val="Heading1"/>
      </w:pPr>
      <w:r>
        <w:t xml:space="preserve">3. Results</w:t>
      </w:r>
    </w:p>
    <w:p>
      <w:pPr>
        <w:pStyle w:val="FirstParagraph"/>
      </w:pPr>
      <w:r>
        <w:rPr>
          <w:b/>
          <w:bCs/>
        </w:rPr>
        <w:t xml:space="preserve">[PENDING.]</w:t>
      </w:r>
      <w:r>
        <w:t xml:space="preserve"> </w:t>
      </w:r>
      <w:r>
        <w:t xml:space="preserve">Results are deferred until the validation specified for this</w:t>
      </w:r>
      <w:r>
        <w:t xml:space="preserve"> </w:t>
      </w:r>
      <w:r>
        <w:t xml:space="preserve">analysis has been completed and the sampling issue described below has been</w:t>
      </w:r>
      <w:r>
        <w:t xml:space="preserve"> </w:t>
      </w:r>
      <w:r>
        <w:t xml:space="preserve">resolved. Preliminary output is available in</w:t>
      </w:r>
      <w:r>
        <w:t xml:space="preserve"> </w:t>
      </w:r>
      <w:r>
        <w:rPr>
          <w:rStyle w:val="VerbatimChar"/>
        </w:rPr>
        <w:t xml:space="preserve">output/susquehanna/</w:t>
      </w:r>
      <w:r>
        <w:t xml:space="preserve"> </w:t>
      </w:r>
      <w:r>
        <w:t xml:space="preserve">and should be</w:t>
      </w:r>
      <w:r>
        <w:t xml:space="preserve"> </w:t>
      </w:r>
      <w:r>
        <w:t xml:space="preserve">treated as provisional.</w:t>
      </w:r>
    </w:p>
    <w:bookmarkEnd w:id="24"/>
    <w:bookmarkStart w:id="25" w:name="discussion"/>
    <w:p>
      <w:pPr>
        <w:pStyle w:val="Heading1"/>
      </w:pPr>
      <w:r>
        <w:t xml:space="preserve">4. Discussion</w:t>
      </w:r>
    </w:p>
    <w:p>
      <w:pPr>
        <w:pStyle w:val="FirstParagraph"/>
      </w:pPr>
      <w:r>
        <w:rPr>
          <w:b/>
          <w:bCs/>
        </w:rPr>
        <w:t xml:space="preserve">[PENDING.]</w:t>
      </w:r>
      <w:r>
        <w:t xml:space="preserve"> </w:t>
      </w:r>
      <w:r>
        <w:t xml:space="preserve">To be written once results are final.</w:t>
      </w:r>
    </w:p>
    <w:bookmarkEnd w:id="25"/>
    <w:bookmarkStart w:id="26" w:name="known-limitations"/>
    <w:p>
      <w:pPr>
        <w:pStyle w:val="Heading1"/>
      </w:pPr>
      <w:r>
        <w:t xml:space="preserve">5. Known limitations</w:t>
      </w:r>
    </w:p>
    <w:p>
      <w:pPr>
        <w:pStyle w:val="FirstParagraph"/>
      </w:pPr>
      <w:r>
        <w:t xml:space="preserve">We record the following so that the state of the analysis is not</w:t>
      </w:r>
      <w:r>
        <w:t xml:space="preserve"> </w:t>
      </w:r>
      <w:r>
        <w:t xml:space="preserve">misrepresented.</w:t>
      </w:r>
    </w:p>
    <w:p>
      <w:pPr>
        <w:pStyle w:val="BodyText"/>
      </w:pPr>
      <w:r>
        <w:t xml:space="preserve">Multi-episode inference is not currently available. Although the model</w:t>
      </w:r>
      <w:r>
        <w:t xml:space="preserve"> </w:t>
      </w:r>
      <w:r>
        <w:t xml:space="preserve">described above admits several occupation phases per deposit, the sampler does</w:t>
      </w:r>
      <w:r>
        <w:t xml:space="preserve"> </w:t>
      </w:r>
      <w:r>
        <w:t xml:space="preserve">not explore the resulting posterior reliably when a deposit carries two or more</w:t>
      </w:r>
      <w:r>
        <w:t xml:space="preserve"> </w:t>
      </w:r>
      <w:r>
        <w:t xml:space="preserve">phases, and we have not resolved this. Deposits are instead fitted as a single</w:t>
      </w:r>
      <w:r>
        <w:t xml:space="preserve"> </w:t>
      </w:r>
      <w:r>
        <w:t xml:space="preserve">occupation interval each. For deposits that genuinely contain more than</w:t>
      </w:r>
      <w:r>
        <w:t xml:space="preserve"> </w:t>
      </w:r>
      <w:r>
        <w:t xml:space="preserve">one occupation, the fitted interval measures the depth of the palimpsest rather</w:t>
      </w:r>
      <w:r>
        <w:t xml:space="preserve"> </w:t>
      </w:r>
      <w:r>
        <w:t xml:space="preserve">than the length of any occupation, and four deposits in this assemblage fall</w:t>
      </w:r>
      <w:r>
        <w:t xml:space="preserve"> </w:t>
      </w:r>
      <w:r>
        <w:t xml:space="preserve">into that category. Their intervals should not be read as occupation spans, and</w:t>
      </w:r>
      <w:r>
        <w:t xml:space="preserve"> </w:t>
      </w:r>
      <w:r>
        <w:t xml:space="preserve">any count of contemporaneous occupations that includes them is inflated.</w:t>
      </w:r>
    </w:p>
    <w:p>
      <w:pPr>
        <w:pStyle w:val="BodyText"/>
      </w:pPr>
      <w:r>
        <w:t xml:space="preserve">Durations at deposits represented by one or two determinations are governed by</w:t>
      </w:r>
      <w:r>
        <w:t xml:space="preserve"> </w:t>
      </w:r>
      <w:r>
        <w:t xml:space="preserve">the prior rather than by their own evidence, which is a property of the</w:t>
      </w:r>
      <w:r>
        <w:t xml:space="preserve"> </w:t>
      </w:r>
      <w:r>
        <w:t xml:space="preserve">evidence rather than of the model. We report results both including and</w:t>
      </w:r>
      <w:r>
        <w:t xml:space="preserve"> </w:t>
      </w:r>
      <w:r>
        <w:t xml:space="preserve">excluding these deposits.</w:t>
      </w:r>
    </w:p>
    <w:p>
      <w:pPr>
        <w:pStyle w:val="BodyText"/>
      </w:pPr>
      <w:r>
        <w:t xml:space="preserve">Several components of the analysis plan remain to be run, specifically</w:t>
      </w:r>
      <w:r>
        <w:t xml:space="preserve"> </w:t>
      </w:r>
      <w:r>
        <w:t xml:space="preserve">simulation-based assessment of parameter recovery, formal model comparison by</w:t>
      </w:r>
      <w:r>
        <w:t xml:space="preserve"> </w:t>
      </w:r>
      <w:r>
        <w:t xml:space="preserve">cross-validation, posterior predictive checking, and the prior sensitivity runs</w:t>
      </w:r>
      <w:r>
        <w:t xml:space="preserve"> </w:t>
      </w:r>
      <w:r>
        <w:t xml:space="preserve">described above. Until these are complete we regard the results as provisional.</w:t>
      </w:r>
    </w:p>
    <w:bookmarkEnd w:id="26"/>
    <w:bookmarkStart w:id="41" w:name="references"/>
    <w:p>
      <w:pPr>
        <w:pStyle w:val="Heading1"/>
      </w:pPr>
      <w:r>
        <w:t xml:space="preserve">6. References</w:t>
      </w:r>
    </w:p>
    <w:bookmarkStart w:id="40" w:name="refs"/>
    <w:bookmarkStart w:id="27" w:name="ref-blaauw_intcal"/>
    <w:p>
      <w:pPr>
        <w:pStyle w:val="Bibliography"/>
      </w:pPr>
      <w:r>
        <w:t xml:space="preserve">Blaauw, Maarten. 2024.</w:t>
      </w:r>
      <w:r>
        <w:t xml:space="preserve"> </w:t>
      </w:r>
      <w:r>
        <w:rPr>
          <w:i/>
          <w:iCs/>
        </w:rPr>
        <w:t xml:space="preserve">IntCal</w:t>
      </w:r>
      <w:r>
        <w:rPr>
          <w:i/>
          <w:iCs/>
        </w:rPr>
        <w:t xml:space="preserve">: Radiocarbon Calibration Curves</w:t>
      </w:r>
      <w:r>
        <w:t xml:space="preserve">.</w:t>
      </w:r>
    </w:p>
    <w:bookmarkEnd w:id="27"/>
    <w:bookmarkStart w:id="28" w:name="ref-bronkramsey2009"/>
    <w:p>
      <w:pPr>
        <w:pStyle w:val="Bibliography"/>
      </w:pPr>
      <w:r>
        <w:t xml:space="preserve">Bronk Ramsey, Christopher. 2009a.</w:t>
      </w:r>
      <w:r>
        <w:t xml:space="preserve"> </w:t>
      </w:r>
      <w:r>
        <w:t xml:space="preserve">“Bayesian Analysis of Radiocarbon Dates.”</w:t>
      </w:r>
      <w:r>
        <w:t xml:space="preserve"> </w:t>
      </w:r>
      <w:r>
        <w:rPr>
          <w:i/>
          <w:iCs/>
        </w:rPr>
        <w:t xml:space="preserve">Radiocarbon</w:t>
      </w:r>
      <w:r>
        <w:t xml:space="preserve"> </w:t>
      </w:r>
      <w:r>
        <w:t xml:space="preserve">51 (1): 337–60.</w:t>
      </w:r>
    </w:p>
    <w:bookmarkEnd w:id="28"/>
    <w:bookmarkStart w:id="29" w:name="ref-bronkramsey2009outliers"/>
    <w:p>
      <w:pPr>
        <w:pStyle w:val="Bibliography"/>
      </w:pPr>
      <w:r>
        <w:t xml:space="preserve">Bronk Ramsey, Christopher. 2009b.</w:t>
      </w:r>
      <w:r>
        <w:t xml:space="preserve"> </w:t>
      </w:r>
      <w:r>
        <w:t xml:space="preserve">“Dealing with Outliers and Offsets in Radiocarbon Dating.”</w:t>
      </w:r>
      <w:r>
        <w:t xml:space="preserve"> </w:t>
      </w:r>
      <w:r>
        <w:rPr>
          <w:i/>
          <w:iCs/>
        </w:rPr>
        <w:t xml:space="preserve">Radiocarbon</w:t>
      </w:r>
      <w:r>
        <w:t xml:space="preserve"> </w:t>
      </w:r>
      <w:r>
        <w:t xml:space="preserve">51 (3): 1023–45.</w:t>
      </w:r>
    </w:p>
    <w:bookmarkEnd w:id="29"/>
    <w:bookmarkStart w:id="30" w:name="ref-bronkramsey2001"/>
    <w:p>
      <w:pPr>
        <w:pStyle w:val="Bibliography"/>
      </w:pPr>
      <w:r>
        <w:t xml:space="preserve">Bronk Ramsey, Christopher, Johannes van der Plicht, and Bernhard Weninger. 2001.</w:t>
      </w:r>
      <w:r>
        <w:t xml:space="preserve"> </w:t>
      </w:r>
      <w:r>
        <w:t xml:space="preserve">“’Wiggle Matching’ Radiocarbon Dates.”</w:t>
      </w:r>
      <w:r>
        <w:t xml:space="preserve"> </w:t>
      </w:r>
      <w:r>
        <w:rPr>
          <w:i/>
          <w:iCs/>
        </w:rPr>
        <w:t xml:space="preserve">Radiocarbon</w:t>
      </w:r>
      <w:r>
        <w:t xml:space="preserve"> </w:t>
      </w:r>
      <w:r>
        <w:t xml:space="preserve">43 (2A): 381–89.</w:t>
      </w:r>
    </w:p>
    <w:bookmarkEnd w:id="30"/>
    <w:bookmarkStart w:id="31" w:name="ref-buck1996"/>
    <w:p>
      <w:pPr>
        <w:pStyle w:val="Bibliography"/>
      </w:pPr>
      <w:r>
        <w:t xml:space="preserve">Buck, Caitlin E, William G Cavanagh, and Clifford D Litton. 1996.</w:t>
      </w:r>
      <w:r>
        <w:t xml:space="preserve"> </w:t>
      </w:r>
      <w:r>
        <w:rPr>
          <w:i/>
          <w:iCs/>
        </w:rPr>
        <w:t xml:space="preserve">Bayesian Approach to Interpreting Archaeological Data</w:t>
      </w:r>
      <w:r>
        <w:t xml:space="preserve">. John Wiley &amp; Sons.</w:t>
      </w:r>
    </w:p>
    <w:bookmarkEnd w:id="31"/>
    <w:bookmarkStart w:id="32" w:name="ref-carpenter2017"/>
    <w:p>
      <w:pPr>
        <w:pStyle w:val="Bibliography"/>
      </w:pPr>
      <w:r>
        <w:t xml:space="preserve">Carpenter, Bob, Andrew Gelman, Matthew D Hoffman, et al. 2017.</w:t>
      </w:r>
      <w:r>
        <w:t xml:space="preserve"> </w:t>
      </w:r>
      <w:r>
        <w:t xml:space="preserve">“Stan: A Probabilistic Programming Language.”</w:t>
      </w:r>
      <w:r>
        <w:t xml:space="preserve"> </w:t>
      </w:r>
      <w:r>
        <w:rPr>
          <w:i/>
          <w:iCs/>
        </w:rPr>
        <w:t xml:space="preserve">Journal of Statistical Software</w:t>
      </w:r>
      <w:r>
        <w:t xml:space="preserve"> </w:t>
      </w:r>
      <w:r>
        <w:t xml:space="preserve">76 (1): 1–32.</w:t>
      </w:r>
    </w:p>
    <w:bookmarkEnd w:id="32"/>
    <w:bookmarkStart w:id="33" w:name="ref-christen1994"/>
    <w:p>
      <w:pPr>
        <w:pStyle w:val="Bibliography"/>
      </w:pPr>
      <w:r>
        <w:t xml:space="preserve">Christen, J. Andrés. 1994.</w:t>
      </w:r>
      <w:r>
        <w:t xml:space="preserve"> </w:t>
      </w:r>
      <w:r>
        <w:t xml:space="preserve">“Summarizing a Set of Radiocarbon Determinations: A Robust Approach.”</w:t>
      </w:r>
      <w:r>
        <w:t xml:space="preserve"> </w:t>
      </w:r>
      <w:r>
        <w:rPr>
          <w:i/>
          <w:iCs/>
        </w:rPr>
        <w:t xml:space="preserve">Journal of the Royal Statistical Society: Series C (Applied Statistics)</w:t>
      </w:r>
      <w:r>
        <w:t xml:space="preserve"> </w:t>
      </w:r>
      <w:r>
        <w:t xml:space="preserve">43 (3): 489–503.</w:t>
      </w:r>
    </w:p>
    <w:bookmarkEnd w:id="33"/>
    <w:bookmarkStart w:id="34" w:name="ref-crema2021"/>
    <w:p>
      <w:pPr>
        <w:pStyle w:val="Bibliography"/>
      </w:pPr>
      <w:r>
        <w:t xml:space="preserve">Crema, Enrico R, and Andrew Bevan. 2021.</w:t>
      </w:r>
      <w:r>
        <w:t xml:space="preserve"> </w:t>
      </w:r>
      <w:r>
        <w:t xml:space="preserve">“Inference from Large Sets of Radiocarbon Dates: Software and Methods.”</w:t>
      </w:r>
      <w:r>
        <w:t xml:space="preserve"> </w:t>
      </w:r>
      <w:r>
        <w:rPr>
          <w:i/>
          <w:iCs/>
        </w:rPr>
        <w:t xml:space="preserve">Radiocarbon</w:t>
      </w:r>
      <w:r>
        <w:t xml:space="preserve"> </w:t>
      </w:r>
      <w:r>
        <w:t xml:space="preserve">63 (1): 23–39.</w:t>
      </w:r>
    </w:p>
    <w:bookmarkEnd w:id="34"/>
    <w:bookmarkStart w:id="35" w:name="ref-nicholls2001"/>
    <w:p>
      <w:pPr>
        <w:pStyle w:val="Bibliography"/>
      </w:pPr>
      <w:r>
        <w:t xml:space="preserve">Nicholls, Geoff, and Martin Jones. 2001.</w:t>
      </w:r>
      <w:r>
        <w:t xml:space="preserve"> </w:t>
      </w:r>
      <w:r>
        <w:t xml:space="preserve">“Radiocarbon Dating with Temporal Order Constraints.”</w:t>
      </w:r>
      <w:r>
        <w:t xml:space="preserve"> </w:t>
      </w:r>
      <w:r>
        <w:rPr>
          <w:i/>
          <w:iCs/>
        </w:rPr>
        <w:t xml:space="preserve">Journal of the Royal Statistical Society: Series C (Applied Statistics)</w:t>
      </w:r>
      <w:r>
        <w:t xml:space="preserve"> </w:t>
      </w:r>
      <w:r>
        <w:t xml:space="preserve">50 (4): 503–21.</w:t>
      </w:r>
    </w:p>
    <w:bookmarkEnd w:id="35"/>
    <w:bookmarkStart w:id="36" w:name="ref-reimer2020"/>
    <w:p>
      <w:pPr>
        <w:pStyle w:val="Bibliography"/>
      </w:pPr>
      <w:r>
        <w:t xml:space="preserve">Reimer, Paula J, William EN Austin, Edouard Bard, et al.</w:t>
      </w:r>
      <w:r>
        <w:t xml:space="preserve"> 2020.</w:t>
      </w:r>
      <w:r>
        <w:t xml:space="preserve"> </w:t>
      </w:r>
      <w:r>
        <w:t xml:space="preserve">“The IntCal20 Northern Hemisphere Radiocarbon Age Calibration Curve (0–55 Cal kBP).”</w:t>
      </w:r>
      <w:r>
        <w:t xml:space="preserve"> </w:t>
      </w:r>
      <w:r>
        <w:rPr>
          <w:i/>
          <w:iCs/>
        </w:rPr>
        <w:t xml:space="preserve">Radiocarbon</w:t>
      </w:r>
      <w:r>
        <w:t xml:space="preserve"> </w:t>
      </w:r>
      <w:r>
        <w:t xml:space="preserve">62 (4): 725–57.</w:t>
      </w:r>
    </w:p>
    <w:bookmarkEnd w:id="36"/>
    <w:bookmarkStart w:id="37" w:name="ref-rousseau2011"/>
    <w:p>
      <w:pPr>
        <w:pStyle w:val="Bibliography"/>
      </w:pPr>
      <w:r>
        <w:t xml:space="preserve">Rousseau, Judith, and Kerrie Mengersen. 2011.</w:t>
      </w:r>
      <w:r>
        <w:t xml:space="preserve"> </w:t>
      </w:r>
      <w:r>
        <w:t xml:space="preserve">“Asymptotic Behaviour of the Posterior Distribution in Overfitted Mixture Models.”</w:t>
      </w:r>
      <w:r>
        <w:t xml:space="preserve"> </w:t>
      </w:r>
      <w:r>
        <w:rPr>
          <w:i/>
          <w:iCs/>
        </w:rPr>
        <w:t xml:space="preserve">Journal of the Royal Statistical Society: Series B (Statistical Methodology)</w:t>
      </w:r>
      <w:r>
        <w:t xml:space="preserve"> </w:t>
      </w:r>
      <w:r>
        <w:t xml:space="preserve">73 (5): 689–710.</w:t>
      </w:r>
    </w:p>
    <w:bookmarkEnd w:id="37"/>
    <w:bookmarkStart w:id="38" w:name="ref-schiffer1986"/>
    <w:p>
      <w:pPr>
        <w:pStyle w:val="Bibliography"/>
      </w:pPr>
      <w:r>
        <w:t xml:space="preserve">Schiffer, Michael B. 1986.</w:t>
      </w:r>
      <w:r>
        <w:t xml:space="preserve"> </w:t>
      </w:r>
      <w:r>
        <w:t xml:space="preserve">“Radiocarbon Dating and the</w:t>
      </w:r>
      <w:r>
        <w:t xml:space="preserve"> </w:t>
      </w:r>
      <w:r>
        <w:t xml:space="preserve">‘Old Wood’</w:t>
      </w:r>
      <w:r>
        <w:t xml:space="preserve"> </w:t>
      </w:r>
      <w:r>
        <w:t xml:space="preserve">Problem: The Case of the</w:t>
      </w:r>
      <w:r>
        <w:t xml:space="preserve"> </w:t>
      </w:r>
      <w:r>
        <w:t xml:space="preserve">H</w:t>
      </w:r>
      <w:r>
        <w:t xml:space="preserve">ohokam Chronology.”</w:t>
      </w:r>
      <w:r>
        <w:t xml:space="preserve"> </w:t>
      </w:r>
      <w:r>
        <w:rPr>
          <w:i/>
          <w:iCs/>
        </w:rPr>
        <w:t xml:space="preserve">Journal of Archaeological Science</w:t>
      </w:r>
      <w:r>
        <w:t xml:space="preserve"> </w:t>
      </w:r>
      <w:r>
        <w:t xml:space="preserve">13 (1): 13–30.</w:t>
      </w:r>
    </w:p>
    <w:bookmarkEnd w:id="38"/>
    <w:bookmarkStart w:id="39" w:name="ref-wardwilson1978"/>
    <w:p>
      <w:pPr>
        <w:pStyle w:val="Bibliography"/>
      </w:pPr>
      <w:r>
        <w:t xml:space="preserve">Ward, G. K., and S. R. Wilson. 1978.</w:t>
      </w:r>
      <w:r>
        <w:t xml:space="preserve"> </w:t>
      </w:r>
      <w:r>
        <w:t xml:space="preserve">“Procedures for Comparing and Combining Radiocarbon Age Determinations: A Critique.”</w:t>
      </w:r>
      <w:r>
        <w:t xml:space="preserve"> </w:t>
      </w:r>
      <w:r>
        <w:rPr>
          <w:i/>
          <w:iCs/>
        </w:rPr>
        <w:t xml:space="preserve">Archaeometry</w:t>
      </w:r>
      <w:r>
        <w:t xml:space="preserve"> </w:t>
      </w:r>
      <w:r>
        <w:t xml:space="preserve">20 (1): 19–31.</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Villages at Once? Bayesian Assessment of Occupation Contemporaneity in the Upper Susquehanna Valley</dc:title>
  <dc:creator>Carl P. Lipo</dc:creator>
  <cp:keywords/>
  <dcterms:created xsi:type="dcterms:W3CDTF">2026-08-15T10:39:31Z</dcterms:created>
  <dcterms:modified xsi:type="dcterms:W3CDTF">2026-08-15T10:39:31Z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Settlement histories are usually built from sites treated one at a time, yet the questions that matter most concern how many communities occupied a region together and for how long their occupations overlapped. We address that question for the upper Susquehanna valley near Binghamton, New York, using 167 radiocarbon determinations from 34 deposits spanning roughly the last two millennia. Our model treats each deposit as one or more occupation phases of unknown position and duration, marginalising both the latent calendar date of every determination and its assignment to a phase. Precomputing the cumulative integral of each calibrated likelihood reduces the probability of a determination given a uniform occupation phase to a difference of two integrals, which removes 164 latent parameters and makes the posterior tractable in Stan. Inbuilt age in wood samples and outlying measurements enter as additional mixture components estimated from the data rather than assumed. [RESULTS PENDING: the validation specified for this analysis has not yet been run, and the multi-phase sampler remains unresolved. Findings, their uncertainty, and their archaeological interpretation are deferred until those are complete. See Section 4.]</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2026-08-15</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A radiocarbon chronology for 34 deposits near Binghamton, New York</vt:lpwstr>
  </property>
  <property fmtid="{D5CDD505-2E9C-101B-9397-08002B2CF9AE}" pid="16" name="toc-title">
    <vt:lpwstr>Table of contents</vt:lpwstr>
  </property>
</Properties>
</file>