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Said that the UI design and overall look of the mockup webpage is good, covered all the needed pages and ways user can interact with the software.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Color scheme, UI, icons are all clean and it is not cluttered.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One issue was that some of the pages look very simple, similar to the android app but just ported to a web app. Mostly the profile and inbox pages look more simple.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However, the clients said that it was fine to leave it like that due to the time limitations of the project, and also if the web app works well enough, we can make it compatible on mobile devices and do away with the android app.This way, iOS devices can access this as well.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 the login screen, we put a "forgot password" button under the password however the app right now currently does not have support for password recovery, and saving the users email to send them a password reset option. Either disable or remove the button when we create the real web app.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Possible that clients may want to get rid of the lottery and gift card drawing options for this app in the future, so the priority of implementing the lottery is lower than the rest of the functions.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Mockup Meeting Notes.docx</dc:title>
</cp:coreProperties>
</file>