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4"/>
        </w:numPr>
        <w:spacing w:beforeAutospacing="0" w:before="240" w:afterAutospacing="0" w:after="24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OBJETIVO</w:t>
      </w:r>
    </w:p>
    <w:p>
      <w:pPr>
        <w:pStyle w:val="Normal"/>
        <w:spacing w:beforeAutospacing="0" w:before="240" w:afterAutospacing="0" w:after="240"/>
        <w:ind w:left="0" w:hanging="0"/>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Establecer directrices claras y efectivas para la asistencia de personas rescatadas tras incidentes marítimos en el Puerto de Montevideo. Este protocolo abarca desde la comunicación inicial con el Centro de Control del Puerto hasta las coordinaciones necesarias con entidades médicas, judiciales y consulares, garantizando una respuesta eficiente y conforme a las normativas vigentes. -</w:t>
      </w:r>
    </w:p>
    <w:p>
      <w:pPr>
        <w:pStyle w:val="ListParagraph"/>
        <w:numPr>
          <w:ilvl w:val="0"/>
          <w:numId w:val="4"/>
        </w:numPr>
        <w:spacing w:beforeAutospacing="0" w:before="240" w:afterAutospacing="0" w:after="24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ALCANCE</w:t>
      </w:r>
    </w:p>
    <w:p>
      <w:pPr>
        <w:pStyle w:val="Normal"/>
        <w:spacing w:beforeAutospacing="0" w:before="240" w:afterAutospacing="0" w:after="240"/>
        <w:ind w:left="0" w:hanging="0"/>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Este procedimiento se aplica exclusivamente en el recinto portuario del Puerto de Montevideo, bajo la jurisdicción de la Prefectura del Puerto de Montevideo (PREMO). Incluye todas las actividades relacionadas con la recepción y asistencia de personas rescatadas de incidentes marítimos, tales como la recepción de heridos en puerto por accidentes laborales y/o que hubiesen contraído enfermedades o condiciones médicas a bordo. -</w:t>
      </w:r>
    </w:p>
    <w:p>
      <w:pPr>
        <w:pStyle w:val="ListParagraph"/>
        <w:numPr>
          <w:ilvl w:val="0"/>
          <w:numId w:val="4"/>
        </w:numPr>
        <w:spacing w:beforeAutospacing="0" w:before="240" w:afterAutospacing="0" w:after="24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REFERENCIAS</w:t>
      </w:r>
    </w:p>
    <w:p>
      <w:pPr>
        <w:pStyle w:val="ListParagraph"/>
        <w:spacing w:beforeAutospacing="0" w:before="240" w:afterAutospacing="0" w:after="240"/>
        <w:ind w:left="720" w:hanging="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r>
    </w:p>
    <w:p>
      <w:pPr>
        <w:pStyle w:val="ListParagraph"/>
        <w:numPr>
          <w:ilvl w:val="0"/>
          <w:numId w:val="3"/>
        </w:numPr>
        <w:spacing w:beforeAutospacing="0" w:before="24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Ley N° 17.121: Competencias de la Armada Nacional a través de la Prefectura Nacional Naval en aguas de jurisdicción o de soberanía nacional o puertos de la República. -</w:t>
      </w:r>
    </w:p>
    <w:p>
      <w:pPr>
        <w:pStyle w:val="ListParagraph"/>
        <w:numPr>
          <w:ilvl w:val="0"/>
          <w:numId w:val="3"/>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Ley N° 18.315: Ley de Procedimiento Policial. -</w:t>
      </w:r>
    </w:p>
    <w:p>
      <w:pPr>
        <w:pStyle w:val="ListParagraph"/>
        <w:numPr>
          <w:ilvl w:val="0"/>
          <w:numId w:val="3"/>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Convenio Internacional sobre Búsqueda y Salvamento Marítimos (Convenio SAR). -</w:t>
      </w:r>
    </w:p>
    <w:p>
      <w:pPr>
        <w:pStyle w:val="ListParagraph"/>
        <w:numPr>
          <w:ilvl w:val="0"/>
          <w:numId w:val="3"/>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Reglamento del Sistema de Centros de Control e Información de Tráfico Marítimo.-</w:t>
      </w:r>
    </w:p>
    <w:p>
      <w:pPr>
        <w:pStyle w:val="ListParagraph"/>
        <w:numPr>
          <w:ilvl w:val="0"/>
          <w:numId w:val="3"/>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Decreto N° 77/997: Información Marítima Publicada. -</w:t>
      </w:r>
    </w:p>
    <w:p>
      <w:pPr>
        <w:pStyle w:val="ListParagraph"/>
        <w:numPr>
          <w:ilvl w:val="0"/>
          <w:numId w:val="3"/>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auto"/>
          <w:sz w:val="26"/>
          <w:szCs w:val="26"/>
          <w:lang w:val="es-ES"/>
        </w:rPr>
      </w:pPr>
      <w:r>
        <w:rPr>
          <w:rFonts w:eastAsia="Times New Roman" w:cs="Times New Roman" w:ascii="Times New Roman" w:hAnsi="Times New Roman"/>
          <w:b w:val="false"/>
          <w:bCs w:val="false"/>
          <w:i w:val="false"/>
          <w:iCs w:val="false"/>
          <w:caps w:val="false"/>
          <w:smallCaps w:val="false"/>
          <w:color w:val="auto"/>
          <w:sz w:val="26"/>
          <w:szCs w:val="26"/>
          <w:lang w:val="es-ES"/>
        </w:rPr>
        <w:t>Ley N° 16.287: Convención de las Naciones Unidas Sobre el Derecho del Mar. -</w:t>
      </w:r>
    </w:p>
    <w:p>
      <w:pPr>
        <w:pStyle w:val="ListParagraph"/>
        <w:numPr>
          <w:ilvl w:val="0"/>
          <w:numId w:val="3"/>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auto"/>
          <w:sz w:val="26"/>
          <w:szCs w:val="26"/>
          <w:lang w:val="es-ES"/>
        </w:rPr>
      </w:pPr>
      <w:r>
        <w:rPr>
          <w:rFonts w:eastAsia="Times New Roman" w:cs="Times New Roman" w:ascii="Times New Roman" w:hAnsi="Times New Roman"/>
          <w:b w:val="false"/>
          <w:bCs w:val="false"/>
          <w:i w:val="false"/>
          <w:iCs w:val="false"/>
          <w:caps w:val="false"/>
          <w:smallCaps w:val="false"/>
          <w:color w:val="auto"/>
          <w:sz w:val="26"/>
          <w:szCs w:val="26"/>
          <w:lang w:val="es-ES"/>
        </w:rPr>
        <w:t>Decreto N° 500/991: Procedimiento Administrativo y Disciplinario Aplicable al Funcionario Público de la Administración Central. -</w:t>
      </w:r>
    </w:p>
    <w:p>
      <w:pPr>
        <w:pStyle w:val="ListParagraph"/>
        <w:numPr>
          <w:ilvl w:val="0"/>
          <w:numId w:val="3"/>
        </w:numPr>
        <w:spacing w:beforeAutospacing="0" w:before="0" w:afterAutospacing="0" w:after="240"/>
        <w:contextualSpacing/>
        <w:jc w:val="both"/>
        <w:rPr>
          <w:rFonts w:ascii="Times New Roman" w:hAnsi="Times New Roman" w:eastAsia="Times New Roman" w:cs="Times New Roman"/>
          <w:b w:val="false"/>
          <w:bCs w:val="false"/>
          <w:i w:val="false"/>
          <w:i w:val="false"/>
          <w:iCs w:val="false"/>
          <w:caps w:val="false"/>
          <w:smallCaps w:val="false"/>
          <w:color w:val="auto"/>
          <w:sz w:val="26"/>
          <w:szCs w:val="26"/>
          <w:lang w:val="es-ES"/>
        </w:rPr>
      </w:pPr>
      <w:r>
        <w:rPr>
          <w:rFonts w:eastAsia="Times New Roman" w:cs="Times New Roman" w:ascii="Times New Roman" w:hAnsi="Times New Roman"/>
          <w:b w:val="false"/>
          <w:bCs w:val="false"/>
          <w:i w:val="false"/>
          <w:iCs w:val="false"/>
          <w:caps w:val="false"/>
          <w:smallCaps w:val="false"/>
          <w:color w:val="auto"/>
          <w:sz w:val="26"/>
          <w:szCs w:val="26"/>
          <w:lang w:val="es-ES"/>
        </w:rPr>
        <w:t>Ley N° 19.293: Código del Proceso Penal. -</w:t>
      </w:r>
    </w:p>
    <w:p>
      <w:pPr>
        <w:pStyle w:val="ListParagraph"/>
        <w:spacing w:beforeAutospacing="0" w:before="240" w:afterAutospacing="0" w:after="240"/>
        <w:ind w:left="1068" w:hanging="0"/>
        <w:contextualSpacing/>
        <w:jc w:val="both"/>
        <w:rPr>
          <w:rFonts w:ascii="Times New Roman" w:hAnsi="Times New Roman" w:eastAsia="Times New Roman" w:cs="Times New Roman"/>
          <w:b w:val="false"/>
          <w:bCs w:val="false"/>
          <w:i w:val="false"/>
          <w:i w:val="false"/>
          <w:iCs w:val="false"/>
          <w:caps w:val="false"/>
          <w:smallCaps w:val="false"/>
          <w:color w:val="auto"/>
          <w:sz w:val="26"/>
          <w:szCs w:val="26"/>
          <w:lang w:val="es-ES"/>
        </w:rPr>
      </w:pPr>
      <w:r>
        <w:rPr>
          <w:rFonts w:eastAsia="Times New Roman" w:cs="Times New Roman" w:ascii="Times New Roman" w:hAnsi="Times New Roman"/>
          <w:b w:val="false"/>
          <w:bCs w:val="false"/>
          <w:i w:val="false"/>
          <w:iCs w:val="false"/>
          <w:caps w:val="false"/>
          <w:smallCaps w:val="false"/>
          <w:color w:val="auto"/>
          <w:sz w:val="26"/>
          <w:szCs w:val="26"/>
          <w:lang w:val="es-ES"/>
        </w:rPr>
      </w:r>
    </w:p>
    <w:p>
      <w:pPr>
        <w:pStyle w:val="ListParagraph"/>
        <w:numPr>
          <w:ilvl w:val="0"/>
          <w:numId w:val="4"/>
        </w:numPr>
        <w:spacing w:beforeAutospacing="0" w:before="240" w:afterAutospacing="0" w:after="24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DEFINICIONES, ABREVIATURAS Y SÍMBOLOS</w:t>
      </w:r>
    </w:p>
    <w:p>
      <w:pPr>
        <w:pStyle w:val="ListParagraph"/>
        <w:spacing w:beforeAutospacing="0" w:before="240" w:afterAutospacing="0" w:after="240"/>
        <w:ind w:left="720" w:hanging="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r>
    </w:p>
    <w:p>
      <w:pPr>
        <w:pStyle w:val="ListParagraph"/>
        <w:numPr>
          <w:ilvl w:val="0"/>
          <w:numId w:val="2"/>
        </w:numPr>
        <w:spacing w:beforeAutospacing="0" w:before="24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ANP: Administración Nacional de Puertos.</w:t>
      </w:r>
    </w:p>
    <w:p>
      <w:pPr>
        <w:pStyle w:val="ListParagraph"/>
        <w:numPr>
          <w:ilvl w:val="0"/>
          <w:numId w:val="2"/>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PREMO: Prefectura del Puerto de Montevideo.</w:t>
      </w:r>
    </w:p>
    <w:p>
      <w:pPr>
        <w:pStyle w:val="ListParagraph"/>
        <w:numPr>
          <w:ilvl w:val="0"/>
          <w:numId w:val="2"/>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DIMAR: Dirección de Tráfico Marítimo.</w:t>
      </w:r>
    </w:p>
    <w:p>
      <w:pPr>
        <w:pStyle w:val="ListParagraph"/>
        <w:numPr>
          <w:ilvl w:val="0"/>
          <w:numId w:val="2"/>
        </w:numPr>
        <w:spacing w:beforeAutospacing="0" w:before="0" w:afterAutospacing="0" w:after="24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SMSSM: Sistema Mundial de Socorro y Seguridad Marítima.</w:t>
      </w:r>
    </w:p>
    <w:p>
      <w:pPr>
        <w:pStyle w:val="ListParagraph"/>
        <w:spacing w:beforeAutospacing="0" w:before="240" w:afterAutospacing="0" w:after="240"/>
        <w:ind w:left="720" w:hanging="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r>
    </w:p>
    <w:p>
      <w:pPr>
        <w:pStyle w:val="ListParagraph"/>
        <w:numPr>
          <w:ilvl w:val="0"/>
          <w:numId w:val="4"/>
        </w:numPr>
        <w:spacing w:beforeAutospacing="0" w:before="240" w:afterAutospacing="0" w:after="24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DESARROLLO</w:t>
      </w:r>
    </w:p>
    <w:p>
      <w:pPr>
        <w:pStyle w:val="ListParagraph"/>
        <w:spacing w:beforeAutospacing="0" w:before="240" w:afterAutospacing="0" w:after="240"/>
        <w:ind w:left="720" w:hanging="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r>
    </w:p>
    <w:p>
      <w:pPr>
        <w:pStyle w:val="ListParagraph"/>
        <w:numPr>
          <w:ilvl w:val="0"/>
          <w:numId w:val="1"/>
        </w:numPr>
        <w:spacing w:beforeAutospacing="0" w:before="24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Comunicación Inicial:</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El capitán del buque o la persona designada (Agencia Marítima) debe contactar de inmediato al Centro de Control del Puerto de Montevideo ante cualquier incidente marítimo que requiera asistencia. -</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La comunicación se realizará a través de los canales establecidos por la DIMAR, conforme al Reglamento del Sistema de Centros de Control e Información de Tráfico Marítimo y a la Información Marítima Publicada. -</w:t>
      </w:r>
    </w:p>
    <w:p>
      <w:pPr>
        <w:pStyle w:val="ListParagraph"/>
        <w:numPr>
          <w:ilvl w:val="0"/>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Activación de Servicios de Emergencia:</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El Centro de Control notificará al Oficial Comandante de Guardia de PREMO sobre el incidente reportado. -</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PREMO, a través de la Agencia Marítima y/o el Armador del buque, coordinará con los servicios de emergencia médica pertinentes para asegurar la pronta asistencia de los afectados. -</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En caso de que la ambulancia del Servicio Médico de ANP no esté disponible, se contactará a servicios alternativos como SUAT, UCM, SEMM, etc. -</w:t>
      </w:r>
    </w:p>
    <w:p>
      <w:pPr>
        <w:pStyle w:val="ListParagraph"/>
        <w:numPr>
          <w:ilvl w:val="0"/>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Recopilación de Información:</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PREMO solicitará al capitán del buque o representante una nota detallada que incluya:</w:t>
      </w:r>
    </w:p>
    <w:p>
      <w:pPr>
        <w:pStyle w:val="ListParagraph"/>
        <w:numPr>
          <w:ilvl w:val="2"/>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Descripción del incidente. -</w:t>
      </w:r>
    </w:p>
    <w:p>
      <w:pPr>
        <w:pStyle w:val="ListParagraph"/>
        <w:numPr>
          <w:ilvl w:val="2"/>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Identidad de las personas involucradas. -</w:t>
      </w:r>
    </w:p>
    <w:p>
      <w:pPr>
        <w:pStyle w:val="ListParagraph"/>
        <w:numPr>
          <w:ilvl w:val="2"/>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Prestadores de salud que participan en la asistencia. -</w:t>
      </w:r>
    </w:p>
    <w:p>
      <w:pPr>
        <w:pStyle w:val="ListParagraph"/>
        <w:numPr>
          <w:ilvl w:val="0"/>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Notificación a Autoridades Competentes:</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Si el incidente implica posibles responsabilidades legales, PREMO informará a la Fiscalía correspondiente, conforme a la Ley N° 18.315. Así mismo, si el buque es de bandera extranjera y el hecho se hubiese consumado en Alta Mar, se dará cuenta a la embajada del país correspondiente, según lo establecido en la CONVEMAR. -</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En casos que involucren a ciudadanos extranjeros, se notificará al consulado del país de la bandera del buque, siguiendo los protocolos establecidos por el Ministerio de Relaciones Exteriores. -</w:t>
      </w:r>
    </w:p>
    <w:p>
      <w:pPr>
        <w:pStyle w:val="ListParagraph"/>
        <w:numPr>
          <w:ilvl w:val="0"/>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Coordinación con ANP:</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PREMO coordinará con la ANP para facilitar el ingreso y tránsito de los servicios de emergencia en el puerto, asegurando una respuesta eficiente y sin demoras. -</w:t>
      </w:r>
    </w:p>
    <w:p>
      <w:pPr>
        <w:pStyle w:val="ListParagraph"/>
        <w:numPr>
          <w:ilvl w:val="0"/>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bCs/>
          <w:i w:val="false"/>
          <w:iCs w:val="false"/>
          <w:caps w:val="false"/>
          <w:smallCaps w:val="false"/>
          <w:color w:val="000000" w:themeColor="text1" w:themeShade="ff" w:themeTint="ff"/>
          <w:sz w:val="26"/>
          <w:szCs w:val="26"/>
          <w:lang w:val="es-ES"/>
        </w:rPr>
        <w:t>Documentación y Seguimiento:</w:t>
      </w:r>
    </w:p>
    <w:p>
      <w:pPr>
        <w:pStyle w:val="ListParagraph"/>
        <w:numPr>
          <w:ilvl w:val="1"/>
          <w:numId w:val="1"/>
        </w:numPr>
        <w:spacing w:beforeAutospacing="0" w:before="0" w:afterAutospacing="0" w:after="0"/>
        <w:contextualSpacing/>
        <w:jc w:val="both"/>
        <w:rPr>
          <w:rFonts w:ascii="Times New Roman" w:hAnsi="Times New Roman" w:eastAsia="Times New Roman" w:cs="Times New Roman"/>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Se deberá informar al mando de inmediato al recibir la noticia. Así mismo, se registrará detalladamente todo el proceso de asistencia, incluyendo comunicaciones, acciones tomadas y entidades involucradas, para futuras referencias y mejoras en los procedimientos. -</w:t>
      </w:r>
    </w:p>
    <w:p>
      <w:pPr>
        <w:pStyle w:val="ListParagraph"/>
        <w:numPr>
          <w:ilvl w:val="0"/>
          <w:numId w:val="1"/>
        </w:numPr>
        <w:spacing w:beforeAutospacing="0" w:before="0" w:afterAutospacing="0" w:after="0"/>
        <w:contextualSpacing/>
        <w:jc w:val="both"/>
        <w:rPr>
          <w:rFonts w:ascii="Times New Roman" w:hAnsi="Times New Roman" w:eastAsia="Times New Roman" w:cs="Times New Roman"/>
          <w:b/>
          <w:bCs/>
          <w:sz w:val="26"/>
          <w:szCs w:val="26"/>
          <w:lang w:val="es-ES"/>
        </w:rPr>
      </w:pPr>
      <w:r>
        <w:rPr>
          <w:rFonts w:eastAsia="Times New Roman" w:cs="Times New Roman" w:ascii="Times New Roman" w:hAnsi="Times New Roman"/>
          <w:b/>
          <w:bCs/>
          <w:sz w:val="26"/>
          <w:szCs w:val="26"/>
          <w:lang w:val="es-ES"/>
        </w:rPr>
        <w:t>Investigación Penal y/o Sumario Marítimo:</w:t>
      </w:r>
    </w:p>
    <w:p>
      <w:pPr>
        <w:pStyle w:val="ListParagraph"/>
        <w:numPr>
          <w:ilvl w:val="1"/>
          <w:numId w:val="1"/>
        </w:numPr>
        <w:spacing w:beforeAutospacing="0" w:before="0" w:afterAutospacing="0" w:after="240"/>
        <w:contextualSpacing/>
        <w:jc w:val="both"/>
        <w:rPr>
          <w:rFonts w:ascii="Times New Roman" w:hAnsi="Times New Roman" w:eastAsia="Times New Roman" w:cs="Times New Roman"/>
          <w:sz w:val="26"/>
          <w:szCs w:val="26"/>
          <w:lang w:val="es-ES"/>
        </w:rPr>
      </w:pPr>
      <w:r>
        <w:rPr>
          <w:rFonts w:eastAsia="Times New Roman" w:cs="Times New Roman" w:ascii="Times New Roman" w:hAnsi="Times New Roman"/>
          <w:sz w:val="26"/>
          <w:szCs w:val="26"/>
          <w:lang w:val="es-ES"/>
        </w:rPr>
        <w:t>En caso de que del incidente se determine por el mando la realización de una investigación penal o un sumario marítimo, la misma se deberá ajustar a los tiempos correspondientes establecidos en la Ley N° 19.293 y el Decreto N° 500/991. -</w:t>
      </w:r>
    </w:p>
    <w:p>
      <w:pPr>
        <w:pStyle w:val="Normal"/>
        <w:spacing w:beforeAutospacing="0" w:before="240" w:afterAutospacing="0" w:after="240"/>
        <w:jc w:val="both"/>
        <w:rPr>
          <w:rFonts w:ascii="Aptos" w:hAnsi="Aptos" w:eastAsia="Aptos" w:cs="Aptos"/>
          <w:b w:val="false"/>
          <w:bCs w:val="false"/>
          <w:i w:val="false"/>
          <w:i w:val="false"/>
          <w:iCs w:val="false"/>
          <w:caps w:val="false"/>
          <w:smallCaps w:val="false"/>
          <w:color w:val="000000" w:themeColor="text1" w:themeShade="ff" w:themeTint="ff"/>
          <w:sz w:val="26"/>
          <w:szCs w:val="26"/>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6"/>
          <w:szCs w:val="26"/>
          <w:lang w:val="es-ES"/>
        </w:rPr>
        <w:t>Este protocolo será revisado periódicamente para adaptarse a cambios en las normativas y garantizar su eficacia en la asistencia de personas rescatadas de incidentes marítimos en el Puerto de Montevideo.</w:t>
      </w:r>
    </w:p>
    <w:p>
      <w:pPr>
        <w:pStyle w:val="Normal"/>
        <w:spacing w:before="0" w:after="160"/>
        <w:ind w:left="0" w:hanging="0"/>
        <w:rPr>
          <w:rFonts w:ascii="Times New Roman" w:hAnsi="Times New Roman" w:eastAsia="Times New Roman" w:cs="Times New Roman"/>
          <w:b/>
          <w:bCs/>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Aptos">
    <w:charset w:val="00"/>
    <w:family w:val="roman"/>
    <w:pitch w:val="variable"/>
  </w:font>
  <w:font w:name="Arial">
    <w:charset w:val="00"/>
    <w:family w:val="roman"/>
    <w:pitch w:val="variable"/>
  </w:font>
  <w:font w:name="10">
    <w:charset w:val="00"/>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95" w:type="dxa"/>
      <w:jc w:val="center"/>
      <w:tblInd w:w="0" w:type="dxa"/>
      <w:tblLayout w:type="fixed"/>
      <w:tblCellMar>
        <w:top w:w="0" w:type="dxa"/>
        <w:left w:w="60" w:type="dxa"/>
        <w:bottom w:w="0" w:type="dxa"/>
        <w:right w:w="60" w:type="dxa"/>
      </w:tblCellMar>
      <w:tblLook w:firstRow="0" w:noVBand="0" w:lastRow="0" w:firstColumn="0" w:lastColumn="0" w:noHBand="0" w:val="0000"/>
    </w:tblPr>
    <w:tblGrid>
      <w:gridCol w:w="2234"/>
      <w:gridCol w:w="3990"/>
      <w:gridCol w:w="2701"/>
      <w:gridCol w:w="1469"/>
    </w:tblGrid>
    <w:tr>
      <w:trPr>
        <w:trHeight w:val="300" w:hRule="atLeast"/>
      </w:trPr>
      <w:tc>
        <w:tcPr>
          <w:tcW w:w="2234" w:type="dxa"/>
          <w:vMerge w:val="restart"/>
          <w:tcBorders>
            <w:top w:val="single" w:sz="6" w:space="0" w:color="000000"/>
            <w:left w:val="single" w:sz="6" w:space="0" w:color="000000"/>
            <w:right w:val="single" w:sz="6" w:space="0" w:color="000000"/>
          </w:tcBorders>
          <w:vAlign w:val="center"/>
        </w:tcPr>
        <w:p>
          <w:pPr>
            <w:pStyle w:val="Normal"/>
            <w:keepNext w:val="true"/>
            <w:widowControl w:val="false"/>
            <w:spacing w:lineRule="auto" w:line="36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b/>
              <w:bCs/>
              <w:color w:val="000000" w:themeColor="text1"/>
              <w:sz w:val="24"/>
              <w:szCs w:val="24"/>
            </w:rPr>
            <w:t>APROBADO POR</w:t>
          </w:r>
        </w:p>
      </w:tc>
      <w:tc>
        <w:tcPr>
          <w:tcW w:w="39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0"/>
            <w:ind w:firstLine="540"/>
            <w:jc w:val="center"/>
            <w:rPr>
              <w:rFonts w:ascii="Times New Roman" w:hAnsi="Times New Roman" w:eastAsia="Times New Roman" w:cs="Times New Roman"/>
              <w:b/>
              <w:bCs/>
              <w:color w:val="000000" w:themeColor="text1"/>
              <w:sz w:val="24"/>
              <w:szCs w:val="24"/>
            </w:rPr>
          </w:pPr>
          <w:r>
            <w:rPr>
              <w:rFonts w:eastAsia="Times New Roman" w:cs="Times New Roman" w:ascii="Times New Roman" w:hAnsi="Times New Roman"/>
              <w:b/>
              <w:bCs/>
              <w:color w:val="000000" w:themeColor="text1"/>
              <w:sz w:val="24"/>
              <w:szCs w:val="24"/>
            </w:rPr>
            <w:t>CARGO</w:t>
          </w:r>
        </w:p>
      </w:tc>
      <w:tc>
        <w:tcPr>
          <w:tcW w:w="2701"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themeColor="text1"/>
              <w:sz w:val="24"/>
              <w:szCs w:val="24"/>
            </w:rPr>
          </w:pPr>
          <w:r>
            <w:rPr>
              <w:rFonts w:eastAsia="Times New Roman" w:cs="Times New Roman" w:ascii="Times New Roman" w:hAnsi="Times New Roman"/>
              <w:b/>
              <w:bCs/>
              <w:color w:val="000000" w:themeColor="text1"/>
              <w:sz w:val="24"/>
              <w:szCs w:val="24"/>
            </w:rPr>
            <w:t>FIRMA</w:t>
          </w:r>
        </w:p>
      </w:tc>
      <w:tc>
        <w:tcPr>
          <w:tcW w:w="1469"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themeColor="text1"/>
              <w:sz w:val="24"/>
              <w:szCs w:val="24"/>
            </w:rPr>
          </w:pPr>
          <w:r>
            <w:rPr>
              <w:rFonts w:eastAsia="Times New Roman" w:cs="Times New Roman" w:ascii="Times New Roman" w:hAnsi="Times New Roman"/>
              <w:b/>
              <w:bCs/>
              <w:color w:val="000000" w:themeColor="text1"/>
              <w:sz w:val="24"/>
              <w:szCs w:val="24"/>
            </w:rPr>
            <w:t>FECHA</w:t>
          </w:r>
        </w:p>
      </w:tc>
    </w:tr>
    <w:tr>
      <w:trPr>
        <w:trHeight w:val="300" w:hRule="atLeast"/>
      </w:trPr>
      <w:tc>
        <w:tcPr>
          <w:tcW w:w="2234" w:type="dxa"/>
          <w:vMerge w:val="continue"/>
          <w:tcBorders>
            <w:left w:val="single" w:sz="6" w:space="0" w:color="000000"/>
          </w:tcBorders>
          <w:tcMar>
            <w:left w:w="108" w:type="dxa"/>
            <w:right w:w="108" w:type="dxa"/>
          </w:tcMar>
          <w:vAlign w:val="center"/>
        </w:tcPr>
        <w:p>
          <w:pPr>
            <w:pStyle w:val="Normal"/>
            <w:widowControl w:val="false"/>
            <w:spacing w:before="0" w:after="160"/>
            <w:rPr/>
          </w:pPr>
          <w:r>
            <w:rPr/>
          </w:r>
        </w:p>
      </w:tc>
      <w:tc>
        <w:tcPr>
          <w:tcW w:w="39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 xml:space="preserve">    </w:t>
          </w:r>
          <w:r>
            <w:rPr>
              <w:rFonts w:eastAsia="Times New Roman" w:cs="Times New Roman" w:ascii="Times New Roman" w:hAnsi="Times New Roman"/>
              <w:color w:val="000000" w:themeColor="text1"/>
              <w:sz w:val="24"/>
              <w:szCs w:val="24"/>
            </w:rPr>
            <w:t>Prefecto del Puerto de Montevideo</w:t>
          </w:r>
        </w:p>
      </w:tc>
      <w:tc>
        <w:tcPr>
          <w:tcW w:w="270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ind w:firstLine="540"/>
            <w:rPr>
              <w:rFonts w:ascii="Times New Roman" w:hAnsi="Times New Roman" w:eastAsia="Times New Roman" w:cs="Times New Roman"/>
              <w:color w:val="000000" w:themeColor="text1"/>
              <w:sz w:val="16"/>
              <w:szCs w:val="16"/>
            </w:rPr>
          </w:pPr>
          <w:r>
            <w:rPr>
              <w:rFonts w:eastAsia="Times New Roman" w:cs="Times New Roman" w:ascii="Times New Roman" w:hAnsi="Times New Roman"/>
              <w:color w:val="000000" w:themeColor="text1"/>
              <w:sz w:val="16"/>
              <w:szCs w:val="16"/>
            </w:rPr>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themeShade="ff" w:themeTint="ff"/>
              <w:sz w:val="24"/>
              <w:szCs w:val="24"/>
            </w:rPr>
            <w:t>17/01/2025</w:t>
          </w:r>
        </w:p>
      </w:tc>
    </w:tr>
    <w:tr>
      <w:trPr>
        <w:trHeight w:val="300" w:hRule="atLeast"/>
      </w:trPr>
      <w:tc>
        <w:tcPr>
          <w:tcW w:w="223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REVISADO POR</w:t>
          </w:r>
        </w:p>
      </w:tc>
      <w:tc>
        <w:tcPr>
          <w:tcW w:w="39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 xml:space="preserve">     </w:t>
          </w:r>
          <w:r>
            <w:rPr>
              <w:rFonts w:eastAsia="Times New Roman" w:cs="Times New Roman" w:ascii="Times New Roman" w:hAnsi="Times New Roman"/>
              <w:color w:val="000000" w:themeColor="text1"/>
              <w:sz w:val="24"/>
              <w:szCs w:val="24"/>
            </w:rPr>
            <w:t>Jefe de la División Policía Marítima</w:t>
          </w:r>
        </w:p>
      </w:tc>
      <w:tc>
        <w:tcPr>
          <w:tcW w:w="270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ind w:firstLine="540"/>
            <w:rPr>
              <w:rFonts w:ascii="Times New Roman" w:hAnsi="Times New Roman" w:eastAsia="Times New Roman" w:cs="Times New Roman"/>
              <w:color w:val="000000" w:themeColor="text1"/>
              <w:sz w:val="16"/>
              <w:szCs w:val="16"/>
            </w:rPr>
          </w:pPr>
          <w:r>
            <w:rPr>
              <w:rFonts w:eastAsia="Times New Roman" w:cs="Times New Roman" w:ascii="Times New Roman" w:hAnsi="Times New Roman"/>
              <w:color w:val="000000" w:themeColor="text1"/>
              <w:sz w:val="16"/>
              <w:szCs w:val="16"/>
            </w:rPr>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themeShade="ff" w:themeTint="ff"/>
              <w:sz w:val="24"/>
              <w:szCs w:val="24"/>
            </w:rPr>
            <w:t xml:space="preserve"> </w:t>
          </w:r>
          <w:r>
            <w:rPr>
              <w:rFonts w:eastAsia="Times New Roman" w:cs="Times New Roman" w:ascii="Times New Roman" w:hAnsi="Times New Roman"/>
              <w:color w:val="000000" w:themeColor="text1" w:themeShade="ff" w:themeTint="ff"/>
              <w:sz w:val="24"/>
              <w:szCs w:val="24"/>
            </w:rPr>
            <w:t>17/01/2025</w:t>
          </w:r>
        </w:p>
      </w:tc>
    </w:tr>
    <w:tr>
      <w:trPr>
        <w:trHeight w:val="345" w:hRule="atLeast"/>
      </w:trPr>
      <w:tc>
        <w:tcPr>
          <w:tcW w:w="223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DOCUMENTO</w:t>
          </w:r>
        </w:p>
      </w:tc>
      <w:tc>
        <w:tcPr>
          <w:tcW w:w="8160" w:type="dxa"/>
          <w:gridSpan w:val="3"/>
          <w:tcBorders>
            <w:top w:val="single" w:sz="6" w:space="0" w:color="000000"/>
            <w:left w:val="single" w:sz="6" w:space="0" w:color="000000"/>
            <w:bottom w:val="single" w:sz="6" w:space="0" w:color="000000"/>
            <w:right w:val="single" w:sz="6" w:space="0" w:color="000000"/>
          </w:tcBorders>
          <w:vAlign w:val="center"/>
        </w:tcPr>
        <w:p>
          <w:pPr>
            <w:pStyle w:val="Ttulo3"/>
            <w:widowControl w:val="false"/>
            <w:spacing w:lineRule="auto" w:line="240" w:before="40" w:after="0"/>
            <w:jc w:val="center"/>
            <w:rPr>
              <w:rFonts w:ascii="Arial" w:hAnsi="Arial" w:eastAsia="Arial" w:cs="Arial"/>
              <w:sz w:val="18"/>
              <w:szCs w:val="18"/>
            </w:rPr>
          </w:pPr>
          <w:r>
            <w:rPr>
              <w:rFonts w:eastAsia="Times New Roman" w:cs="Times New Roman" w:ascii="Times New Roman" w:hAnsi="Times New Roman"/>
              <w:color w:val="000000" w:themeColor="text1"/>
              <w:lang w:val="es-MX"/>
            </w:rPr>
            <w:t xml:space="preserve">Original </w:t>
          </w:r>
          <w:r>
            <w:rPr>
              <w:rFonts w:eastAsia="Arial" w:cs="Arial" w:ascii="Arial" w:hAnsi="Arial"/>
              <w:sz w:val="20"/>
              <w:szCs w:val="20"/>
            </w:rPr>
            <w:t xml:space="preserve">✅          </w:t>
          </w:r>
          <w:r>
            <w:rPr>
              <w:rFonts w:eastAsia="Times New Roman" w:cs="Times New Roman" w:ascii="Times New Roman" w:hAnsi="Times New Roman"/>
              <w:color w:val="000000" w:themeColor="text1"/>
              <w:lang w:val="es-MX"/>
            </w:rPr>
            <w:t xml:space="preserve">Copia Controlada </w:t>
          </w:r>
          <w:r>
            <w:rPr>
              <w:rFonts w:eastAsia="Arial" w:cs="Arial" w:ascii="Arial" w:hAnsi="Arial"/>
              <w:sz w:val="20"/>
              <w:szCs w:val="20"/>
            </w:rPr>
            <w:t xml:space="preserve">⬜          </w:t>
          </w:r>
          <w:r>
            <w:rPr>
              <w:rFonts w:eastAsia="Times New Roman" w:cs="Times New Roman" w:ascii="Times New Roman" w:hAnsi="Times New Roman"/>
              <w:color w:val="000000" w:themeColor="text1"/>
              <w:lang w:val="es-MX"/>
            </w:rPr>
            <w:t xml:space="preserve">Copia No Controlada </w:t>
          </w:r>
          <w:r>
            <w:rPr>
              <w:rFonts w:eastAsia="10" w:cs="10" w:ascii="10" w:hAnsi="10"/>
              <w:sz w:val="20"/>
              <w:szCs w:val="20"/>
            </w:rPr>
            <w:t>⬜</w:t>
          </w:r>
        </w:p>
      </w:tc>
    </w:tr>
  </w:tbl>
  <w:p>
    <w:pPr>
      <w:pStyle w:val="Piedepgina"/>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95" w:type="dxa"/>
      <w:jc w:val="center"/>
      <w:tblInd w:w="0" w:type="dxa"/>
      <w:tblLayout w:type="fixed"/>
      <w:tblCellMar>
        <w:top w:w="0" w:type="dxa"/>
        <w:left w:w="60" w:type="dxa"/>
        <w:bottom w:w="0" w:type="dxa"/>
        <w:right w:w="60" w:type="dxa"/>
      </w:tblCellMar>
      <w:tblLook w:firstRow="0" w:noVBand="0" w:lastRow="0" w:firstColumn="0" w:lastColumn="0" w:noHBand="0" w:val="0000"/>
    </w:tblPr>
    <w:tblGrid>
      <w:gridCol w:w="2234"/>
      <w:gridCol w:w="3990"/>
      <w:gridCol w:w="2701"/>
      <w:gridCol w:w="1469"/>
    </w:tblGrid>
    <w:tr>
      <w:trPr>
        <w:trHeight w:val="300" w:hRule="atLeast"/>
      </w:trPr>
      <w:tc>
        <w:tcPr>
          <w:tcW w:w="2234" w:type="dxa"/>
          <w:vMerge w:val="restart"/>
          <w:tcBorders>
            <w:top w:val="single" w:sz="6" w:space="0" w:color="000000"/>
            <w:left w:val="single" w:sz="6" w:space="0" w:color="000000"/>
            <w:right w:val="single" w:sz="6" w:space="0" w:color="000000"/>
          </w:tcBorders>
          <w:vAlign w:val="center"/>
        </w:tcPr>
        <w:p>
          <w:pPr>
            <w:pStyle w:val="Normal"/>
            <w:keepNext w:val="true"/>
            <w:widowControl w:val="false"/>
            <w:spacing w:lineRule="auto" w:line="36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b/>
              <w:bCs/>
              <w:color w:val="000000" w:themeColor="text1"/>
              <w:sz w:val="24"/>
              <w:szCs w:val="24"/>
            </w:rPr>
            <w:t>APROBADO POR</w:t>
          </w:r>
        </w:p>
      </w:tc>
      <w:tc>
        <w:tcPr>
          <w:tcW w:w="39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0"/>
            <w:ind w:firstLine="540"/>
            <w:jc w:val="center"/>
            <w:rPr>
              <w:rFonts w:ascii="Times New Roman" w:hAnsi="Times New Roman" w:eastAsia="Times New Roman" w:cs="Times New Roman"/>
              <w:b/>
              <w:bCs/>
              <w:color w:val="000000" w:themeColor="text1"/>
              <w:sz w:val="24"/>
              <w:szCs w:val="24"/>
            </w:rPr>
          </w:pPr>
          <w:r>
            <w:rPr>
              <w:rFonts w:eastAsia="Times New Roman" w:cs="Times New Roman" w:ascii="Times New Roman" w:hAnsi="Times New Roman"/>
              <w:b/>
              <w:bCs/>
              <w:color w:val="000000" w:themeColor="text1"/>
              <w:sz w:val="24"/>
              <w:szCs w:val="24"/>
            </w:rPr>
            <w:t>CARGO</w:t>
          </w:r>
        </w:p>
      </w:tc>
      <w:tc>
        <w:tcPr>
          <w:tcW w:w="2701"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themeColor="text1"/>
              <w:sz w:val="24"/>
              <w:szCs w:val="24"/>
            </w:rPr>
          </w:pPr>
          <w:r>
            <w:rPr>
              <w:rFonts w:eastAsia="Times New Roman" w:cs="Times New Roman" w:ascii="Times New Roman" w:hAnsi="Times New Roman"/>
              <w:b/>
              <w:bCs/>
              <w:color w:val="000000" w:themeColor="text1"/>
              <w:sz w:val="24"/>
              <w:szCs w:val="24"/>
            </w:rPr>
            <w:t>FIRMA</w:t>
          </w:r>
        </w:p>
      </w:tc>
      <w:tc>
        <w:tcPr>
          <w:tcW w:w="1469"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themeColor="text1"/>
              <w:sz w:val="24"/>
              <w:szCs w:val="24"/>
            </w:rPr>
          </w:pPr>
          <w:r>
            <w:rPr>
              <w:rFonts w:eastAsia="Times New Roman" w:cs="Times New Roman" w:ascii="Times New Roman" w:hAnsi="Times New Roman"/>
              <w:b/>
              <w:bCs/>
              <w:color w:val="000000" w:themeColor="text1"/>
              <w:sz w:val="24"/>
              <w:szCs w:val="24"/>
            </w:rPr>
            <w:t>FECHA</w:t>
          </w:r>
        </w:p>
      </w:tc>
    </w:tr>
    <w:tr>
      <w:trPr>
        <w:trHeight w:val="300" w:hRule="atLeast"/>
      </w:trPr>
      <w:tc>
        <w:tcPr>
          <w:tcW w:w="2234" w:type="dxa"/>
          <w:vMerge w:val="continue"/>
          <w:tcBorders>
            <w:left w:val="single" w:sz="6" w:space="0" w:color="000000"/>
          </w:tcBorders>
          <w:tcMar>
            <w:left w:w="108" w:type="dxa"/>
            <w:right w:w="108" w:type="dxa"/>
          </w:tcMar>
          <w:vAlign w:val="center"/>
        </w:tcPr>
        <w:p>
          <w:pPr>
            <w:pStyle w:val="Normal"/>
            <w:widowControl w:val="false"/>
            <w:spacing w:before="0" w:after="160"/>
            <w:rPr/>
          </w:pPr>
          <w:r>
            <w:rPr/>
          </w:r>
        </w:p>
      </w:tc>
      <w:tc>
        <w:tcPr>
          <w:tcW w:w="39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 xml:space="preserve">    </w:t>
          </w:r>
          <w:r>
            <w:rPr>
              <w:rFonts w:eastAsia="Times New Roman" w:cs="Times New Roman" w:ascii="Times New Roman" w:hAnsi="Times New Roman"/>
              <w:color w:val="000000" w:themeColor="text1"/>
              <w:sz w:val="24"/>
              <w:szCs w:val="24"/>
            </w:rPr>
            <w:t>Prefecto del Puerto de Montevideo</w:t>
          </w:r>
        </w:p>
      </w:tc>
      <w:tc>
        <w:tcPr>
          <w:tcW w:w="270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ind w:firstLine="540"/>
            <w:rPr>
              <w:rFonts w:ascii="Times New Roman" w:hAnsi="Times New Roman" w:eastAsia="Times New Roman" w:cs="Times New Roman"/>
              <w:color w:val="000000" w:themeColor="text1"/>
              <w:sz w:val="16"/>
              <w:szCs w:val="16"/>
            </w:rPr>
          </w:pPr>
          <w:r>
            <w:rPr>
              <w:rFonts w:eastAsia="Times New Roman" w:cs="Times New Roman" w:ascii="Times New Roman" w:hAnsi="Times New Roman"/>
              <w:color w:val="000000" w:themeColor="text1"/>
              <w:sz w:val="16"/>
              <w:szCs w:val="16"/>
            </w:rPr>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themeShade="ff" w:themeTint="ff"/>
              <w:sz w:val="24"/>
              <w:szCs w:val="24"/>
            </w:rPr>
            <w:t>17/01/2025</w:t>
          </w:r>
        </w:p>
      </w:tc>
    </w:tr>
    <w:tr>
      <w:trPr>
        <w:trHeight w:val="300" w:hRule="atLeast"/>
      </w:trPr>
      <w:tc>
        <w:tcPr>
          <w:tcW w:w="223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REVISADO POR</w:t>
          </w:r>
        </w:p>
      </w:tc>
      <w:tc>
        <w:tcPr>
          <w:tcW w:w="39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 xml:space="preserve">     </w:t>
          </w:r>
          <w:r>
            <w:rPr>
              <w:rFonts w:eastAsia="Times New Roman" w:cs="Times New Roman" w:ascii="Times New Roman" w:hAnsi="Times New Roman"/>
              <w:color w:val="000000" w:themeColor="text1"/>
              <w:sz w:val="24"/>
              <w:szCs w:val="24"/>
            </w:rPr>
            <w:t>Jefe de la División Policía Marítima</w:t>
          </w:r>
        </w:p>
      </w:tc>
      <w:tc>
        <w:tcPr>
          <w:tcW w:w="270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ind w:firstLine="540"/>
            <w:rPr>
              <w:rFonts w:ascii="Times New Roman" w:hAnsi="Times New Roman" w:eastAsia="Times New Roman" w:cs="Times New Roman"/>
              <w:color w:val="000000" w:themeColor="text1"/>
              <w:sz w:val="16"/>
              <w:szCs w:val="16"/>
            </w:rPr>
          </w:pPr>
          <w:r>
            <w:rPr>
              <w:rFonts w:eastAsia="Times New Roman" w:cs="Times New Roman" w:ascii="Times New Roman" w:hAnsi="Times New Roman"/>
              <w:color w:val="000000" w:themeColor="text1"/>
              <w:sz w:val="16"/>
              <w:szCs w:val="16"/>
            </w:rPr>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themeShade="ff" w:themeTint="ff"/>
              <w:sz w:val="24"/>
              <w:szCs w:val="24"/>
            </w:rPr>
            <w:t xml:space="preserve"> </w:t>
          </w:r>
          <w:r>
            <w:rPr>
              <w:rFonts w:eastAsia="Times New Roman" w:cs="Times New Roman" w:ascii="Times New Roman" w:hAnsi="Times New Roman"/>
              <w:color w:val="000000" w:themeColor="text1" w:themeShade="ff" w:themeTint="ff"/>
              <w:sz w:val="24"/>
              <w:szCs w:val="24"/>
            </w:rPr>
            <w:t>17/01/2025</w:t>
          </w:r>
        </w:p>
      </w:tc>
    </w:tr>
    <w:tr>
      <w:trPr>
        <w:trHeight w:val="345" w:hRule="atLeast"/>
      </w:trPr>
      <w:tc>
        <w:tcPr>
          <w:tcW w:w="223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DOCUMENTO</w:t>
          </w:r>
        </w:p>
      </w:tc>
      <w:tc>
        <w:tcPr>
          <w:tcW w:w="8160" w:type="dxa"/>
          <w:gridSpan w:val="3"/>
          <w:tcBorders>
            <w:top w:val="single" w:sz="6" w:space="0" w:color="000000"/>
            <w:left w:val="single" w:sz="6" w:space="0" w:color="000000"/>
            <w:bottom w:val="single" w:sz="6" w:space="0" w:color="000000"/>
            <w:right w:val="single" w:sz="6" w:space="0" w:color="000000"/>
          </w:tcBorders>
          <w:vAlign w:val="center"/>
        </w:tcPr>
        <w:p>
          <w:pPr>
            <w:pStyle w:val="Ttulo3"/>
            <w:widowControl w:val="false"/>
            <w:spacing w:lineRule="auto" w:line="240" w:before="40" w:after="0"/>
            <w:jc w:val="center"/>
            <w:rPr>
              <w:rFonts w:ascii="Arial" w:hAnsi="Arial" w:eastAsia="Arial" w:cs="Arial"/>
              <w:sz w:val="18"/>
              <w:szCs w:val="18"/>
            </w:rPr>
          </w:pPr>
          <w:r>
            <w:rPr>
              <w:rFonts w:eastAsia="Times New Roman" w:cs="Times New Roman" w:ascii="Times New Roman" w:hAnsi="Times New Roman"/>
              <w:color w:val="000000" w:themeColor="text1"/>
              <w:lang w:val="es-MX"/>
            </w:rPr>
            <w:t xml:space="preserve">Original </w:t>
          </w:r>
          <w:r>
            <w:rPr>
              <w:rFonts w:eastAsia="Arial" w:cs="Arial" w:ascii="Arial" w:hAnsi="Arial"/>
              <w:sz w:val="20"/>
              <w:szCs w:val="20"/>
            </w:rPr>
            <w:t xml:space="preserve">✅          </w:t>
          </w:r>
          <w:r>
            <w:rPr>
              <w:rFonts w:eastAsia="Times New Roman" w:cs="Times New Roman" w:ascii="Times New Roman" w:hAnsi="Times New Roman"/>
              <w:color w:val="000000" w:themeColor="text1"/>
              <w:lang w:val="es-MX"/>
            </w:rPr>
            <w:t xml:space="preserve">Copia Controlada </w:t>
          </w:r>
          <w:r>
            <w:rPr>
              <w:rFonts w:eastAsia="Arial" w:cs="Arial" w:ascii="Arial" w:hAnsi="Arial"/>
              <w:sz w:val="20"/>
              <w:szCs w:val="20"/>
            </w:rPr>
            <w:t xml:space="preserve">⬜          </w:t>
          </w:r>
          <w:r>
            <w:rPr>
              <w:rFonts w:eastAsia="Times New Roman" w:cs="Times New Roman" w:ascii="Times New Roman" w:hAnsi="Times New Roman"/>
              <w:color w:val="000000" w:themeColor="text1"/>
              <w:lang w:val="es-MX"/>
            </w:rPr>
            <w:t xml:space="preserve">Copia No Controlada </w:t>
          </w:r>
          <w:r>
            <w:rPr>
              <w:rFonts w:eastAsia="10" w:cs="10" w:ascii="10" w:hAnsi="10"/>
              <w:sz w:val="20"/>
              <w:szCs w:val="20"/>
            </w:rPr>
            <w:t>⬜</w:t>
          </w:r>
        </w:p>
      </w:tc>
    </w:tr>
  </w:tbl>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05" w:type="dxa"/>
      <w:jc w:val="left"/>
      <w:tblInd w:w="60" w:type="dxa"/>
      <w:tblLayout w:type="fixed"/>
      <w:tblCellMar>
        <w:top w:w="0" w:type="dxa"/>
        <w:left w:w="60" w:type="dxa"/>
        <w:bottom w:w="0" w:type="dxa"/>
        <w:right w:w="60" w:type="dxa"/>
      </w:tblCellMar>
      <w:tblLook w:firstRow="0" w:noVBand="0" w:lastRow="0" w:firstColumn="0" w:lastColumn="0" w:noHBand="0" w:val="0000"/>
    </w:tblPr>
    <w:tblGrid>
      <w:gridCol w:w="1394"/>
      <w:gridCol w:w="2946"/>
      <w:gridCol w:w="3509"/>
      <w:gridCol w:w="2055"/>
    </w:tblGrid>
    <w:tr>
      <w:trPr>
        <w:trHeight w:val="690" w:hRule="atLeast"/>
      </w:trPr>
      <w:tc>
        <w:tcPr>
          <w:tcW w:w="1394" w:type="dxa"/>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rPr>
              <w:rFonts w:ascii="Times New Roman" w:hAnsi="Times New Roman" w:eastAsia="Times New Roman" w:cs="Times New Roman"/>
              <w:color w:val="000000" w:themeColor="text1"/>
              <w:sz w:val="28"/>
              <w:szCs w:val="28"/>
            </w:rPr>
          </w:pPr>
          <w:r>
            <w:rPr/>
            <w:drawing>
              <wp:inline distT="0" distB="0" distL="0" distR="0">
                <wp:extent cx="742950" cy="638175"/>
                <wp:effectExtent l="0" t="0" r="0" b="0"/>
                <wp:docPr id="1" name="Imagen 204597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04597732" descr=""/>
                        <pic:cNvPicPr>
                          <a:picLocks noChangeAspect="1" noChangeArrowheads="1"/>
                        </pic:cNvPicPr>
                      </pic:nvPicPr>
                      <pic:blipFill>
                        <a:blip r:embed="rId1"/>
                        <a:stretch>
                          <a:fillRect/>
                        </a:stretch>
                      </pic:blipFill>
                      <pic:spPr bwMode="auto">
                        <a:xfrm>
                          <a:off x="0" y="0"/>
                          <a:ext cx="742950" cy="638175"/>
                        </a:xfrm>
                        <a:prstGeom prst="rect">
                          <a:avLst/>
                        </a:prstGeom>
                      </pic:spPr>
                    </pic:pic>
                  </a:graphicData>
                </a:graphic>
              </wp:inline>
            </w:drawing>
          </w:r>
        </w:p>
      </w:tc>
      <w:tc>
        <w:tcPr>
          <w:tcW w:w="2946" w:type="dxa"/>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color w:val="000000" w:themeColor="text1"/>
              <w:sz w:val="28"/>
              <w:szCs w:val="28"/>
            </w:rPr>
          </w:pPr>
          <w:r>
            <w:rPr>
              <w:rFonts w:eastAsia="Times New Roman" w:cs="Times New Roman" w:ascii="Times New Roman" w:hAnsi="Times New Roman"/>
              <w:b/>
              <w:bCs/>
              <w:color w:val="000000" w:themeColor="text1"/>
              <w:sz w:val="28"/>
              <w:szCs w:val="28"/>
            </w:rPr>
            <w:t>PREFECTURA</w:t>
          </w:r>
        </w:p>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color w:val="000000" w:themeColor="text1"/>
              <w:sz w:val="28"/>
              <w:szCs w:val="28"/>
            </w:rPr>
          </w:pPr>
          <w:r>
            <w:rPr>
              <w:rFonts w:eastAsia="Times New Roman" w:cs="Times New Roman" w:ascii="Times New Roman" w:hAnsi="Times New Roman"/>
              <w:b/>
              <w:bCs/>
              <w:color w:val="000000" w:themeColor="text1"/>
              <w:sz w:val="28"/>
              <w:szCs w:val="28"/>
            </w:rPr>
            <w:t xml:space="preserve">NACIONAL NAVAL </w:t>
          </w:r>
        </w:p>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color w:val="000000" w:themeColor="text1"/>
              <w:sz w:val="28"/>
              <w:szCs w:val="28"/>
            </w:rPr>
          </w:pPr>
          <w:r>
            <w:rPr>
              <w:rFonts w:eastAsia="Times New Roman" w:cs="Times New Roman" w:ascii="Times New Roman" w:hAnsi="Times New Roman"/>
              <w:b/>
              <w:bCs/>
              <w:color w:val="000000" w:themeColor="text1"/>
              <w:sz w:val="28"/>
              <w:szCs w:val="28"/>
            </w:rPr>
            <w:t>(PREFECTURA DEL PUERTO DE MONTEVIDEO)</w:t>
          </w:r>
        </w:p>
      </w:tc>
      <w:tc>
        <w:tcPr>
          <w:tcW w:w="3509" w:type="dxa"/>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b/>
              <w:bCs/>
              <w:color w:val="000000" w:themeColor="text1"/>
              <w:sz w:val="28"/>
              <w:szCs w:val="28"/>
              <w:lang w:val="es-AR"/>
            </w:rPr>
          </w:pPr>
          <w:r>
            <w:rPr>
              <w:rFonts w:eastAsia="Times New Roman" w:cs="Times New Roman" w:ascii="Times New Roman" w:hAnsi="Times New Roman"/>
              <w:b/>
              <w:bCs/>
              <w:color w:val="000000" w:themeColor="text1" w:themeShade="ff" w:themeTint="ff"/>
              <w:sz w:val="28"/>
              <w:szCs w:val="28"/>
              <w:lang w:val="es-AR"/>
            </w:rPr>
            <w:t>PROCEDIM</w:t>
          </w:r>
          <w:r>
            <w:rPr>
              <w:rFonts w:eastAsia="Times New Roman" w:cs="Times New Roman" w:ascii="Times New Roman" w:hAnsi="Times New Roman"/>
              <w:b/>
              <w:bCs/>
              <w:color w:val="000000" w:themeColor="text1" w:themeShade="ff" w:themeTint="ff"/>
              <w:sz w:val="28"/>
              <w:szCs w:val="28"/>
              <w:lang w:val="es-AR"/>
            </w:rPr>
            <w:t>I</w:t>
          </w:r>
          <w:r>
            <w:rPr>
              <w:rFonts w:eastAsia="Times New Roman" w:cs="Times New Roman" w:ascii="Times New Roman" w:hAnsi="Times New Roman"/>
              <w:b/>
              <w:bCs/>
              <w:color w:val="000000" w:themeColor="text1" w:themeShade="ff" w:themeTint="ff"/>
              <w:sz w:val="28"/>
              <w:szCs w:val="28"/>
              <w:lang w:val="es-AR"/>
            </w:rPr>
            <w:t>EINTO PARA LA RECEPCIÓN Y ASISTENCIA EN INCIDENTES MARÍTIMOS</w:t>
          </w:r>
        </w:p>
      </w:tc>
      <w:tc>
        <w:tcPr>
          <w:tcW w:w="20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b/>
              <w:color w:val="000000" w:themeColor="text1"/>
              <w:sz w:val="24"/>
              <w:szCs w:val="24"/>
            </w:rPr>
          </w:pPr>
          <w:r>
            <w:rPr>
              <w:rFonts w:eastAsia="Times New Roman" w:cs="Times New Roman" w:ascii="Times New Roman" w:hAnsi="Times New Roman"/>
              <w:b/>
              <w:color w:val="000000" w:themeColor="text1"/>
              <w:sz w:val="24"/>
              <w:szCs w:val="24"/>
            </w:rPr>
            <w:t>PR – 7/24</w:t>
          </w:r>
        </w:p>
      </w:tc>
    </w:tr>
    <w:tr>
      <w:trPr>
        <w:trHeight w:val="690" w:hRule="atLeast"/>
      </w:trPr>
      <w:tc>
        <w:tcPr>
          <w:tcW w:w="1394" w:type="dxa"/>
          <w:vMerge w:val="continue"/>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pPr>
            <w:pStyle w:val="Normal"/>
            <w:widowControl w:val="false"/>
            <w:spacing w:before="0" w:after="160"/>
            <w:rPr/>
          </w:pPr>
          <w:r>
            <w:rPr/>
          </w:r>
        </w:p>
      </w:tc>
      <w:tc>
        <w:tcPr>
          <w:tcW w:w="2946" w:type="dxa"/>
          <w:vMerge w:val="continue"/>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pPr>
            <w:pStyle w:val="Normal"/>
            <w:widowControl w:val="false"/>
            <w:spacing w:before="0" w:after="160"/>
            <w:rPr/>
          </w:pPr>
          <w:r>
            <w:rPr/>
          </w:r>
        </w:p>
      </w:tc>
      <w:tc>
        <w:tcPr>
          <w:tcW w:w="3509" w:type="dxa"/>
          <w:vMerge w:val="continue"/>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pPr>
            <w:pStyle w:val="Normal"/>
            <w:widowControl w:val="false"/>
            <w:spacing w:before="0" w:after="160"/>
            <w:rPr/>
          </w:pPr>
          <w:r>
            <w:rPr/>
          </w:r>
        </w:p>
      </w:tc>
      <w:tc>
        <w:tcPr>
          <w:tcW w:w="20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b/>
              <w:color w:val="000000" w:themeColor="text1"/>
              <w:sz w:val="24"/>
              <w:szCs w:val="24"/>
            </w:rPr>
          </w:pPr>
          <w:r>
            <w:rPr>
              <w:rFonts w:eastAsia="Times New Roman" w:cs="Times New Roman" w:ascii="Times New Roman" w:hAnsi="Times New Roman"/>
              <w:b/>
              <w:color w:val="000000" w:themeColor="text1"/>
              <w:sz w:val="24"/>
              <w:szCs w:val="24"/>
            </w:rPr>
            <w:t>OI PRENA 14012.1/18</w:t>
          </w:r>
        </w:p>
      </w:tc>
    </w:tr>
  </w:tbl>
  <w:p>
    <w:pPr>
      <w:pStyle w:val="Cabecera"/>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05" w:type="dxa"/>
      <w:jc w:val="left"/>
      <w:tblInd w:w="60" w:type="dxa"/>
      <w:tblLayout w:type="fixed"/>
      <w:tblCellMar>
        <w:top w:w="0" w:type="dxa"/>
        <w:left w:w="60" w:type="dxa"/>
        <w:bottom w:w="0" w:type="dxa"/>
        <w:right w:w="60" w:type="dxa"/>
      </w:tblCellMar>
      <w:tblLook w:firstRow="0" w:noVBand="0" w:lastRow="0" w:firstColumn="0" w:lastColumn="0" w:noHBand="0" w:val="0000"/>
    </w:tblPr>
    <w:tblGrid>
      <w:gridCol w:w="1394"/>
      <w:gridCol w:w="2946"/>
      <w:gridCol w:w="3509"/>
      <w:gridCol w:w="2055"/>
    </w:tblGrid>
    <w:tr>
      <w:trPr>
        <w:trHeight w:val="690" w:hRule="atLeast"/>
      </w:trPr>
      <w:tc>
        <w:tcPr>
          <w:tcW w:w="1394" w:type="dxa"/>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rPr>
              <w:rFonts w:ascii="Times New Roman" w:hAnsi="Times New Roman" w:eastAsia="Times New Roman" w:cs="Times New Roman"/>
              <w:color w:val="000000" w:themeColor="text1"/>
              <w:sz w:val="28"/>
              <w:szCs w:val="28"/>
            </w:rPr>
          </w:pPr>
          <w:r>
            <w:rPr/>
            <w:drawing>
              <wp:inline distT="0" distB="0" distL="0" distR="0">
                <wp:extent cx="742950" cy="638175"/>
                <wp:effectExtent l="0" t="0" r="0" b="0"/>
                <wp:docPr id="2" name="Imagen 204597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04597732" descr=""/>
                        <pic:cNvPicPr>
                          <a:picLocks noChangeAspect="1" noChangeArrowheads="1"/>
                        </pic:cNvPicPr>
                      </pic:nvPicPr>
                      <pic:blipFill>
                        <a:blip r:embed="rId1"/>
                        <a:stretch>
                          <a:fillRect/>
                        </a:stretch>
                      </pic:blipFill>
                      <pic:spPr bwMode="auto">
                        <a:xfrm>
                          <a:off x="0" y="0"/>
                          <a:ext cx="742950" cy="638175"/>
                        </a:xfrm>
                        <a:prstGeom prst="rect">
                          <a:avLst/>
                        </a:prstGeom>
                      </pic:spPr>
                    </pic:pic>
                  </a:graphicData>
                </a:graphic>
              </wp:inline>
            </w:drawing>
          </w:r>
        </w:p>
      </w:tc>
      <w:tc>
        <w:tcPr>
          <w:tcW w:w="2946" w:type="dxa"/>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color w:val="000000" w:themeColor="text1"/>
              <w:sz w:val="28"/>
              <w:szCs w:val="28"/>
            </w:rPr>
          </w:pPr>
          <w:r>
            <w:rPr>
              <w:rFonts w:eastAsia="Times New Roman" w:cs="Times New Roman" w:ascii="Times New Roman" w:hAnsi="Times New Roman"/>
              <w:b/>
              <w:bCs/>
              <w:color w:val="000000" w:themeColor="text1"/>
              <w:sz w:val="28"/>
              <w:szCs w:val="28"/>
            </w:rPr>
            <w:t>PREFECTURA</w:t>
          </w:r>
        </w:p>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color w:val="000000" w:themeColor="text1"/>
              <w:sz w:val="28"/>
              <w:szCs w:val="28"/>
            </w:rPr>
          </w:pPr>
          <w:r>
            <w:rPr>
              <w:rFonts w:eastAsia="Times New Roman" w:cs="Times New Roman" w:ascii="Times New Roman" w:hAnsi="Times New Roman"/>
              <w:b/>
              <w:bCs/>
              <w:color w:val="000000" w:themeColor="text1"/>
              <w:sz w:val="28"/>
              <w:szCs w:val="28"/>
            </w:rPr>
            <w:t xml:space="preserve">NACIONAL NAVAL </w:t>
          </w:r>
        </w:p>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color w:val="000000" w:themeColor="text1"/>
              <w:sz w:val="28"/>
              <w:szCs w:val="28"/>
            </w:rPr>
          </w:pPr>
          <w:r>
            <w:rPr>
              <w:rFonts w:eastAsia="Times New Roman" w:cs="Times New Roman" w:ascii="Times New Roman" w:hAnsi="Times New Roman"/>
              <w:b/>
              <w:bCs/>
              <w:color w:val="000000" w:themeColor="text1"/>
              <w:sz w:val="28"/>
              <w:szCs w:val="28"/>
            </w:rPr>
            <w:t>(PREFECTURA DEL PUERTO DE MONTEVIDEO)</w:t>
          </w:r>
        </w:p>
      </w:tc>
      <w:tc>
        <w:tcPr>
          <w:tcW w:w="3509" w:type="dxa"/>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b/>
              <w:bCs/>
              <w:color w:val="000000" w:themeColor="text1"/>
              <w:sz w:val="28"/>
              <w:szCs w:val="28"/>
              <w:lang w:val="es-AR"/>
            </w:rPr>
          </w:pPr>
          <w:r>
            <w:rPr>
              <w:rFonts w:eastAsia="Times New Roman" w:cs="Times New Roman" w:ascii="Times New Roman" w:hAnsi="Times New Roman"/>
              <w:b/>
              <w:bCs/>
              <w:color w:val="000000" w:themeColor="text1" w:themeShade="ff" w:themeTint="ff"/>
              <w:sz w:val="28"/>
              <w:szCs w:val="28"/>
              <w:lang w:val="es-AR"/>
            </w:rPr>
            <w:t>PROCEDIM</w:t>
          </w:r>
          <w:r>
            <w:rPr>
              <w:rFonts w:eastAsia="Times New Roman" w:cs="Times New Roman" w:ascii="Times New Roman" w:hAnsi="Times New Roman"/>
              <w:b/>
              <w:bCs/>
              <w:color w:val="000000" w:themeColor="text1" w:themeShade="ff" w:themeTint="ff"/>
              <w:sz w:val="28"/>
              <w:szCs w:val="28"/>
              <w:lang w:val="es-AR"/>
            </w:rPr>
            <w:t>I</w:t>
          </w:r>
          <w:r>
            <w:rPr>
              <w:rFonts w:eastAsia="Times New Roman" w:cs="Times New Roman" w:ascii="Times New Roman" w:hAnsi="Times New Roman"/>
              <w:b/>
              <w:bCs/>
              <w:color w:val="000000" w:themeColor="text1" w:themeShade="ff" w:themeTint="ff"/>
              <w:sz w:val="28"/>
              <w:szCs w:val="28"/>
              <w:lang w:val="es-AR"/>
            </w:rPr>
            <w:t>EINTO PARA LA RECEPCIÓN Y ASISTENCIA EN INCIDENTES MARÍTIMOS</w:t>
          </w:r>
        </w:p>
      </w:tc>
      <w:tc>
        <w:tcPr>
          <w:tcW w:w="20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b/>
              <w:color w:val="000000" w:themeColor="text1"/>
              <w:sz w:val="24"/>
              <w:szCs w:val="24"/>
            </w:rPr>
          </w:pPr>
          <w:r>
            <w:rPr>
              <w:rFonts w:eastAsia="Times New Roman" w:cs="Times New Roman" w:ascii="Times New Roman" w:hAnsi="Times New Roman"/>
              <w:b/>
              <w:color w:val="000000" w:themeColor="text1"/>
              <w:sz w:val="24"/>
              <w:szCs w:val="24"/>
            </w:rPr>
            <w:t>PR – 7/24</w:t>
          </w:r>
        </w:p>
      </w:tc>
    </w:tr>
    <w:tr>
      <w:trPr>
        <w:trHeight w:val="690" w:hRule="atLeast"/>
      </w:trPr>
      <w:tc>
        <w:tcPr>
          <w:tcW w:w="1394" w:type="dxa"/>
          <w:vMerge w:val="continue"/>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pPr>
            <w:pStyle w:val="Normal"/>
            <w:widowControl w:val="false"/>
            <w:spacing w:before="0" w:after="160"/>
            <w:rPr/>
          </w:pPr>
          <w:r>
            <w:rPr/>
          </w:r>
        </w:p>
      </w:tc>
      <w:tc>
        <w:tcPr>
          <w:tcW w:w="2946" w:type="dxa"/>
          <w:vMerge w:val="continue"/>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pPr>
            <w:pStyle w:val="Normal"/>
            <w:widowControl w:val="false"/>
            <w:spacing w:before="0" w:after="160"/>
            <w:rPr/>
          </w:pPr>
          <w:r>
            <w:rPr/>
          </w:r>
        </w:p>
      </w:tc>
      <w:tc>
        <w:tcPr>
          <w:tcW w:w="3509" w:type="dxa"/>
          <w:vMerge w:val="continue"/>
          <w:tcBorders>
            <w:top w:val="single" w:sz="6" w:space="0" w:color="000000"/>
            <w:left w:val="single" w:sz="6" w:space="0" w:color="000000"/>
            <w:bottom w:val="single" w:sz="6" w:space="0" w:color="000000"/>
            <w:right w:val="single" w:sz="6" w:space="0" w:color="000000"/>
          </w:tcBorders>
          <w:tcMar>
            <w:left w:w="108" w:type="dxa"/>
            <w:right w:w="108" w:type="dxa"/>
          </w:tcMar>
          <w:vAlign w:val="center"/>
        </w:tcPr>
        <w:p>
          <w:pPr>
            <w:pStyle w:val="Normal"/>
            <w:widowControl w:val="false"/>
            <w:spacing w:before="0" w:after="160"/>
            <w:rPr/>
          </w:pPr>
          <w:r>
            <w:rPr/>
          </w:r>
        </w:p>
      </w:tc>
      <w:tc>
        <w:tcPr>
          <w:tcW w:w="20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tabs>
              <w:tab w:val="clear" w:pos="708"/>
              <w:tab w:val="center" w:pos="4419" w:leader="none"/>
              <w:tab w:val="right" w:pos="8838" w:leader="none"/>
            </w:tabs>
            <w:spacing w:lineRule="auto" w:line="240" w:before="0" w:after="0"/>
            <w:jc w:val="center"/>
            <w:rPr>
              <w:rFonts w:ascii="Times New Roman" w:hAnsi="Times New Roman" w:eastAsia="Times New Roman" w:cs="Times New Roman"/>
              <w:b/>
              <w:color w:val="000000" w:themeColor="text1"/>
              <w:sz w:val="24"/>
              <w:szCs w:val="24"/>
            </w:rPr>
          </w:pPr>
          <w:r>
            <w:rPr>
              <w:rFonts w:eastAsia="Times New Roman" w:cs="Times New Roman" w:ascii="Times New Roman" w:hAnsi="Times New Roman"/>
              <w:b/>
              <w:color w:val="000000" w:themeColor="text1"/>
              <w:sz w:val="24"/>
              <w:szCs w:val="24"/>
            </w:rPr>
            <w:t>OI PRENA 14012.1/18</w:t>
          </w:r>
        </w:p>
      </w:tc>
    </w:tr>
  </w:tbl>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68" w:hanging="360"/>
      </w:pPr>
      <w:rPr/>
    </w:lvl>
    <w:lvl w:ilvl="1">
      <w:start w:val="1"/>
      <w:numFmt w:val="bullet"/>
      <w:lvlText w:val=""/>
      <w:lvlJc w:val="left"/>
      <w:pPr>
        <w:tabs>
          <w:tab w:val="num" w:pos="0"/>
        </w:tabs>
        <w:ind w:left="1788" w:hanging="360"/>
      </w:pPr>
      <w:rPr>
        <w:rFonts w:ascii="Wingdings" w:hAnsi="Wingdings" w:cs="Wingdings" w:hint="default"/>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5"/>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Ttulo3">
    <w:name w:val="Heading 3"/>
    <w:basedOn w:val="Normal"/>
    <w:next w:val="Normal"/>
    <w:link w:val="Ttulo3Car"/>
    <w:uiPriority w:val="9"/>
    <w:unhideWhenUsed/>
    <w:qFormat/>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Pr/>
  </w:style>
  <w:style w:type="character" w:styleId="PiedepginaCar" w:customStyle="1">
    <w:name w:val="Pie de página Car"/>
    <w:basedOn w:val="DefaultParagraphFont"/>
    <w:uiPriority w:val="99"/>
    <w:qFormat/>
    <w:rPr/>
  </w:style>
  <w:style w:type="character" w:styleId="Ttulo3Car" w:customStyle="1">
    <w:name w:val="Título 3 Car"/>
    <w:basedOn w:val="DefaultParagraphFont"/>
    <w:uiPriority w:val="9"/>
    <w:qFormat/>
    <w:rPr>
      <w:rFonts w:ascii="Calibri Light" w:hAnsi="Calibri Light" w:eastAsia="" w:cs="" w:asciiTheme="majorHAnsi" w:cstheme="majorBidi" w:eastAsiaTheme="majorEastAsia" w:hAnsiTheme="majorHAnsi"/>
      <w:color w:val="1F3763" w:themeColor="accent1" w:themeShade="7f"/>
      <w:sz w:val="24"/>
      <w:szCs w:val="24"/>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pPr>
      <w:spacing w:before="0" w:after="160"/>
      <w:ind w:left="720" w:hanging="0"/>
      <w:contextualSpacing/>
    </w:pPr>
    <w:rPr/>
  </w:style>
  <w:style w:type="paragraph" w:styleId="Cabeceraypie">
    <w:name w:val="Cabecera y pie"/>
    <w:basedOn w:val="Normal"/>
    <w:qFormat/>
    <w:pPr/>
    <w:rPr/>
  </w:style>
  <w:style w:type="paragraph" w:styleId="Cabecera">
    <w:name w:val="Header"/>
    <w:basedOn w:val="Normal"/>
    <w:link w:val="EncabezadoCar"/>
    <w:uiPriority w:val="99"/>
    <w:unhideWhenUsed/>
    <w:pPr>
      <w:tabs>
        <w:tab w:val="clear" w:pos="708"/>
        <w:tab w:val="center" w:pos="4680" w:leader="none"/>
        <w:tab w:val="right" w:pos="9360" w:leader="none"/>
      </w:tabs>
      <w:spacing w:lineRule="auto" w:line="240" w:before="0" w:after="0"/>
    </w:pPr>
    <w:rPr/>
  </w:style>
  <w:style w:type="paragraph" w:styleId="Piedepgina">
    <w:name w:val="Footer"/>
    <w:basedOn w:val="Normal"/>
    <w:link w:val="PiedepginaCar"/>
    <w:uiPriority w:val="99"/>
    <w:unhideWhenUsed/>
    <w:pPr>
      <w:tabs>
        <w:tab w:val="clear" w:pos="708"/>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LibreOffice/7.5.2.2$Windows_X86_64 LibreOffice_project/53bb9681a964705cf672590721dbc85eb4d0c3a2</Application>
  <AppVersion>15.0000</AppVersion>
  <Pages>3</Pages>
  <Words>752</Words>
  <Characters>4123</Characters>
  <CharactersWithSpaces>4809</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2024-01-26T13:40:00Z</dcterms:created>
  <dc:creator>Joaquin Alejandro Perez Coria</dc:creator>
  <dc:description/>
  <dc:language>es-419</dc:language>
  <cp:lastModifiedBy/>
  <cp:lastPrinted>2025-01-21T13:14:16Z</cp:lastPrinted>
  <dcterms:modified xsi:type="dcterms:W3CDTF">2025-01-21T13:15:16Z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