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323B5017" w:rsidP="323B5017" w:rsidRDefault="323B5017" w14:paraId="17DCB086" w14:textId="19CABC8F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OBJETIVO</w:t>
      </w:r>
    </w:p>
    <w:p w:rsidR="323B5017" w:rsidP="323B5017" w:rsidRDefault="323B5017" w14:paraId="6BF404C6" w14:textId="42F1A1FE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 xml:space="preserve">Establecer una metodología para ser aplicada ante posibles disturbios o aglomeraciones fuera de control dentro de la terminal de pasajeros de </w:t>
      </w: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BuqueBus</w:t>
      </w: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. -</w:t>
      </w:r>
    </w:p>
    <w:p w:rsidR="323B5017" w:rsidP="323B5017" w:rsidRDefault="323B5017" w14:paraId="2F1A11DF" w14:textId="3B8D0C47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ALCANCE</w:t>
      </w:r>
    </w:p>
    <w:p w:rsidR="323B5017" w:rsidP="323B5017" w:rsidRDefault="323B5017" w14:paraId="258CEB68" w14:textId="159D6C16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 xml:space="preserve">Este procedimiento será de aplicación dentro de la jurisdicción de la Prefectura del Puerto de </w:t>
      </w: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Montevideo,</w:t>
      </w: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 xml:space="preserve"> pero especialmente dentro de los límites de la terminal de pasajeros de </w:t>
      </w: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BuqueBus</w:t>
      </w: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323B5017" w:rsidP="323B5017" w:rsidRDefault="323B5017" w14:paraId="5C9DBC19" w14:textId="21A06BA3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REFERENCIAS</w:t>
      </w:r>
    </w:p>
    <w:p w:rsidR="323B5017" w:rsidP="323B5017" w:rsidRDefault="323B5017" w14:paraId="5ED40F90" w14:textId="7F5B602F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Se omite. -</w:t>
      </w:r>
    </w:p>
    <w:p w:rsidR="323B5017" w:rsidP="323B5017" w:rsidRDefault="323B5017" w14:paraId="3047AC2F" w14:textId="52B395AD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DEFINICIONES, ABREVIATURAS Y SÍMBOLOS</w:t>
      </w:r>
    </w:p>
    <w:p w:rsidR="323B5017" w:rsidP="323B5017" w:rsidRDefault="323B5017" w14:paraId="06BDD58F" w14:textId="5A8E455B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323B5017" w:rsidP="323B5017" w:rsidRDefault="323B5017" w14:paraId="77E4B146" w14:textId="79576BA9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DESARROLLO</w:t>
      </w:r>
    </w:p>
    <w:p w:rsidR="323B5017" w:rsidP="323B5017" w:rsidRDefault="323B5017" w14:paraId="40D1E123" w14:textId="0A80C19B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Es fundamental tener en consideración situaciones de disturbios en una terminal portuaria por varias razones importantes:</w:t>
      </w:r>
    </w:p>
    <w:p w:rsidR="323B5017" w:rsidP="323B5017" w:rsidRDefault="323B5017" w14:paraId="6260A79E" w14:textId="6DCC6848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Seguridad de las personas: La principal prioridad debe ser la seguridad de todas las personas presentes en la terminal, incluyendo trabajadores, visitantes y residentes locales. Los disturbios pueden poner en riesgo la vida y la integridad física de las personas.</w:t>
      </w:r>
    </w:p>
    <w:p w:rsidR="323B5017" w:rsidP="323B5017" w:rsidRDefault="323B5017" w14:paraId="4C994F10" w14:textId="21337DF3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Protección de activos: Las instalaciones portuarias suelen albergar activos valiosos, como mercancías, maquinaria y equipos costosos. Los disturbios pueden causar daños materiales significativos, lo que afecta negativamente a la economía y la cadena de suministro.</w:t>
      </w:r>
    </w:p>
    <w:p w:rsidR="323B5017" w:rsidP="323B5017" w:rsidRDefault="323B5017" w14:paraId="454D274E" w14:textId="5E5D03ED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Continuidad operativa: Los disturbios pueden interrumpir las operaciones portuarias, lo que tiene un impacto directo en el comercio y la distribución de bienes. La interrupción prolongada puede causar pérdidas económicas considerables.</w:t>
      </w:r>
    </w:p>
    <w:p w:rsidR="323B5017" w:rsidP="323B5017" w:rsidRDefault="323B5017" w14:paraId="688D2909" w14:textId="59C2E227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Reputación y confianza: La seguridad en un puerto es esencial para mantener una buena reputación y la confianza de los clientes y socios comerciales. Los disturbios pueden dañar la imagen del puerto y disuadir a las empresas de utilizarlo.</w:t>
      </w:r>
    </w:p>
    <w:p w:rsidR="323B5017" w:rsidP="323B5017" w:rsidRDefault="323B5017" w14:paraId="14D91B72" w14:textId="75A22B67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Cumplimiento normativo: Las autoridades portuarias deben cumplir con regulaciones y estándares de seguridad, y no abordar adecuadamente situaciones de disturbios puede llevar a problemas legales y sanciones.</w:t>
      </w:r>
    </w:p>
    <w:p w:rsidR="323B5017" w:rsidP="323B5017" w:rsidRDefault="323B5017" w14:paraId="23CDEF56" w14:textId="506E2DB4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Estabilidad social: Los disturbios en una terminal portuaria pueden tener un impacto más amplio en la estabilidad social y económica de la región circundante, lo que puede generar tensiones y conflictos adicionales.</w:t>
      </w:r>
    </w:p>
    <w:p w:rsidR="323B5017" w:rsidP="323B5017" w:rsidRDefault="323B5017" w14:paraId="5663E01A" w14:textId="670DBB6A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Prevención y mitigación: Prepararse para disturbios y tener planes de respuesta adecuados puede ayudar a prevenir conflictos o reducir su gravedad si ocurren.</w:t>
      </w:r>
    </w:p>
    <w:p w:rsidR="323B5017" w:rsidP="323B5017" w:rsidRDefault="323B5017" w14:paraId="4B84A935" w14:textId="3C0FE0F4">
      <w:pPr>
        <w:pStyle w:val="Normal"/>
        <w:jc w:val="both"/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En resumen, considerar situaciones de disturbios en una terminal portuaria es esencial para garantizar la seguridad de las personas, proteger los activos y mantener la continuidad de las operaciones. Además, contribuye a mantener la reputación del puerto y su papel en la economía regional y nacional. La planificación y preparación adecuadas son esenciales para abordar eficazmente estos desafíos.</w:t>
      </w:r>
    </w:p>
    <w:p w:rsidR="323B5017" w:rsidP="323B5017" w:rsidRDefault="323B5017" w14:paraId="1B1596A6" w14:textId="31E45BDA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 xml:space="preserve">Acciones a tomar en caso de disturbios en la terminal de pasajeros de </w:t>
      </w: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BuqueBus</w:t>
      </w: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="323B5017" w:rsidP="323B5017" w:rsidRDefault="323B5017" w14:paraId="3178AFDB" w14:textId="7218EE21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Asegurarse de que el personal de seguridad y respuesta esté disponible y listo para intervenir de manera inmediata.</w:t>
      </w:r>
    </w:p>
    <w:p w:rsidR="323B5017" w:rsidP="323B5017" w:rsidRDefault="323B5017" w14:paraId="517C7023" w14:textId="75DD868F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Configurar un centro de comando centralizado donde se coordine la respuesta y la toma de decisiones.</w:t>
      </w:r>
    </w:p>
    <w:p w:rsidR="323B5017" w:rsidP="323B5017" w:rsidRDefault="323B5017" w14:paraId="322C492D" w14:textId="6AA93BA4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Mantener una comunicación constante y efectiva entre el personal de seguridad y los líderes de la operación para coordinar las acciones.</w:t>
      </w:r>
    </w:p>
    <w:p w:rsidR="323B5017" w:rsidP="323B5017" w:rsidRDefault="323B5017" w14:paraId="6061704E" w14:textId="7EA4506A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Identificar a los líderes de los disturbios para tratar de dialogar y negociar con ellos si es posible.</w:t>
      </w:r>
    </w:p>
    <w:p w:rsidR="323B5017" w:rsidP="323B5017" w:rsidRDefault="323B5017" w14:paraId="1736FF14" w14:textId="516EFA27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En caso de ser necesario, implementar un plan de evacuación seguro para los pasajeros y el personal no involucrado en los disturbios.</w:t>
      </w:r>
    </w:p>
    <w:p w:rsidR="323B5017" w:rsidP="323B5017" w:rsidRDefault="323B5017" w14:paraId="09DC7F28" w14:textId="7004F9EC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Cerrar o restringir el acceso a áreas problemáticas para evitar que se sumen más personas a los disturbios.</w:t>
      </w:r>
    </w:p>
    <w:p w:rsidR="323B5017" w:rsidP="323B5017" w:rsidRDefault="323B5017" w14:paraId="7F3BCBBB" w14:textId="1C7B99BE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 xml:space="preserve">Asegurarse de que el personal esté equipado con equipo de protección personal, como cascos y escudos. </w:t>
      </w: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En caso de ser necesario, solicitar intervención del Comando de Infantería de Marina.</w:t>
      </w:r>
    </w:p>
    <w:p w:rsidR="323B5017" w:rsidP="323B5017" w:rsidRDefault="323B5017" w14:paraId="45B07F5F" w14:textId="4A1C6A16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 xml:space="preserve">Aplicar tácticas y técnicas de control de multitudes para dispersar a los alborotadores de manera segura y evitar la escalada de la violencia. Apoyarse en </w:t>
      </w: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el</w:t>
      </w: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 xml:space="preserve"> personal especializado en este tipo de intervenciones.</w:t>
      </w:r>
    </w:p>
    <w:p w:rsidR="323B5017" w:rsidP="323B5017" w:rsidRDefault="323B5017" w14:paraId="1BA29464" w14:textId="18D10145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En caso de contar con personal instruido en negociación, intentar establecer una comunicación con los alborotadores para resolver pacíficamente la situación, si es posible.</w:t>
      </w:r>
    </w:p>
    <w:p w:rsidR="323B5017" w:rsidP="323B5017" w:rsidRDefault="323B5017" w14:paraId="43B050AC" w14:textId="61905377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Como última instancia y si es necesario, proceder a la detención de los individuos involucrados en los disturbios.</w:t>
      </w:r>
    </w:p>
    <w:p w:rsidR="323B5017" w:rsidP="323B5017" w:rsidRDefault="323B5017" w14:paraId="11B60AD9" w14:textId="3BC824AB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23B5017" w:rsidR="323B5017">
        <w:rPr>
          <w:rFonts w:ascii="Times New Roman" w:hAnsi="Times New Roman" w:eastAsia="Times New Roman" w:cs="Times New Roman"/>
          <w:sz w:val="24"/>
          <w:szCs w:val="24"/>
        </w:rPr>
        <w:t>Es importante que todas estas acciones se realicen en coordinación con las fuerzas de seguridad reconocidas como amigas y otras autoridades pertinentes, siguiendo las leyes y regulaciones aplicables, y priorizando siempre la seguridad de las personas y la protección de la infraestructura portuaria.</w:t>
      </w:r>
    </w:p>
    <w:sectPr>
      <w:pgSz w:w="11907" w:h="16839" w:orient="portrait"/>
      <w:pgMar w:top="720" w:right="720" w:bottom="720" w:left="720" w:header="720" w:footer="720" w:gutter="0"/>
      <w:cols w:space="720"/>
      <w:docGrid w:linePitch="360"/>
      <w:headerReference w:type="default" r:id="Rec9ab594b14b4592"/>
      <w:footerReference w:type="default" r:id="R29bdce8477254ad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jc w:val="center"/>
      <w:tblBorders>
        <w:top w:val="single" w:sz="6"/>
        <w:left w:val="single" w:sz="6"/>
        <w:bottom w:val="single" w:sz="6"/>
        <w:right w:val="single" w:sz="6"/>
      </w:tblBorders>
      <w:tblLayout w:type="fixed"/>
      <w:tblLook w:val="0000" w:firstRow="0" w:lastRow="0" w:firstColumn="0" w:lastColumn="0" w:noHBand="0" w:noVBand="0"/>
    </w:tblPr>
    <w:tblGrid>
      <w:gridCol w:w="2235"/>
      <w:gridCol w:w="3990"/>
      <w:gridCol w:w="2550"/>
      <w:gridCol w:w="1530"/>
    </w:tblGrid>
    <w:tr w:rsidR="323B5017" w:rsidTr="323B5017" w14:paraId="3FCA0513">
      <w:trPr>
        <w:trHeight w:val="300"/>
      </w:trPr>
      <w:tc>
        <w:tcPr>
          <w:tcW w:w="2235" w:type="dxa"/>
          <w:vMerge w:val="restart"/>
          <w:tcBorders>
            <w:top w:val="single" w:sz="6"/>
            <w:left w:val="single" w:sz="6"/>
            <w:bottom w:val="single" w:sz="6"/>
            <w:right w:val="single" w:sz="6"/>
          </w:tcBorders>
          <w:tcMar>
            <w:left w:w="60" w:type="dxa"/>
            <w:right w:w="60" w:type="dxa"/>
          </w:tcMar>
          <w:vAlign w:val="center"/>
        </w:tcPr>
        <w:p w:rsidR="323B5017" w:rsidP="323B5017" w:rsidRDefault="323B5017" w14:paraId="1B2CCBB4" w14:textId="2FF65E2F">
          <w:pPr>
            <w:keepNext w:val="1"/>
            <w:widowControl w:val="0"/>
            <w:bidi w:val="0"/>
            <w:spacing w:after="0" w:line="360" w:lineRule="auto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Pr="323B5017" w:rsidR="323B5017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s-ES"/>
            </w:rPr>
            <w:t>APROBADO POR</w:t>
          </w:r>
        </w:p>
      </w:tc>
      <w:tc>
        <w:tcPr>
          <w:tcW w:w="3990" w:type="dxa"/>
          <w:tcBorders>
            <w:top w:val="single" w:sz="6"/>
            <w:left w:val="single" w:sz="6"/>
            <w:bottom w:val="single" w:sz="6"/>
            <w:right w:val="single" w:sz="6"/>
          </w:tcBorders>
          <w:tcMar>
            <w:left w:w="60" w:type="dxa"/>
            <w:right w:w="60" w:type="dxa"/>
          </w:tcMar>
          <w:vAlign w:val="top"/>
        </w:tcPr>
        <w:p w:rsidR="323B5017" w:rsidP="323B5017" w:rsidRDefault="323B5017" w14:paraId="776D89D9" w14:textId="7E86163B">
          <w:pPr>
            <w:bidi w:val="0"/>
            <w:spacing w:after="0" w:line="240" w:lineRule="auto"/>
            <w:ind w:left="-540" w:firstLine="540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Pr="323B5017" w:rsidR="323B5017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s-ES"/>
            </w:rPr>
            <w:t>CARGO</w:t>
          </w:r>
        </w:p>
      </w:tc>
      <w:tc>
        <w:tcPr>
          <w:tcW w:w="2550" w:type="dxa"/>
          <w:tcBorders>
            <w:top w:val="single" w:sz="6"/>
            <w:left w:val="single" w:sz="6"/>
            <w:bottom w:val="single" w:sz="6"/>
            <w:right w:val="single" w:sz="6"/>
          </w:tcBorders>
          <w:tcMar>
            <w:left w:w="60" w:type="dxa"/>
            <w:right w:w="60" w:type="dxa"/>
          </w:tcMar>
          <w:vAlign w:val="top"/>
        </w:tcPr>
        <w:p w:rsidR="323B5017" w:rsidP="323B5017" w:rsidRDefault="323B5017" w14:paraId="3C55F23E" w14:textId="2AC9AFBE">
          <w:pPr>
            <w:bidi w:val="0"/>
            <w:spacing w:after="0" w:line="240" w:lineRule="auto"/>
            <w:ind w:left="-540" w:firstLine="540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Pr="323B5017" w:rsidR="323B5017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s-ES"/>
            </w:rPr>
            <w:t>FIRMA</w:t>
          </w:r>
        </w:p>
      </w:tc>
      <w:tc>
        <w:tcPr>
          <w:tcW w:w="1530" w:type="dxa"/>
          <w:tcBorders>
            <w:top w:val="single" w:sz="6"/>
            <w:left w:val="single" w:sz="6"/>
            <w:bottom w:val="single" w:sz="6"/>
            <w:right w:val="single" w:sz="6"/>
          </w:tcBorders>
          <w:tcMar>
            <w:left w:w="60" w:type="dxa"/>
            <w:right w:w="60" w:type="dxa"/>
          </w:tcMar>
          <w:vAlign w:val="top"/>
        </w:tcPr>
        <w:p w:rsidR="323B5017" w:rsidP="323B5017" w:rsidRDefault="323B5017" w14:paraId="0046C82C" w14:textId="11BE1218">
          <w:pPr>
            <w:bidi w:val="0"/>
            <w:spacing w:after="0" w:line="240" w:lineRule="auto"/>
            <w:ind w:left="-540" w:firstLine="0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Pr="323B5017" w:rsidR="323B5017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s-ES"/>
            </w:rPr>
            <w:t>FECHA</w:t>
          </w:r>
        </w:p>
      </w:tc>
    </w:tr>
    <w:tr w:rsidR="323B5017" w:rsidTr="323B5017" w14:paraId="5B5FD824">
      <w:trPr>
        <w:trHeight w:val="300"/>
      </w:trPr>
      <w:tc>
        <w:tcPr>
          <w:tcW w:w="2235" w:type="dxa"/>
          <w:vMerge/>
          <w:tcBorders>
            <w:top w:sz="0"/>
            <w:left w:val="single" w:sz="0"/>
            <w:bottom w:val="single" w:sz="0"/>
            <w:right w:val="single" w:sz="0"/>
          </w:tcBorders>
          <w:tcMar/>
          <w:vAlign w:val="center"/>
        </w:tcPr>
        <w:p w14:paraId="53DE0FB2"/>
      </w:tc>
      <w:tc>
        <w:tcPr>
          <w:tcW w:w="3990" w:type="dxa"/>
          <w:tcBorders>
            <w:top w:val="single" w:sz="6"/>
            <w:left w:val="single" w:sz="6"/>
            <w:bottom w:val="single" w:sz="6"/>
            <w:right w:val="single" w:sz="6"/>
          </w:tcBorders>
          <w:tcMar>
            <w:left w:w="60" w:type="dxa"/>
            <w:right w:w="60" w:type="dxa"/>
          </w:tcMar>
          <w:vAlign w:val="center"/>
        </w:tcPr>
        <w:p w:rsidR="323B5017" w:rsidP="323B5017" w:rsidRDefault="323B5017" w14:paraId="20741801" w14:textId="7D17DFA1">
          <w:pPr>
            <w:bidi w:val="0"/>
            <w:spacing w:after="0" w:line="240" w:lineRule="auto"/>
            <w:ind w:left="-540" w:firstLine="0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Pr="323B5017" w:rsidR="323B5017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s-ES"/>
            </w:rPr>
            <w:t xml:space="preserve">    Prefecto del Puerto de Montevideo</w:t>
          </w:r>
        </w:p>
      </w:tc>
      <w:tc>
        <w:tcPr>
          <w:tcW w:w="2550" w:type="dxa"/>
          <w:tcBorders>
            <w:top w:val="single" w:sz="6"/>
            <w:left w:val="single" w:sz="6"/>
            <w:bottom w:val="single" w:sz="6"/>
            <w:right w:val="single" w:sz="6"/>
          </w:tcBorders>
          <w:tcMar>
            <w:left w:w="60" w:type="dxa"/>
            <w:right w:w="60" w:type="dxa"/>
          </w:tcMar>
          <w:vAlign w:val="center"/>
        </w:tcPr>
        <w:p w:rsidR="323B5017" w:rsidP="323B5017" w:rsidRDefault="323B5017" w14:paraId="4CC63FF4" w14:textId="695BC550">
          <w:pPr>
            <w:bidi w:val="0"/>
            <w:spacing w:after="0" w:line="240" w:lineRule="auto"/>
            <w:ind w:left="-540" w:firstLine="540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</w:tc>
      <w:tc>
        <w:tcPr>
          <w:tcW w:w="1530" w:type="dxa"/>
          <w:tcBorders>
            <w:top w:val="single" w:sz="6"/>
            <w:left w:val="single" w:sz="6"/>
            <w:bottom w:val="single" w:sz="6"/>
            <w:right w:val="single" w:sz="6"/>
          </w:tcBorders>
          <w:tcMar>
            <w:left w:w="60" w:type="dxa"/>
            <w:right w:w="60" w:type="dxa"/>
          </w:tcMar>
          <w:vAlign w:val="center"/>
        </w:tcPr>
        <w:p w:rsidR="323B5017" w:rsidP="323B5017" w:rsidRDefault="323B5017" w14:paraId="60D59039" w14:textId="09610D59">
          <w:pPr>
            <w:bidi w:val="0"/>
            <w:spacing w:after="0" w:line="240" w:lineRule="auto"/>
            <w:ind w:left="-540" w:firstLine="540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</w:p>
      </w:tc>
    </w:tr>
    <w:tr w:rsidR="323B5017" w:rsidTr="323B5017" w14:paraId="68708019">
      <w:trPr>
        <w:trHeight w:val="300"/>
      </w:trPr>
      <w:tc>
        <w:tcPr>
          <w:tcW w:w="2235" w:type="dxa"/>
          <w:tcBorders>
            <w:top w:val="single" w:sz="6"/>
            <w:left w:val="single" w:sz="6"/>
            <w:bottom w:val="single" w:sz="6"/>
            <w:right w:val="single" w:sz="6"/>
          </w:tcBorders>
          <w:tcMar>
            <w:left w:w="60" w:type="dxa"/>
            <w:right w:w="60" w:type="dxa"/>
          </w:tcMar>
          <w:vAlign w:val="center"/>
        </w:tcPr>
        <w:p w:rsidR="323B5017" w:rsidP="323B5017" w:rsidRDefault="323B5017" w14:paraId="1C368EBB" w14:textId="062E800B">
          <w:pPr>
            <w:bidi w:val="0"/>
            <w:spacing w:after="0" w:line="240" w:lineRule="auto"/>
            <w:ind w:left="-540" w:firstLine="0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Pr="323B5017" w:rsidR="323B5017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s-ES"/>
            </w:rPr>
            <w:t xml:space="preserve">    REVISADO POR</w:t>
          </w:r>
        </w:p>
      </w:tc>
      <w:tc>
        <w:tcPr>
          <w:tcW w:w="3990" w:type="dxa"/>
          <w:tcBorders>
            <w:top w:val="single" w:sz="6"/>
            <w:left w:val="single" w:sz="6"/>
            <w:bottom w:val="single" w:sz="6"/>
            <w:right w:val="single" w:sz="6"/>
          </w:tcBorders>
          <w:tcMar>
            <w:left w:w="60" w:type="dxa"/>
            <w:right w:w="60" w:type="dxa"/>
          </w:tcMar>
          <w:vAlign w:val="center"/>
        </w:tcPr>
        <w:p w:rsidR="323B5017" w:rsidP="323B5017" w:rsidRDefault="323B5017" w14:paraId="3AA816B9" w14:textId="321273C0">
          <w:pPr>
            <w:bidi w:val="0"/>
            <w:spacing w:after="0" w:line="240" w:lineRule="auto"/>
            <w:ind w:left="-540" w:firstLine="0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Pr="323B5017" w:rsidR="323B5017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s-ES"/>
            </w:rPr>
            <w:t xml:space="preserve">     Jefe de la División Policía Marítima</w:t>
          </w:r>
        </w:p>
      </w:tc>
      <w:tc>
        <w:tcPr>
          <w:tcW w:w="2550" w:type="dxa"/>
          <w:tcBorders>
            <w:top w:val="single" w:sz="6"/>
            <w:left w:val="single" w:sz="6"/>
            <w:bottom w:val="single" w:sz="6"/>
            <w:right w:val="single" w:sz="6"/>
          </w:tcBorders>
          <w:tcMar>
            <w:left w:w="60" w:type="dxa"/>
            <w:right w:w="60" w:type="dxa"/>
          </w:tcMar>
          <w:vAlign w:val="center"/>
        </w:tcPr>
        <w:p w:rsidR="323B5017" w:rsidP="323B5017" w:rsidRDefault="323B5017" w14:paraId="598C842E" w14:textId="2F4070BA">
          <w:pPr>
            <w:bidi w:val="0"/>
            <w:spacing w:after="0" w:line="240" w:lineRule="auto"/>
            <w:ind w:left="-540" w:firstLine="540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</w:tc>
      <w:tc>
        <w:tcPr>
          <w:tcW w:w="1530" w:type="dxa"/>
          <w:tcBorders>
            <w:top w:val="single" w:sz="6"/>
            <w:left w:val="single" w:sz="6"/>
            <w:bottom w:val="single" w:sz="6"/>
            <w:right w:val="single" w:sz="6"/>
          </w:tcBorders>
          <w:tcMar>
            <w:left w:w="60" w:type="dxa"/>
            <w:right w:w="60" w:type="dxa"/>
          </w:tcMar>
          <w:vAlign w:val="center"/>
        </w:tcPr>
        <w:p w:rsidR="323B5017" w:rsidP="323B5017" w:rsidRDefault="323B5017" w14:paraId="7E7E39A8" w14:textId="7E5313A5">
          <w:pPr>
            <w:bidi w:val="0"/>
            <w:spacing w:after="0" w:line="240" w:lineRule="auto"/>
            <w:ind w:left="-540" w:firstLine="540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</w:p>
      </w:tc>
    </w:tr>
    <w:tr w:rsidR="323B5017" w:rsidTr="323B5017" w14:paraId="3EE4D61C">
      <w:trPr>
        <w:trHeight w:val="300"/>
      </w:trPr>
      <w:tc>
        <w:tcPr>
          <w:tcW w:w="2235" w:type="dxa"/>
          <w:tcBorders>
            <w:top w:val="single" w:sz="6"/>
            <w:left w:val="single" w:sz="6"/>
            <w:bottom w:val="single" w:sz="6"/>
            <w:right w:val="single" w:sz="6"/>
          </w:tcBorders>
          <w:tcMar>
            <w:left w:w="60" w:type="dxa"/>
            <w:right w:w="60" w:type="dxa"/>
          </w:tcMar>
          <w:vAlign w:val="center"/>
        </w:tcPr>
        <w:p w:rsidR="323B5017" w:rsidP="323B5017" w:rsidRDefault="323B5017" w14:paraId="41AABF3F" w14:textId="7638A0FF">
          <w:pPr>
            <w:bidi w:val="0"/>
            <w:spacing w:after="0" w:line="240" w:lineRule="auto"/>
            <w:ind w:left="-540" w:firstLine="0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Pr="323B5017" w:rsidR="323B5017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s-ES"/>
            </w:rPr>
            <w:t>DOCUMENTO</w:t>
          </w:r>
        </w:p>
      </w:tc>
      <w:tc>
        <w:tcPr>
          <w:tcW w:w="8070" w:type="dxa"/>
          <w:gridSpan w:val="3"/>
          <w:tcBorders>
            <w:top w:val="single" w:sz="6"/>
            <w:left w:val="single" w:sz="6"/>
            <w:bottom w:val="single" w:sz="6"/>
            <w:right w:val="single" w:sz="6"/>
          </w:tcBorders>
          <w:tcMar>
            <w:left w:w="60" w:type="dxa"/>
            <w:right w:w="60" w:type="dxa"/>
          </w:tcMar>
          <w:vAlign w:val="center"/>
        </w:tcPr>
        <w:p w:rsidR="323B5017" w:rsidP="323B5017" w:rsidRDefault="323B5017" w14:paraId="1F7BB14F" w14:textId="496590DA">
          <w:pPr>
            <w:bidi w:val="0"/>
            <w:spacing w:after="0" w:line="240" w:lineRule="auto"/>
            <w:ind w:left="-540" w:firstLine="540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Pr="323B5017" w:rsidR="323B5017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s-MX"/>
            </w:rPr>
            <w:t>Original              Copia Controlada              Copia No Controlada</w:t>
          </w:r>
        </w:p>
      </w:tc>
    </w:tr>
  </w:tbl>
  <w:p w:rsidR="323B5017" w:rsidP="323B5017" w:rsidRDefault="323B5017" w14:paraId="30E57CCA" w14:textId="1EC10B20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Ind w:w="60" w:type="dxa"/>
      <w:tblBorders>
        <w:top w:val="single" w:sz="6"/>
        <w:left w:val="single" w:sz="6"/>
        <w:bottom w:val="single" w:sz="6"/>
        <w:right w:val="single" w:sz="6"/>
      </w:tblBorders>
      <w:tblLayout w:type="fixed"/>
      <w:tblLook w:val="0000" w:firstRow="0" w:lastRow="0" w:firstColumn="0" w:lastColumn="0" w:noHBand="0" w:noVBand="0"/>
    </w:tblPr>
    <w:tblGrid>
      <w:gridCol w:w="1355"/>
      <w:gridCol w:w="2775"/>
      <w:gridCol w:w="4524"/>
      <w:gridCol w:w="1860"/>
    </w:tblGrid>
    <w:tr w:rsidR="323B5017" w:rsidTr="323B5017" w14:paraId="2FE80D69">
      <w:trPr>
        <w:trHeight w:val="690"/>
      </w:trPr>
      <w:tc>
        <w:tcPr>
          <w:tcW w:w="1355" w:type="dxa"/>
          <w:vMerge w:val="restart"/>
          <w:tcBorders>
            <w:top w:val="single" w:color="000000" w:themeColor="text1" w:sz="6"/>
            <w:left w:val="single" w:color="000000" w:themeColor="text1" w:sz="6"/>
            <w:bottom w:val="single" w:color="000000" w:themeColor="text1" w:sz="6"/>
          </w:tcBorders>
          <w:tcMar>
            <w:left w:w="60" w:type="dxa"/>
            <w:right w:w="60" w:type="dxa"/>
          </w:tcMar>
          <w:vAlign w:val="center"/>
        </w:tcPr>
        <w:p w:rsidR="323B5017" w:rsidP="323B5017" w:rsidRDefault="323B5017" w14:paraId="715FFF24" w14:textId="65C22639">
          <w:pPr>
            <w:tabs>
              <w:tab w:val="center" w:leader="none" w:pos="4419"/>
              <w:tab w:val="right" w:leader="none" w:pos="8838"/>
            </w:tabs>
            <w:bidi w:val="0"/>
            <w:spacing w:after="0" w:line="240" w:lineRule="auto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8"/>
              <w:szCs w:val="28"/>
            </w:rPr>
          </w:pPr>
          <w:r>
            <w:drawing>
              <wp:inline wp14:editId="42960F7A" wp14:anchorId="2C920F44">
                <wp:extent cx="742950" cy="638175"/>
                <wp:effectExtent l="0" t="0" r="0" b="0"/>
                <wp:docPr id="204597732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699e96566f0d4c35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95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5" w:type="dxa"/>
          <w:vMerge w:val="restart"/>
          <w:tcBorders>
            <w:top w:val="single" w:color="000000" w:themeColor="text1" w:sz="6"/>
            <w:left w:val="single" w:color="000000" w:themeColor="text1" w:sz="6"/>
            <w:bottom w:val="single" w:color="000000" w:themeColor="text1" w:sz="6"/>
          </w:tcBorders>
          <w:tcMar>
            <w:left w:w="60" w:type="dxa"/>
            <w:right w:w="60" w:type="dxa"/>
          </w:tcMar>
          <w:vAlign w:val="center"/>
        </w:tcPr>
        <w:p w:rsidR="323B5017" w:rsidP="323B5017" w:rsidRDefault="323B5017" w14:paraId="14141849" w14:textId="67814AC6">
          <w:pPr>
            <w:tabs>
              <w:tab w:val="center" w:leader="none" w:pos="4419"/>
              <w:tab w:val="right" w:leader="none" w:pos="8838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8"/>
              <w:szCs w:val="28"/>
            </w:rPr>
          </w:pPr>
          <w:r w:rsidRPr="323B5017" w:rsidR="323B5017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28"/>
              <w:szCs w:val="28"/>
              <w:lang w:val="es-ES"/>
            </w:rPr>
            <w:t xml:space="preserve">PREFECTURA NACIONAL NAVAL </w:t>
          </w:r>
        </w:p>
        <w:p w:rsidR="323B5017" w:rsidP="323B5017" w:rsidRDefault="323B5017" w14:paraId="2FF52C21" w14:textId="255A44FA">
          <w:pPr>
            <w:tabs>
              <w:tab w:val="center" w:leader="none" w:pos="4419"/>
              <w:tab w:val="right" w:leader="none" w:pos="8838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8"/>
              <w:szCs w:val="28"/>
            </w:rPr>
          </w:pPr>
          <w:r w:rsidRPr="323B5017" w:rsidR="323B5017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28"/>
              <w:szCs w:val="28"/>
              <w:lang w:val="es-ES"/>
            </w:rPr>
            <w:t>(PREFECTURA DEL PUERTO DE MONTEVIDEO)</w:t>
          </w:r>
        </w:p>
      </w:tc>
      <w:tc>
        <w:tcPr>
          <w:tcW w:w="4524" w:type="dxa"/>
          <w:vMerge w:val="restart"/>
          <w:tcBorders>
            <w:top w:val="single" w:color="000000" w:themeColor="text1" w:sz="6"/>
            <w:left w:val="single" w:color="000000" w:themeColor="text1" w:sz="6"/>
            <w:bottom w:val="single" w:color="000000" w:themeColor="text1" w:sz="6"/>
          </w:tcBorders>
          <w:tcMar>
            <w:left w:w="60" w:type="dxa"/>
            <w:right w:w="60" w:type="dxa"/>
          </w:tcMar>
          <w:vAlign w:val="center"/>
        </w:tcPr>
        <w:p w:rsidR="323B5017" w:rsidP="323B5017" w:rsidRDefault="323B5017" w14:paraId="405D7548" w14:textId="0BD22F53">
          <w:pPr>
            <w:tabs>
              <w:tab w:val="center" w:leader="none" w:pos="4419"/>
              <w:tab w:val="right" w:leader="none" w:pos="8838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8"/>
              <w:szCs w:val="28"/>
              <w:lang w:val="es-ES"/>
            </w:rPr>
          </w:pPr>
          <w:r w:rsidRPr="323B5017" w:rsidR="323B5017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28"/>
              <w:szCs w:val="28"/>
              <w:lang w:val="es-AR"/>
            </w:rPr>
            <w:t>PROCEDIMIENTO DE CONTROL DE MULTITUDES EN TERMINAL BUQUEBUS</w:t>
          </w:r>
        </w:p>
      </w:tc>
      <w:tc>
        <w:tcPr>
          <w:tcW w:w="1860" w:type="dxa"/>
          <w:tcBorders>
            <w:top w:val="single" w:color="000000" w:themeColor="text1" w:sz="6"/>
            <w:left w:val="single" w:color="000000" w:themeColor="text1" w:sz="6"/>
            <w:bottom w:val="single" w:color="000000" w:themeColor="text1" w:sz="6"/>
            <w:right w:val="single" w:color="000000" w:themeColor="text1" w:sz="6"/>
          </w:tcBorders>
          <w:tcMar>
            <w:left w:w="60" w:type="dxa"/>
            <w:right w:w="60" w:type="dxa"/>
          </w:tcMar>
          <w:vAlign w:val="center"/>
        </w:tcPr>
        <w:p w:rsidR="323B5017" w:rsidP="323B5017" w:rsidRDefault="323B5017" w14:paraId="1FA2BE17" w14:textId="7C21CB2D">
          <w:pPr>
            <w:tabs>
              <w:tab w:val="center" w:leader="none" w:pos="4419"/>
              <w:tab w:val="right" w:leader="none" w:pos="8838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0"/>
              <w:szCs w:val="20"/>
            </w:rPr>
          </w:pPr>
        </w:p>
      </w:tc>
    </w:tr>
    <w:tr w:rsidR="323B5017" w:rsidTr="323B5017" w14:paraId="0DE0F719">
      <w:trPr>
        <w:trHeight w:val="690"/>
      </w:trPr>
      <w:tc>
        <w:tcPr>
          <w:tcW w:w="1355" w:type="dxa"/>
          <w:vMerge/>
          <w:tcBorders>
            <w:top w:val="single" w:color="000000" w:themeColor="text1" w:sz="0"/>
            <w:left w:val="single" w:color="000000" w:themeColor="text1" w:sz="0"/>
            <w:bottom w:val="single" w:color="000000" w:themeColor="text1" w:sz="0"/>
            <w:right w:sz="0"/>
          </w:tcBorders>
          <w:tcMar/>
          <w:vAlign w:val="center"/>
        </w:tcPr>
        <w:p w14:paraId="61B80ED7"/>
      </w:tc>
      <w:tc>
        <w:tcPr>
          <w:tcW w:w="2775" w:type="dxa"/>
          <w:vMerge/>
          <w:tcBorders>
            <w:top w:val="single" w:color="000000" w:themeColor="text1" w:sz="0"/>
            <w:left w:val="single" w:color="000000" w:themeColor="text1" w:sz="0"/>
            <w:bottom w:val="single" w:color="000000" w:themeColor="text1" w:sz="0"/>
            <w:right w:sz="0"/>
          </w:tcBorders>
          <w:tcMar/>
          <w:vAlign w:val="center"/>
        </w:tcPr>
        <w:p w14:paraId="37724EC0"/>
      </w:tc>
      <w:tc>
        <w:tcPr>
          <w:tcW w:w="4524" w:type="dxa"/>
          <w:vMerge/>
          <w:tcBorders>
            <w:top w:val="single" w:color="000000" w:themeColor="text1" w:sz="0"/>
            <w:left w:val="single" w:color="000000" w:themeColor="text1" w:sz="0"/>
            <w:bottom w:val="single" w:color="000000" w:themeColor="text1" w:sz="0"/>
            <w:right w:sz="0"/>
          </w:tcBorders>
          <w:tcMar/>
          <w:vAlign w:val="center"/>
        </w:tcPr>
        <w:p w14:paraId="3B182452"/>
      </w:tc>
      <w:tc>
        <w:tcPr>
          <w:tcW w:w="1860" w:type="dxa"/>
          <w:tcBorders>
            <w:top w:val="single" w:color="000000" w:themeColor="text1" w:sz="6"/>
            <w:left w:val="single" w:color="000000" w:themeColor="text1" w:sz="6"/>
            <w:bottom w:val="single" w:color="000000" w:themeColor="text1" w:sz="6"/>
            <w:right w:val="single" w:color="000000" w:themeColor="text1" w:sz="6"/>
          </w:tcBorders>
          <w:tcMar>
            <w:left w:w="60" w:type="dxa"/>
            <w:right w:w="60" w:type="dxa"/>
          </w:tcMar>
          <w:vAlign w:val="center"/>
        </w:tcPr>
        <w:p w:rsidR="323B5017" w:rsidP="323B5017" w:rsidRDefault="323B5017" w14:paraId="089ECDC3" w14:textId="175BD33F">
          <w:pPr>
            <w:tabs>
              <w:tab w:val="center" w:leader="none" w:pos="4419"/>
              <w:tab w:val="right" w:leader="none" w:pos="8838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0"/>
              <w:szCs w:val="20"/>
            </w:rPr>
          </w:pPr>
        </w:p>
      </w:tc>
    </w:tr>
  </w:tbl>
  <w:p w:rsidR="323B5017" w:rsidP="323B5017" w:rsidRDefault="323B5017" w14:paraId="6B3B39FD" w14:textId="4103614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75351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74779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48acf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fcf21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ead9f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ED4C4E"/>
    <w:rsid w:val="323B5017"/>
    <w:rsid w:val="41ED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D4C4E"/>
  <w15:chartTrackingRefBased/>
  <w15:docId w15:val="{B6E3F210-9B39-4CD4-AD94-23D74F8E7C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c9ab594b14b4592" /><Relationship Type="http://schemas.openxmlformats.org/officeDocument/2006/relationships/footer" Target="footer.xml" Id="R29bdce8477254ad3" /><Relationship Type="http://schemas.openxmlformats.org/officeDocument/2006/relationships/numbering" Target="numbering.xml" Id="Rf944a1e7a3644f66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699e96566f0d4c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2023-10-02T00:41:14.6910964Z</dcterms:created>
  <dcterms:modified xsi:type="dcterms:W3CDTF">2023-10-02T02:31:21.2952591Z</dcterms:modified>
  <dc:creator>Joaquin Alejandro Perez Coria</dc:creator>
  <lastModifiedBy>Joaquin Alejandro Perez Coria</lastModifiedBy>
</coreProperties>
</file>