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323B5017" w:rsidP="1F0FDB20" w:rsidRDefault="323B5017" w14:paraId="17DCB086" w14:textId="19CABC8F">
      <w:pPr>
        <w:pStyle w:val="ListParagraph"/>
        <w:numPr>
          <w:ilvl w:val="0"/>
          <w:numId w:val="2"/>
        </w:numPr>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OBJETIVO</w:t>
      </w:r>
    </w:p>
    <w:p w:rsidR="48D266AE" w:rsidP="48D266AE" w:rsidRDefault="48D266AE" w14:paraId="45A15A98" w14:textId="2B3DA9AE">
      <w:pPr>
        <w:pStyle w:val="Normal"/>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Desarrollar directivas precisas y efectivas para regular el ingreso de personas armadas debidamente justificadas al recinto portuario, mediante una exhaustiva evaluación que considera la necesidad operativa, la seguridad y el cumplimiento de las leyes y regulaciones locales. Estas directivas abordarán de manera específica el tipo de porte autorizado, la función de la persona y los motivos detallados de su ingreso. Asimismo, se establecerá un marco para la coordinación efectiva con las autoridades portuarias y otras entidades competentes. La implementación de estas directivas será dinámica, sujeta a revisión periódica, con el objetivo de adaptarse de manera proactiva a cambios en las condiciones de seguridad y a las normativas vigentes. -</w:t>
      </w:r>
    </w:p>
    <w:p w:rsidR="323B5017" w:rsidP="1F0FDB20" w:rsidRDefault="323B5017" w14:paraId="2F1A11DF" w14:textId="3B8D0C47">
      <w:pPr>
        <w:pStyle w:val="ListParagraph"/>
        <w:numPr>
          <w:ilvl w:val="0"/>
          <w:numId w:val="2"/>
        </w:numPr>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ALCANCE</w:t>
      </w:r>
    </w:p>
    <w:p w:rsidR="48D266AE" w:rsidP="48D266AE" w:rsidRDefault="48D266AE" w14:paraId="6F50613C" w14:textId="62C80CB0">
      <w:pPr>
        <w:pStyle w:val="Normal"/>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 xml:space="preserve">Este procedimiento se implementará exclusivamente en el recinto portuario del Puerto de Montevideo, bajo la jurisdicción de la Prefectura del Puerto de Montevideo. </w:t>
      </w:r>
      <w:bookmarkStart w:name="_Int_octJ4Uic" w:id="957015689"/>
      <w:r w:rsidRPr="48D266AE" w:rsidR="48D266AE">
        <w:rPr>
          <w:rFonts w:ascii="Times New Roman" w:hAnsi="Times New Roman" w:eastAsia="Times New Roman" w:cs="Times New Roman"/>
          <w:sz w:val="24"/>
          <w:szCs w:val="24"/>
        </w:rPr>
        <w:t>Su aplicación abarcará de manera integral todas las actividades y situaciones relacionadas con el ingreso de personas armadas debidamente justificadas, con el propósito de establecer directrices claras y eficaces que salvaguarden la seguridad, la integridad y el funcionamiento adecuado de dicho recinto.</w:t>
      </w:r>
      <w:bookmarkEnd w:id="957015689"/>
      <w:r w:rsidRPr="48D266AE" w:rsidR="48D266AE">
        <w:rPr>
          <w:rFonts w:ascii="Times New Roman" w:hAnsi="Times New Roman" w:eastAsia="Times New Roman" w:cs="Times New Roman"/>
          <w:sz w:val="24"/>
          <w:szCs w:val="24"/>
        </w:rPr>
        <w:t xml:space="preserve"> Este alcance se extiende a la definición de normativas específicas para el tipo de porte permitido, la función de la persona y los motivos fundamentados de su ingreso, contribuyendo así a la gestión integral de la seguridad portuaria en consonancia con las leyes y regulaciones locales. -</w:t>
      </w:r>
    </w:p>
    <w:p w:rsidR="48D266AE" w:rsidP="48D266AE" w:rsidRDefault="48D266AE" w14:paraId="26460DBD" w14:textId="689660A4">
      <w:pPr>
        <w:pStyle w:val="ListParagraph"/>
        <w:numPr>
          <w:ilvl w:val="0"/>
          <w:numId w:val="2"/>
        </w:numPr>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REFERENCIAS</w:t>
      </w:r>
    </w:p>
    <w:p w:rsidR="48D266AE" w:rsidP="48D266AE" w:rsidRDefault="48D266AE" w14:paraId="286172D3" w14:textId="5FC3787E">
      <w:pPr>
        <w:pStyle w:val="ListParagraph"/>
        <w:numPr>
          <w:ilvl w:val="0"/>
          <w:numId w:val="7"/>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Ley N° 17121 “Competencias de la Armada Nacional a través de la Prefectura Nacional Naval, en Aguas de Jurisdicción o de Soberanía Nacional o Puertos de la Republica”. -</w:t>
      </w:r>
    </w:p>
    <w:p w:rsidR="323B5017" w:rsidP="48D266AE" w:rsidRDefault="323B5017" w14:paraId="5ED40F90" w14:textId="768D2FD3">
      <w:pPr>
        <w:pStyle w:val="ListParagraph"/>
        <w:numPr>
          <w:ilvl w:val="0"/>
          <w:numId w:val="7"/>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Ley N° 18315 “Ley de Procedimiento Policial”. -</w:t>
      </w:r>
    </w:p>
    <w:p w:rsidR="48D266AE" w:rsidP="48D266AE" w:rsidRDefault="48D266AE" w14:paraId="6B84BD60" w14:textId="1B0C4B3B">
      <w:pPr>
        <w:pStyle w:val="ListParagraph"/>
        <w:numPr>
          <w:ilvl w:val="0"/>
          <w:numId w:val="7"/>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 xml:space="preserve">Ley </w:t>
      </w:r>
      <w:r w:rsidRPr="48D266AE" w:rsidR="48D266AE">
        <w:rPr>
          <w:rFonts w:ascii="Times New Roman" w:hAnsi="Times New Roman" w:eastAsia="Times New Roman" w:cs="Times New Roman"/>
          <w:sz w:val="24"/>
          <w:szCs w:val="24"/>
        </w:rPr>
        <w:t>N°</w:t>
      </w:r>
      <w:r w:rsidRPr="48D266AE" w:rsidR="48D266AE">
        <w:rPr>
          <w:rFonts w:ascii="Times New Roman" w:hAnsi="Times New Roman" w:eastAsia="Times New Roman" w:cs="Times New Roman"/>
          <w:sz w:val="24"/>
          <w:szCs w:val="24"/>
        </w:rPr>
        <w:t xml:space="preserve"> 19247 “Tipificación de Delitos y Modificación del Código Penal”. -</w:t>
      </w:r>
    </w:p>
    <w:p w:rsidR="48D266AE" w:rsidP="48D266AE" w:rsidRDefault="48D266AE" w14:paraId="7ED6E584" w14:textId="34D6FDD2">
      <w:pPr>
        <w:pStyle w:val="ListParagraph"/>
        <w:numPr>
          <w:ilvl w:val="0"/>
          <w:numId w:val="7"/>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 xml:space="preserve">Ley </w:t>
      </w:r>
      <w:r w:rsidRPr="48D266AE" w:rsidR="48D266AE">
        <w:rPr>
          <w:rFonts w:ascii="Times New Roman" w:hAnsi="Times New Roman" w:eastAsia="Times New Roman" w:cs="Times New Roman"/>
          <w:sz w:val="24"/>
          <w:szCs w:val="24"/>
        </w:rPr>
        <w:t>N°</w:t>
      </w:r>
      <w:r w:rsidRPr="48D266AE" w:rsidR="48D266AE">
        <w:rPr>
          <w:rFonts w:ascii="Times New Roman" w:hAnsi="Times New Roman" w:eastAsia="Times New Roman" w:cs="Times New Roman"/>
          <w:sz w:val="24"/>
          <w:szCs w:val="24"/>
        </w:rPr>
        <w:t xml:space="preserve"> 19315 “Aprobación de la Ley Orgánica Policial”. -</w:t>
      </w:r>
    </w:p>
    <w:p w:rsidR="48D266AE" w:rsidP="48D266AE" w:rsidRDefault="48D266AE" w14:paraId="44328BEF" w14:textId="35EBE7E7">
      <w:pPr>
        <w:pStyle w:val="ListParagraph"/>
        <w:numPr>
          <w:ilvl w:val="0"/>
          <w:numId w:val="7"/>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 xml:space="preserve">Decreto </w:t>
      </w:r>
      <w:r w:rsidRPr="48D266AE" w:rsidR="48D266AE">
        <w:rPr>
          <w:rFonts w:ascii="Times New Roman" w:hAnsi="Times New Roman" w:eastAsia="Times New Roman" w:cs="Times New Roman"/>
          <w:sz w:val="24"/>
          <w:szCs w:val="24"/>
        </w:rPr>
        <w:t>N°</w:t>
      </w:r>
      <w:r w:rsidRPr="48D266AE" w:rsidR="48D266AE">
        <w:rPr>
          <w:rFonts w:ascii="Times New Roman" w:hAnsi="Times New Roman" w:eastAsia="Times New Roman" w:cs="Times New Roman"/>
          <w:sz w:val="24"/>
          <w:szCs w:val="24"/>
        </w:rPr>
        <w:t xml:space="preserve"> 345/020 “Relativos a la Tenencia, Porte, Comercialización y Tráfico de Armas de Fuego, Municiones, Explosivos y Otros Materiales Relacionados”. -</w:t>
      </w:r>
    </w:p>
    <w:p w:rsidR="48D266AE" w:rsidP="48D266AE" w:rsidRDefault="48D266AE" w14:paraId="6EB6E6F1" w14:textId="3E86EB85">
      <w:pPr>
        <w:pStyle w:val="ListParagraph"/>
        <w:numPr>
          <w:ilvl w:val="0"/>
          <w:numId w:val="7"/>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 xml:space="preserve">DISMAR </w:t>
      </w:r>
      <w:r w:rsidRPr="48D266AE" w:rsidR="48D266AE">
        <w:rPr>
          <w:rFonts w:ascii="Times New Roman" w:hAnsi="Times New Roman" w:eastAsia="Times New Roman" w:cs="Times New Roman"/>
          <w:sz w:val="24"/>
          <w:szCs w:val="24"/>
        </w:rPr>
        <w:t>N°</w:t>
      </w:r>
      <w:r w:rsidRPr="48D266AE" w:rsidR="48D266AE">
        <w:rPr>
          <w:rFonts w:ascii="Times New Roman" w:hAnsi="Times New Roman" w:eastAsia="Times New Roman" w:cs="Times New Roman"/>
          <w:sz w:val="24"/>
          <w:szCs w:val="24"/>
        </w:rPr>
        <w:t xml:space="preserve"> 129 “Criterio de Implantación del Capítulo XI-2 del Convenio Solas 74' en su Forma Enmendada y del Código de Protección del Buque y de las Instalaciones Portuarias (PBIP)” y Anexos. -</w:t>
      </w:r>
    </w:p>
    <w:p w:rsidR="48D266AE" w:rsidP="48D266AE" w:rsidRDefault="48D266AE" w14:paraId="26489067" w14:textId="01547A5B">
      <w:pPr>
        <w:pStyle w:val="ListParagraph"/>
        <w:ind w:left="0"/>
        <w:jc w:val="both"/>
        <w:rPr>
          <w:rFonts w:ascii="Times New Roman" w:hAnsi="Times New Roman" w:eastAsia="Times New Roman" w:cs="Times New Roman"/>
          <w:sz w:val="24"/>
          <w:szCs w:val="24"/>
        </w:rPr>
      </w:pPr>
    </w:p>
    <w:p w:rsidR="323B5017" w:rsidP="1F0FDB20" w:rsidRDefault="323B5017" w14:paraId="3047AC2F" w14:textId="52B395AD">
      <w:pPr>
        <w:pStyle w:val="ListParagraph"/>
        <w:numPr>
          <w:ilvl w:val="0"/>
          <w:numId w:val="2"/>
        </w:numPr>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DEFINICIONES, ABREVIATURAS Y SÍMBOLOS</w:t>
      </w:r>
    </w:p>
    <w:p w:rsidR="323B5017" w:rsidP="48D266AE" w:rsidRDefault="323B5017" w14:paraId="06BDD58F" w14:textId="23D9883C">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MDN: Ministerio de Defensa Nacional. -</w:t>
      </w:r>
    </w:p>
    <w:p w:rsidR="48D266AE" w:rsidP="48D266AE" w:rsidRDefault="48D266AE" w14:paraId="154BBCF8" w14:textId="6534FEAC">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 xml:space="preserve">OCG: Oficial </w:t>
      </w:r>
      <w:bookmarkStart w:name="_Int_n47fJOHM" w:id="10703379"/>
      <w:r w:rsidRPr="48D266AE" w:rsidR="48D266AE">
        <w:rPr>
          <w:rFonts w:ascii="Times New Roman" w:hAnsi="Times New Roman" w:eastAsia="Times New Roman" w:cs="Times New Roman"/>
          <w:sz w:val="24"/>
          <w:szCs w:val="24"/>
        </w:rPr>
        <w:t>Comandante</w:t>
      </w:r>
      <w:bookmarkEnd w:id="10703379"/>
      <w:r w:rsidRPr="48D266AE" w:rsidR="48D266AE">
        <w:rPr>
          <w:rFonts w:ascii="Times New Roman" w:hAnsi="Times New Roman" w:eastAsia="Times New Roman" w:cs="Times New Roman"/>
          <w:sz w:val="24"/>
          <w:szCs w:val="24"/>
        </w:rPr>
        <w:t xml:space="preserve"> de Guardia. -</w:t>
      </w:r>
    </w:p>
    <w:p w:rsidR="48D266AE" w:rsidP="48D266AE" w:rsidRDefault="48D266AE" w14:paraId="2330152F" w14:textId="315688C6">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TIM: Tarjeta de Identificación Militar. -</w:t>
      </w:r>
    </w:p>
    <w:p w:rsidR="48D266AE" w:rsidP="48D266AE" w:rsidRDefault="48D266AE" w14:paraId="319E59E0" w14:textId="63758E3E">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PREMO: Prefectura del Puerto de Montevideo. -</w:t>
      </w:r>
    </w:p>
    <w:p w:rsidR="48D266AE" w:rsidP="48D266AE" w:rsidRDefault="48D266AE" w14:paraId="3A126204" w14:textId="498FEEE2">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COMIM: Comando de Infantería de Marina. -</w:t>
      </w:r>
    </w:p>
    <w:p w:rsidR="48D266AE" w:rsidP="48D266AE" w:rsidRDefault="48D266AE" w14:paraId="24BEFCB4" w14:textId="7CF0754F">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ANP: Administración Nacional de Puertos. -</w:t>
      </w:r>
    </w:p>
    <w:p w:rsidR="48D266AE" w:rsidP="48D266AE" w:rsidRDefault="48D266AE" w14:paraId="684F5FCD" w14:textId="5AA27243">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PBIP: Protección de Buques e Instalaciones Portuarias. -</w:t>
      </w:r>
    </w:p>
    <w:p w:rsidR="48D266AE" w:rsidP="48D266AE" w:rsidRDefault="48D266AE" w14:paraId="5EBDF95F" w14:textId="421E6901">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SGSP: Sistema de Gestión de Seguridad Pública. -</w:t>
      </w:r>
    </w:p>
    <w:p w:rsidR="48D266AE" w:rsidP="48D266AE" w:rsidRDefault="48D266AE" w14:paraId="1E8FF577" w14:textId="0824E69B">
      <w:pPr>
        <w:pStyle w:val="ListParagraph"/>
        <w:numPr>
          <w:ilvl w:val="0"/>
          <w:numId w:val="14"/>
        </w:numPr>
        <w:jc w:val="both"/>
        <w:rPr>
          <w:rFonts w:ascii="Times New Roman" w:hAnsi="Times New Roman" w:eastAsia="Times New Roman" w:cs="Times New Roman"/>
          <w:sz w:val="24"/>
          <w:szCs w:val="24"/>
        </w:rPr>
      </w:pPr>
      <w:r w:rsidRPr="48D266AE" w:rsidR="48D266AE">
        <w:rPr>
          <w:rFonts w:ascii="Times New Roman" w:hAnsi="Times New Roman" w:eastAsia="Times New Roman" w:cs="Times New Roman"/>
          <w:sz w:val="24"/>
          <w:szCs w:val="24"/>
        </w:rPr>
        <w:t>SEPMA: Secretaría de Protección Marítima. -</w:t>
      </w:r>
    </w:p>
    <w:p w:rsidR="323B5017" w:rsidP="1F0FDB20" w:rsidRDefault="323B5017" w14:paraId="77E4B146" w14:textId="79576BA9">
      <w:pPr>
        <w:pStyle w:val="ListParagraph"/>
        <w:numPr>
          <w:ilvl w:val="0"/>
          <w:numId w:val="2"/>
        </w:numPr>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DESARROLLO</w:t>
      </w:r>
    </w:p>
    <w:p w:rsidR="48D266AE" w:rsidP="48D266AE" w:rsidRDefault="48D266AE" w14:paraId="0F9B8F02" w14:textId="407CEAFA">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Según lo establecido en la DISMAR N° 129 en referencia a la Ley N° 17121, la autoridad marítima nacional es la Prefectura Nacional Naval, por lo tanto, le compete la regularización de las normas de protección en cuanto a las instalaciones portuarias. En este marco, se procede a determinar en qué condiciones estaría autorizada la tenencia y el porte de armas de fuego:</w:t>
      </w:r>
    </w:p>
    <w:p w:rsidR="48D266AE" w:rsidP="48D266AE" w:rsidRDefault="48D266AE" w14:paraId="60034FC5" w14:textId="12B80240">
      <w:pPr>
        <w:pStyle w:val="Normal"/>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sz w:val="24"/>
          <w:szCs w:val="24"/>
          <w:u w:val="single"/>
        </w:rPr>
      </w:pPr>
      <w:r w:rsidRPr="48D266AE" w:rsidR="48D266AE">
        <w:rPr>
          <w:rFonts w:ascii="Times New Roman" w:hAnsi="Times New Roman" w:eastAsia="Times New Roman" w:cs="Times New Roman"/>
          <w:b w:val="1"/>
          <w:bCs w:val="1"/>
          <w:sz w:val="24"/>
          <w:szCs w:val="24"/>
          <w:u w:val="single"/>
        </w:rPr>
        <w:t>MINISTERIO DE DEFENSA NACIONAL (AJENO A LA ARMADA NACIONAL):</w:t>
      </w:r>
    </w:p>
    <w:p w:rsidR="48D266AE" w:rsidP="48D266AE" w:rsidRDefault="48D266AE" w14:paraId="7628E749" w14:textId="424758EA">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de armas en el uniforme de combate:</w:t>
      </w:r>
      <w:r w:rsidRPr="48D266AE" w:rsidR="48D266AE">
        <w:rPr>
          <w:rFonts w:ascii="Times New Roman" w:hAnsi="Times New Roman" w:eastAsia="Times New Roman" w:cs="Times New Roman"/>
          <w:b w:val="1"/>
          <w:bCs w:val="1"/>
          <w:sz w:val="24"/>
          <w:szCs w:val="24"/>
        </w:rPr>
        <w:t xml:space="preserve"> </w:t>
      </w:r>
    </w:p>
    <w:p w:rsidR="48D266AE" w:rsidP="48D266AE" w:rsidRDefault="48D266AE" w14:paraId="4211676B" w14:textId="18C0D909">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Todo funcionario del MDN ajeno a funcionarios de la Armada Nacional, podrán portar armamento a la vista en cuanto este configure parte del uniforme de combate y mencionados funcionarios estén correctamente uniformados como parte de la fuerza. -</w:t>
      </w:r>
    </w:p>
    <w:p w:rsidR="48D266AE" w:rsidP="48D266AE" w:rsidRDefault="48D266AE" w14:paraId="7820CA70" w14:textId="549A2001">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Autorización de ingreso:</w:t>
      </w:r>
      <w:r w:rsidRPr="48D266AE" w:rsidR="48D266AE">
        <w:rPr>
          <w:rFonts w:ascii="Times New Roman" w:hAnsi="Times New Roman" w:eastAsia="Times New Roman" w:cs="Times New Roman"/>
          <w:b w:val="1"/>
          <w:bCs w:val="1"/>
          <w:sz w:val="24"/>
          <w:szCs w:val="24"/>
        </w:rPr>
        <w:t xml:space="preserve"> </w:t>
      </w:r>
    </w:p>
    <w:p w:rsidR="48D266AE" w:rsidP="48D266AE" w:rsidRDefault="48D266AE" w14:paraId="0770E81F" w14:textId="084806F1">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La autorización de ingreso de personal del MDN armado al recinto portuario será competencia del OCG de PREMO. -</w:t>
      </w:r>
    </w:p>
    <w:p w:rsidR="48D266AE" w:rsidP="48D266AE" w:rsidRDefault="48D266AE" w14:paraId="5BB23AF4" w14:textId="682A8B6A">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Identificación y justificación:</w:t>
      </w:r>
      <w:r w:rsidRPr="48D266AE" w:rsidR="48D266AE">
        <w:rPr>
          <w:rFonts w:ascii="Times New Roman" w:hAnsi="Times New Roman" w:eastAsia="Times New Roman" w:cs="Times New Roman"/>
          <w:b w:val="1"/>
          <w:bCs w:val="1"/>
          <w:sz w:val="24"/>
          <w:szCs w:val="24"/>
        </w:rPr>
        <w:t xml:space="preserve"> </w:t>
      </w:r>
    </w:p>
    <w:p w:rsidR="48D266AE" w:rsidP="48D266AE" w:rsidRDefault="48D266AE" w14:paraId="24F804F7" w14:textId="74B067DE">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Los funcionarios que pretendan ingresar al recinto portuario portando armas, deberán identificarse ante PREMO mediante la TIM y justificar plenamente el motivo del ingreso, ya sea por orden superior o caso fortuito. -</w:t>
      </w:r>
    </w:p>
    <w:p w:rsidR="48D266AE" w:rsidP="48D266AE" w:rsidRDefault="48D266AE" w14:paraId="783E67FD" w14:textId="4A04917A">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Circulación dentro del recinto portuario:</w:t>
      </w:r>
      <w:r w:rsidRPr="48D266AE" w:rsidR="48D266AE">
        <w:rPr>
          <w:rFonts w:ascii="Times New Roman" w:hAnsi="Times New Roman" w:eastAsia="Times New Roman" w:cs="Times New Roman"/>
          <w:b w:val="1"/>
          <w:bCs w:val="1"/>
          <w:sz w:val="24"/>
          <w:szCs w:val="24"/>
        </w:rPr>
        <w:t xml:space="preserve"> </w:t>
      </w:r>
    </w:p>
    <w:p w:rsidR="48D266AE" w:rsidP="48D266AE" w:rsidRDefault="48D266AE" w14:paraId="4D23448B" w14:textId="70B6269A">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autorizarse su ingreso podrán circular desde punto de ingreso desde el cual accedieron al recinto portuario, hasta el punto declarado según la tarea a realizar, evitando desviarse por comisiones secundarias no declaradas. -</w:t>
      </w:r>
    </w:p>
    <w:p w:rsidR="48D266AE" w:rsidP="48D266AE" w:rsidRDefault="48D266AE" w14:paraId="5E5100E0" w14:textId="1D65C784">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bookmarkStart w:name="_Int_fX7AjcKw" w:id="635463852"/>
      <w:r w:rsidRPr="48D266AE" w:rsidR="48D266AE">
        <w:rPr>
          <w:rFonts w:ascii="Times New Roman" w:hAnsi="Times New Roman" w:eastAsia="Times New Roman" w:cs="Times New Roman"/>
          <w:b w:val="1"/>
          <w:bCs w:val="1"/>
          <w:sz w:val="24"/>
          <w:szCs w:val="24"/>
        </w:rPr>
        <w:t>Desviaciones no declaradas:</w:t>
      </w:r>
      <w:r w:rsidRPr="48D266AE" w:rsidR="48D266AE">
        <w:rPr>
          <w:rFonts w:ascii="Times New Roman" w:hAnsi="Times New Roman" w:eastAsia="Times New Roman" w:cs="Times New Roman"/>
          <w:b w:val="1"/>
          <w:bCs w:val="1"/>
          <w:sz w:val="24"/>
          <w:szCs w:val="24"/>
        </w:rPr>
        <w:t xml:space="preserve"> </w:t>
      </w:r>
    </w:p>
    <w:p w:rsidR="48D266AE" w:rsidP="48D266AE" w:rsidRDefault="48D266AE" w14:paraId="06E15E07" w14:textId="7092FCA6">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bookmarkStart w:name="_Int_m1GIfSxu" w:id="67705980"/>
      <w:r w:rsidRPr="48D266AE" w:rsidR="48D266AE">
        <w:rPr>
          <w:rFonts w:ascii="Times New Roman" w:hAnsi="Times New Roman" w:eastAsia="Times New Roman" w:cs="Times New Roman"/>
          <w:b w:val="0"/>
          <w:bCs w:val="0"/>
          <w:sz w:val="24"/>
          <w:szCs w:val="24"/>
        </w:rPr>
        <w:t>En caso de ser sorprendidos en lugares no declarados, se deberá comunicar al OCG de PREMO el cual podrá disponer del retiro de los funcionarios del recinto portuario. -</w:t>
      </w:r>
      <w:bookmarkEnd w:id="635463852"/>
      <w:bookmarkEnd w:id="67705980"/>
    </w:p>
    <w:p w:rsidR="48D266AE" w:rsidP="48D266AE" w:rsidRDefault="48D266AE" w14:paraId="4F3C2AF6" w14:textId="098D7385">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1"/>
          <w:bCs w:val="1"/>
          <w:sz w:val="24"/>
          <w:szCs w:val="24"/>
        </w:rPr>
        <w:t>Comunicación y coordinación con autoridades:</w:t>
      </w:r>
      <w:r w:rsidRPr="48D266AE" w:rsidR="48D266AE">
        <w:rPr>
          <w:rFonts w:ascii="Times New Roman" w:hAnsi="Times New Roman" w:eastAsia="Times New Roman" w:cs="Times New Roman"/>
          <w:b w:val="0"/>
          <w:bCs w:val="0"/>
          <w:sz w:val="24"/>
          <w:szCs w:val="24"/>
        </w:rPr>
        <w:t xml:space="preserve"> </w:t>
      </w:r>
    </w:p>
    <w:p w:rsidR="48D266AE" w:rsidP="48D266AE" w:rsidRDefault="48D266AE" w14:paraId="5976F87F" w14:textId="071457E4">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bookmarkStart w:name="_Int_Oi9jyi1e" w:id="112497323"/>
      <w:r w:rsidRPr="48D266AE" w:rsidR="48D266AE">
        <w:rPr>
          <w:rFonts w:ascii="Times New Roman" w:hAnsi="Times New Roman" w:eastAsia="Times New Roman" w:cs="Times New Roman"/>
          <w:b w:val="0"/>
          <w:bCs w:val="0"/>
          <w:sz w:val="24"/>
          <w:szCs w:val="24"/>
        </w:rPr>
        <w:t>Al emitir la autorización para el ingreso del personal armado, el OCG deberá realizar las comunicaciones pertinentes con la ANP a fin de que estos estén enterados. -</w:t>
      </w:r>
      <w:bookmarkEnd w:id="112497323"/>
    </w:p>
    <w:p w:rsidR="48D266AE" w:rsidP="48D266AE" w:rsidRDefault="48D266AE" w14:paraId="605273F4" w14:textId="5A38FA07">
      <w:pPr>
        <w:pStyle w:val="ListParagraph"/>
        <w:numPr>
          <w:ilvl w:val="0"/>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 xml:space="preserve">Casos no justificados: </w:t>
      </w:r>
    </w:p>
    <w:p w:rsidR="48D266AE" w:rsidP="48D266AE" w:rsidRDefault="48D266AE" w14:paraId="638EF35C" w14:textId="093A6D14">
      <w:pPr>
        <w:pStyle w:val="ListParagraph"/>
        <w:numPr>
          <w:ilvl w:val="1"/>
          <w:numId w:val="9"/>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Si el porte de armamento no se justifica en el recinto portuario pero sea necesario el ingreso al mismo, los funcionarios armados del MDN depositarán el armamento en la armería de PREMO. -</w:t>
      </w:r>
    </w:p>
    <w:p w:rsidR="48D266AE" w:rsidRDefault="48D266AE" w14:paraId="55A3EAB7" w14:textId="6D97CD47">
      <w:r>
        <w:br w:type="page"/>
      </w:r>
    </w:p>
    <w:p w:rsidR="48D266AE" w:rsidP="48D266AE" w:rsidRDefault="48D266AE" w14:paraId="42228398" w14:textId="26C1F0D8">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sz w:val="24"/>
          <w:szCs w:val="24"/>
          <w:u w:val="single"/>
        </w:rPr>
      </w:pPr>
      <w:r w:rsidRPr="48D266AE" w:rsidR="48D266AE">
        <w:rPr>
          <w:rFonts w:ascii="Times New Roman" w:hAnsi="Times New Roman" w:eastAsia="Times New Roman" w:cs="Times New Roman"/>
          <w:b w:val="1"/>
          <w:bCs w:val="1"/>
          <w:sz w:val="24"/>
          <w:szCs w:val="24"/>
          <w:u w:val="single"/>
        </w:rPr>
        <w:t>MINISTERIO DE DEFENSA NACIONAL (ARMADA NACIONAL):</w:t>
      </w:r>
    </w:p>
    <w:p w:rsidR="48D266AE" w:rsidP="48D266AE" w:rsidRDefault="48D266AE" w14:paraId="493DE2B8" w14:textId="24EF7F91">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p>
    <w:p w:rsidR="48D266AE" w:rsidP="48D266AE" w:rsidRDefault="48D266AE" w14:paraId="495765D9" w14:textId="71E3061A">
      <w:pPr>
        <w:pStyle w:val="ListParagraph"/>
        <w:suppressLineNumbers w:val="0"/>
        <w:bidi w:val="0"/>
        <w:spacing w:before="0" w:beforeAutospacing="off" w:after="160" w:afterAutospacing="off" w:line="259" w:lineRule="auto"/>
        <w:ind w:left="0" w:right="0"/>
        <w:jc w:val="both"/>
      </w:pPr>
      <w:r w:rsidRPr="48D266AE" w:rsidR="48D266AE">
        <w:rPr>
          <w:rFonts w:ascii="Times New Roman" w:hAnsi="Times New Roman" w:eastAsia="Times New Roman" w:cs="Times New Roman"/>
          <w:b w:val="0"/>
          <w:bCs w:val="0"/>
          <w:sz w:val="24"/>
          <w:szCs w:val="24"/>
        </w:rPr>
        <w:t>Se establecen criterios particulares para el personal naval combatiente de la Armada Nacional:</w:t>
      </w:r>
    </w:p>
    <w:p w:rsidR="48D266AE" w:rsidP="48D266AE" w:rsidRDefault="48D266AE" w14:paraId="49FA17D7" w14:textId="077D64B8">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p>
    <w:p w:rsidR="48D266AE" w:rsidP="48D266AE" w:rsidRDefault="48D266AE" w14:paraId="182640D0" w14:textId="19F8CBED">
      <w:pPr>
        <w:pStyle w:val="ListParagraph"/>
        <w:numPr>
          <w:ilvl w:val="0"/>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de armamento y uniforme:</w:t>
      </w:r>
    </w:p>
    <w:p w:rsidR="48D266AE" w:rsidP="48D266AE" w:rsidRDefault="48D266AE" w14:paraId="3469EE46" w14:textId="4BD0A5D6">
      <w:pPr>
        <w:pStyle w:val="ListParagraph"/>
        <w:numPr>
          <w:ilvl w:val="1"/>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El personal de la Armada Nacional podrá portar el armamento reglamentario siempre y cuando sea parte del uniforme de combate. El porte se justificará en lugares como unidades navales y el tránsito entre estas dentro del recinto portuario. -</w:t>
      </w:r>
    </w:p>
    <w:p w:rsidR="48D266AE" w:rsidP="48D266AE" w:rsidRDefault="48D266AE" w14:paraId="4B8048F2" w14:textId="48EF78D2">
      <w:pPr>
        <w:pStyle w:val="ListParagraph"/>
        <w:numPr>
          <w:ilvl w:val="0"/>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Utilización de armamento sin uniforme:</w:t>
      </w:r>
    </w:p>
    <w:p w:rsidR="48D266AE" w:rsidP="48D266AE" w:rsidRDefault="48D266AE" w14:paraId="28B7E8DA" w14:textId="24CC85EB">
      <w:pPr>
        <w:pStyle w:val="ListParagraph"/>
        <w:numPr>
          <w:ilvl w:val="1"/>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Queda reservado el uso de armamento dentro del recinto portuario sin el uso del uniforme identificatorio de la fuerza a aquel personal perteneciente a la División de Investigaciones y Narcotráfico de la Prefectura Nacional Naval, que por la particularidad de su misión justifica el no uso del mismo. -</w:t>
      </w:r>
    </w:p>
    <w:p w:rsidR="48D266AE" w:rsidP="48D266AE" w:rsidRDefault="48D266AE" w14:paraId="332B44EE" w14:textId="75900B3F">
      <w:pPr>
        <w:pStyle w:val="ListParagraph"/>
        <w:numPr>
          <w:ilvl w:val="0"/>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indebido o no justificado del armamento:</w:t>
      </w:r>
    </w:p>
    <w:p w:rsidR="48D266AE" w:rsidP="48D266AE" w:rsidRDefault="48D266AE" w14:paraId="7E9DD8D5" w14:textId="35F3916A">
      <w:pPr>
        <w:pStyle w:val="ListParagraph"/>
        <w:numPr>
          <w:ilvl w:val="1"/>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constatar personal naval portando armamento de forma indebida o en lugares no justificados se deberá poner en conocimiento al OCG de PREMO, el cual podrá disponer sobre el personal armado a fin de priorizar la protección de la instalación portuaria. -</w:t>
      </w:r>
    </w:p>
    <w:p w:rsidR="48D266AE" w:rsidP="48D266AE" w:rsidRDefault="48D266AE" w14:paraId="7A2A0E75" w14:textId="7F924186">
      <w:pPr>
        <w:pStyle w:val="ListParagraph"/>
        <w:numPr>
          <w:ilvl w:val="0"/>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o tenencia no relacionada con la fuerza naval:</w:t>
      </w:r>
    </w:p>
    <w:p w:rsidR="48D266AE" w:rsidP="48D266AE" w:rsidRDefault="48D266AE" w14:paraId="648AF10B" w14:textId="09743F7D">
      <w:pPr>
        <w:pStyle w:val="ListParagraph"/>
        <w:numPr>
          <w:ilvl w:val="1"/>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que el porte no esté relacionado con tareas de la fuerza naval, se procederá según las directivas en relación a “Civiles en tenencia de armamento” establecidas en la presente guía. -</w:t>
      </w:r>
    </w:p>
    <w:p w:rsidR="48D266AE" w:rsidP="48D266AE" w:rsidRDefault="48D266AE" w14:paraId="6B890F9B" w14:textId="52BD4214">
      <w:pPr>
        <w:pStyle w:val="ListParagraph"/>
        <w:numPr>
          <w:ilvl w:val="0"/>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por parte del personal de la Prefectura del Puerto de Montevideo:</w:t>
      </w:r>
    </w:p>
    <w:p w:rsidR="48D266AE" w:rsidP="48D266AE" w:rsidRDefault="48D266AE" w14:paraId="66C42A48" w14:textId="016CF57B">
      <w:pPr>
        <w:pStyle w:val="ListParagraph"/>
        <w:numPr>
          <w:ilvl w:val="1"/>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bookmarkStart w:name="_Int_qYFv4h18" w:id="1725932528"/>
      <w:r w:rsidRPr="48D266AE" w:rsidR="48D266AE">
        <w:rPr>
          <w:rFonts w:ascii="Times New Roman" w:hAnsi="Times New Roman" w:eastAsia="Times New Roman" w:cs="Times New Roman"/>
          <w:b w:val="0"/>
          <w:bCs w:val="0"/>
          <w:sz w:val="24"/>
          <w:szCs w:val="24"/>
        </w:rPr>
        <w:t>El personal de PREMO es el único autorizado a portar el armamento en cualquier lugar y circunstancia dentro del recinto portuario siempre que estos se encuentren realizando tareas acordes a la misión de la Unidad.</w:t>
      </w:r>
      <w:bookmarkEnd w:id="1725932528"/>
      <w:r w:rsidRPr="48D266AE" w:rsidR="48D266AE">
        <w:rPr>
          <w:rFonts w:ascii="Times New Roman" w:hAnsi="Times New Roman" w:eastAsia="Times New Roman" w:cs="Times New Roman"/>
          <w:b w:val="0"/>
          <w:bCs w:val="0"/>
          <w:sz w:val="24"/>
          <w:szCs w:val="24"/>
        </w:rPr>
        <w:t xml:space="preserve"> El mismo será desplegado a disposición del OCG, ya sea para recorridas, servicios especiales o eventos particulares. </w:t>
      </w:r>
      <w:bookmarkStart w:name="_Int_ht0TNZLQ" w:id="1827134129"/>
      <w:r w:rsidRPr="48D266AE" w:rsidR="48D266AE">
        <w:rPr>
          <w:rFonts w:ascii="Times New Roman" w:hAnsi="Times New Roman" w:eastAsia="Times New Roman" w:cs="Times New Roman"/>
          <w:b w:val="0"/>
          <w:bCs w:val="0"/>
          <w:sz w:val="24"/>
          <w:szCs w:val="24"/>
        </w:rPr>
        <w:t>En caso de encontrar personal de mencionada Unidad armado sin causa justificada, se deberá dar noticia a este para que disponga sobre el personal en cuestión. -</w:t>
      </w:r>
      <w:bookmarkEnd w:id="1827134129"/>
    </w:p>
    <w:p w:rsidR="48D266AE" w:rsidP="48D266AE" w:rsidRDefault="48D266AE" w14:paraId="13C1BF49" w14:textId="455399EC">
      <w:pPr>
        <w:pStyle w:val="ListParagraph"/>
        <w:numPr>
          <w:ilvl w:val="0"/>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por parte del personal del Comando de Infantería de Marina:</w:t>
      </w:r>
    </w:p>
    <w:p w:rsidR="48D266AE" w:rsidP="48D266AE" w:rsidRDefault="48D266AE" w14:paraId="153C4BC0" w14:textId="6BFD5CB8">
      <w:pPr>
        <w:pStyle w:val="ListParagraph"/>
        <w:numPr>
          <w:ilvl w:val="1"/>
          <w:numId w:val="10"/>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bookmarkStart w:name="_Int_gXPWtz2Y" w:id="600542718"/>
      <w:r w:rsidRPr="48D266AE" w:rsidR="48D266AE">
        <w:rPr>
          <w:rFonts w:ascii="Times New Roman" w:hAnsi="Times New Roman" w:eastAsia="Times New Roman" w:cs="Times New Roman"/>
          <w:b w:val="0"/>
          <w:bCs w:val="0"/>
          <w:sz w:val="24"/>
          <w:szCs w:val="24"/>
        </w:rPr>
        <w:t>El porte por parte del personal de COMIM se regirá en relación al punto anterior, dado a que, en caso de operar ya sea en el mantenimiento del orden público o cualquier tipo de ejercicio dentro del recinto portuario, estos deberán realizarlo dando conocimiento a PREMO. -</w:t>
      </w:r>
      <w:bookmarkEnd w:id="600542718"/>
    </w:p>
    <w:p w:rsidR="48D266AE" w:rsidRDefault="48D266AE" w14:paraId="246B788F" w14:textId="793D6A41">
      <w:r>
        <w:br w:type="page"/>
      </w:r>
    </w:p>
    <w:p w:rsidR="48D266AE" w:rsidP="48D266AE" w:rsidRDefault="48D266AE" w14:paraId="27197499" w14:textId="359531BB">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sz w:val="24"/>
          <w:szCs w:val="24"/>
          <w:u w:val="single"/>
        </w:rPr>
      </w:pPr>
      <w:r w:rsidRPr="48D266AE" w:rsidR="48D266AE">
        <w:rPr>
          <w:rFonts w:ascii="Times New Roman" w:hAnsi="Times New Roman" w:eastAsia="Times New Roman" w:cs="Times New Roman"/>
          <w:b w:val="1"/>
          <w:bCs w:val="1"/>
          <w:sz w:val="24"/>
          <w:szCs w:val="24"/>
          <w:u w:val="single"/>
        </w:rPr>
        <w:t>MINISTERIO DEL INTERIOR:</w:t>
      </w:r>
    </w:p>
    <w:p w:rsidR="48D266AE" w:rsidP="48D266AE" w:rsidRDefault="48D266AE" w14:paraId="16590988" w14:textId="24EF7F91">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p>
    <w:p w:rsidR="48D266AE" w:rsidP="48D266AE" w:rsidRDefault="48D266AE" w14:paraId="2C1DD505" w14:textId="4FEB21D0">
      <w:pPr>
        <w:pStyle w:val="ListParagraph"/>
        <w:suppressLineNumbers w:val="0"/>
        <w:bidi w:val="0"/>
        <w:spacing w:before="0" w:beforeAutospacing="off" w:after="160" w:afterAutospacing="off" w:line="259" w:lineRule="auto"/>
        <w:ind w:left="0" w:right="0"/>
        <w:jc w:val="both"/>
      </w:pPr>
      <w:r w:rsidRPr="48D266AE" w:rsidR="48D266AE">
        <w:rPr>
          <w:rFonts w:ascii="Times New Roman" w:hAnsi="Times New Roman" w:eastAsia="Times New Roman" w:cs="Times New Roman"/>
          <w:b w:val="0"/>
          <w:bCs w:val="0"/>
          <w:sz w:val="24"/>
          <w:szCs w:val="24"/>
        </w:rPr>
        <w:t>Visto que el Puerto de Montevideo es jurisdicción exclusiva de la Armada Nacional a traves de la Prefectura Nacional Naval en cuanto a la auxiliaridad del ministerio público, se establecen los siguientes criterios con respecto al personal del Ministerio del Interior:</w:t>
      </w:r>
    </w:p>
    <w:p w:rsidR="48D266AE" w:rsidP="48D266AE" w:rsidRDefault="48D266AE" w14:paraId="18E96851" w14:textId="077D64B8">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p>
    <w:p w:rsidR="48D266AE" w:rsidP="48D266AE" w:rsidRDefault="48D266AE" w14:paraId="75ED1753" w14:textId="19F8CBED">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de armamento y uniforme:</w:t>
      </w:r>
    </w:p>
    <w:p w:rsidR="48D266AE" w:rsidP="48D266AE" w:rsidRDefault="48D266AE" w14:paraId="7227954B" w14:textId="01B4AB70">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El personal de Ministerio del Interior podrá portar el armamento reglamentario siempre y cuando sea parte del uniforme policial. -</w:t>
      </w:r>
    </w:p>
    <w:p w:rsidR="48D266AE" w:rsidP="48D266AE" w:rsidRDefault="48D266AE" w14:paraId="659EB668" w14:textId="153C815D">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1"/>
          <w:bCs w:val="1"/>
          <w:sz w:val="24"/>
          <w:szCs w:val="24"/>
        </w:rPr>
        <w:t>Autorización de ingreso:</w:t>
      </w:r>
      <w:r w:rsidRPr="48D266AE" w:rsidR="48D266AE">
        <w:rPr>
          <w:rFonts w:ascii="Times New Roman" w:hAnsi="Times New Roman" w:eastAsia="Times New Roman" w:cs="Times New Roman"/>
          <w:b w:val="0"/>
          <w:bCs w:val="0"/>
          <w:sz w:val="24"/>
          <w:szCs w:val="24"/>
        </w:rPr>
        <w:t xml:space="preserve"> </w:t>
      </w:r>
    </w:p>
    <w:p w:rsidR="48D266AE" w:rsidP="48D266AE" w:rsidRDefault="48D266AE" w14:paraId="62A0A76D" w14:textId="67394AEC">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La autorización de ingreso de personal del Ministerio del Interior armado al recinto portuario será competencia del OCG de PREMO. -</w:t>
      </w:r>
    </w:p>
    <w:p w:rsidR="48D266AE" w:rsidP="48D266AE" w:rsidRDefault="48D266AE" w14:paraId="7BAAAAA0" w14:textId="48EF78D2">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Utilización de armamento sin uniforme:</w:t>
      </w:r>
    </w:p>
    <w:p w:rsidR="48D266AE" w:rsidP="48D266AE" w:rsidRDefault="48D266AE" w14:paraId="6F697A5B" w14:textId="1EAC026E">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Teniendo en cuenta que, dadas las tareas particulares de algunas dependencias de la Policía Nacional, existen funcionarios que realizan tareas vestidos de particular. En estos casos, se deberá exigir la presentación de la identificación policial correspondiente y los motivos justificados para su ingreso. -</w:t>
      </w:r>
    </w:p>
    <w:p w:rsidR="48D266AE" w:rsidP="48D266AE" w:rsidRDefault="48D266AE" w14:paraId="642E11B3" w14:textId="4A04917A">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1"/>
          <w:bCs w:val="1"/>
          <w:sz w:val="24"/>
          <w:szCs w:val="24"/>
        </w:rPr>
        <w:t>Circulación dentro del recinto portuario:</w:t>
      </w:r>
      <w:r w:rsidRPr="48D266AE" w:rsidR="48D266AE">
        <w:rPr>
          <w:rFonts w:ascii="Times New Roman" w:hAnsi="Times New Roman" w:eastAsia="Times New Roman" w:cs="Times New Roman"/>
          <w:b w:val="0"/>
          <w:bCs w:val="0"/>
          <w:sz w:val="24"/>
          <w:szCs w:val="24"/>
        </w:rPr>
        <w:t xml:space="preserve"> </w:t>
      </w:r>
    </w:p>
    <w:p w:rsidR="48D266AE" w:rsidP="48D266AE" w:rsidRDefault="48D266AE" w14:paraId="0B9AEC09" w14:textId="21482F8A">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autorizarse su ingreso podrán circular desde punto de ingreso desde el cual accedieron al recinto portuario, hasta el punto declarado según la tarea a realizar, evitando desviarse por comisiones secundarias no declaradas. -</w:t>
      </w:r>
    </w:p>
    <w:p w:rsidR="48D266AE" w:rsidP="48D266AE" w:rsidRDefault="48D266AE" w14:paraId="04F26CF0" w14:textId="75900B3F">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1"/>
          <w:bCs w:val="1"/>
          <w:sz w:val="24"/>
          <w:szCs w:val="24"/>
        </w:rPr>
        <w:t>Porte indebido o no justificado del armamento:</w:t>
      </w:r>
    </w:p>
    <w:p w:rsidR="48D266AE" w:rsidP="48D266AE" w:rsidRDefault="48D266AE" w14:paraId="0098C964" w14:textId="7B6D1D35">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constatar personal policial portando armamento de forma indebida o en lugares no justificados se deberá poner en conocimiento al OCG de PREMO, el cual podrá disponer sobre el personal armado a fin de priorizar la protección de la instalación portuaria. -</w:t>
      </w:r>
    </w:p>
    <w:p w:rsidR="48D266AE" w:rsidP="48D266AE" w:rsidRDefault="48D266AE" w14:paraId="0B50551A" w14:textId="5452B42E">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Porte o tenencia no relacionada con la fuerza policial:</w:t>
      </w:r>
    </w:p>
    <w:p w:rsidR="48D266AE" w:rsidP="48D266AE" w:rsidRDefault="48D266AE" w14:paraId="4A97865C" w14:textId="409785B3">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 xml:space="preserve">En caso de que el porte no esté relacionado con tareas policiales, se procederá según las directivas en relación a “Civiles en tenencia de armamento” establecidas en la presente guía. </w:t>
      </w:r>
    </w:p>
    <w:p w:rsidR="48D266AE" w:rsidP="48D266AE" w:rsidRDefault="48D266AE" w14:paraId="4B8623BD" w14:textId="098D7385">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1"/>
          <w:bCs w:val="1"/>
          <w:sz w:val="24"/>
          <w:szCs w:val="24"/>
        </w:rPr>
        <w:t>Comunicación y coordinación con autoridades:</w:t>
      </w:r>
      <w:r w:rsidRPr="48D266AE" w:rsidR="48D266AE">
        <w:rPr>
          <w:rFonts w:ascii="Times New Roman" w:hAnsi="Times New Roman" w:eastAsia="Times New Roman" w:cs="Times New Roman"/>
          <w:b w:val="0"/>
          <w:bCs w:val="0"/>
          <w:sz w:val="24"/>
          <w:szCs w:val="24"/>
        </w:rPr>
        <w:t xml:space="preserve"> </w:t>
      </w:r>
    </w:p>
    <w:p w:rsidR="48D266AE" w:rsidP="48D266AE" w:rsidRDefault="48D266AE" w14:paraId="574CEEFC" w14:textId="071457E4">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Al emitir la autorización para el ingreso del personal armado, el OCG deberá realizar las comunicaciones pertinentes con la ANP a fin de que estos estén enterados. -</w:t>
      </w:r>
    </w:p>
    <w:p w:rsidR="48D266AE" w:rsidP="48D266AE" w:rsidRDefault="48D266AE" w14:paraId="32E2F59E" w14:textId="5A38FA07">
      <w:pPr>
        <w:pStyle w:val="ListParagraph"/>
        <w:numPr>
          <w:ilvl w:val="0"/>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1"/>
          <w:bCs w:val="1"/>
          <w:sz w:val="24"/>
          <w:szCs w:val="24"/>
        </w:rPr>
        <w:t xml:space="preserve">Casos no justificados: </w:t>
      </w:r>
    </w:p>
    <w:p w:rsidR="48D266AE" w:rsidP="48D266AE" w:rsidRDefault="48D266AE" w14:paraId="019FF87E" w14:textId="0952CADE">
      <w:pPr>
        <w:pStyle w:val="ListParagraph"/>
        <w:numPr>
          <w:ilvl w:val="1"/>
          <w:numId w:val="15"/>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Si el porte de armamento no se justifica en el recinto portuario pero sea necesario el ingreso al mismo, los funcionarios armados del Ministerio del Interior depositarán el armamento en la armería de PREMO. -</w:t>
      </w:r>
    </w:p>
    <w:p w:rsidR="48D266AE" w:rsidRDefault="48D266AE" w14:paraId="291AACCA" w14:textId="733D84F5">
      <w:r>
        <w:br w:type="page"/>
      </w:r>
    </w:p>
    <w:p w:rsidR="48D266AE" w:rsidP="48D266AE" w:rsidRDefault="48D266AE" w14:paraId="2A003069" w14:textId="66950740">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1"/>
          <w:bCs w:val="1"/>
          <w:sz w:val="24"/>
          <w:szCs w:val="24"/>
          <w:u w:val="single"/>
        </w:rPr>
      </w:pPr>
      <w:r w:rsidRPr="48D266AE" w:rsidR="48D266AE">
        <w:rPr>
          <w:rFonts w:ascii="Times New Roman" w:hAnsi="Times New Roman" w:eastAsia="Times New Roman" w:cs="Times New Roman"/>
          <w:b w:val="1"/>
          <w:bCs w:val="1"/>
          <w:sz w:val="24"/>
          <w:szCs w:val="24"/>
          <w:u w:val="single"/>
        </w:rPr>
        <w:t>CIVILES EN TENENCIA DE ARMAMENTO:</w:t>
      </w:r>
    </w:p>
    <w:p w:rsidR="48D266AE" w:rsidP="48D266AE" w:rsidRDefault="48D266AE" w14:paraId="47EDC5A4" w14:textId="6C7EF5DB">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p>
    <w:p w:rsidR="48D266AE" w:rsidP="48D266AE" w:rsidRDefault="48D266AE" w14:paraId="79731E63" w14:textId="08C91F18">
      <w:pPr>
        <w:pStyle w:val="ListParagraph"/>
        <w:suppressLineNumbers w:val="0"/>
        <w:bidi w:val="0"/>
        <w:spacing w:before="0" w:beforeAutospacing="off" w:after="160" w:afterAutospacing="off" w:line="259" w:lineRule="auto"/>
        <w:ind w:left="0"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Cualquier tenencia de armamento por parte de civiles dentro del recinto portuario configura una violación al Código de Protección de Buques e Instalaciones Portuarias. Por lo tanto, en caso de encontrar a civiles en posesión legal de armamento dentro del recinto portuario se actuará en el siguiente tenor:</w:t>
      </w:r>
      <w:r>
        <w:br/>
      </w:r>
    </w:p>
    <w:p w:rsidR="48D266AE" w:rsidP="48D266AE" w:rsidRDefault="48D266AE" w14:paraId="5B78E0CA" w14:textId="61816798">
      <w:pPr>
        <w:pStyle w:val="ListParagraph"/>
        <w:numPr>
          <w:ilvl w:val="0"/>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Comunicaciones inmediatas:</w:t>
      </w:r>
    </w:p>
    <w:p w:rsidR="48D266AE" w:rsidP="48D266AE" w:rsidRDefault="48D266AE" w14:paraId="1FBF44D6" w14:textId="501A6225">
      <w:pPr>
        <w:pStyle w:val="ListParagraph"/>
        <w:numPr>
          <w:ilvl w:val="1"/>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Se dará cuenta al OCG de PREMO de la situación el cual deberá inmediatamente poner en conocimiento a las autoridades de la ANP. -</w:t>
      </w:r>
    </w:p>
    <w:p w:rsidR="48D266AE" w:rsidP="48D266AE" w:rsidRDefault="48D266AE" w14:paraId="1DEC489D" w14:textId="09AA66EC">
      <w:pPr>
        <w:pStyle w:val="ListParagraph"/>
        <w:numPr>
          <w:ilvl w:val="0"/>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Averiguaciones de rigor:</w:t>
      </w:r>
    </w:p>
    <w:p w:rsidR="48D266AE" w:rsidP="48D266AE" w:rsidRDefault="48D266AE" w14:paraId="0A153115" w14:textId="0314E5DE">
      <w:pPr>
        <w:pStyle w:val="ListParagraph"/>
        <w:numPr>
          <w:ilvl w:val="1"/>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Se deberá realizar, en lo posible en el lugar del hallazgo, las averiguaciones correspondientes a antecedentes del portador y requisitorias del armamento en el SGSP. En caso de tener novedades en relación a las averiguaciones se procederá según lo evidenciado en el sistema.</w:t>
      </w:r>
    </w:p>
    <w:p w:rsidR="48D266AE" w:rsidP="48D266AE" w:rsidRDefault="48D266AE" w14:paraId="244ED4B8" w14:textId="3BBA76C3">
      <w:pPr>
        <w:pStyle w:val="ListParagraph"/>
        <w:numPr>
          <w:ilvl w:val="0"/>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Acta de declaración (Art. 61 CPP):</w:t>
      </w:r>
    </w:p>
    <w:p w:rsidR="48D266AE" w:rsidP="48D266AE" w:rsidRDefault="48D266AE" w14:paraId="1C24CABC" w14:textId="63D87FC2">
      <w:pPr>
        <w:pStyle w:val="ListParagraph"/>
        <w:numPr>
          <w:ilvl w:val="1"/>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Ante la presunción de un delito se deberá realizar un acta voluntaria al indagado en el marco del Artículo N° 66 del Código de Proceso Penal. Mencionada acta se tomará indiferentemente en el lugar del hecho o en la dependencia de PREMO.</w:t>
      </w:r>
    </w:p>
    <w:p w:rsidR="48D266AE" w:rsidP="48D266AE" w:rsidRDefault="48D266AE" w14:paraId="6FA87ED9" w14:textId="2A51A824">
      <w:pPr>
        <w:pStyle w:val="ListParagraph"/>
        <w:numPr>
          <w:ilvl w:val="0"/>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Retiro del individuo armado:</w:t>
      </w:r>
    </w:p>
    <w:p w:rsidR="48D266AE" w:rsidP="48D266AE" w:rsidRDefault="48D266AE" w14:paraId="67082472" w14:textId="0BF7133C">
      <w:pPr>
        <w:pStyle w:val="ListParagraph"/>
        <w:numPr>
          <w:ilvl w:val="1"/>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constatar que el arma y el tenedor de la misma no cuentan con restricciones penales de ningun tipo se le solicitará al mismo se retire del recinto con el armamento en cuestión, debiendo en caso de ser necesario acompañar al mismo hasta la salida más próxima.</w:t>
      </w:r>
    </w:p>
    <w:p w:rsidR="48D266AE" w:rsidP="48D266AE" w:rsidRDefault="48D266AE" w14:paraId="20E84300" w14:textId="375C2DE4">
      <w:pPr>
        <w:pStyle w:val="ListParagraph"/>
        <w:numPr>
          <w:ilvl w:val="0"/>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Ante presunsión de delito:</w:t>
      </w:r>
    </w:p>
    <w:p w:rsidR="48D266AE" w:rsidP="48D266AE" w:rsidRDefault="48D266AE" w14:paraId="3E229B48" w14:textId="500645E5">
      <w:pPr>
        <w:pStyle w:val="ListParagraph"/>
        <w:numPr>
          <w:ilvl w:val="1"/>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En caso de constatar de que el armamento o el tenedor del mismo se encuentran relacionados a un evento de seguridad pública o ante la presunción de una tentativa de delito, el OCG de PREMO deberá disponer de un lugar seguro para el armamento y el individuo, dar cuenta al Ministerio Público y actuar en relación a las directivas del fiscal de turno. En caso de resultar en la detención del mismo, se deberá realizar incautación del armamento y asegurar su depósito en la armería de PREMO adjuntando al mismo copia del acta de incautación para su trazabilidad. Tener en cuenta la guía funcional “PROCEDIMIENTO ANTE ARMAS DE FUEGO DE CARACTER ILEGAL DENTRO DEL RECINTO PORTUARIO” para mayores detalles en el accionar del personal naval.</w:t>
      </w:r>
    </w:p>
    <w:p w:rsidR="48D266AE" w:rsidP="48D266AE" w:rsidRDefault="48D266AE" w14:paraId="56E9BFFD" w14:textId="28183207">
      <w:pPr>
        <w:pStyle w:val="ListParagraph"/>
        <w:numPr>
          <w:ilvl w:val="0"/>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1"/>
          <w:bCs w:val="1"/>
          <w:sz w:val="24"/>
          <w:szCs w:val="24"/>
        </w:rPr>
      </w:pPr>
      <w:r w:rsidRPr="48D266AE" w:rsidR="48D266AE">
        <w:rPr>
          <w:rFonts w:ascii="Times New Roman" w:hAnsi="Times New Roman" w:eastAsia="Times New Roman" w:cs="Times New Roman"/>
          <w:b w:val="1"/>
          <w:bCs w:val="1"/>
          <w:sz w:val="24"/>
          <w:szCs w:val="24"/>
        </w:rPr>
        <w:t>Informe final:</w:t>
      </w:r>
    </w:p>
    <w:p w:rsidR="48D266AE" w:rsidP="48D266AE" w:rsidRDefault="48D266AE" w14:paraId="78CF2BC8" w14:textId="6D782939">
      <w:pPr>
        <w:pStyle w:val="ListParagraph"/>
        <w:numPr>
          <w:ilvl w:val="1"/>
          <w:numId w:val="18"/>
        </w:numPr>
        <w:suppressLineNumbers w:val="0"/>
        <w:bidi w:val="0"/>
        <w:spacing w:before="0" w:beforeAutospacing="off" w:after="160" w:afterAutospacing="off" w:line="259" w:lineRule="auto"/>
        <w:ind w:right="0"/>
        <w:jc w:val="both"/>
        <w:rPr>
          <w:rFonts w:ascii="Times New Roman" w:hAnsi="Times New Roman" w:eastAsia="Times New Roman" w:cs="Times New Roman"/>
          <w:b w:val="0"/>
          <w:bCs w:val="0"/>
          <w:sz w:val="24"/>
          <w:szCs w:val="24"/>
        </w:rPr>
      </w:pPr>
      <w:r w:rsidRPr="48D266AE" w:rsidR="48D266AE">
        <w:rPr>
          <w:rFonts w:ascii="Times New Roman" w:hAnsi="Times New Roman" w:eastAsia="Times New Roman" w:cs="Times New Roman"/>
          <w:b w:val="0"/>
          <w:bCs w:val="0"/>
          <w:sz w:val="24"/>
          <w:szCs w:val="24"/>
        </w:rPr>
        <w:t>Finalizada las actuaciones se deberá realizar un informe de situación a SEPMA a fin de informar los detalles del incidente de protección. -</w:t>
      </w:r>
    </w:p>
    <w:sectPr>
      <w:pgSz w:w="11907" w:h="16839" w:orient="portrait"/>
      <w:pgMar w:top="720" w:right="720" w:bottom="720" w:left="720" w:header="720" w:footer="720" w:gutter="0"/>
      <w:cols w:space="720"/>
      <w:docGrid w:linePitch="360"/>
      <w:headerReference w:type="default" r:id="Rec9ab594b14b4592"/>
      <w:footerReference w:type="default" r:id="R29bdce8477254ad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jc w:val="center"/>
      <w:tblBorders>
        <w:top w:val="single" w:sz="6"/>
        <w:left w:val="single" w:sz="6"/>
        <w:bottom w:val="single" w:sz="6"/>
        <w:right w:val="single" w:sz="6"/>
      </w:tblBorders>
      <w:tblLayout w:type="fixed"/>
      <w:tblLook w:val="0000" w:firstRow="0" w:lastRow="0" w:firstColumn="0" w:lastColumn="0" w:noHBand="0" w:noVBand="0"/>
    </w:tblPr>
    <w:tblGrid>
      <w:gridCol w:w="2235"/>
      <w:gridCol w:w="3990"/>
      <w:gridCol w:w="2550"/>
      <w:gridCol w:w="1530"/>
    </w:tblGrid>
    <w:tr w:rsidR="323B5017" w:rsidTr="323B5017" w14:paraId="3FCA0513">
      <w:trPr>
        <w:trHeight w:val="300"/>
      </w:trPr>
      <w:tc>
        <w:tcPr>
          <w:tcW w:w="2235" w:type="dxa"/>
          <w:vMerge w:val="restart"/>
          <w:tcBorders>
            <w:top w:val="single" w:sz="6"/>
            <w:left w:val="single" w:sz="6"/>
            <w:bottom w:val="single" w:sz="6"/>
            <w:right w:val="single" w:sz="6"/>
          </w:tcBorders>
          <w:tcMar>
            <w:left w:w="60" w:type="dxa"/>
            <w:right w:w="60" w:type="dxa"/>
          </w:tcMar>
          <w:vAlign w:val="center"/>
        </w:tcPr>
        <w:p w:rsidR="323B5017" w:rsidP="323B5017" w:rsidRDefault="323B5017" w14:paraId="1B2CCBB4" w14:textId="2FF65E2F">
          <w:pPr>
            <w:keepNext w:val="1"/>
            <w:widowControl w:val="0"/>
            <w:bidi w:val="0"/>
            <w:spacing w:after="0" w:line="360" w:lineRule="auto"/>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1"/>
              <w:bCs w:val="1"/>
              <w:i w:val="0"/>
              <w:iCs w:val="0"/>
              <w:caps w:val="0"/>
              <w:smallCaps w:val="0"/>
              <w:color w:val="000000" w:themeColor="text1" w:themeTint="FF" w:themeShade="FF"/>
              <w:sz w:val="24"/>
              <w:szCs w:val="24"/>
              <w:lang w:val="es-ES"/>
            </w:rPr>
            <w:t>APROBADO POR</w:t>
          </w:r>
        </w:p>
      </w:tc>
      <w:tc>
        <w:tcPr>
          <w:tcW w:w="3990" w:type="dxa"/>
          <w:tcBorders>
            <w:top w:val="single" w:sz="6"/>
            <w:left w:val="single" w:sz="6"/>
            <w:bottom w:val="single" w:sz="6"/>
            <w:right w:val="single" w:sz="6"/>
          </w:tcBorders>
          <w:tcMar>
            <w:left w:w="60" w:type="dxa"/>
            <w:right w:w="60" w:type="dxa"/>
          </w:tcMar>
          <w:vAlign w:val="top"/>
        </w:tcPr>
        <w:p w:rsidR="323B5017" w:rsidP="323B5017" w:rsidRDefault="323B5017" w14:paraId="776D89D9" w14:textId="7E86163B">
          <w:pPr>
            <w:bidi w:val="0"/>
            <w:spacing w:after="0" w:line="240" w:lineRule="auto"/>
            <w:ind w:left="-540" w:firstLine="54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CARGO</w:t>
          </w:r>
        </w:p>
      </w:tc>
      <w:tc>
        <w:tcPr>
          <w:tcW w:w="2550" w:type="dxa"/>
          <w:tcBorders>
            <w:top w:val="single" w:sz="6"/>
            <w:left w:val="single" w:sz="6"/>
            <w:bottom w:val="single" w:sz="6"/>
            <w:right w:val="single" w:sz="6"/>
          </w:tcBorders>
          <w:tcMar>
            <w:left w:w="60" w:type="dxa"/>
            <w:right w:w="60" w:type="dxa"/>
          </w:tcMar>
          <w:vAlign w:val="top"/>
        </w:tcPr>
        <w:p w:rsidR="323B5017" w:rsidP="323B5017" w:rsidRDefault="323B5017" w14:paraId="3C55F23E" w14:textId="2AC9AFBE">
          <w:pPr>
            <w:bidi w:val="0"/>
            <w:spacing w:after="0" w:line="240" w:lineRule="auto"/>
            <w:ind w:left="-540" w:firstLine="54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FIRMA</w:t>
          </w:r>
        </w:p>
      </w:tc>
      <w:tc>
        <w:tcPr>
          <w:tcW w:w="1530" w:type="dxa"/>
          <w:tcBorders>
            <w:top w:val="single" w:sz="6"/>
            <w:left w:val="single" w:sz="6"/>
            <w:bottom w:val="single" w:sz="6"/>
            <w:right w:val="single" w:sz="6"/>
          </w:tcBorders>
          <w:tcMar>
            <w:left w:w="60" w:type="dxa"/>
            <w:right w:w="60" w:type="dxa"/>
          </w:tcMar>
          <w:vAlign w:val="top"/>
        </w:tcPr>
        <w:p w:rsidR="323B5017" w:rsidP="323B5017" w:rsidRDefault="323B5017" w14:paraId="0046C82C" w14:textId="11BE1218">
          <w:pPr>
            <w:bidi w:val="0"/>
            <w:spacing w:after="0" w:line="240" w:lineRule="auto"/>
            <w:ind w:left="-540"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FECHA</w:t>
          </w:r>
        </w:p>
      </w:tc>
    </w:tr>
    <w:tr w:rsidR="323B5017" w:rsidTr="323B5017" w14:paraId="5B5FD824">
      <w:trPr>
        <w:trHeight w:val="300"/>
      </w:trPr>
      <w:tc>
        <w:tcPr>
          <w:tcW w:w="2235" w:type="dxa"/>
          <w:vMerge/>
          <w:tcBorders>
            <w:top w:sz="0"/>
            <w:left w:val="single" w:sz="0"/>
            <w:bottom w:val="single" w:sz="0"/>
            <w:right w:val="single" w:sz="0"/>
          </w:tcBorders>
          <w:tcMar/>
          <w:vAlign w:val="center"/>
        </w:tcPr>
        <w:p w14:paraId="53DE0FB2"/>
      </w:tc>
      <w:tc>
        <w:tcPr>
          <w:tcW w:w="3990" w:type="dxa"/>
          <w:tcBorders>
            <w:top w:val="single" w:sz="6"/>
            <w:left w:val="single" w:sz="6"/>
            <w:bottom w:val="single" w:sz="6"/>
            <w:right w:val="single" w:sz="6"/>
          </w:tcBorders>
          <w:tcMar>
            <w:left w:w="60" w:type="dxa"/>
            <w:right w:w="60" w:type="dxa"/>
          </w:tcMar>
          <w:vAlign w:val="center"/>
        </w:tcPr>
        <w:p w:rsidR="323B5017" w:rsidP="323B5017" w:rsidRDefault="323B5017" w14:paraId="20741801" w14:textId="7D17DFA1">
          <w:pPr>
            <w:bidi w:val="0"/>
            <w:spacing w:after="0" w:line="240" w:lineRule="auto"/>
            <w:ind w:left="-540"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 xml:space="preserve">    Prefecto del Puerto de Montevideo</w:t>
          </w:r>
        </w:p>
      </w:tc>
      <w:tc>
        <w:tcPr>
          <w:tcW w:w="2550" w:type="dxa"/>
          <w:tcBorders>
            <w:top w:val="single" w:sz="6"/>
            <w:left w:val="single" w:sz="6"/>
            <w:bottom w:val="single" w:sz="6"/>
            <w:right w:val="single" w:sz="6"/>
          </w:tcBorders>
          <w:tcMar>
            <w:left w:w="60" w:type="dxa"/>
            <w:right w:w="60" w:type="dxa"/>
          </w:tcMar>
          <w:vAlign w:val="center"/>
        </w:tcPr>
        <w:p w:rsidR="323B5017" w:rsidP="323B5017" w:rsidRDefault="323B5017" w14:paraId="4CC63FF4" w14:textId="695BC550">
          <w:pPr>
            <w:bidi w:val="0"/>
            <w:spacing w:after="0" w:line="240" w:lineRule="auto"/>
            <w:ind w:left="-540" w:firstLine="54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1530" w:type="dxa"/>
          <w:tcBorders>
            <w:top w:val="single" w:sz="6"/>
            <w:left w:val="single" w:sz="6"/>
            <w:bottom w:val="single" w:sz="6"/>
            <w:right w:val="single" w:sz="6"/>
          </w:tcBorders>
          <w:tcMar>
            <w:left w:w="60" w:type="dxa"/>
            <w:right w:w="60" w:type="dxa"/>
          </w:tcMar>
          <w:vAlign w:val="center"/>
        </w:tcPr>
        <w:p w:rsidR="323B5017" w:rsidP="323B5017" w:rsidRDefault="323B5017" w14:paraId="60D59039" w14:textId="09610D59">
          <w:pPr>
            <w:bidi w:val="0"/>
            <w:spacing w:after="0" w:line="240" w:lineRule="auto"/>
            <w:ind w:left="-540" w:firstLine="54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323B5017" w:rsidTr="323B5017" w14:paraId="68708019">
      <w:trPr>
        <w:trHeight w:val="300"/>
      </w:trPr>
      <w:tc>
        <w:tcPr>
          <w:tcW w:w="2235" w:type="dxa"/>
          <w:tcBorders>
            <w:top w:val="single" w:sz="6"/>
            <w:left w:val="single" w:sz="6"/>
            <w:bottom w:val="single" w:sz="6"/>
            <w:right w:val="single" w:sz="6"/>
          </w:tcBorders>
          <w:tcMar>
            <w:left w:w="60" w:type="dxa"/>
            <w:right w:w="60" w:type="dxa"/>
          </w:tcMar>
          <w:vAlign w:val="center"/>
        </w:tcPr>
        <w:p w:rsidR="323B5017" w:rsidP="323B5017" w:rsidRDefault="323B5017" w14:paraId="1C368EBB" w14:textId="062E800B">
          <w:pPr>
            <w:bidi w:val="0"/>
            <w:spacing w:after="0" w:line="240" w:lineRule="auto"/>
            <w:ind w:left="-540"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 xml:space="preserve">    REVISADO POR</w:t>
          </w:r>
        </w:p>
      </w:tc>
      <w:tc>
        <w:tcPr>
          <w:tcW w:w="3990" w:type="dxa"/>
          <w:tcBorders>
            <w:top w:val="single" w:sz="6"/>
            <w:left w:val="single" w:sz="6"/>
            <w:bottom w:val="single" w:sz="6"/>
            <w:right w:val="single" w:sz="6"/>
          </w:tcBorders>
          <w:tcMar>
            <w:left w:w="60" w:type="dxa"/>
            <w:right w:w="60" w:type="dxa"/>
          </w:tcMar>
          <w:vAlign w:val="center"/>
        </w:tcPr>
        <w:p w:rsidR="323B5017" w:rsidP="323B5017" w:rsidRDefault="323B5017" w14:paraId="3AA816B9" w14:textId="321273C0">
          <w:pPr>
            <w:bidi w:val="0"/>
            <w:spacing w:after="0" w:line="240" w:lineRule="auto"/>
            <w:ind w:left="-540"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 xml:space="preserve">     Jefe de la División Policía Marítima</w:t>
          </w:r>
        </w:p>
      </w:tc>
      <w:tc>
        <w:tcPr>
          <w:tcW w:w="2550" w:type="dxa"/>
          <w:tcBorders>
            <w:top w:val="single" w:sz="6"/>
            <w:left w:val="single" w:sz="6"/>
            <w:bottom w:val="single" w:sz="6"/>
            <w:right w:val="single" w:sz="6"/>
          </w:tcBorders>
          <w:tcMar>
            <w:left w:w="60" w:type="dxa"/>
            <w:right w:w="60" w:type="dxa"/>
          </w:tcMar>
          <w:vAlign w:val="center"/>
        </w:tcPr>
        <w:p w:rsidR="323B5017" w:rsidP="323B5017" w:rsidRDefault="323B5017" w14:paraId="598C842E" w14:textId="2F4070BA">
          <w:pPr>
            <w:bidi w:val="0"/>
            <w:spacing w:after="0" w:line="240" w:lineRule="auto"/>
            <w:ind w:left="-540" w:firstLine="540"/>
            <w:rPr>
              <w:rFonts w:ascii="Times New Roman" w:hAnsi="Times New Roman" w:eastAsia="Times New Roman" w:cs="Times New Roman"/>
              <w:b w:val="0"/>
              <w:bCs w:val="0"/>
              <w:i w:val="0"/>
              <w:iCs w:val="0"/>
              <w:caps w:val="0"/>
              <w:smallCaps w:val="0"/>
              <w:color w:val="000000" w:themeColor="text1" w:themeTint="FF" w:themeShade="FF"/>
              <w:sz w:val="16"/>
              <w:szCs w:val="16"/>
            </w:rPr>
          </w:pPr>
        </w:p>
      </w:tc>
      <w:tc>
        <w:tcPr>
          <w:tcW w:w="1530" w:type="dxa"/>
          <w:tcBorders>
            <w:top w:val="single" w:sz="6"/>
            <w:left w:val="single" w:sz="6"/>
            <w:bottom w:val="single" w:sz="6"/>
            <w:right w:val="single" w:sz="6"/>
          </w:tcBorders>
          <w:tcMar>
            <w:left w:w="60" w:type="dxa"/>
            <w:right w:w="60" w:type="dxa"/>
          </w:tcMar>
          <w:vAlign w:val="center"/>
        </w:tcPr>
        <w:p w:rsidR="323B5017" w:rsidP="323B5017" w:rsidRDefault="323B5017" w14:paraId="7E7E39A8" w14:textId="7E5313A5">
          <w:pPr>
            <w:bidi w:val="0"/>
            <w:spacing w:after="0" w:line="240" w:lineRule="auto"/>
            <w:ind w:left="-540" w:firstLine="54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p>
      </w:tc>
    </w:tr>
    <w:tr w:rsidR="323B5017" w:rsidTr="323B5017" w14:paraId="3EE4D61C">
      <w:trPr>
        <w:trHeight w:val="300"/>
      </w:trPr>
      <w:tc>
        <w:tcPr>
          <w:tcW w:w="2235" w:type="dxa"/>
          <w:tcBorders>
            <w:top w:val="single" w:sz="6"/>
            <w:left w:val="single" w:sz="6"/>
            <w:bottom w:val="single" w:sz="6"/>
            <w:right w:val="single" w:sz="6"/>
          </w:tcBorders>
          <w:tcMar>
            <w:left w:w="60" w:type="dxa"/>
            <w:right w:w="60" w:type="dxa"/>
          </w:tcMar>
          <w:vAlign w:val="center"/>
        </w:tcPr>
        <w:p w:rsidR="323B5017" w:rsidP="323B5017" w:rsidRDefault="323B5017" w14:paraId="41AABF3F" w14:textId="7638A0FF">
          <w:pPr>
            <w:bidi w:val="0"/>
            <w:spacing w:after="0" w:line="240" w:lineRule="auto"/>
            <w:ind w:left="-540" w:firstLine="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ES"/>
            </w:rPr>
            <w:t>DOCUMENTO</w:t>
          </w:r>
        </w:p>
      </w:tc>
      <w:tc>
        <w:tcPr>
          <w:tcW w:w="8070" w:type="dxa"/>
          <w:gridSpan w:val="3"/>
          <w:tcBorders>
            <w:top w:val="single" w:sz="6"/>
            <w:left w:val="single" w:sz="6"/>
            <w:bottom w:val="single" w:sz="6"/>
            <w:right w:val="single" w:sz="6"/>
          </w:tcBorders>
          <w:tcMar>
            <w:left w:w="60" w:type="dxa"/>
            <w:right w:w="60" w:type="dxa"/>
          </w:tcMar>
          <w:vAlign w:val="center"/>
        </w:tcPr>
        <w:p w:rsidR="323B5017" w:rsidP="323B5017" w:rsidRDefault="323B5017" w14:paraId="1F7BB14F" w14:textId="496590DA">
          <w:pPr>
            <w:bidi w:val="0"/>
            <w:spacing w:after="0" w:line="240" w:lineRule="auto"/>
            <w:ind w:left="-540" w:firstLine="540"/>
            <w:jc w:val="center"/>
            <w:rPr>
              <w:rFonts w:ascii="Times New Roman" w:hAnsi="Times New Roman" w:eastAsia="Times New Roman" w:cs="Times New Roman"/>
              <w:b w:val="0"/>
              <w:bCs w:val="0"/>
              <w:i w:val="0"/>
              <w:iCs w:val="0"/>
              <w:caps w:val="0"/>
              <w:smallCaps w:val="0"/>
              <w:color w:val="000000" w:themeColor="text1" w:themeTint="FF" w:themeShade="FF"/>
              <w:sz w:val="24"/>
              <w:szCs w:val="24"/>
            </w:rPr>
          </w:pPr>
          <w:r w:rsidRPr="323B5017" w:rsidR="323B5017">
            <w:rPr>
              <w:rFonts w:ascii="Times New Roman" w:hAnsi="Times New Roman" w:eastAsia="Times New Roman" w:cs="Times New Roman"/>
              <w:b w:val="0"/>
              <w:bCs w:val="0"/>
              <w:i w:val="0"/>
              <w:iCs w:val="0"/>
              <w:caps w:val="0"/>
              <w:smallCaps w:val="0"/>
              <w:color w:val="000000" w:themeColor="text1" w:themeTint="FF" w:themeShade="FF"/>
              <w:sz w:val="24"/>
              <w:szCs w:val="24"/>
              <w:lang w:val="es-MX"/>
            </w:rPr>
            <w:t>Original              Copia Controlada              Copia No Controlada</w:t>
          </w:r>
        </w:p>
      </w:tc>
    </w:tr>
  </w:tbl>
  <w:p w:rsidR="323B5017" w:rsidP="323B5017" w:rsidRDefault="323B5017" w14:paraId="30E57CCA" w14:textId="1EC10B20">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10514" w:type="dxa"/>
      <w:tblInd w:w="60" w:type="dxa"/>
      <w:tblBorders>
        <w:top w:val="single" w:sz="6"/>
        <w:left w:val="single" w:sz="6"/>
        <w:bottom w:val="single" w:sz="6"/>
        <w:right w:val="single" w:sz="6"/>
      </w:tblBorders>
      <w:tblLayout w:type="fixed"/>
      <w:tblLook w:val="0000" w:firstRow="0" w:lastRow="0" w:firstColumn="0" w:lastColumn="0" w:noHBand="0" w:noVBand="0"/>
    </w:tblPr>
    <w:tblGrid>
      <w:gridCol w:w="1355"/>
      <w:gridCol w:w="3135"/>
      <w:gridCol w:w="4164"/>
      <w:gridCol w:w="1860"/>
    </w:tblGrid>
    <w:tr w:rsidR="323B5017" w:rsidTr="48D266AE" w14:paraId="2FE80D69">
      <w:trPr>
        <w:trHeight w:val="690"/>
      </w:trPr>
      <w:tc>
        <w:tcPr>
          <w:tcW w:w="1355" w:type="dxa"/>
          <w:vMerge w:val="restart"/>
          <w:tcBorders>
            <w:top w:val="single" w:color="000000" w:themeColor="text1" w:sz="6"/>
            <w:left w:val="single" w:color="000000" w:themeColor="text1" w:sz="6"/>
            <w:bottom w:val="single" w:color="000000" w:themeColor="text1" w:sz="6"/>
          </w:tcBorders>
          <w:tcMar>
            <w:left w:w="60" w:type="dxa"/>
            <w:right w:w="60" w:type="dxa"/>
          </w:tcMar>
          <w:vAlign w:val="center"/>
        </w:tcPr>
        <w:p w:rsidR="323B5017" w:rsidP="323B5017" w:rsidRDefault="323B5017" w14:paraId="715FFF24" w14:textId="65C22639">
          <w:pPr>
            <w:tabs>
              <w:tab w:val="center" w:leader="none" w:pos="4419"/>
              <w:tab w:val="right" w:leader="none" w:pos="8838"/>
            </w:tabs>
            <w:bidi w:val="0"/>
            <w:spacing w:after="0" w:line="240" w:lineRule="auto"/>
            <w:rPr>
              <w:rFonts w:ascii="Times New Roman" w:hAnsi="Times New Roman" w:eastAsia="Times New Roman" w:cs="Times New Roman"/>
              <w:b w:val="0"/>
              <w:bCs w:val="0"/>
              <w:i w:val="0"/>
              <w:iCs w:val="0"/>
              <w:caps w:val="0"/>
              <w:smallCaps w:val="0"/>
              <w:color w:val="000000" w:themeColor="text1" w:themeTint="FF" w:themeShade="FF"/>
              <w:sz w:val="28"/>
              <w:szCs w:val="28"/>
            </w:rPr>
          </w:pPr>
          <w:r>
            <w:drawing>
              <wp:inline wp14:editId="42960F7A" wp14:anchorId="2C920F44">
                <wp:extent cx="742950" cy="638175"/>
                <wp:effectExtent l="0" t="0" r="0" b="0"/>
                <wp:docPr id="204597732" name="" title=""/>
                <wp:cNvGraphicFramePr>
                  <a:graphicFrameLocks noChangeAspect="1"/>
                </wp:cNvGraphicFramePr>
                <a:graphic>
                  <a:graphicData uri="http://schemas.openxmlformats.org/drawingml/2006/picture">
                    <pic:pic>
                      <pic:nvPicPr>
                        <pic:cNvPr id="0" name=""/>
                        <pic:cNvPicPr/>
                      </pic:nvPicPr>
                      <pic:blipFill>
                        <a:blip r:embed="R699e96566f0d4c35">
                          <a:extLst>
                            <a:ext xmlns:a="http://schemas.openxmlformats.org/drawingml/2006/main" uri="{28A0092B-C50C-407E-A947-70E740481C1C}">
                              <a14:useLocalDpi val="0"/>
                            </a:ext>
                          </a:extLst>
                        </a:blip>
                        <a:stretch>
                          <a:fillRect/>
                        </a:stretch>
                      </pic:blipFill>
                      <pic:spPr>
                        <a:xfrm>
                          <a:off x="0" y="0"/>
                          <a:ext cx="742950" cy="638175"/>
                        </a:xfrm>
                        <a:prstGeom prst="rect">
                          <a:avLst/>
                        </a:prstGeom>
                      </pic:spPr>
                    </pic:pic>
                  </a:graphicData>
                </a:graphic>
              </wp:inline>
            </w:drawing>
          </w:r>
        </w:p>
      </w:tc>
      <w:tc>
        <w:tcPr>
          <w:tcW w:w="3135" w:type="dxa"/>
          <w:vMerge w:val="restart"/>
          <w:tcBorders>
            <w:top w:val="single" w:color="000000" w:themeColor="text1" w:sz="6"/>
            <w:left w:val="single" w:color="000000" w:themeColor="text1" w:sz="6"/>
            <w:bottom w:val="single" w:color="000000" w:themeColor="text1" w:sz="6"/>
          </w:tcBorders>
          <w:tcMar>
            <w:left w:w="60" w:type="dxa"/>
            <w:right w:w="60" w:type="dxa"/>
          </w:tcMar>
          <w:vAlign w:val="center"/>
        </w:tcPr>
        <w:p w:rsidR="323B5017" w:rsidP="323B5017" w:rsidRDefault="323B5017" w14:paraId="14141849" w14:textId="67814AC6">
          <w:pPr>
            <w:tabs>
              <w:tab w:val="center" w:leader="none" w:pos="4419"/>
              <w:tab w:val="right" w:leader="none" w:pos="8838"/>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323B5017" w:rsidR="323B5017">
            <w:rPr>
              <w:rFonts w:ascii="Times New Roman" w:hAnsi="Times New Roman" w:eastAsia="Times New Roman" w:cs="Times New Roman"/>
              <w:b w:val="1"/>
              <w:bCs w:val="1"/>
              <w:i w:val="0"/>
              <w:iCs w:val="0"/>
              <w:caps w:val="0"/>
              <w:smallCaps w:val="0"/>
              <w:color w:val="000000" w:themeColor="text1" w:themeTint="FF" w:themeShade="FF"/>
              <w:sz w:val="28"/>
              <w:szCs w:val="28"/>
              <w:lang w:val="es-ES"/>
            </w:rPr>
            <w:t xml:space="preserve">PREFECTURA NACIONAL NAVAL </w:t>
          </w:r>
        </w:p>
        <w:p w:rsidR="323B5017" w:rsidP="323B5017" w:rsidRDefault="323B5017" w14:paraId="2FF52C21" w14:textId="255A44FA">
          <w:pPr>
            <w:tabs>
              <w:tab w:val="center" w:leader="none" w:pos="4419"/>
              <w:tab w:val="right" w:leader="none" w:pos="8838"/>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8"/>
              <w:szCs w:val="28"/>
            </w:rPr>
          </w:pPr>
          <w:r w:rsidRPr="323B5017" w:rsidR="323B5017">
            <w:rPr>
              <w:rFonts w:ascii="Times New Roman" w:hAnsi="Times New Roman" w:eastAsia="Times New Roman" w:cs="Times New Roman"/>
              <w:b w:val="1"/>
              <w:bCs w:val="1"/>
              <w:i w:val="0"/>
              <w:iCs w:val="0"/>
              <w:caps w:val="0"/>
              <w:smallCaps w:val="0"/>
              <w:color w:val="000000" w:themeColor="text1" w:themeTint="FF" w:themeShade="FF"/>
              <w:sz w:val="28"/>
              <w:szCs w:val="28"/>
              <w:lang w:val="es-ES"/>
            </w:rPr>
            <w:t>(PREFECTURA DEL PUERTO DE MONTEVIDEO)</w:t>
          </w:r>
        </w:p>
      </w:tc>
      <w:tc>
        <w:tcPr>
          <w:tcW w:w="4164" w:type="dxa"/>
          <w:vMerge w:val="restart"/>
          <w:tcBorders>
            <w:top w:val="single" w:color="000000" w:themeColor="text1" w:sz="6"/>
            <w:left w:val="single" w:color="000000" w:themeColor="text1" w:sz="6"/>
            <w:bottom w:val="single" w:color="000000" w:themeColor="text1" w:sz="6"/>
          </w:tcBorders>
          <w:tcMar>
            <w:left w:w="60" w:type="dxa"/>
            <w:right w:w="60" w:type="dxa"/>
          </w:tcMar>
          <w:vAlign w:val="center"/>
        </w:tcPr>
        <w:p w:rsidR="323B5017" w:rsidP="48D266AE" w:rsidRDefault="323B5017" w14:paraId="405D7548" w14:textId="3B5F49F9">
          <w:pPr>
            <w:pStyle w:val="Normal"/>
            <w:suppressLineNumbers w:val="0"/>
            <w:tabs>
              <w:tab w:val="center" w:leader="none" w:pos="4419"/>
              <w:tab w:val="right" w:leader="none" w:pos="8838"/>
            </w:tabs>
            <w:bidi w:val="0"/>
            <w:spacing w:before="0" w:beforeAutospacing="off" w:after="0" w:afterAutospacing="off" w:line="240" w:lineRule="auto"/>
            <w:ind w:left="0" w:right="0"/>
            <w:jc w:val="center"/>
            <w:rPr>
              <w:rFonts w:ascii="Times New Roman" w:hAnsi="Times New Roman" w:eastAsia="Times New Roman" w:cs="Times New Roman"/>
              <w:b w:val="1"/>
              <w:bCs w:val="1"/>
              <w:i w:val="0"/>
              <w:iCs w:val="0"/>
              <w:caps w:val="0"/>
              <w:smallCaps w:val="0"/>
              <w:color w:val="000000" w:themeColor="text1" w:themeTint="FF" w:themeShade="FF"/>
              <w:sz w:val="28"/>
              <w:szCs w:val="28"/>
              <w:lang w:val="es-AR"/>
            </w:rPr>
          </w:pPr>
          <w:r w:rsidRPr="48D266AE" w:rsidR="48D266AE">
            <w:rPr>
              <w:rFonts w:ascii="Times New Roman" w:hAnsi="Times New Roman" w:eastAsia="Times New Roman" w:cs="Times New Roman"/>
              <w:b w:val="1"/>
              <w:bCs w:val="1"/>
              <w:i w:val="0"/>
              <w:iCs w:val="0"/>
              <w:caps w:val="0"/>
              <w:smallCaps w:val="0"/>
              <w:color w:val="000000" w:themeColor="text1" w:themeTint="FF" w:themeShade="FF"/>
              <w:sz w:val="28"/>
              <w:szCs w:val="28"/>
              <w:lang w:val="es-AR"/>
            </w:rPr>
            <w:t>PROCEDIMIENTO ANTE ARMAS DE FUEGO DE CARACTER LEGAL DENTRO DEL RECINTO PORTUARIO</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left w:w="60" w:type="dxa"/>
            <w:right w:w="60" w:type="dxa"/>
          </w:tcMar>
          <w:vAlign w:val="center"/>
        </w:tcPr>
        <w:p w:rsidR="323B5017" w:rsidP="323B5017" w:rsidRDefault="323B5017" w14:paraId="1FA2BE17" w14:textId="7C21CB2D">
          <w:pPr>
            <w:tabs>
              <w:tab w:val="center" w:leader="none" w:pos="4419"/>
              <w:tab w:val="right" w:leader="none" w:pos="8838"/>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r w:rsidR="323B5017" w:rsidTr="48D266AE" w14:paraId="0DE0F719">
      <w:trPr>
        <w:trHeight w:val="690"/>
      </w:trPr>
      <w:tc>
        <w:tcPr>
          <w:tcW w:w="1355" w:type="dxa"/>
          <w:vMerge/>
          <w:tcBorders/>
          <w:tcMar/>
          <w:vAlign w:val="center"/>
        </w:tcPr>
        <w:p w14:paraId="61B80ED7"/>
      </w:tc>
      <w:tc>
        <w:tcPr>
          <w:tcW w:w="3135" w:type="dxa"/>
          <w:vMerge/>
          <w:tcBorders/>
          <w:tcMar/>
          <w:vAlign w:val="center"/>
        </w:tcPr>
        <w:p w14:paraId="37724EC0"/>
      </w:tc>
      <w:tc>
        <w:tcPr>
          <w:tcW w:w="4164" w:type="dxa"/>
          <w:vMerge/>
          <w:tcBorders/>
          <w:tcMar/>
          <w:vAlign w:val="center"/>
        </w:tcPr>
        <w:p w14:paraId="3B182452"/>
      </w:tc>
      <w:tc>
        <w:tcPr>
          <w:tcW w:w="1860" w:type="dxa"/>
          <w:tcBorders>
            <w:top w:val="single" w:color="000000" w:themeColor="text1" w:sz="6"/>
            <w:left w:val="single" w:color="000000" w:themeColor="text1" w:sz="6"/>
            <w:bottom w:val="single" w:color="000000" w:themeColor="text1" w:sz="6"/>
            <w:right w:val="single" w:color="000000" w:themeColor="text1" w:sz="6"/>
          </w:tcBorders>
          <w:tcMar>
            <w:left w:w="60" w:type="dxa"/>
            <w:right w:w="60" w:type="dxa"/>
          </w:tcMar>
          <w:vAlign w:val="center"/>
        </w:tcPr>
        <w:p w:rsidR="323B5017" w:rsidP="323B5017" w:rsidRDefault="323B5017" w14:paraId="089ECDC3" w14:textId="175BD33F">
          <w:pPr>
            <w:tabs>
              <w:tab w:val="center" w:leader="none" w:pos="4419"/>
              <w:tab w:val="right" w:leader="none" w:pos="8838"/>
            </w:tabs>
            <w:bidi w:val="0"/>
            <w:spacing w:after="0" w:line="240" w:lineRule="auto"/>
            <w:jc w:val="center"/>
            <w:rPr>
              <w:rFonts w:ascii="Times New Roman" w:hAnsi="Times New Roman" w:eastAsia="Times New Roman" w:cs="Times New Roman"/>
              <w:b w:val="0"/>
              <w:bCs w:val="0"/>
              <w:i w:val="0"/>
              <w:iCs w:val="0"/>
              <w:caps w:val="0"/>
              <w:smallCaps w:val="0"/>
              <w:color w:val="000000" w:themeColor="text1" w:themeTint="FF" w:themeShade="FF"/>
              <w:sz w:val="20"/>
              <w:szCs w:val="20"/>
            </w:rPr>
          </w:pPr>
        </w:p>
      </w:tc>
    </w:tr>
  </w:tbl>
  <w:p w:rsidR="323B5017" w:rsidP="323B5017" w:rsidRDefault="323B5017" w14:paraId="6B3B39FD" w14:textId="4103614A">
    <w:pPr>
      <w:pStyle w:val="Header"/>
      <w:bidi w:val="0"/>
    </w:pPr>
  </w:p>
</w:hdr>
</file>

<file path=word/intelligence2.xml><?xml version="1.0" encoding="utf-8"?>
<int2:intelligence xmlns:int2="http://schemas.microsoft.com/office/intelligence/2020/intelligence">
  <int2:observations>
    <int2:bookmark int2:bookmarkName="_Int_qYFv4h18" int2:invalidationBookmarkName="" int2:hashCode="rWjacqvt8hT+Qc" int2:id="Cl1o9ET8">
      <int2:state int2:type="AugLoop_Text_Critique" int2:value="Rejected"/>
    </int2:bookmark>
    <int2:bookmark int2:bookmarkName="_Int_gXPWtz2Y" int2:invalidationBookmarkName="" int2:hashCode="H8Hwfm2AHBeQYW" int2:id="vB2qw6mH">
      <int2:state int2:type="AugLoop_Text_Critique" int2:value="Rejected"/>
    </int2:bookmark>
    <int2:bookmark int2:bookmarkName="_Int_Oi9jyi1e" int2:invalidationBookmarkName="" int2:hashCode="WTwfUF7oOth3M5" int2:id="UetFiCGc">
      <int2:state int2:type="AugLoop_Text_Critique" int2:value="Rejected"/>
    </int2:bookmark>
    <int2:bookmark int2:bookmarkName="_Int_n47fJOHM" int2:invalidationBookmarkName="" int2:hashCode="LQDSZHb6bqnLLC" int2:id="eLEYrvxD">
      <int2:state int2:type="AugLoop_Text_Critique" int2:value="Rejected"/>
    </int2:bookmark>
    <int2:bookmark int2:bookmarkName="_Int_m1GIfSxu" int2:invalidationBookmarkName="" int2:hashCode="4r02kfsJc0rB69" int2:id="eEnK7rfj">
      <int2:state int2:type="AugLoop_Text_Critique" int2:value="Rejected"/>
    </int2:bookmark>
    <int2:bookmark int2:bookmarkName="_Int_gXPWtz2Y" int2:invalidationBookmarkName="" int2:hashCode="0CDKtYoElPUEeC" int2:id="Sjovj7Vp">
      <int2:state int2:type="AugLoop_Text_Critique" int2:value="Rejected"/>
    </int2:bookmark>
    <int2:bookmark int2:bookmarkName="_Int_ht0TNZLQ" int2:invalidationBookmarkName="" int2:hashCode="FHHTaNOTxUvrEP" int2:id="AhLfRQcY">
      <int2:state int2:type="AugLoop_Text_Critique" int2:value="Rejected"/>
    </int2:bookmark>
    <int2:bookmark int2:bookmarkName="_Int_fX7AjcKw" int2:invalidationBookmarkName="" int2:hashCode="lioFMBTowNYqKY" int2:id="r2kTbNZL">
      <int2:state int2:type="AugLoop_Text_Critique" int2:value="Rejected"/>
    </int2:bookmark>
    <int2:bookmark int2:bookmarkName="_Int_octJ4Uic" int2:invalidationBookmarkName="" int2:hashCode="z0pSjtv1bdf0gX" int2:id="2UWlA37o">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8">
    <w:nsid w:val="4cf0075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e444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3fd8e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71bc8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6542ebce"/>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3">
    <w:nsid w:val="3753aad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2">
    <w:nsid w:val="5eb273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aabc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8e94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d8ff2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4ea5c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d5017bc"/>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6">
    <w:nsid w:val="160b0261"/>
    <w:multiLevelType xmlns:w="http://schemas.openxmlformats.org/wordprocessingml/2006/main" w:val="hybridMultilevel"/>
    <w:lvl xmlns:w="http://schemas.openxmlformats.org/wordprocessingml/2006/main" w:ilvl="0">
      <w:start w:val="1"/>
      <w:numFmt w:val="bullet"/>
      <w:lvlText w:val=""/>
      <w:lvlJc w:val="left"/>
      <w:pPr>
        <w:ind w:left="1068" w:hanging="360"/>
      </w:pPr>
      <w:rPr>
        <w:rFonts w:hint="default" w:ascii="Symbol" w:hAnsi="Symbol"/>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5">
    <w:nsid w:val="375351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774779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48acf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fcf21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ead9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ED4C4E"/>
    <w:rsid w:val="1F0FDB20"/>
    <w:rsid w:val="323B5017"/>
    <w:rsid w:val="41ED4C4E"/>
    <w:rsid w:val="48D266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D4C4E"/>
  <w15:chartTrackingRefBased/>
  <w15:docId w15:val="{B6E3F210-9B39-4CD4-AD94-23D74F8E7C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ec9ab594b14b4592" /><Relationship Type="http://schemas.openxmlformats.org/officeDocument/2006/relationships/footer" Target="footer.xml" Id="R29bdce8477254ad3" /><Relationship Type="http://schemas.openxmlformats.org/officeDocument/2006/relationships/numbering" Target="numbering.xml" Id="Rf944a1e7a3644f66" /><Relationship Type="http://schemas.microsoft.com/office/2020/10/relationships/intelligence" Target="intelligence2.xml" Id="Rd480a2449a2b4718" /></Relationships>
</file>

<file path=word/_rels/header.xml.rels>&#65279;<?xml version="1.0" encoding="utf-8"?><Relationships xmlns="http://schemas.openxmlformats.org/package/2006/relationships"><Relationship Type="http://schemas.openxmlformats.org/officeDocument/2006/relationships/image" Target="/media/image.png" Id="R699e96566f0d4c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2023-10-02T00:41:14.6910964Z</dcterms:created>
  <dcterms:modified xsi:type="dcterms:W3CDTF">2024-01-17T14:27:59.3034934Z</dcterms:modified>
  <dc:creator>Joaquin Alejandro Perez Coria</dc:creator>
  <lastModifiedBy>Joaquin Alejandro Perez Coria</lastModifiedBy>
</coreProperties>
</file>