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64"/>
        <w:numPr>
          <w:ilvl w:val="0"/>
          <w:numId w:val="1"/>
        </w:numPr>
        <w:pBdr/>
        <w:spacing w:after="0" w:before="0" w:line="240" w:lineRule="auto"/>
        <w:ind w:hanging="357" w:left="357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i/>
          <w:iCs/>
          <w:sz w:val="24"/>
          <w:szCs w:val="24"/>
          <w:lang w:val="es-MX"/>
        </w:rPr>
      </w:r>
      <w:r>
        <w:rPr>
          <w:rFonts w:ascii="Arial" w:hAnsi="Arial" w:cs="Arial"/>
          <w:b/>
          <w:sz w:val="24"/>
          <w:szCs w:val="24"/>
          <w:lang w:val="es-MX"/>
        </w:rPr>
        <w:t xml:space="preserve">OBJETIVO</w:t>
      </w:r>
      <w:r>
        <w:rPr>
          <w:rFonts w:ascii="Arial" w:hAnsi="Arial" w:cs="Arial"/>
          <w:b/>
          <w:sz w:val="24"/>
          <w:szCs w:val="24"/>
          <w:lang w:val="es-MX"/>
        </w:rPr>
      </w:r>
      <w:r>
        <w:rPr>
          <w:rFonts w:ascii="Arial" w:hAnsi="Arial" w:cs="Arial"/>
          <w:b/>
          <w:sz w:val="24"/>
          <w:szCs w:val="24"/>
          <w:lang w:val="es-MX"/>
        </w:rPr>
      </w:r>
    </w:p>
    <w:p>
      <w:pPr>
        <w:pStyle w:val="1280"/>
        <w:pBdr/>
        <w:spacing/>
        <w:ind w:right="0" w:firstLine="0"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objetivo de este instructivo de trabajo es alinear prácticas entre las agencias marítimas y esta Prefectura de Puerto para dar entrada y despacho a Buques de ultramar que arriben a jurisdicción de esta Prefectura.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1280"/>
        <w:pBdr/>
        <w:spacing/>
        <w:ind w:firstLine="0" w:left="360"/>
        <w:rPr>
          <w:rFonts w:ascii="Arial" w:hAnsi="Arial" w:cs="Arial"/>
          <w:b/>
          <w:szCs w:val="24"/>
          <w:lang w:val="es-MX"/>
        </w:rPr>
      </w:pPr>
      <w:r>
        <w:rPr>
          <w:rFonts w:ascii="Arial" w:hAnsi="Arial" w:cs="Arial"/>
          <w:b/>
          <w:szCs w:val="24"/>
          <w:lang w:val="es-MX"/>
        </w:rPr>
      </w:r>
      <w:r>
        <w:rPr>
          <w:rFonts w:ascii="Arial" w:hAnsi="Arial" w:cs="Arial"/>
          <w:b/>
          <w:szCs w:val="24"/>
          <w:lang w:val="es-MX"/>
        </w:rPr>
      </w:r>
      <w:r>
        <w:rPr>
          <w:rFonts w:ascii="Arial" w:hAnsi="Arial" w:cs="Arial"/>
          <w:b/>
          <w:szCs w:val="24"/>
          <w:lang w:val="es-MX"/>
        </w:rPr>
      </w:r>
    </w:p>
    <w:p>
      <w:pPr>
        <w:pStyle w:val="1264"/>
        <w:numPr>
          <w:ilvl w:val="0"/>
          <w:numId w:val="1"/>
        </w:numPr>
        <w:pBdr/>
        <w:spacing w:after="0" w:before="0" w:line="240" w:lineRule="auto"/>
        <w:ind w:hanging="357" w:left="357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ALCANCE</w:t>
      </w:r>
      <w:r>
        <w:rPr>
          <w:rFonts w:ascii="Arial" w:hAnsi="Arial" w:cs="Arial"/>
          <w:b/>
          <w:sz w:val="24"/>
          <w:szCs w:val="24"/>
          <w:lang w:val="es-MX"/>
        </w:rPr>
      </w:r>
      <w:r>
        <w:rPr>
          <w:rFonts w:ascii="Arial" w:hAnsi="Arial" w:cs="Arial"/>
          <w:b/>
          <w:sz w:val="24"/>
          <w:szCs w:val="24"/>
          <w:lang w:val="es-MX"/>
        </w:rPr>
      </w:r>
    </w:p>
    <w:p>
      <w:pPr>
        <w:pStyle w:val="1264"/>
        <w:pBdr/>
        <w:spacing w:after="0" w:before="0" w:line="240" w:lineRule="auto"/>
        <w:ind w:right="0" w:firstLine="0" w:left="567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instructivo aplica, a los Buques gestionados por todas las agencias marítimas que representen buque de navegación oceánica que recalen en </w:t>
      </w:r>
      <w:r>
        <w:rPr>
          <w:rFonts w:ascii="Arial" w:hAnsi="Arial" w:cs="Arial"/>
          <w:lang w:val="es-MX"/>
        </w:rPr>
        <w:t xml:space="preserve">este </w:t>
      </w:r>
      <w:r>
        <w:rPr>
          <w:rFonts w:ascii="Arial" w:hAnsi="Arial" w:cs="Arial"/>
          <w:lang w:val="es-MX"/>
        </w:rPr>
        <w:t xml:space="preserve">puerto. </w:t>
      </w:r>
      <w:r>
        <w:rPr>
          <w:rFonts w:ascii="Arial" w:hAnsi="Arial" w:cs="Arial"/>
          <w:lang w:val="es-MX"/>
        </w:rPr>
      </w:r>
      <w:r>
        <w:rPr>
          <w:rFonts w:ascii="Arial" w:hAnsi="Arial" w:cs="Arial"/>
          <w:lang w:val="es-MX"/>
        </w:rPr>
      </w:r>
    </w:p>
    <w:p>
      <w:pPr>
        <w:pStyle w:val="1264"/>
        <w:pBdr/>
        <w:spacing w:after="0" w:before="0" w:line="240" w:lineRule="auto"/>
        <w:ind w:firstLine="0" w:left="357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</w:r>
      <w:r>
        <w:rPr>
          <w:rFonts w:ascii="Arial" w:hAnsi="Arial" w:cs="Arial"/>
          <w:lang w:val="es-MX"/>
        </w:rPr>
      </w:r>
      <w:r>
        <w:rPr>
          <w:rFonts w:ascii="Arial" w:hAnsi="Arial" w:cs="Arial"/>
          <w:lang w:val="es-MX"/>
        </w:rPr>
      </w:r>
    </w:p>
    <w:p>
      <w:pPr>
        <w:pStyle w:val="1264"/>
        <w:numPr>
          <w:ilvl w:val="0"/>
          <w:numId w:val="1"/>
        </w:numPr>
        <w:pBdr/>
        <w:spacing w:after="0" w:before="0" w:line="240" w:lineRule="auto"/>
        <w:ind w:hanging="357" w:left="357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REFERENCIAS</w:t>
      </w:r>
      <w:r>
        <w:rPr>
          <w:rFonts w:ascii="Arial" w:hAnsi="Arial" w:cs="Arial"/>
          <w:b/>
          <w:sz w:val="24"/>
          <w:szCs w:val="24"/>
          <w:lang w:val="es-MX"/>
        </w:rPr>
      </w:r>
      <w:r>
        <w:rPr>
          <w:rFonts w:ascii="Arial" w:hAnsi="Arial" w:cs="Arial"/>
          <w:b/>
          <w:sz w:val="24"/>
          <w:szCs w:val="24"/>
          <w:lang w:val="es-MX"/>
        </w:rPr>
      </w:r>
    </w:p>
    <w:p>
      <w:pPr>
        <w:pStyle w:val="1279"/>
        <w:numPr>
          <w:ilvl w:val="0"/>
          <w:numId w:val="6"/>
        </w:numPr>
        <w:pBdr/>
        <w:spacing w:after="0" w:before="0" w:line="240" w:lineRule="auto"/>
        <w:ind w:right="0" w:hanging="283" w:left="850"/>
        <w:contextualSpacing w:val="true"/>
        <w:jc w:val="both"/>
        <w:rPr/>
      </w:pPr>
      <w:r/>
      <w:hyperlink r:id="rId12" w:tooltip="http://intranet.armada.mil.uy/index.php/component/attachments/download/4062" w:history="1">
        <w:r>
          <w:rPr>
            <w:rStyle w:val="1269"/>
            <w:rFonts w:ascii="Arial" w:hAnsi="Arial" w:eastAsia="Calibri" w:cs="Arial" w:eastAsiaTheme="minorHAnsi"/>
            <w:color w:val="auto"/>
            <w:sz w:val="22"/>
            <w:szCs w:val="22"/>
            <w:u w:val="none"/>
            <w:lang w:val="es-UY" w:eastAsia="en-US" w:bidi="ar-SA"/>
          </w:rPr>
          <w:t xml:space="preserve">Ley 16.246 del 08/04/1992</w:t>
        </w:r>
      </w:hyperlink>
      <w:r>
        <w:t xml:space="preserve">.</w:t>
      </w:r>
      <w:r/>
    </w:p>
    <w:p>
      <w:pPr>
        <w:pStyle w:val="1279"/>
        <w:numPr>
          <w:ilvl w:val="0"/>
          <w:numId w:val="6"/>
        </w:numPr>
        <w:pBdr/>
        <w:spacing w:after="0" w:before="0" w:line="240" w:lineRule="auto"/>
        <w:ind w:right="0" w:hanging="283" w:left="850"/>
        <w:contextualSpacing w:val="tru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Ley 16.287 del 26 de octubre de 1992 (CONVEMAR), Art. 220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1279"/>
        <w:numPr>
          <w:ilvl w:val="0"/>
          <w:numId w:val="6"/>
        </w:numPr>
        <w:pBdr/>
        <w:spacing w:after="0" w:before="0" w:line="240" w:lineRule="auto"/>
        <w:ind w:right="0" w:hanging="283" w:left="850"/>
        <w:contextualSpacing w:val="tru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Decreto 256/91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1279"/>
        <w:numPr>
          <w:ilvl w:val="0"/>
          <w:numId w:val="6"/>
        </w:numPr>
        <w:pBdr/>
        <w:spacing w:after="0" w:before="0" w:line="240" w:lineRule="auto"/>
        <w:ind w:right="0" w:hanging="283" w:left="850"/>
        <w:contextualSpacing w:val="true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Decreto 24262 del 20-08-1959 (Libre Platica)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1279"/>
        <w:pBdr/>
        <w:spacing w:after="0" w:before="0" w:line="240" w:lineRule="auto"/>
        <w:ind w:firstLine="0" w:left="360"/>
        <w:contextualSpacing w:val="tru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264"/>
        <w:numPr>
          <w:ilvl w:val="0"/>
          <w:numId w:val="1"/>
        </w:numPr>
        <w:pBdr/>
        <w:spacing w:after="0" w:before="0" w:line="240" w:lineRule="auto"/>
        <w:ind w:hanging="357" w:left="357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DEFINICIONES, ABREVIATURAS Y SÍMBOLOS</w:t>
      </w:r>
      <w:r>
        <w:rPr>
          <w:rFonts w:ascii="Arial" w:hAnsi="Arial" w:cs="Arial"/>
          <w:b/>
          <w:sz w:val="24"/>
          <w:szCs w:val="24"/>
          <w:lang w:val="es-MX"/>
        </w:rPr>
      </w:r>
      <w:r>
        <w:rPr>
          <w:rFonts w:ascii="Arial" w:hAnsi="Arial" w:cs="Arial"/>
          <w:b/>
          <w:sz w:val="24"/>
          <w:szCs w:val="24"/>
          <w:lang w:val="es-MX"/>
        </w:rPr>
      </w:r>
    </w:p>
    <w:p>
      <w:pPr>
        <w:pStyle w:val="1264"/>
        <w:numPr>
          <w:ilvl w:val="0"/>
          <w:numId w:val="5"/>
        </w:numPr>
        <w:pBdr/>
        <w:spacing w:after="0" w:before="0" w:line="240" w:lineRule="auto"/>
        <w:ind w:right="0" w:hanging="283" w:left="85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PREMO:</w:t>
      </w:r>
      <w:r>
        <w:rPr>
          <w:rFonts w:ascii="Arial" w:hAnsi="Arial" w:cs="Arial"/>
        </w:rPr>
        <w:tab/>
        <w:t xml:space="preserve">Prefectura del Puerto de Montevideo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4"/>
        <w:numPr>
          <w:ilvl w:val="0"/>
          <w:numId w:val="5"/>
        </w:numPr>
        <w:pBdr/>
        <w:spacing w:after="0" w:before="0" w:line="240" w:lineRule="auto"/>
        <w:ind w:right="0" w:hanging="283" w:left="85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OCG:</w:t>
      </w:r>
      <w:r>
        <w:rPr>
          <w:rFonts w:ascii="Arial" w:hAnsi="Arial" w:cs="Arial"/>
        </w:rPr>
        <w:tab/>
        <w:tab/>
        <w:t xml:space="preserve">Oficial Comandante de Guardia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4"/>
        <w:numPr>
          <w:ilvl w:val="0"/>
          <w:numId w:val="5"/>
        </w:numPr>
        <w:pBdr/>
        <w:spacing w:after="0" w:before="0" w:line="240" w:lineRule="auto"/>
        <w:ind w:right="0" w:hanging="283" w:left="85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OG:</w:t>
      </w:r>
      <w:r>
        <w:rPr>
          <w:rFonts w:ascii="Arial" w:hAnsi="Arial" w:cs="Arial"/>
        </w:rPr>
        <w:tab/>
        <w:tab/>
        <w:t xml:space="preserve">Oficial de Guardia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4"/>
        <w:numPr>
          <w:ilvl w:val="0"/>
          <w:numId w:val="5"/>
        </w:numPr>
        <w:pBdr/>
        <w:spacing w:after="0" w:before="0" w:line="240" w:lineRule="auto"/>
        <w:ind w:right="0" w:hanging="283" w:left="85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CONMO:</w:t>
      </w:r>
      <w:r>
        <w:rPr>
          <w:rFonts w:ascii="Arial" w:hAnsi="Arial" w:cs="Arial"/>
          <w:u w:val="none"/>
        </w:rPr>
        <w:tab/>
      </w:r>
      <w:r>
        <w:rPr>
          <w:rFonts w:ascii="Arial" w:hAnsi="Arial" w:cs="Arial"/>
        </w:rPr>
        <w:t xml:space="preserve">Centro de Control Marítimo de la Prefectura del Puerto de Montevideo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4"/>
        <w:numPr>
          <w:ilvl w:val="0"/>
          <w:numId w:val="5"/>
        </w:numPr>
        <w:pBdr/>
        <w:spacing w:after="0" w:before="0" w:line="240" w:lineRule="auto"/>
        <w:ind w:right="0" w:hanging="283" w:left="85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SIGEMAR:</w:t>
      </w:r>
      <w:r>
        <w:rPr>
          <w:rFonts w:ascii="Arial" w:hAnsi="Arial" w:cs="Arial"/>
        </w:rPr>
        <w:tab/>
        <w:t xml:space="preserve">Sistema de Gestión Marítimo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1264"/>
        <w:pBdr/>
        <w:spacing w:after="0" w:before="0" w:line="24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279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DESARROLLO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1279"/>
        <w:numPr>
          <w:ilvl w:val="1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ACTIVIDADES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1264"/>
        <w:numPr>
          <w:ilvl w:val="2"/>
          <w:numId w:val="2"/>
        </w:numPr>
        <w:suppressLineNumbers w:val="false"/>
        <w:pBdr/>
        <w:tabs>
          <w:tab w:val="clear" w:leader="none" w:pos="1440"/>
        </w:tabs>
        <w:spacing w:after="0" w:before="0"/>
        <w:ind w:right="0" w:hanging="567" w:left="113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A los efectos de realizar el corre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cto control sobre la documentación para realizar entrada y despacho de buques de ultramar por esta prefectura de puerto, se requiere por parte de la agencia el envío en forma digital (de 2 a 6 horas antes de ingreso o fondeo) de los siguientes documentos: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Libre Plática.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Zarpe del puerto anterior.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Manifiesto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de carga.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Reporte de aguas de lastre.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Lista de rancho/tienda.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Declaración de efectos personales.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Certificados y documentos que figuran al reverso de la carpeta de entrada.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 w14:paraId="2ECC26CD">
      <w:pPr>
        <w:pStyle w:val="1264"/>
        <w:numPr>
          <w:ilvl w:val="3"/>
          <w:numId w:val="2"/>
        </w:numPr>
        <w:pBdr/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Lista de tripulacion y/o pasajeros. 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/>
    </w:p>
    <w:p>
      <w:pPr>
        <w:pStyle w:val="1264"/>
        <w:numPr>
          <w:ilvl w:val="2"/>
          <w:numId w:val="2"/>
        </w:numPr>
        <w:suppressLineNumbers w:val="false"/>
        <w:pBdr/>
        <w:tabs>
          <w:tab w:val="clear" w:leader="none" w:pos="1440"/>
        </w:tabs>
        <w:spacing w:after="0" w:before="0"/>
        <w:ind w:right="0" w:hanging="567" w:left="1134"/>
        <w:jc w:val="both"/>
        <w:rPr/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Una vez que el buque se encuentre atracado en puerto, se deberá presentar en esta Prefectura la “carpeta de entrada” firmada y sellada por el Capitán y la Agencia Marítima, la misma deberá contener la siguiente documentación impresa en su interior: </w:t>
      </w:r>
      <w:r/>
    </w:p>
    <w:p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62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Rol de tripulación y/o pasajeros de entrada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Declaración General firmada y sellada por el Capitán y Agencia marítima.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Lista de últimos 10 puertos (Port of calls).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Responsabilidad de agencia marítima.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Registro Sinóptico Continuo (CSR - Continuous Synopsis Record) o Matrícula en cas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o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                         de buques pesqueros.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2"/>
          <w:numId w:val="2"/>
        </w:numPr>
        <w:pBdr/>
        <w:tabs>
          <w:tab w:val="clear" w:leader="none" w:pos="1440"/>
        </w:tabs>
        <w:spacing w:after="0" w:before="0"/>
        <w:ind w:right="0" w:hanging="567" w:left="1134"/>
        <w:jc w:val="both"/>
        <w:rPr/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Para efectivi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z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ar el despacho del buque se deberá presentar la documentación requerida para dicho trámite, la cual consiste en:</w:t>
      </w:r>
      <w:r/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Boleta de despacho (vía celeste).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Rol de tripulación de salida sellado por Migraciones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(si corresponde)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Expedito Sanitario 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(si corresponde)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Zarpe.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pBdr/>
        <w:spacing w:after="0" w:before="0"/>
        <w:ind w:right="0" w:firstLine="0" w:left="1134"/>
        <w:jc w:val="both"/>
        <w:rPr>
          <w:rFonts w:ascii="Arial" w:hAnsi="Arial" w:cs="Arial" w:eastAsiaTheme="minorHAnsi"/>
          <w:color w:val="auto"/>
          <w:sz w:val="22"/>
          <w:szCs w:val="22"/>
          <w:highlight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Cabe destacar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  <w:t xml:space="preserve"> que, a excepción de la boleta de despacho y el zarpe, la demás documentación podrá ser enviada en forma digital mediante correo electrónico, permitiendo así, que el despacho se realice sin necesidad de presentarse de forma presencial en nuestras oficinas.</w:t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lang w:val="es-AR" w:eastAsia="en-US" w:bidi="ar-SA"/>
        </w:rPr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lang w:val="es-AR" w:eastAsia="en-US" w:bidi="ar-SA"/>
        </w:rPr>
      </w:r>
    </w:p>
    <w:p w14:paraId="6E4221D1">
      <w:pPr>
        <w:pStyle w:val="1264"/>
        <w:numPr>
          <w:ilvl w:val="2"/>
          <w:numId w:val="2"/>
        </w:numPr>
        <w:pBdr/>
        <w:tabs>
          <w:tab w:val="clear" w:leader="none" w:pos="1440"/>
        </w:tabs>
        <w:spacing w:after="0" w:before="0"/>
        <w:ind w:right="0" w:hanging="567" w:left="113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  <w:t xml:space="preserve">En caso de que el buque haya solicitado despacho y hayan transcurrido más de 24 horas desde la realización del trámite, será necesario que la Agencia Marítima solicite nuevamente el despacho del mismo, denominando a esta solicitud como redespacho. Para el m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  <w:t xml:space="preserve">ismo, se deberán actualizar los siguientes documentos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  <w:t xml:space="preserve">:</w:t>
      </w:r>
      <w:r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r>
    </w:p>
    <w:p w14:paraId="74F2E5DE"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Rol de tripulación y/o pasajeros de salida, sellado por Migraciones (si corresponde).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r>
    </w:p>
    <w:p w14:paraId="4C3951AD"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Expedito sanitario (si corresponde)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.</w:t>
      </w:r>
      <w:r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r>
    </w:p>
    <w:p w14:paraId="7A106E85">
      <w:pPr>
        <w:pStyle w:val="1264"/>
        <w:numPr>
          <w:ilvl w:val="3"/>
          <w:numId w:val="2"/>
        </w:numPr>
        <w:suppressLineNumbers w:val="false"/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Zarpe.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cs="Arial" w:eastAsiaTheme="minorHAnsi"/>
          <w:color w:val="auto"/>
          <w:sz w:val="22"/>
          <w:szCs w:val="22"/>
          <w:lang w:val="es-AR" w:eastAsia="en-US" w:bidi="ar-SA"/>
        </w:rPr>
      </w:r>
    </w:p>
    <w:p w14:paraId="10F6BBC8">
      <w:pPr>
        <w:pStyle w:val="1264"/>
        <w:suppressLineNumbers w:val="false"/>
        <w:pBdr/>
        <w:spacing w:after="0" w:before="0"/>
        <w:ind w:right="0" w:firstLine="0" w:left="1134"/>
        <w:jc w:val="both"/>
        <w:rPr/>
      </w:pP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En los casos en que el buque zarpe con escala en alguna de las zonas en jurisdicción, ya sea por operativa o por espera para ingreso a otro puerto, no se deberá realizar redespacho, entendiendo que el mismo ya se encuentra despachado, y el zarpe de dichas z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onas será a través de solicitud radial a CONMO. 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Si, encontrándose fondeado en alguna de las zonas en jurisdicción, volviese a solicitar servicios a puerto, sí se deberá realizar el redespacho del mismo.</w:t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cs="Arial" w:eastAsiaTheme="minorHAnsi"/>
          <w:color w:val="auto"/>
          <w:sz w:val="22"/>
          <w:szCs w:val="22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</w:p>
    <w:p>
      <w:pPr>
        <w:pStyle w:val="1264"/>
        <w:numPr>
          <w:ilvl w:val="2"/>
          <w:numId w:val="2"/>
        </w:numPr>
        <w:pBdr/>
        <w:tabs>
          <w:tab w:val="clear" w:leader="none" w:pos="1440"/>
        </w:tabs>
        <w:spacing w:after="0" w:before="0"/>
        <w:ind w:right="0" w:hanging="567" w:left="1134"/>
        <w:jc w:val="both"/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Todos los certificados que a continuación se detallan, deberán ser enviados en formato 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digital 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para la creación de la base de datos del buque en cuestión:</w:t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Libre Plática y Expedito Sanitario.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Manifiesto de carga.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Reporte de aguas de lastre (Ballast water report).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Zarpe del puerto anterior (Port Clearance).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Lista de rancho/tienda.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Declaración de efectos personales.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Lista de negativo (NIL List).</w:t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</w:r>
    </w:p>
    <w:p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pPr>
      <w:r>
        <w:rPr>
          <w:rFonts w:ascii="Arial" w:hAnsi="Arial" w:eastAsia="Calibri" w:cs="Arial" w:eastAsiaTheme="minorHAnsi"/>
          <w:color w:val="auto"/>
          <w:sz w:val="22"/>
          <w:szCs w:val="22"/>
          <w:u w:val="none"/>
          <w:lang w:val="es-AR" w:eastAsia="en-US" w:bidi="ar-SA"/>
        </w:rPr>
        <w:t xml:space="preserve">Certificados que figuran en la carpeta, según el tipo de buque.</w:t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r>
    </w:p>
    <w:p w14:paraId="5809041D">
      <w:pPr>
        <w:pStyle w:val="1264"/>
        <w:numPr>
          <w:ilvl w:val="3"/>
          <w:numId w:val="2"/>
        </w:numPr>
        <w:pBdr/>
        <w:tabs>
          <w:tab w:val="clear" w:leader="none" w:pos="1800"/>
        </w:tabs>
        <w:spacing w:after="0" w:before="0"/>
        <w:ind w:right="0" w:hanging="850" w:left="1984"/>
        <w:jc w:val="both"/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pPr>
      <w:r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  <w:t xml:space="preserve">Rol de tripulacion y/o pasajeros de entrada y de salida.</w:t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es-AR"/>
        </w:rPr>
      </w:r>
      <w:r>
        <w:rPr>
          <w:rFonts w:ascii="Arial" w:hAnsi="Arial" w:cs="Arial" w:eastAsiaTheme="minorHAnsi"/>
          <w:color w:val="auto"/>
          <w:sz w:val="22"/>
          <w:szCs w:val="22"/>
          <w:highlight w:val="none"/>
          <w:u w:val="none"/>
          <w:lang w:val="es-AR" w:eastAsia="en-US" w:bidi="ar-SA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18" w:right="964" w:bottom="1418" w:left="851" w:header="57" w:footer="283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Microsoft YaHei">
    <w:panose1 w:val="020B06030202020202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7"/>
      <w:pBdr/>
      <w:spacing/>
      <w:ind/>
      <w:rPr/>
    </w:pPr>
    <w:r/>
    <w:r/>
  </w:p>
  <w:tbl>
    <w:tblPr>
      <w:tblInd w:w="-72" w:type="dxa"/>
      <w:tblW w:w="10322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2127"/>
      <w:gridCol w:w="4110"/>
      <w:gridCol w:w="2557"/>
      <w:gridCol w:w="1527"/>
    </w:tblGrid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restart"/>
          <w:textDirection w:val="lrTb"/>
          <w:noWrap w:val="false"/>
        </w:tcPr>
        <w:p>
          <w:pPr>
            <w:pStyle w:val="1264"/>
            <w:keepNext w:val="true"/>
            <w:widowControl w:val="false"/>
            <w:numPr>
              <w:ilvl w:val="0"/>
              <w:numId w:val="0"/>
            </w:numPr>
            <w:pBdr/>
            <w:spacing w:after="0" w:before="0" w:line="360" w:lineRule="auto"/>
            <w:ind w:firstLine="0" w:left="0"/>
            <w:outlineLvl w:val="0"/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pP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  <w:t xml:space="preserve">APROBADO POR</w:t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  <w:r>
            <w:rPr>
              <w:rFonts w:ascii="Times New Roman" w:hAnsi="Times New Roman" w:eastAsia="Times New Roman" w:cs="Times New Roman"/>
              <w:b/>
              <w:sz w:val="24"/>
              <w:szCs w:val="20"/>
              <w:lang w:val="es-ES_tradnl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CARGO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7" w:type="dxa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FIRMA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27" w:type="dxa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FECHA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vMerge w:val="continue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47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Prefecto del Puerto de Montevideo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2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REVISADO POR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4110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Jefe de la División Marina Mercante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55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16"/>
              <w:szCs w:val="16"/>
              <w:lang w:val="es-MX" w:eastAsia="es-ES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52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  <w:tr>
      <w:trPr>
        <w:cantSplit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2127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center"/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  <w:t xml:space="preserve">DOCUMENTO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ES" w:eastAsia="es-ES"/>
            </w:rPr>
          </w:r>
        </w:p>
      </w:tc>
      <w:tc>
        <w:tcPr>
          <w:gridSpan w:val="3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8194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 w:firstLine="540" w:left="-540"/>
            <w:jc w:val="left"/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3" behindDoc="1" locked="0" layoutInCell="0" allowOverlap="1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5080" t="5080" r="5080" b="5080"/>
                    <wp:wrapNone/>
                    <wp:docPr id="2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1" o:spid="_x0000_s1" o:spt="1" type="#_x0000_t1" style="position:absolute;z-index:-3;o:allowoverlap:true;o:allowincell:false;mso-position-horizontal-relative:text;margin-left:365.55pt;mso-position-horizontal:absolute;mso-position-vertical-relative:text;margin-top:2.9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5" behindDoc="1" locked="0" layoutInCell="0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5080" b="5080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-5;o:allowoverlap:true;o:allowincell:false;mso-position-horizontal-relative:text;margin-left:217.15pt;mso-position-horizontal:absolute;mso-position-vertical-relative:text;margin-top:3.40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080" distB="5080" distL="5080" distR="5080" simplePos="0" relativeHeight="7" behindDoc="1" locked="0" layoutInCell="0" allowOverlap="1">
                    <wp:simplePos x="0" y="0"/>
                    <wp:positionH relativeFrom="column">
                      <wp:posOffset>1713230</wp:posOffset>
                    </wp:positionH>
                    <wp:positionV relativeFrom="paragraph">
                      <wp:posOffset>52705</wp:posOffset>
                    </wp:positionV>
                    <wp:extent cx="114300" cy="114300"/>
                    <wp:effectExtent l="5080" t="5080" r="5080" b="5080"/>
                    <wp:wrapNone/>
                    <wp:docPr id="4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480" cy="114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-7;o:allowoverlap:true;o:allowincell:false;mso-position-horizontal-relative:text;margin-left:134.90pt;mso-position-horizontal:absolute;mso-position-vertical-relative:text;margin-top:4.15pt;mso-position-vertical:absolute;width:9.00pt;height:9.00pt;mso-wrap-distance-left:0.40pt;mso-wrap-distance-top:0.40pt;mso-wrap-distance-right:0.40pt;mso-wrap-distance-bottom:0.40pt;visibility:visible;" fillcolor="#FFFFFF" strokecolor="#000000" strokeweight="0.75pt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5715" distB="4445" distL="5715" distR="4445" simplePos="0" relativeHeight="9" behindDoc="1" locked="0" layoutInCell="0" allowOverlap="1">
                    <wp:simplePos x="0" y="0"/>
                    <wp:positionH relativeFrom="column">
                      <wp:posOffset>1708785</wp:posOffset>
                    </wp:positionH>
                    <wp:positionV relativeFrom="paragraph">
                      <wp:posOffset>31750</wp:posOffset>
                    </wp:positionV>
                    <wp:extent cx="130175" cy="116205"/>
                    <wp:effectExtent l="5715" t="5715" r="4445" b="4445"/>
                    <wp:wrapNone/>
                    <wp:docPr id="5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320" cy="116280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-9;o:allowoverlap:true;o:allowincell:false;mso-position-horizontal-relative:text;margin-left:134.55pt;mso-position-horizontal:absolute;mso-position-vertical-relative:text;margin-top:2.50pt;mso-position-vertical:absolute;width:10.25pt;height:9.15pt;mso-wrap-distance-left:0.45pt;mso-wrap-distance-top:0.45pt;mso-wrap-distance-right:0.35pt;mso-wrap-distance-bottom:0.35pt;visibility:visible;" fillcolor="#66FF33" strokecolor="#000000" strokeweight="0.75pt"/>
                </w:pict>
              </mc:Fallback>
            </mc:AlternateContent>
            <w:t xml:space="preserve">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       Copia No Controlada</w:t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  <w:lang w:val="es-MX" w:eastAsia="es-ES"/>
            </w:rPr>
          </w:r>
        </w:p>
      </w:tc>
    </w:tr>
  </w:tbl>
  <w:p>
    <w:pPr>
      <w:pStyle w:val="1277"/>
      <w:pBdr/>
      <w:spacing/>
      <w:ind/>
      <w:rPr/>
    </w:pPr>
    <w:r/>
    <w:r/>
  </w:p>
  <w:p>
    <w:pPr>
      <w:pStyle w:val="12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76"/>
      <w:pBdr/>
      <w:spacing/>
      <w:ind/>
      <w:rPr/>
    </w:pPr>
    <w:r/>
    <w:r/>
  </w:p>
  <w:tbl>
    <w:tblPr>
      <w:tblInd w:w="70" w:type="dxa"/>
      <w:tblW w:w="10399" w:type="dxa"/>
      <w:tblCellMar>
        <w:left w:w="70" w:type="dxa"/>
        <w:top w:w="0" w:type="dxa"/>
        <w:right w:w="70" w:type="dxa"/>
        <w:bottom w:w="0" w:type="dxa"/>
      </w:tblCellMar>
      <w:tblBorders/>
      <w:tblLayout w:type="fixed"/>
      <w:tblLook w:val="0000" w:firstRow="0" w:lastRow="0" w:firstColumn="0" w:lastColumn="0" w:noHBand="0" w:noVBand="0"/>
    </w:tblPr>
    <w:tblGrid>
      <w:gridCol w:w="1554"/>
      <w:gridCol w:w="2911"/>
      <w:gridCol w:w="4049"/>
      <w:gridCol w:w="188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4" w:type="dxa"/>
          <w:vAlign w:val="center"/>
          <w:vMerge w:val="restart"/>
          <w:textDirection w:val="lrTb"/>
          <w:noWrap w:val="false"/>
        </w:tcPr>
        <w:p>
          <w:pPr>
            <w:pStyle w:val="126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49300" cy="644525"/>
                    <wp:effectExtent l="0" t="0" r="0" b="0"/>
                    <wp:docPr id="1" name="Imagen 1" descr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n 1" descr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49300" cy="6445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00pt;height:50.7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11" w:type="dxa"/>
          <w:vAlign w:val="center"/>
          <w:vMerge w:val="restart"/>
          <w:textDirection w:val="lrTb"/>
          <w:noWrap w:val="false"/>
        </w:tcPr>
        <w:p>
          <w:pPr>
            <w:pStyle w:val="126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DEL PUERTO DE MONTEVIDEO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restart"/>
          <w:textDirection w:val="lrTb"/>
          <w:noWrap w:val="false"/>
        </w:tcPr>
        <w:p>
          <w:pPr>
            <w:pStyle w:val="1264"/>
            <w:widowControl w:val="false"/>
            <w:suppressLineNumbers w:val="false"/>
            <w:pBdr/>
            <w:spacing w:after="120" w:before="120" w:line="240" w:lineRule="auto"/>
            <w:ind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INSTRUCTIVO DE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ENTRADA Y DESPACHO ONLINE (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vía</w:t>
          </w:r>
          <w:r/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email)</w:t>
          </w:r>
          <w:r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PR-provisorio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54" w:type="dxa"/>
          <w:vAlign w:val="center"/>
          <w:vMerge w:val="continue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11" w:type="dxa"/>
          <w:vAlign w:val="center"/>
          <w:vMerge w:val="continue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49" w:type="dxa"/>
          <w:vAlign w:val="center"/>
          <w:vMerge w:val="continue"/>
          <w:textDirection w:val="lrTb"/>
          <w:noWrap w:val="false"/>
        </w:tcPr>
        <w:p>
          <w:pPr>
            <w:pStyle w:val="1264"/>
            <w:widowControl w:val="false"/>
            <w:pBdr/>
            <w:spacing w:after="0" w:before="0" w:line="240" w:lineRule="auto"/>
            <w:ind/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val="es-ES" w:eastAsia="ar-SA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1264"/>
            <w:widowControl w:val="false"/>
            <w:pBdr/>
            <w:tabs>
              <w:tab w:val="clear" w:leader="none" w:pos="708"/>
              <w:tab w:val="center" w:leader="none" w:pos="4419"/>
              <w:tab w:val="right" w:leader="none" w:pos="8838"/>
            </w:tabs>
            <w:spacing w:after="0" w:before="0" w:line="240" w:lineRule="auto"/>
            <w:ind/>
            <w:jc w:val="center"/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  <w:t xml:space="preserve">Revisión 03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 w:eastAsia="ar-SA"/>
            </w:rPr>
          </w:r>
        </w:p>
      </w:tc>
    </w:tr>
  </w:tbl>
  <w:p>
    <w:pPr>
      <w:pStyle w:val="1276"/>
      <w:pBdr/>
      <w:spacing/>
      <w:ind/>
      <w:rPr/>
    </w:pPr>
    <w:r/>
    <w:r/>
  </w:p>
  <w:p>
    <w:pPr>
      <w:pStyle w:val="12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>
        <w:rFonts w:ascii="Arial" w:hAnsi="Arial"/>
        <w:b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>
        <w:b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800"/>
        </w:tabs>
        <w:spacing/>
        <w:ind w:hanging="720" w:left="180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2520"/>
        </w:tabs>
        <w:spacing/>
        <w:ind w:hanging="1080" w:left="252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880"/>
        </w:tabs>
        <w:spacing/>
        <w:ind w:hanging="1080" w:left="28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3600"/>
        </w:tabs>
        <w:spacing/>
        <w:ind w:hanging="1440" w:left="360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3960"/>
        </w:tabs>
        <w:spacing/>
        <w:ind w:hanging="1440" w:left="39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4680"/>
        </w:tabs>
        <w:spacing/>
        <w:ind w:hanging="1800" w:left="4680"/>
      </w:pPr>
      <w:rPr/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nsid w:val="3F6B5E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F7B5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83">
    <w:name w:val="Table Grid"/>
    <w:basedOn w:val="12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Table Grid Light"/>
    <w:basedOn w:val="12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Plain Table 1"/>
    <w:basedOn w:val="12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Plain Table 2"/>
    <w:basedOn w:val="12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Plain Table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Plain Table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Plain Table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1 Light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1 Light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1 Light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1 Light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1 Light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1 Light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1 Light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2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2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2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2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2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2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3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3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3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3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3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3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4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4 - Accent 1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4 - Accent 2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4 - Accent 3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4 - Accent 4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4 - Accent 5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4 - Accent 6"/>
    <w:basedOn w:val="12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5 Dark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5 Dark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5 Dark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5 Dark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Grid Table 5 Dark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5 Dark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5 Dark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6 Colorful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Grid Table 6 Colorful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6 Colorful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6 Colorful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6 Colorful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6 Colorful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6 Colorful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7 Colorful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7 Colorful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7 Colorful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7 Colorful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7 Colorful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7 Colorful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7 Colorful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1 Light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1 Light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1 Light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1 Light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1 Light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1 Light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1 Light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2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2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2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2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2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2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3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3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3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3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3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3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4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4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4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4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4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4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5 Dark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5 Dark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5 Dark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5 Dark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st Table 5 Dark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5 Dark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5 Dark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6 Colorful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st Table 6 Colorful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st Table 6 Colorful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st Table 6 Colorful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6 Colorful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6 Colorful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6 Colorful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7 Colorful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7 Colorful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7 Colorful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7 Colorful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7 Colorful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7 Colorful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7 Colorful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ned - Accent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ned - Accent 1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ned - Accent 2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ned - Accent 3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ned - Accent 4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ned - Accent 5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ned - Accent 6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Bordered &amp; Lined - Accent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Bordered &amp; Lined - Accent 1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Bordered &amp; Lined - Accent 2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Bordered &amp; Lined - Accent 3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Bordered &amp; Lined - Accent 4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Bordered &amp; Lined - Accent 5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Bordered &amp; Lined - Accent 6"/>
    <w:basedOn w:val="12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Bordered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Bordered - Accent 1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Bordered - Accent 2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Bordered - Accent 3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Bordered - Accent 4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Bordered - Accent 5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Bordered - Accent 6"/>
    <w:basedOn w:val="12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9">
    <w:name w:val="Heading 1"/>
    <w:basedOn w:val="1264"/>
    <w:next w:val="1264"/>
    <w:link w:val="12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10">
    <w:name w:val="Heading 2"/>
    <w:basedOn w:val="1264"/>
    <w:next w:val="1264"/>
    <w:link w:val="12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11">
    <w:name w:val="Heading 3"/>
    <w:basedOn w:val="1264"/>
    <w:next w:val="1264"/>
    <w:link w:val="12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12">
    <w:name w:val="Heading 4"/>
    <w:basedOn w:val="1264"/>
    <w:next w:val="1264"/>
    <w:link w:val="12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13">
    <w:name w:val="Heading 5"/>
    <w:basedOn w:val="1264"/>
    <w:next w:val="1264"/>
    <w:link w:val="12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14">
    <w:name w:val="Heading 6"/>
    <w:basedOn w:val="1264"/>
    <w:next w:val="1264"/>
    <w:link w:val="12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15">
    <w:name w:val="Heading 7"/>
    <w:basedOn w:val="1264"/>
    <w:next w:val="1264"/>
    <w:link w:val="12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16">
    <w:name w:val="Heading 8"/>
    <w:basedOn w:val="1264"/>
    <w:next w:val="1264"/>
    <w:link w:val="12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17">
    <w:name w:val="Heading 9"/>
    <w:basedOn w:val="1264"/>
    <w:next w:val="1264"/>
    <w:link w:val="12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18">
    <w:name w:val="Heading 1 Char"/>
    <w:basedOn w:val="1265"/>
    <w:link w:val="12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19">
    <w:name w:val="Heading 2 Char"/>
    <w:basedOn w:val="1265"/>
    <w:link w:val="12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20">
    <w:name w:val="Heading 3 Char"/>
    <w:basedOn w:val="1265"/>
    <w:link w:val="12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21">
    <w:name w:val="Heading 4 Char"/>
    <w:basedOn w:val="1265"/>
    <w:link w:val="12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22">
    <w:name w:val="Heading 5 Char"/>
    <w:basedOn w:val="1265"/>
    <w:link w:val="12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23">
    <w:name w:val="Heading 6 Char"/>
    <w:basedOn w:val="1265"/>
    <w:link w:val="12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24">
    <w:name w:val="Heading 7 Char"/>
    <w:basedOn w:val="1265"/>
    <w:link w:val="12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25">
    <w:name w:val="Heading 8 Char"/>
    <w:basedOn w:val="1265"/>
    <w:link w:val="12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26">
    <w:name w:val="Heading 9 Char"/>
    <w:basedOn w:val="1265"/>
    <w:link w:val="12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27">
    <w:name w:val="Title"/>
    <w:basedOn w:val="1264"/>
    <w:next w:val="1264"/>
    <w:link w:val="122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28">
    <w:name w:val="Title Char"/>
    <w:basedOn w:val="1265"/>
    <w:link w:val="12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29">
    <w:name w:val="Subtitle"/>
    <w:basedOn w:val="1264"/>
    <w:next w:val="1264"/>
    <w:link w:val="123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30">
    <w:name w:val="Subtitle Char"/>
    <w:basedOn w:val="1265"/>
    <w:link w:val="12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31">
    <w:name w:val="Quote"/>
    <w:basedOn w:val="1264"/>
    <w:next w:val="1264"/>
    <w:link w:val="12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32">
    <w:name w:val="Quote Char"/>
    <w:basedOn w:val="1265"/>
    <w:link w:val="12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33">
    <w:name w:val="Intense Emphasis"/>
    <w:basedOn w:val="12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34">
    <w:name w:val="Intense Quote"/>
    <w:basedOn w:val="1264"/>
    <w:next w:val="1264"/>
    <w:link w:val="12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35">
    <w:name w:val="Intense Quote Char"/>
    <w:basedOn w:val="1265"/>
    <w:link w:val="12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36">
    <w:name w:val="Intense Reference"/>
    <w:basedOn w:val="12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37">
    <w:name w:val="No Spacing"/>
    <w:basedOn w:val="1264"/>
    <w:uiPriority w:val="1"/>
    <w:qFormat/>
    <w:pPr>
      <w:pBdr/>
      <w:spacing w:after="0" w:line="240" w:lineRule="auto"/>
      <w:ind/>
    </w:pPr>
  </w:style>
  <w:style w:type="character" w:styleId="1238">
    <w:name w:val="Subtle Emphasis"/>
    <w:basedOn w:val="12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39">
    <w:name w:val="Emphasis"/>
    <w:basedOn w:val="1265"/>
    <w:uiPriority w:val="20"/>
    <w:qFormat/>
    <w:pPr>
      <w:pBdr/>
      <w:spacing/>
      <w:ind/>
    </w:pPr>
    <w:rPr>
      <w:i/>
      <w:iCs/>
    </w:rPr>
  </w:style>
  <w:style w:type="character" w:styleId="1240">
    <w:name w:val="Strong"/>
    <w:basedOn w:val="1265"/>
    <w:uiPriority w:val="22"/>
    <w:qFormat/>
    <w:pPr>
      <w:pBdr/>
      <w:spacing/>
      <w:ind/>
    </w:pPr>
    <w:rPr>
      <w:b/>
      <w:bCs/>
    </w:rPr>
  </w:style>
  <w:style w:type="character" w:styleId="1241">
    <w:name w:val="Subtle Reference"/>
    <w:basedOn w:val="12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42">
    <w:name w:val="Book Title"/>
    <w:basedOn w:val="12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43">
    <w:name w:val="Header Char"/>
    <w:basedOn w:val="1265"/>
    <w:link w:val="1276"/>
    <w:uiPriority w:val="99"/>
    <w:pPr>
      <w:pBdr/>
      <w:spacing/>
      <w:ind/>
    </w:pPr>
  </w:style>
  <w:style w:type="character" w:styleId="1244">
    <w:name w:val="Footer Char"/>
    <w:basedOn w:val="1265"/>
    <w:link w:val="1277"/>
    <w:uiPriority w:val="99"/>
    <w:pPr>
      <w:pBdr/>
      <w:spacing/>
      <w:ind/>
    </w:pPr>
  </w:style>
  <w:style w:type="paragraph" w:styleId="1245">
    <w:name w:val="footnote text"/>
    <w:basedOn w:val="1264"/>
    <w:link w:val="12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6">
    <w:name w:val="Footnote Text Char"/>
    <w:basedOn w:val="1265"/>
    <w:link w:val="1245"/>
    <w:uiPriority w:val="99"/>
    <w:semiHidden/>
    <w:pPr>
      <w:pBdr/>
      <w:spacing/>
      <w:ind/>
    </w:pPr>
    <w:rPr>
      <w:sz w:val="20"/>
      <w:szCs w:val="20"/>
    </w:rPr>
  </w:style>
  <w:style w:type="character" w:styleId="1247">
    <w:name w:val="footnote reference"/>
    <w:basedOn w:val="1265"/>
    <w:uiPriority w:val="99"/>
    <w:semiHidden/>
    <w:unhideWhenUsed/>
    <w:pPr>
      <w:pBdr/>
      <w:spacing/>
      <w:ind/>
    </w:pPr>
    <w:rPr>
      <w:vertAlign w:val="superscript"/>
    </w:rPr>
  </w:style>
  <w:style w:type="paragraph" w:styleId="1248">
    <w:name w:val="endnote text"/>
    <w:basedOn w:val="1264"/>
    <w:link w:val="12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9">
    <w:name w:val="Endnote Text Char"/>
    <w:basedOn w:val="1265"/>
    <w:link w:val="1248"/>
    <w:uiPriority w:val="99"/>
    <w:semiHidden/>
    <w:pPr>
      <w:pBdr/>
      <w:spacing/>
      <w:ind/>
    </w:pPr>
    <w:rPr>
      <w:sz w:val="20"/>
      <w:szCs w:val="20"/>
    </w:rPr>
  </w:style>
  <w:style w:type="character" w:styleId="1250">
    <w:name w:val="endnote reference"/>
    <w:basedOn w:val="1265"/>
    <w:uiPriority w:val="99"/>
    <w:semiHidden/>
    <w:unhideWhenUsed/>
    <w:pPr>
      <w:pBdr/>
      <w:spacing/>
      <w:ind/>
    </w:pPr>
    <w:rPr>
      <w:vertAlign w:val="superscript"/>
    </w:rPr>
  </w:style>
  <w:style w:type="character" w:styleId="1251">
    <w:name w:val="FollowedHyperlink"/>
    <w:basedOn w:val="12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52">
    <w:name w:val="toc 1"/>
    <w:basedOn w:val="1264"/>
    <w:next w:val="1264"/>
    <w:uiPriority w:val="39"/>
    <w:unhideWhenUsed/>
    <w:pPr>
      <w:pBdr/>
      <w:spacing w:after="100"/>
      <w:ind/>
    </w:pPr>
  </w:style>
  <w:style w:type="paragraph" w:styleId="1253">
    <w:name w:val="toc 2"/>
    <w:basedOn w:val="1264"/>
    <w:next w:val="1264"/>
    <w:uiPriority w:val="39"/>
    <w:unhideWhenUsed/>
    <w:pPr>
      <w:pBdr/>
      <w:spacing w:after="100"/>
      <w:ind w:left="220"/>
    </w:pPr>
  </w:style>
  <w:style w:type="paragraph" w:styleId="1254">
    <w:name w:val="toc 3"/>
    <w:basedOn w:val="1264"/>
    <w:next w:val="1264"/>
    <w:uiPriority w:val="39"/>
    <w:unhideWhenUsed/>
    <w:pPr>
      <w:pBdr/>
      <w:spacing w:after="100"/>
      <w:ind w:left="440"/>
    </w:pPr>
  </w:style>
  <w:style w:type="paragraph" w:styleId="1255">
    <w:name w:val="toc 4"/>
    <w:basedOn w:val="1264"/>
    <w:next w:val="1264"/>
    <w:uiPriority w:val="39"/>
    <w:unhideWhenUsed/>
    <w:pPr>
      <w:pBdr/>
      <w:spacing w:after="100"/>
      <w:ind w:left="660"/>
    </w:pPr>
  </w:style>
  <w:style w:type="paragraph" w:styleId="1256">
    <w:name w:val="toc 5"/>
    <w:basedOn w:val="1264"/>
    <w:next w:val="1264"/>
    <w:uiPriority w:val="39"/>
    <w:unhideWhenUsed/>
    <w:pPr>
      <w:pBdr/>
      <w:spacing w:after="100"/>
      <w:ind w:left="880"/>
    </w:pPr>
  </w:style>
  <w:style w:type="paragraph" w:styleId="1257">
    <w:name w:val="toc 6"/>
    <w:basedOn w:val="1264"/>
    <w:next w:val="1264"/>
    <w:uiPriority w:val="39"/>
    <w:unhideWhenUsed/>
    <w:pPr>
      <w:pBdr/>
      <w:spacing w:after="100"/>
      <w:ind w:left="1100"/>
    </w:pPr>
  </w:style>
  <w:style w:type="paragraph" w:styleId="1258">
    <w:name w:val="toc 7"/>
    <w:basedOn w:val="1264"/>
    <w:next w:val="1264"/>
    <w:uiPriority w:val="39"/>
    <w:unhideWhenUsed/>
    <w:pPr>
      <w:pBdr/>
      <w:spacing w:after="100"/>
      <w:ind w:left="1320"/>
    </w:pPr>
  </w:style>
  <w:style w:type="paragraph" w:styleId="1259">
    <w:name w:val="toc 8"/>
    <w:basedOn w:val="1264"/>
    <w:next w:val="1264"/>
    <w:uiPriority w:val="39"/>
    <w:unhideWhenUsed/>
    <w:pPr>
      <w:pBdr/>
      <w:spacing w:after="100"/>
      <w:ind w:left="1540"/>
    </w:pPr>
  </w:style>
  <w:style w:type="paragraph" w:styleId="1260">
    <w:name w:val="toc 9"/>
    <w:basedOn w:val="1264"/>
    <w:next w:val="1264"/>
    <w:uiPriority w:val="39"/>
    <w:unhideWhenUsed/>
    <w:pPr>
      <w:pBdr/>
      <w:spacing w:after="100"/>
      <w:ind w:left="1760"/>
    </w:pPr>
  </w:style>
  <w:style w:type="character" w:styleId="1261">
    <w:name w:val="Placeholder Text"/>
    <w:basedOn w:val="1265"/>
    <w:uiPriority w:val="99"/>
    <w:semiHidden/>
    <w:pPr>
      <w:pBdr/>
      <w:spacing/>
      <w:ind/>
    </w:pPr>
    <w:rPr>
      <w:color w:val="666666"/>
    </w:rPr>
  </w:style>
  <w:style w:type="paragraph" w:styleId="1262">
    <w:name w:val="TOC Heading"/>
    <w:uiPriority w:val="39"/>
    <w:unhideWhenUsed/>
    <w:pPr>
      <w:pBdr/>
      <w:spacing/>
      <w:ind/>
    </w:pPr>
  </w:style>
  <w:style w:type="paragraph" w:styleId="1263">
    <w:name w:val="table of figures"/>
    <w:basedOn w:val="1264"/>
    <w:next w:val="1264"/>
    <w:uiPriority w:val="99"/>
    <w:unhideWhenUsed/>
    <w:pPr>
      <w:pBdr/>
      <w:spacing w:after="0" w:afterAutospacing="0"/>
      <w:ind/>
    </w:pPr>
  </w:style>
  <w:style w:type="paragraph" w:styleId="1264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AR" w:eastAsia="en-US" w:bidi="ar-SA"/>
    </w:rPr>
  </w:style>
  <w:style w:type="character" w:styleId="126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266" w:customStyle="1">
    <w:name w:val="Encabezado Car"/>
    <w:basedOn w:val="1265"/>
    <w:uiPriority w:val="99"/>
    <w:qFormat/>
    <w:pPr>
      <w:pBdr/>
      <w:spacing/>
      <w:ind/>
    </w:pPr>
  </w:style>
  <w:style w:type="character" w:styleId="1267" w:customStyle="1">
    <w:name w:val="Pie de página Car"/>
    <w:basedOn w:val="1265"/>
    <w:uiPriority w:val="99"/>
    <w:qFormat/>
    <w:pPr>
      <w:pBdr/>
      <w:spacing/>
      <w:ind/>
    </w:pPr>
  </w:style>
  <w:style w:type="character" w:styleId="1268" w:customStyle="1">
    <w:name w:val="Texto de globo Car"/>
    <w:basedOn w:val="1265"/>
    <w:link w:val="127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269">
    <w:name w:val="Hyperlink"/>
    <w:pPr>
      <w:pBdr/>
      <w:spacing/>
      <w:ind/>
    </w:pPr>
    <w:rPr>
      <w:color w:val="000080"/>
      <w:u w:val="single"/>
    </w:rPr>
  </w:style>
  <w:style w:type="paragraph" w:styleId="1270">
    <w:name w:val="Título"/>
    <w:basedOn w:val="1264"/>
    <w:next w:val="1271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1271">
    <w:name w:val="Body Text"/>
    <w:basedOn w:val="1264"/>
    <w:pPr>
      <w:pBdr/>
      <w:spacing w:after="140" w:before="0" w:line="276" w:lineRule="auto"/>
      <w:ind/>
    </w:pPr>
  </w:style>
  <w:style w:type="paragraph" w:styleId="1272">
    <w:name w:val="List"/>
    <w:basedOn w:val="1271"/>
    <w:pPr>
      <w:pBdr/>
      <w:spacing/>
      <w:ind/>
    </w:pPr>
    <w:rPr>
      <w:rFonts w:cs="Arial"/>
    </w:rPr>
  </w:style>
  <w:style w:type="paragraph" w:styleId="1273">
    <w:name w:val="Caption"/>
    <w:basedOn w:val="1264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1274">
    <w:name w:val="Índice"/>
    <w:basedOn w:val="1264"/>
    <w:qFormat/>
    <w:pPr>
      <w:suppressLineNumbers w:val="true"/>
      <w:pBdr/>
      <w:spacing/>
      <w:ind/>
    </w:pPr>
    <w:rPr>
      <w:rFonts w:cs="Arial"/>
    </w:rPr>
  </w:style>
  <w:style w:type="paragraph" w:styleId="1275">
    <w:name w:val="Cabecera y pie"/>
    <w:basedOn w:val="1264"/>
    <w:qFormat/>
    <w:pPr>
      <w:pBdr/>
      <w:spacing/>
      <w:ind/>
    </w:pPr>
  </w:style>
  <w:style w:type="paragraph" w:styleId="1276">
    <w:name w:val="Header"/>
    <w:basedOn w:val="1264"/>
    <w:link w:val="1266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277">
    <w:name w:val="Footer"/>
    <w:basedOn w:val="1264"/>
    <w:link w:val="1267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278">
    <w:name w:val="Balloon Text"/>
    <w:basedOn w:val="1264"/>
    <w:link w:val="1268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279">
    <w:name w:val="List Paragraph"/>
    <w:basedOn w:val="1264"/>
    <w:uiPriority w:val="34"/>
    <w:qFormat/>
    <w:pPr>
      <w:pBdr/>
      <w:spacing w:after="160" w:before="0" w:line="259" w:lineRule="auto"/>
      <w:ind w:firstLine="0" w:left="720"/>
      <w:contextualSpacing w:val="true"/>
    </w:pPr>
    <w:rPr>
      <w:lang w:val="es-UY"/>
    </w:rPr>
  </w:style>
  <w:style w:type="paragraph" w:styleId="1280" w:customStyle="1">
    <w:name w:val="Texto independiente 31"/>
    <w:basedOn w:val="1264"/>
    <w:qFormat/>
    <w:pPr>
      <w:widowControl w:val="false"/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  <w:lang w:val="es-ES_tradnl" w:eastAsia="ar-SA"/>
    </w:rPr>
  </w:style>
  <w:style w:type="numbering" w:styleId="1281" w:default="1">
    <w:name w:val="No List"/>
    <w:uiPriority w:val="99"/>
    <w:semiHidden/>
    <w:unhideWhenUsed/>
    <w:qFormat/>
    <w:pPr>
      <w:pBdr/>
      <w:spacing/>
      <w:ind/>
    </w:pPr>
  </w:style>
  <w:style w:type="table" w:styleId="128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://intranet.armada.mil.uy/index.php/component/attachments/download/406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94F90-050E-4E90-9B52-E0C4ACEF1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HeadingPairs>
    <vt:vector size="0" baseType="variant"/>
  </HeadingPairs>
  <TitlesOfParts>
    <vt:vector size="0" baseType="lpstr"/>
  </TitlesOfParts>
  <Company>WindowsWolf.com.ar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</dc:creator>
  <dc:description/>
  <dc:language>es-UY</dc:language>
  <cp:revision>40</cp:revision>
  <dcterms:created xsi:type="dcterms:W3CDTF">2023-09-26T12:51:00Z</dcterms:created>
  <dcterms:modified xsi:type="dcterms:W3CDTF">2025-12-30T14:40:36Z</dcterms:modified>
</cp:coreProperties>
</file>