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524"/>
        <w:numPr>
          <w:ilvl w:val="0"/>
          <w:numId w:val="1"/>
        </w:numPr>
        <w:suppressLineNumbers w:val="false"/>
        <w:pBdr/>
        <w:tabs>
          <w:tab w:val="clear" w:leader="none" w:pos="360"/>
        </w:tabs>
        <w:spacing w:after="0" w:before="0" w:line="283" w:lineRule="atLeast"/>
        <w:ind w:right="0" w:hanging="283" w:left="283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i/>
          <w:iCs/>
          <w:sz w:val="22"/>
          <w:szCs w:val="22"/>
          <w:lang w:val="es-ES" w:bidi="es-ES"/>
        </w:rPr>
      </w:r>
      <w:r>
        <w:rPr>
          <w:rFonts w:ascii="Times New Roman" w:hAnsi="Times New Roman" w:eastAsia="Times New Roman" w:cs="Times New Roman"/>
          <w:b/>
          <w:sz w:val="22"/>
          <w:szCs w:val="22"/>
          <w:lang w:val="es-ES"/>
        </w:rPr>
        <w:t xml:space="preserve">OBJETIVO</w:t>
      </w:r>
      <w:r>
        <w:rPr>
          <w:rFonts w:ascii="Times New Roman" w:hAnsi="Times New Roman" w:cs="Times New Roman"/>
          <w:b/>
          <w:sz w:val="22"/>
          <w:szCs w:val="22"/>
        </w:rPr>
      </w:r>
      <w:r>
        <w:rPr>
          <w:rFonts w:ascii="Times New Roman" w:hAnsi="Times New Roman" w:cs="Times New Roman"/>
          <w:b/>
          <w:sz w:val="22"/>
          <w:szCs w:val="22"/>
        </w:rPr>
      </w:r>
    </w:p>
    <w:p>
      <w:pPr>
        <w:pStyle w:val="1540"/>
        <w:suppressLineNumbers w:val="false"/>
        <w:pBdr/>
        <w:spacing w:after="0" w:before="0" w:line="283" w:lineRule="atLeast"/>
        <w:ind w:right="0" w:firstLine="0" w:left="56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 w:bidi="es-ES"/>
        </w:rPr>
      </w:r>
      <w:r>
        <w:rPr>
          <w:rFonts w:ascii="Times New Roman" w:hAnsi="Times New Roman" w:eastAsia="Times New Roman" w:cs="Times New Roman"/>
          <w:sz w:val="22"/>
          <w:szCs w:val="22"/>
          <w:lang w:val="es-ES" w:bidi="es-ES"/>
        </w:rPr>
        <w:t xml:space="preserve">El objetivo de este procedimiento es establecer las tareas específicas que deben realizarse para otorgar la entrada y el despacho a buques de pesca de bandera uruguaya, tanto para aguas jurisdiccionales como para ultramar</w:t>
      </w:r>
      <w:r>
        <w:rPr>
          <w:rFonts w:ascii="Times New Roman" w:hAnsi="Times New Roman" w:eastAsia="Times New Roman" w:cs="Times New Roman"/>
          <w:sz w:val="22"/>
          <w:szCs w:val="22"/>
          <w:lang w:val="es-ES" w:bidi="es-ES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1540"/>
        <w:suppressLineNumbers w:val="false"/>
        <w:pBdr/>
        <w:spacing w:after="0" w:before="0" w:line="283" w:lineRule="atLeast"/>
        <w:ind w:firstLine="0" w:left="360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lang w:val="es-ES" w:bidi="es-ES"/>
        </w:rPr>
      </w:r>
      <w:r>
        <w:rPr>
          <w:rFonts w:ascii="Times New Roman" w:hAnsi="Times New Roman" w:cs="Times New Roman"/>
          <w:b/>
          <w:sz w:val="22"/>
          <w:szCs w:val="22"/>
        </w:rPr>
      </w:r>
      <w:r>
        <w:rPr>
          <w:rFonts w:ascii="Times New Roman" w:hAnsi="Times New Roman" w:cs="Times New Roman"/>
          <w:b/>
          <w:sz w:val="22"/>
          <w:szCs w:val="22"/>
        </w:rPr>
      </w:r>
    </w:p>
    <w:p>
      <w:pPr>
        <w:pStyle w:val="1524"/>
        <w:numPr>
          <w:ilvl w:val="0"/>
          <w:numId w:val="1"/>
        </w:numPr>
        <w:suppressLineNumbers w:val="false"/>
        <w:pBdr/>
        <w:tabs>
          <w:tab w:val="clear" w:leader="none" w:pos="360"/>
        </w:tabs>
        <w:spacing w:after="0" w:before="0" w:line="283" w:lineRule="atLeast"/>
        <w:ind w:right="0" w:hanging="283" w:left="283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lang w:val="es-ES"/>
        </w:rPr>
        <w:t xml:space="preserve">ALCANCE</w:t>
      </w:r>
      <w:r>
        <w:rPr>
          <w:rFonts w:ascii="Times New Roman" w:hAnsi="Times New Roman" w:cs="Times New Roman"/>
          <w:b/>
          <w:sz w:val="22"/>
          <w:szCs w:val="22"/>
        </w:rPr>
      </w:r>
      <w:r>
        <w:rPr>
          <w:rFonts w:ascii="Times New Roman" w:hAnsi="Times New Roman" w:cs="Times New Roman"/>
          <w:b/>
          <w:sz w:val="22"/>
          <w:szCs w:val="22"/>
        </w:rPr>
      </w:r>
    </w:p>
    <w:p>
      <w:pPr>
        <w:pStyle w:val="1524"/>
        <w:suppressLineNumbers w:val="false"/>
        <w:pBdr/>
        <w:spacing w:after="0" w:before="0" w:line="283" w:lineRule="atLeast"/>
        <w:ind w:right="0" w:firstLine="0" w:left="56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 w:bidi="es-ES"/>
        </w:rPr>
      </w:r>
      <w:r>
        <w:rPr>
          <w:rFonts w:ascii="Times New Roman" w:hAnsi="Times New Roman" w:eastAsia="Times New Roman" w:cs="Times New Roman"/>
          <w:sz w:val="22"/>
          <w:szCs w:val="22"/>
          <w:lang w:val="es-ES" w:bidi="es-ES"/>
        </w:rPr>
        <w:t xml:space="preserve">El presente procedimiento será de aplicación a todos los buques pesqueros de bandera nacional.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1524"/>
        <w:suppressLineNumbers w:val="false"/>
        <w:pBdr/>
        <w:spacing w:after="0" w:before="0" w:line="283" w:lineRule="atLeast"/>
        <w:ind w:firstLine="0" w:left="35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 w:bidi="es-ES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1524"/>
        <w:numPr>
          <w:ilvl w:val="0"/>
          <w:numId w:val="1"/>
        </w:numPr>
        <w:suppressLineNumbers w:val="false"/>
        <w:pBdr/>
        <w:tabs>
          <w:tab w:val="clear" w:leader="none" w:pos="360"/>
        </w:tabs>
        <w:spacing w:after="0" w:before="0" w:line="283" w:lineRule="atLeast"/>
        <w:ind w:right="0" w:hanging="283" w:left="283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lang w:val="es-ES"/>
        </w:rPr>
      </w:r>
      <w:r>
        <w:rPr>
          <w:rFonts w:ascii="Times New Roman" w:hAnsi="Times New Roman" w:eastAsia="Times New Roman" w:cs="Times New Roman"/>
          <w:b/>
          <w:sz w:val="22"/>
          <w:szCs w:val="22"/>
          <w:lang w:val="es-ES"/>
        </w:rPr>
        <w:t xml:space="preserve">REFERENCIAS</w:t>
      </w:r>
      <w:r>
        <w:rPr>
          <w:rFonts w:ascii="Times New Roman" w:hAnsi="Times New Roman" w:cs="Times New Roman"/>
          <w:b/>
          <w:sz w:val="22"/>
          <w:szCs w:val="22"/>
        </w:rPr>
      </w:r>
      <w:r>
        <w:rPr>
          <w:rFonts w:ascii="Times New Roman" w:hAnsi="Times New Roman" w:cs="Times New Roman"/>
          <w:b/>
          <w:sz w:val="22"/>
          <w:szCs w:val="22"/>
        </w:rPr>
      </w:r>
    </w:p>
    <w:p w14:paraId="31E33872">
      <w:pPr>
        <w:pStyle w:val="1539"/>
        <w:numPr>
          <w:ilvl w:val="0"/>
          <w:numId w:val="6"/>
        </w:numPr>
        <w:suppressLineNumbers w:val="false"/>
        <w:pBdr/>
        <w:spacing w:after="0" w:before="0" w:line="283" w:lineRule="atLeast"/>
        <w:ind w:right="0" w:hanging="425" w:left="992"/>
        <w:contextualSpacing w:val="true"/>
        <w:jc w:val="both"/>
        <w:rPr/>
      </w:pP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Ley N.º 13.833, Articulo N.º 27 – Ley de Pesca. Permisos Pesqueros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.</w:t>
      </w:r>
      <w:r/>
    </w:p>
    <w:p w14:paraId="7A3AB081">
      <w:pPr>
        <w:pStyle w:val="1539"/>
        <w:numPr>
          <w:ilvl w:val="0"/>
          <w:numId w:val="6"/>
        </w:numPr>
        <w:suppressLineNumbers w:val="false"/>
        <w:pBdr/>
        <w:spacing w:after="0" w:before="0" w:line="283" w:lineRule="atLeast"/>
        <w:ind w:right="0" w:hanging="425" w:left="992"/>
        <w:contextualSpacing w:val="true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Ley 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N.°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 12.091 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– 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 Ley de Cabotaje Nacional.</w:t>
      </w:r>
      <w:r>
        <w:rPr>
          <w:rFonts w:ascii="Times New Roman" w:hAnsi="Times New Roman" w:cs="Times New Roman"/>
          <w:color w:val="auto"/>
          <w:sz w:val="22"/>
          <w:szCs w:val="22"/>
        </w:rPr>
      </w:r>
      <w:r>
        <w:rPr>
          <w:rFonts w:ascii="Times New Roman" w:hAnsi="Times New Roman" w:cs="Times New Roman"/>
          <w:color w:val="auto"/>
          <w:sz w:val="22"/>
          <w:szCs w:val="22"/>
        </w:rPr>
      </w:r>
    </w:p>
    <w:p w14:paraId="4C26EB55">
      <w:pPr>
        <w:pStyle w:val="1539"/>
        <w:numPr>
          <w:ilvl w:val="0"/>
          <w:numId w:val="6"/>
        </w:numPr>
        <w:suppressLineNumbers w:val="false"/>
        <w:pBdr/>
        <w:spacing w:after="0" w:before="0" w:line="283" w:lineRule="atLeast"/>
        <w:ind w:right="0" w:hanging="425" w:left="992"/>
        <w:contextualSpacing w:val="true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Decreto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N.° 23.913/956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– Reglamentación de la Ley 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N.° 12.091.</w:t>
      </w:r>
      <w:r>
        <w:rPr>
          <w:rFonts w:ascii="Times New Roman" w:hAnsi="Times New Roman" w:cs="Times New Roman"/>
          <w:color w:val="auto"/>
          <w:sz w:val="22"/>
          <w:szCs w:val="22"/>
        </w:rPr>
      </w:r>
      <w:r>
        <w:rPr>
          <w:rFonts w:ascii="Times New Roman" w:hAnsi="Times New Roman" w:cs="Times New Roman"/>
          <w:color w:val="auto"/>
          <w:sz w:val="22"/>
          <w:szCs w:val="22"/>
        </w:rPr>
      </w:r>
    </w:p>
    <w:p w14:paraId="3E274F15">
      <w:pPr>
        <w:pStyle w:val="1539"/>
        <w:numPr>
          <w:ilvl w:val="0"/>
          <w:numId w:val="6"/>
        </w:numPr>
        <w:suppressLineNumbers w:val="false"/>
        <w:pBdr/>
        <w:spacing w:after="0" w:before="0" w:line="283" w:lineRule="atLeast"/>
        <w:ind w:right="0" w:hanging="425" w:left="992"/>
        <w:contextualSpacing w:val="true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Decreto N.° 256/992 – Organización y funciones de la Prefectura Nacional Naval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.</w:t>
      </w:r>
      <w:r>
        <w:rPr>
          <w:rFonts w:ascii="Times New Roman" w:hAnsi="Times New Roman" w:cs="Times New Roman"/>
          <w:color w:val="auto"/>
          <w:sz w:val="22"/>
          <w:szCs w:val="22"/>
        </w:rPr>
      </w:r>
      <w:r>
        <w:rPr>
          <w:rFonts w:ascii="Times New Roman" w:hAnsi="Times New Roman" w:cs="Times New Roman"/>
          <w:color w:val="auto"/>
          <w:sz w:val="22"/>
          <w:szCs w:val="22"/>
        </w:rPr>
      </w:r>
    </w:p>
    <w:p w14:paraId="6ED149EF">
      <w:pPr>
        <w:pStyle w:val="1539"/>
        <w:numPr>
          <w:ilvl w:val="0"/>
          <w:numId w:val="6"/>
        </w:numPr>
        <w:suppressLineNumbers w:val="false"/>
        <w:pBdr/>
        <w:spacing w:after="0" w:before="0" w:line="283" w:lineRule="atLeast"/>
        <w:ind w:right="0" w:hanging="425" w:left="992"/>
        <w:contextualSpacing w:val="true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Decreto N.° 100/991 – Reglamento de uso de espacios acuáticos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  <w:t xml:space="preserve">.</w:t>
      </w:r>
      <w:r>
        <w:rPr>
          <w:rFonts w:ascii="Times New Roman" w:hAnsi="Times New Roman" w:cs="Times New Roman"/>
          <w:color w:val="auto"/>
          <w:sz w:val="22"/>
          <w:szCs w:val="22"/>
        </w:rPr>
      </w:r>
      <w:r>
        <w:rPr>
          <w:rFonts w:ascii="Times New Roman" w:hAnsi="Times New Roman" w:cs="Times New Roman"/>
          <w:color w:val="auto"/>
          <w:sz w:val="22"/>
          <w:szCs w:val="22"/>
        </w:rPr>
      </w:r>
    </w:p>
    <w:p w14:paraId="3D534396">
      <w:pPr>
        <w:pStyle w:val="1539"/>
        <w:numPr>
          <w:ilvl w:val="0"/>
          <w:numId w:val="6"/>
        </w:numPr>
        <w:suppressLineNumbers w:val="false"/>
        <w:pBdr/>
        <w:spacing w:after="0" w:before="0" w:line="283" w:lineRule="atLeast"/>
        <w:ind w:right="0" w:hanging="425" w:left="992"/>
        <w:contextualSpacing w:val="true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22"/>
          <w:szCs w:val="22"/>
          <w:lang w:val="es-ES"/>
        </w:rPr>
      </w:r>
      <w:r>
        <w:rPr>
          <w:rFonts w:ascii="Times New Roman" w:hAnsi="Times New Roman" w:eastAsia="Times New Roman" w:cs="Times New Roman"/>
          <w:color w:val="auto"/>
          <w:sz w:val="22"/>
          <w:szCs w:val="22"/>
          <w:lang w:val="es-ES"/>
        </w:rPr>
        <w:t xml:space="preserve">Decreto N.° 532/990 – Permisos de pesca</w:t>
      </w:r>
      <w:r>
        <w:rPr>
          <w:rFonts w:ascii="Times New Roman" w:hAnsi="Times New Roman" w:eastAsia="Times New Roman" w:cs="Times New Roman"/>
          <w:color w:val="auto"/>
          <w:sz w:val="22"/>
          <w:szCs w:val="22"/>
          <w:lang w:val="es-ES"/>
        </w:rPr>
        <w:t xml:space="preserve">.</w:t>
      </w: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</w:p>
    <w:p w14:paraId="0AFC5DB3">
      <w:pPr>
        <w:suppressLineNumbers w:val="false"/>
        <w:pBdr/>
        <w:spacing w:after="0" w:before="0" w:line="283" w:lineRule="atLeast"/>
        <w:ind w:right="0" w:firstLine="0" w:left="0"/>
        <w:contextualSpacing w:val="true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22"/>
          <w:szCs w:val="22"/>
          <w:highlight w:val="none"/>
          <w:lang w:val="es-ES"/>
        </w:rPr>
      </w: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</w:p>
    <w:p>
      <w:pPr>
        <w:pStyle w:val="1524"/>
        <w:numPr>
          <w:ilvl w:val="0"/>
          <w:numId w:val="1"/>
        </w:numPr>
        <w:suppressLineNumbers w:val="false"/>
        <w:pBdr/>
        <w:tabs>
          <w:tab w:val="clear" w:leader="none" w:pos="360"/>
        </w:tabs>
        <w:spacing w:after="0" w:before="0" w:line="283" w:lineRule="atLeast"/>
        <w:ind w:right="0" w:hanging="283" w:left="283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lang w:val="es-ES"/>
        </w:rPr>
      </w:r>
      <w:r>
        <w:rPr>
          <w:rFonts w:ascii="Times New Roman" w:hAnsi="Times New Roman" w:eastAsia="Times New Roman" w:cs="Times New Roman"/>
          <w:b/>
          <w:sz w:val="22"/>
          <w:szCs w:val="22"/>
          <w:lang w:val="es-ES"/>
        </w:rPr>
        <w:t xml:space="preserve">DEFINICIONES, ABREVIATURAS Y SÍMBOLOS</w:t>
      </w:r>
      <w:r>
        <w:rPr>
          <w:rFonts w:ascii="Times New Roman" w:hAnsi="Times New Roman" w:cs="Times New Roman"/>
          <w:b/>
          <w:sz w:val="22"/>
          <w:szCs w:val="22"/>
        </w:rPr>
      </w:r>
      <w:r>
        <w:rPr>
          <w:rFonts w:ascii="Times New Roman" w:hAnsi="Times New Roman" w:cs="Times New Roman"/>
          <w:b/>
          <w:sz w:val="22"/>
          <w:szCs w:val="22"/>
        </w:rPr>
      </w:r>
    </w:p>
    <w:p w14:paraId="5515F544">
      <w:pPr>
        <w:pStyle w:val="1524"/>
        <w:numPr>
          <w:ilvl w:val="0"/>
          <w:numId w:val="5"/>
        </w:numPr>
        <w:suppressLineNumbers w:val="false"/>
        <w:pBdr/>
        <w:spacing w:after="0" w:before="0" w:line="283" w:lineRule="atLeast"/>
        <w:ind w:right="0" w:hanging="425" w:left="992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u w:val="none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PREMO: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es-ES"/>
        </w:rPr>
        <w:t xml:space="preserve"> Prefectura del Puerto de Montevideo.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11EACD48">
      <w:pPr>
        <w:pStyle w:val="1524"/>
        <w:numPr>
          <w:ilvl w:val="0"/>
          <w:numId w:val="5"/>
        </w:numPr>
        <w:suppressLineNumbers w:val="false"/>
        <w:pBdr/>
        <w:spacing w:after="0" w:before="0" w:line="283" w:lineRule="atLeast"/>
        <w:ind w:right="0" w:hanging="425" w:left="992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DIRME: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es-ES"/>
        </w:rPr>
        <w:t xml:space="preserve"> Dirección Registral y de Marina Mercante.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507641C5">
      <w:pPr>
        <w:pStyle w:val="1524"/>
        <w:numPr>
          <w:ilvl w:val="0"/>
          <w:numId w:val="5"/>
        </w:numPr>
        <w:suppressLineNumbers w:val="false"/>
        <w:pBdr/>
        <w:spacing w:after="0" w:before="0" w:line="283" w:lineRule="atLeast"/>
        <w:ind w:right="0" w:hanging="425" w:left="992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CONMO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es-ES"/>
        </w:rPr>
        <w:t xml:space="preserve"> Centro de Control del Puerto de Montevideo.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438BD404">
      <w:pPr>
        <w:pStyle w:val="1524"/>
        <w:numPr>
          <w:ilvl w:val="0"/>
          <w:numId w:val="5"/>
        </w:numPr>
        <w:suppressLineNumbers w:val="false"/>
        <w:pBdr/>
        <w:spacing w:after="0" w:before="0" w:line="283" w:lineRule="atLeast"/>
        <w:ind w:right="0" w:hanging="425" w:left="992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COTEC: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es-ES"/>
        </w:rPr>
        <w:t xml:space="preserve"> Comisión Técnica de la Marina Mercante.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4B1154B1">
      <w:pPr>
        <w:pStyle w:val="1524"/>
        <w:numPr>
          <w:ilvl w:val="0"/>
          <w:numId w:val="5"/>
        </w:numPr>
        <w:suppressLineNumbers w:val="false"/>
        <w:pBdr/>
        <w:spacing w:after="0" w:before="0" w:line="283" w:lineRule="atLeast"/>
        <w:ind w:right="0" w:hanging="425" w:left="992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DINARA: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es-ES"/>
        </w:rPr>
        <w:t xml:space="preserve"> Dirección Nacional de Recursos Acuáticos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es-ES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368AFD50">
      <w:pPr>
        <w:pStyle w:val="1524"/>
        <w:numPr>
          <w:ilvl w:val="0"/>
          <w:numId w:val="5"/>
        </w:numPr>
        <w:suppressLineNumbers w:val="false"/>
        <w:pBdr/>
        <w:spacing w:after="0" w:before="0" w:line="283" w:lineRule="atLeast"/>
        <w:ind w:right="0" w:hanging="425" w:left="992"/>
        <w:jc w:val="both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u w:val="single"/>
          <w:lang w:val="es-ES"/>
        </w:rPr>
        <w:t xml:space="preserve">URSEC: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u w:val="none"/>
          <w:lang w:val="es-ES"/>
        </w:rPr>
        <w:t xml:space="preserve"> Unidad Reguladora de Servicio de Comunicaciones.</w:t>
      </w:r>
      <w:r>
        <w:rPr>
          <w:rFonts w:ascii="Times New Roman" w:hAnsi="Times New Roman" w:cs="Times New Roman"/>
          <w:u w:val="none"/>
        </w:rPr>
      </w:r>
      <w:r>
        <w:rPr>
          <w:rFonts w:ascii="Times New Roman" w:hAnsi="Times New Roman" w:cs="Times New Roman"/>
          <w:u w:val="none"/>
        </w:rPr>
      </w:r>
    </w:p>
    <w:p w14:paraId="184147B1">
      <w:pPr>
        <w:pStyle w:val="1524"/>
        <w:numPr>
          <w:ilvl w:val="0"/>
          <w:numId w:val="5"/>
        </w:numPr>
        <w:suppressLineNumbers w:val="false"/>
        <w:pBdr/>
        <w:spacing w:after="0" w:before="0" w:line="283" w:lineRule="atLeast"/>
        <w:ind w:right="0" w:hanging="425" w:left="992"/>
        <w:jc w:val="both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u w:val="none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MSP: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es-ES"/>
        </w:rPr>
        <w:t xml:space="preserve"> Ministerio de Salud P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es-ES"/>
        </w:rPr>
        <w:t xml:space="preserve">ú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es-ES"/>
        </w:rPr>
        <w:t xml:space="preserve">blica.</w:t>
      </w:r>
      <w:r>
        <w:rPr>
          <w:rFonts w:ascii="Times New Roman" w:hAnsi="Times New Roman" w:cs="Times New Roman"/>
          <w:u w:val="none"/>
        </w:rPr>
      </w:r>
      <w:r>
        <w:rPr>
          <w:rFonts w:ascii="Times New Roman" w:hAnsi="Times New Roman" w:cs="Times New Roman"/>
          <w:u w:val="none"/>
        </w:rPr>
      </w:r>
    </w:p>
    <w:p w14:paraId="2BB362B6">
      <w:pPr>
        <w:pStyle w:val="1524"/>
        <w:numPr>
          <w:ilvl w:val="0"/>
          <w:numId w:val="5"/>
        </w:numPr>
        <w:suppressLineNumbers w:val="false"/>
        <w:pBdr/>
        <w:spacing w:after="0" w:before="0" w:line="283" w:lineRule="atLeast"/>
        <w:ind w:right="0" w:hanging="425" w:left="992"/>
        <w:jc w:val="both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u w:val="none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CNN: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es-ES"/>
        </w:rPr>
        <w:t xml:space="preserve"> Certificado Nacional de Navegabilidad.</w:t>
      </w:r>
      <w:r>
        <w:rPr>
          <w:rFonts w:ascii="Times New Roman" w:hAnsi="Times New Roman" w:cs="Times New Roman"/>
          <w:u w:val="none"/>
        </w:rPr>
      </w:r>
      <w:r>
        <w:rPr>
          <w:rFonts w:ascii="Times New Roman" w:hAnsi="Times New Roman" w:cs="Times New Roman"/>
          <w:u w:val="none"/>
        </w:rPr>
      </w:r>
    </w:p>
    <w:p w14:paraId="499EACEE">
      <w:pPr>
        <w:pStyle w:val="1524"/>
        <w:numPr>
          <w:ilvl w:val="0"/>
          <w:numId w:val="5"/>
        </w:numPr>
        <w:suppressLineNumbers w:val="false"/>
        <w:pBdr/>
        <w:spacing w:after="0" w:before="0" w:line="283" w:lineRule="atLeast"/>
        <w:ind w:right="0" w:hanging="425" w:left="992"/>
        <w:jc w:val="both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u w:val="none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OCG: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es-E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u w:val="none"/>
          <w:lang w:val="es-ES"/>
        </w:rPr>
        <w:t xml:space="preserve">Oficial Comandante de Guardia.</w:t>
      </w:r>
      <w:r>
        <w:rPr>
          <w:rFonts w:ascii="Times New Roman" w:hAnsi="Times New Roman" w:cs="Times New Roman"/>
          <w:u w:val="none"/>
        </w:rPr>
      </w:r>
      <w:r>
        <w:rPr>
          <w:rFonts w:ascii="Times New Roman" w:hAnsi="Times New Roman" w:cs="Times New Roman"/>
          <w:u w:val="none"/>
        </w:rPr>
      </w:r>
    </w:p>
    <w:p w14:paraId="7F1CA4FF">
      <w:pPr>
        <w:pStyle w:val="1524"/>
        <w:numPr>
          <w:ilvl w:val="0"/>
          <w:numId w:val="5"/>
        </w:numPr>
        <w:suppressLineNumbers w:val="false"/>
        <w:pBdr/>
        <w:spacing w:after="0" w:before="0" w:line="283" w:lineRule="atLeast"/>
        <w:ind w:right="0" w:hanging="425" w:left="992"/>
        <w:jc w:val="both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u w:val="none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OG: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es-E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u w:val="none"/>
          <w:lang w:val="es-ES"/>
        </w:rPr>
        <w:t xml:space="preserve">Oficial de Guardia.</w:t>
      </w:r>
      <w:r>
        <w:rPr>
          <w:rFonts w:ascii="Times New Roman" w:hAnsi="Times New Roman" w:cs="Times New Roman"/>
          <w:u w:val="none"/>
        </w:rPr>
      </w:r>
      <w:r>
        <w:rPr>
          <w:rFonts w:ascii="Times New Roman" w:hAnsi="Times New Roman" w:cs="Times New Roman"/>
          <w:u w:val="none"/>
        </w:rPr>
      </w:r>
    </w:p>
    <w:p w14:paraId="4F64291E">
      <w:pPr>
        <w:pStyle w:val="1524"/>
        <w:numPr>
          <w:ilvl w:val="0"/>
          <w:numId w:val="5"/>
        </w:numPr>
        <w:suppressLineNumbers w:val="false"/>
        <w:pBdr/>
        <w:spacing w:after="0" w:before="0" w:line="283" w:lineRule="atLeast"/>
        <w:ind w:right="0" w:hanging="425" w:left="992"/>
        <w:jc w:val="both"/>
        <w:rPr/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u w:val="single"/>
          <w:lang w:val="es-ES"/>
        </w:rPr>
        <w:t xml:space="preserve">Patrón de tierra: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u w:val="none"/>
          <w:lang w:val="es-ES"/>
        </w:rPr>
        <w:t xml:space="preserve"> Representante del armador ante la Autoridad Marítima.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u w:val="none"/>
          <w:lang w:val="es-ES"/>
        </w:rPr>
      </w:r>
      <w:r/>
    </w:p>
    <w:p>
      <w:pPr>
        <w:pStyle w:val="1524"/>
        <w:suppressLineNumbers w:val="false"/>
        <w:pBdr/>
        <w:spacing w:after="0" w:before="0" w:line="283" w:lineRule="atLeast"/>
        <w:ind/>
        <w:jc w:val="both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ascii="Times New Roman" w:hAnsi="Times New Roman" w:eastAsia="Times New Roman" w:cs="Times New Roman"/>
          <w:sz w:val="22"/>
          <w:szCs w:val="22"/>
          <w:u w:val="none"/>
          <w:lang w:val="es-ES" w:bidi="es-ES"/>
        </w:rPr>
      </w:r>
      <w:r>
        <w:rPr>
          <w:rFonts w:ascii="Times New Roman" w:hAnsi="Times New Roman" w:cs="Times New Roman"/>
          <w:sz w:val="22"/>
          <w:szCs w:val="22"/>
          <w:u w:val="none"/>
        </w:rPr>
      </w:r>
      <w:r>
        <w:rPr>
          <w:rFonts w:ascii="Times New Roman" w:hAnsi="Times New Roman" w:cs="Times New Roman"/>
          <w:sz w:val="22"/>
          <w:szCs w:val="22"/>
          <w:u w:val="none"/>
        </w:rPr>
      </w:r>
    </w:p>
    <w:p>
      <w:pPr>
        <w:pStyle w:val="1539"/>
        <w:numPr>
          <w:ilvl w:val="0"/>
          <w:numId w:val="1"/>
        </w:numPr>
        <w:suppressLineNumbers w:val="false"/>
        <w:pBdr/>
        <w:tabs>
          <w:tab w:val="clear" w:leader="none" w:pos="360"/>
        </w:tabs>
        <w:spacing w:after="0" w:before="0" w:line="283" w:lineRule="atLeast"/>
        <w:ind w:right="0" w:hanging="283" w:left="283"/>
        <w:contextualSpacing w:val="true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lang w:val="es-ES"/>
        </w:rPr>
        <w:t xml:space="preserve">DESARROLLO</w:t>
      </w:r>
      <w:r>
        <w:rPr>
          <w:rFonts w:ascii="Times New Roman" w:hAnsi="Times New Roman" w:cs="Times New Roman"/>
          <w:b/>
          <w:sz w:val="22"/>
          <w:szCs w:val="22"/>
        </w:rPr>
      </w:r>
      <w:r>
        <w:rPr>
          <w:rFonts w:ascii="Times New Roman" w:hAnsi="Times New Roman" w:cs="Times New Roman"/>
          <w:b/>
          <w:sz w:val="22"/>
          <w:szCs w:val="22"/>
        </w:rPr>
      </w:r>
    </w:p>
    <w:p>
      <w:pPr>
        <w:pStyle w:val="1539"/>
        <w:numPr>
          <w:ilvl w:val="1"/>
          <w:numId w:val="2"/>
        </w:numPr>
        <w:suppressLineNumbers w:val="false"/>
        <w:pBdr/>
        <w:spacing w:after="0" w:before="0" w:line="283" w:lineRule="atLeast"/>
        <w:ind w:right="0" w:hanging="425" w:left="992"/>
        <w:contextualSpacing w:val="true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val="es-ES" w:bidi="es-ES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s-ES"/>
        </w:rPr>
        <w:t xml:space="preserve">ACTIVIDAD - “ENTRADA”</w:t>
      </w:r>
      <w:r>
        <w:rPr>
          <w:rFonts w:ascii="Times New Roman" w:hAnsi="Times New Roman" w:cs="Times New Roman"/>
          <w:b/>
          <w:sz w:val="22"/>
          <w:szCs w:val="22"/>
        </w:rPr>
      </w:r>
      <w:r>
        <w:rPr>
          <w:rFonts w:ascii="Times New Roman" w:hAnsi="Times New Roman" w:cs="Times New Roman"/>
          <w:b/>
          <w:sz w:val="22"/>
          <w:szCs w:val="22"/>
        </w:rPr>
      </w:r>
    </w:p>
    <w:p w14:paraId="0C75CF97">
      <w:pPr>
        <w:suppressLineNumbers w:val="false"/>
        <w:pBdr/>
        <w:spacing w:after="0" w:before="0" w:line="283" w:lineRule="atLeast"/>
        <w:ind w:right="0" w:firstLine="0" w:left="1134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Al ingresar al puerto un pesquero de bandera nacional, CONMO comunica al personal apostado de guardia, de esta forma se toma conocimiento.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12E81EC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firstLine="0" w:left="1417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DESDE ZONA COM</w:t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Ú</w:t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N DE PESCA:</w:t>
      </w: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 w14:paraId="145F3355">
      <w:pPr>
        <w:pStyle w:val="1539"/>
        <w:numPr>
          <w:ilvl w:val="0"/>
          <w:numId w:val="106"/>
        </w:numPr>
        <w:suppressLineNumbers w:val="false"/>
        <w:pBdr/>
        <w:spacing w:after="0" w:before="0" w:line="283" w:lineRule="atLeast"/>
        <w:ind w:right="0" w:hanging="425" w:left="2126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Al atraque del buque, el patrón de tierra deberá presentar la documentación para la entrada, la cual será: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479FB067">
      <w:pPr>
        <w:pStyle w:val="1539"/>
        <w:numPr>
          <w:ilvl w:val="1"/>
          <w:numId w:val="106"/>
        </w:numPr>
        <w:suppressLineNumbers w:val="false"/>
        <w:pBdr/>
        <w:spacing w:after="0" w:before="0" w:line="283" w:lineRule="atLeast"/>
        <w:ind w:right="0" w:hanging="436" w:left="2693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Diario de navegación, el cual será revisado y visado por el tripulante de guardia.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3D9980AC">
      <w:pPr>
        <w:pStyle w:val="1539"/>
        <w:numPr>
          <w:ilvl w:val="1"/>
          <w:numId w:val="106"/>
        </w:numPr>
        <w:suppressLineNumbers w:val="false"/>
        <w:pBdr/>
        <w:spacing w:after="0" w:before="0" w:line="283" w:lineRule="atLeast"/>
        <w:ind w:right="0" w:hanging="436" w:left="2693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Libro de Rol, el cual ser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á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 visado en la sección “Entrada” del mismo.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42721335">
      <w:pPr>
        <w:pStyle w:val="1539"/>
        <w:numPr>
          <w:ilvl w:val="0"/>
          <w:numId w:val="106"/>
        </w:numPr>
        <w:suppressLineNumbers w:val="false"/>
        <w:pBdr/>
        <w:spacing w:after="0" w:before="0" w:line="283" w:lineRule="atLeast"/>
        <w:ind w:right="0" w:hanging="425" w:left="2126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Se efectuara el asiento correspondiente en el libro de actas.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5982EDC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firstLine="0" w:left="1417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DESDE ZONA ULTRAMAR:</w:t>
      </w: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 w14:paraId="4255E42F">
      <w:pPr>
        <w:pStyle w:val="1539"/>
        <w:numPr>
          <w:ilvl w:val="0"/>
          <w:numId w:val="109"/>
        </w:numPr>
        <w:suppressLineNumbers w:val="false"/>
        <w:pBdr/>
        <w:spacing w:after="0" w:before="0" w:line="283" w:lineRule="atLeast"/>
        <w:ind w:right="0" w:hanging="425" w:left="2126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Para estos casos, el tripulante deberá confeccionar una carpeta con la mayor cantidad de datos del buque.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04E8F6A1">
      <w:pPr>
        <w:pStyle w:val="1539"/>
        <w:numPr>
          <w:ilvl w:val="0"/>
          <w:numId w:val="109"/>
        </w:numPr>
        <w:suppressLineNumbers w:val="false"/>
        <w:pBdr/>
        <w:spacing w:after="0" w:before="0" w:line="283" w:lineRule="atLeast"/>
        <w:ind w:right="0" w:hanging="425" w:left="2126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Al atraqu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e del buque, la agencia marítima deberá presentar una carpeta de entrada con la documentación requerida, firmada y sellada por el capitán del buque y la propia agencia (patrón de tierra), debiendo contener la siguiente documentación impresa en su interior: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4236AB8D">
      <w:pPr>
        <w:pStyle w:val="1539"/>
        <w:numPr>
          <w:ilvl w:val="2"/>
          <w:numId w:val="110"/>
        </w:numPr>
        <w:suppressLineNumbers w:val="false"/>
        <w:pBdr/>
        <w:spacing w:after="0" w:before="0" w:line="283" w:lineRule="atLeast"/>
        <w:ind w:right="0" w:hanging="425" w:left="2693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Expedito de Sanidad Marítima.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72B0EF21">
      <w:pPr>
        <w:pStyle w:val="1539"/>
        <w:numPr>
          <w:ilvl w:val="2"/>
          <w:numId w:val="110"/>
        </w:numPr>
        <w:suppressLineNumbers w:val="false"/>
        <w:pBdr/>
        <w:spacing w:after="0" w:before="0" w:line="283" w:lineRule="atLeast"/>
        <w:ind w:right="0" w:hanging="425" w:left="2693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Rol de entrada sellado por Migraciones.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62AEAB94">
      <w:pPr>
        <w:pStyle w:val="1539"/>
        <w:numPr>
          <w:ilvl w:val="2"/>
          <w:numId w:val="110"/>
        </w:numPr>
        <w:suppressLineNumbers w:val="false"/>
        <w:pBdr/>
        <w:spacing w:after="0" w:before="0" w:line="283" w:lineRule="atLeast"/>
        <w:ind w:right="0" w:hanging="425" w:left="2693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Lista de rancho.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3F495CD5">
      <w:pPr>
        <w:pStyle w:val="1539"/>
        <w:numPr>
          <w:ilvl w:val="2"/>
          <w:numId w:val="110"/>
        </w:numPr>
        <w:suppressLineNumbers w:val="false"/>
        <w:pBdr/>
        <w:spacing w:after="0" w:before="0" w:line="283" w:lineRule="atLeast"/>
        <w:ind w:right="0" w:hanging="425" w:left="2693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Declaración de efectos personales.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16149697">
      <w:pPr>
        <w:pStyle w:val="1539"/>
        <w:numPr>
          <w:ilvl w:val="2"/>
          <w:numId w:val="110"/>
        </w:numPr>
        <w:suppressLineNumbers w:val="false"/>
        <w:pBdr/>
        <w:spacing w:after="0" w:before="0" w:line="283" w:lineRule="atLeast"/>
        <w:ind w:right="0" w:hanging="425" w:left="2693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Manifiesto de carga.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3D216328">
      <w:pPr>
        <w:pStyle w:val="1539"/>
        <w:numPr>
          <w:ilvl w:val="2"/>
          <w:numId w:val="110"/>
        </w:numPr>
        <w:suppressLineNumbers w:val="false"/>
        <w:pBdr/>
        <w:spacing w:after="0" w:before="0" w:line="283" w:lineRule="atLeast"/>
        <w:ind w:right="0" w:hanging="425" w:left="2693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Certificados y documentos que figuran al reverso de la carpeta de entrada.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39AA7425">
      <w:pPr>
        <w:pStyle w:val="1539"/>
        <w:numPr>
          <w:ilvl w:val="0"/>
          <w:numId w:val="109"/>
        </w:numPr>
        <w:suppressLineNumbers w:val="false"/>
        <w:pBdr/>
        <w:spacing w:after="0" w:before="0" w:line="283" w:lineRule="atLeast"/>
        <w:ind w:right="0" w:hanging="425" w:left="2126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Finalmente deber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á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 efectuar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 el registro correspondiente en el libro de actas.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618727A0">
      <w:pPr>
        <w:suppressLineNumbers w:val="false"/>
        <w:pBdr/>
        <w:spacing w:after="0" w:before="0" w:line="283" w:lineRule="atLeast"/>
        <w:ind w:right="0" w:firstLine="0" w:left="0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p w14:paraId="35ADA6F0">
      <w:pPr>
        <w:pStyle w:val="1539"/>
        <w:numPr>
          <w:ilvl w:val="1"/>
          <w:numId w:val="2"/>
        </w:numPr>
        <w:suppressLineNumbers w:val="false"/>
        <w:pBdr/>
        <w:spacing w:after="0" w:before="0" w:line="283" w:lineRule="atLeast"/>
        <w:ind w:right="0" w:hanging="425" w:left="992"/>
        <w:contextualSpacing w:val="true"/>
        <w:jc w:val="both"/>
        <w:rPr>
          <w:rFonts w:ascii="Times New Roman" w:hAnsi="Times New Roman" w:cs="Times New Roman"/>
          <w:b/>
          <w:bCs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  <w:lang w:val="es-ES"/>
        </w:rPr>
        <w:t xml:space="preserve">ACTIVIDAD - “DESPACHO”</w:t>
      </w:r>
      <w:r>
        <w:rPr>
          <w:rFonts w:ascii="Times New Roman" w:hAnsi="Times New Roman" w:cs="Times New Roman"/>
          <w:b/>
          <w:bCs/>
          <w:sz w:val="22"/>
          <w:szCs w:val="22"/>
          <w:highlight w:val="none"/>
        </w:rPr>
      </w:r>
      <w:r>
        <w:rPr>
          <w:rFonts w:ascii="Times New Roman" w:hAnsi="Times New Roman" w:cs="Times New Roman"/>
          <w:b/>
          <w:bCs/>
          <w:sz w:val="22"/>
          <w:szCs w:val="22"/>
          <w:highlight w:val="none"/>
        </w:rPr>
      </w:r>
    </w:p>
    <w:p w14:paraId="34F89A0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firstLine="0" w:left="1417"/>
        <w:jc w:val="both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HACIA ZONA COMÚN DE PESCA</w:t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:</w:t>
      </w:r>
      <w:r>
        <w:rPr>
          <w:rFonts w:ascii="Times New Roman" w:hAnsi="Times New Roman" w:cs="Times New Roman"/>
          <w:sz w:val="22"/>
          <w:szCs w:val="22"/>
          <w:u w:val="single"/>
        </w:rPr>
      </w:r>
      <w:r>
        <w:rPr>
          <w:rFonts w:ascii="Times New Roman" w:hAnsi="Times New Roman" w:cs="Times New Roman"/>
          <w:sz w:val="22"/>
          <w:szCs w:val="22"/>
          <w:u w:val="single"/>
        </w:rPr>
      </w:r>
    </w:p>
    <w:p w14:paraId="243EAD8E">
      <w:pPr>
        <w:pStyle w:val="1539"/>
        <w:numPr>
          <w:ilvl w:val="1"/>
          <w:numId w:val="8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Para efectivizar el despacho de un buque de pesca de bandera nacional a Zona Común de Pesca se deberá presentar la siguiente documentación requerida</w:t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: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35CABF4A">
      <w:pPr>
        <w:pStyle w:val="1539"/>
        <w:numPr>
          <w:ilvl w:val="2"/>
          <w:numId w:val="11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Certificado nacional de navegabilidad (CNN):</w:t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 en el CNN se controlar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á</w:t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 la vigencia del mismo, de las inspecciones anuales, de la licencia de estación (emitida por la URSEC) y de las balsas salvavidas.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717168C0">
      <w:pPr>
        <w:pStyle w:val="1539"/>
        <w:numPr>
          <w:ilvl w:val="2"/>
          <w:numId w:val="11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 w:bidi="es-ES"/>
        </w:rPr>
        <w:t xml:space="preserve">Vigencia del Certificado de Exenci</w:t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ó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 w:bidi="es-ES"/>
        </w:rPr>
        <w:t xml:space="preserve">n Sanitaria</w:t>
      </w: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</w:p>
    <w:p w14:paraId="6C979C97">
      <w:pPr>
        <w:pStyle w:val="1539"/>
        <w:numPr>
          <w:ilvl w:val="2"/>
          <w:numId w:val="11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Vigencia del Permiso de Pesca emitido por DINARA.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52E19170">
      <w:pPr>
        <w:pStyle w:val="1539"/>
        <w:numPr>
          <w:ilvl w:val="2"/>
          <w:numId w:val="11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Vigencia de los seguros (Responsabilidad Civil por Derrame de Hidrocarburos y, 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Casco y M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á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quinas).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68CA0618">
      <w:pPr>
        <w:pStyle w:val="1539"/>
        <w:numPr>
          <w:ilvl w:val="1"/>
          <w:numId w:val="11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En cuanto a lo que respecta a la tripulación se deber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á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 controlar la siguiente documentación: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6F8F87D5">
      <w:pPr>
        <w:pStyle w:val="1539"/>
        <w:numPr>
          <w:ilvl w:val="2"/>
          <w:numId w:val="11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Vigencia de las libretas y/o permisos de embarque.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5406262B">
      <w:pPr>
        <w:pStyle w:val="1539"/>
        <w:numPr>
          <w:ilvl w:val="2"/>
          <w:numId w:val="11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Visado los embarques en el Libro de Rol del buque.</w:t>
      </w: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</w:p>
    <w:p w14:paraId="0D35856D">
      <w:pPr>
        <w:pStyle w:val="1539"/>
        <w:numPr>
          <w:ilvl w:val="2"/>
          <w:numId w:val="11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Vencimiento y correcto asiento en la libreta / permiso de embarque de: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</w:r>
    </w:p>
    <w:p w14:paraId="5239FEFA">
      <w:pPr>
        <w:pStyle w:val="1539"/>
        <w:numPr>
          <w:ilvl w:val="3"/>
          <w:numId w:val="11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3260"/>
        <w:jc w:val="both"/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Carnet de Salud.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</w:r>
    </w:p>
    <w:p w14:paraId="2BCA870F">
      <w:pPr>
        <w:pStyle w:val="1539"/>
        <w:numPr>
          <w:ilvl w:val="3"/>
          <w:numId w:val="11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32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Carnet de Vacunas.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7E5FC657">
      <w:pPr>
        <w:pStyle w:val="1539"/>
        <w:numPr>
          <w:ilvl w:val="3"/>
          <w:numId w:val="11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32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Cursos OMI.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6B783C7D">
      <w:pPr>
        <w:pStyle w:val="1539"/>
        <w:numPr>
          <w:ilvl w:val="3"/>
          <w:numId w:val="11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32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Titulación (patente).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30468B4A">
      <w:pPr>
        <w:pStyle w:val="1539"/>
        <w:numPr>
          <w:ilvl w:val="2"/>
          <w:numId w:val="11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Cargo que desempeña abordo en concordancia con la titulación.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29D18EE5">
      <w:pPr>
        <w:pStyle w:val="1539"/>
        <w:numPr>
          <w:ilvl w:val="1"/>
          <w:numId w:val="11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El tripulante, luego de controlar que el rol del buque corresponda con la documentación presentada, firmar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á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 y sellar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á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 el Rol con fecha de salida, hora de despacho y ETA a puerto.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6375D3FD">
      <w:pPr>
        <w:pStyle w:val="1539"/>
        <w:numPr>
          <w:ilvl w:val="1"/>
          <w:numId w:val="11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Se visar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á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 el despacho en el Libro de Rol del buque.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548E4CF4">
      <w:pPr>
        <w:pStyle w:val="1539"/>
        <w:numPr>
          <w:ilvl w:val="1"/>
          <w:numId w:val="11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Comunicar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á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 el despacho a CONMO.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3AE93356">
      <w:pPr>
        <w:pStyle w:val="1539"/>
        <w:numPr>
          <w:ilvl w:val="1"/>
          <w:numId w:val="11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Finalmente, deber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á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 efectuar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 el registro correspondiente en el libro de actas.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0474052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firstLine="0" w:left="1417"/>
        <w:jc w:val="both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HACIA ZONA ULTRAMAR</w:t>
      </w:r>
      <w:r>
        <w:rPr>
          <w:rFonts w:ascii="Times New Roman" w:hAnsi="Times New Roman" w:eastAsia="Times New Roman" w:cs="Times New Roman"/>
          <w:sz w:val="22"/>
          <w:szCs w:val="22"/>
          <w:u w:val="single"/>
          <w:lang w:val="es-ES"/>
        </w:rPr>
        <w:t xml:space="preserve">:</w:t>
      </w:r>
      <w:r>
        <w:rPr>
          <w:rFonts w:ascii="Times New Roman" w:hAnsi="Times New Roman" w:cs="Times New Roman"/>
          <w:sz w:val="22"/>
          <w:szCs w:val="22"/>
          <w:u w:val="single"/>
        </w:rPr>
      </w:r>
      <w:r>
        <w:rPr>
          <w:rFonts w:ascii="Times New Roman" w:hAnsi="Times New Roman" w:cs="Times New Roman"/>
          <w:sz w:val="22"/>
          <w:szCs w:val="22"/>
          <w:u w:val="single"/>
        </w:rPr>
      </w:r>
    </w:p>
    <w:p w14:paraId="68A9E96F">
      <w:pPr>
        <w:pStyle w:val="1539"/>
        <w:numPr>
          <w:ilvl w:val="1"/>
          <w:numId w:val="12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12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Para efectivizar el despacho de un buque de pesca de bandera nacional a Zona Ultramar se deberá presentar la siguiente documentación requerida</w:t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: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0A967D25">
      <w:pPr>
        <w:pStyle w:val="1539"/>
        <w:numPr>
          <w:ilvl w:val="2"/>
          <w:numId w:val="8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Expedito de Sanidad Marítima (vigencia 24 horas desde emitido).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192C5A51">
      <w:pPr>
        <w:pStyle w:val="1539"/>
        <w:numPr>
          <w:ilvl w:val="2"/>
          <w:numId w:val="8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Rol de salida sellado por Migraciones (vigencia 24 horas desde emitido).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5131F86B">
      <w:pPr>
        <w:pStyle w:val="1539"/>
        <w:numPr>
          <w:ilvl w:val="2"/>
          <w:numId w:val="13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 w:bidi="es-ES"/>
        </w:rPr>
        <w:t xml:space="preserve">Vigencia del Certificado de Exenci</w:t>
      </w:r>
      <w:r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ó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 w:bidi="es-ES"/>
        </w:rPr>
        <w:t xml:space="preserve">n Sanitaria</w:t>
      </w: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</w:p>
    <w:p w14:paraId="7FE9E0E6">
      <w:pPr>
        <w:pStyle w:val="1539"/>
        <w:numPr>
          <w:ilvl w:val="2"/>
          <w:numId w:val="8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Listado de rancho.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7541A600">
      <w:pPr>
        <w:pStyle w:val="1539"/>
        <w:numPr>
          <w:ilvl w:val="2"/>
          <w:numId w:val="8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Declaración de efectos personales.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6D3D65CF">
      <w:pPr>
        <w:pStyle w:val="1539"/>
        <w:numPr>
          <w:ilvl w:val="2"/>
          <w:numId w:val="8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Documentación de la gente de mar que aborda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6FF77EEF">
      <w:pPr>
        <w:pStyle w:val="1539"/>
        <w:numPr>
          <w:ilvl w:val="2"/>
          <w:numId w:val="8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Boleta de despacho (vía AZUL, TRB &gt;= 1000)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28253555">
      <w:pPr>
        <w:pStyle w:val="1539"/>
        <w:numPr>
          <w:ilvl w:val="2"/>
          <w:numId w:val="8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Se entrega constancia de zarpe al Patrón de Tierra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, la cual deberá ir a bordo del buque.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2FFC9932">
      <w:pPr>
        <w:pStyle w:val="1539"/>
        <w:numPr>
          <w:ilvl w:val="2"/>
          <w:numId w:val="8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E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l tripulante de guardia deberá verificar la totalidad de los documentos y certificados previo al despacho del buque, realizando una revisión exhaustiva de cada uno de ellos, con el fin de asegurar que no existan errores documentales ni certificados vencido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s que impidan un despacho correcto.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1B0BC8C9">
      <w:pPr>
        <w:pStyle w:val="1539"/>
        <w:numPr>
          <w:ilvl w:val="2"/>
          <w:numId w:val="8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El tripulante apostado finalmente firmar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á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 y sellar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á el testimonio de Libre Pl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á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tica con la fecha de salida, la hora de despacho y ETA a puerto.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31D04B89">
      <w:pPr>
        <w:pStyle w:val="1539"/>
        <w:numPr>
          <w:ilvl w:val="2"/>
          <w:numId w:val="12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Se visar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á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 el Libro de Rol en la sección de Despacho.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61514F03">
      <w:pPr>
        <w:pStyle w:val="1539"/>
        <w:numPr>
          <w:ilvl w:val="2"/>
          <w:numId w:val="12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Comunicar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á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 el despacho a CONMO.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64C97668">
      <w:pPr>
        <w:pStyle w:val="1539"/>
        <w:numPr>
          <w:ilvl w:val="2"/>
          <w:numId w:val="12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hanging="425" w:left="269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Finalmente, deber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/>
        </w:rPr>
        <w:t xml:space="preserve">á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 efectuar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s-ES"/>
        </w:rPr>
        <w:t xml:space="preserve"> el registro correspondiente en el libro de actas.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67082246">
      <w:pPr>
        <w:suppressLineNumbers w:val="false"/>
        <w:pBdr/>
        <w:spacing w:after="0" w:before="0" w:line="283" w:lineRule="atLeast"/>
        <w:ind w:firstLine="0" w:left="360"/>
        <w:contextualSpacing w:val="true"/>
        <w:jc w:val="both"/>
        <w:rPr>
          <w:rFonts w:ascii="Times New Roman" w:hAnsi="Times New Roman" w:cs="Times New Roman"/>
          <w:b/>
          <w:bCs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  <w:lang w:val="es-ES" w:bidi="es-ES"/>
        </w:rPr>
      </w:r>
      <w:r>
        <w:rPr>
          <w:rFonts w:ascii="Times New Roman" w:hAnsi="Times New Roman" w:cs="Times New Roman"/>
          <w:b/>
          <w:bCs/>
          <w:sz w:val="22"/>
          <w:szCs w:val="22"/>
          <w:highlight w:val="none"/>
        </w:rPr>
      </w:r>
      <w:r>
        <w:rPr>
          <w:rFonts w:ascii="Times New Roman" w:hAnsi="Times New Roman" w:cs="Times New Roman"/>
          <w:b/>
          <w:bCs/>
          <w:sz w:val="22"/>
          <w:szCs w:val="22"/>
          <w:highlight w:val="none"/>
        </w:rPr>
      </w:r>
    </w:p>
    <w:p w14:paraId="6DB89C07">
      <w:pPr>
        <w:pStyle w:val="1539"/>
        <w:numPr>
          <w:ilvl w:val="1"/>
          <w:numId w:val="2"/>
        </w:numPr>
        <w:suppressLineNumbers w:val="false"/>
        <w:pBdr/>
        <w:spacing w:after="0" w:before="0" w:line="283" w:lineRule="atLeast"/>
        <w:ind w:right="0" w:hanging="425" w:left="992"/>
        <w:contextualSpacing w:val="true"/>
        <w:jc w:val="both"/>
        <w:rPr>
          <w:rFonts w:ascii="Times New Roman" w:hAnsi="Times New Roman" w:cs="Times New Roman"/>
          <w:b/>
          <w:bCs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  <w:lang w:val="es-ES" w:bidi="es-ES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  <w:highlight w:val="none"/>
          <w:lang w:val="es-ES"/>
        </w:rPr>
        <w:t xml:space="preserve">SOBRE EL “RE-DESPACHO”</w:t>
      </w:r>
      <w:r>
        <w:rPr>
          <w:rFonts w:ascii="Times New Roman" w:hAnsi="Times New Roman" w:cs="Times New Roman"/>
          <w:b/>
          <w:bCs/>
          <w:sz w:val="22"/>
          <w:szCs w:val="22"/>
          <w:highlight w:val="none"/>
        </w:rPr>
      </w:r>
      <w:r>
        <w:rPr>
          <w:rFonts w:ascii="Times New Roman" w:hAnsi="Times New Roman" w:cs="Times New Roman"/>
          <w:b/>
          <w:bCs/>
          <w:sz w:val="22"/>
          <w:szCs w:val="22"/>
          <w:highlight w:val="none"/>
        </w:rPr>
      </w:r>
    </w:p>
    <w:p w14:paraId="246AC243">
      <w:pPr>
        <w:suppressLineNumbers w:val="false"/>
        <w:pBdr/>
        <w:spacing w:after="0" w:before="0" w:line="283" w:lineRule="atLeast"/>
        <w:ind w:right="0" w:firstLine="0" w:left="1134"/>
        <w:contextualSpacing w:val="true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i la Agencia Marítima (Patrón de Tierra) hubiera efectuado el trámite de despacho y transcurrieran más de 24 horas sin que el buque se haya hecho a la mar por cualquier motivo, deberá iniciarse un nuevo trámite de despacho. En este caso, será obligatorio p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resentar: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</w:r>
      <w:r/>
    </w:p>
    <w:p w14:paraId="007298B8">
      <w:pPr>
        <w:pStyle w:val="1539"/>
        <w:numPr>
          <w:ilvl w:val="0"/>
          <w:numId w:val="130"/>
        </w:numPr>
        <w:suppressLineNumbers w:val="false"/>
        <w:pBdr/>
        <w:spacing w:after="0" w:before="0" w:line="283" w:lineRule="atLeast"/>
        <w:ind w:right="0" w:hanging="425" w:left="2126"/>
        <w:contextualSpacing w:val="true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Nuevos roles de tripulación intervenidos por Migraciones.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</w:r>
      <w:r/>
    </w:p>
    <w:p w14:paraId="4BEDB572">
      <w:pPr>
        <w:pStyle w:val="1539"/>
        <w:numPr>
          <w:ilvl w:val="0"/>
          <w:numId w:val="130"/>
        </w:numPr>
        <w:suppressLineNumbers w:val="false"/>
        <w:pBdr/>
        <w:spacing w:after="0" w:before="0" w:line="283" w:lineRule="atLeast"/>
        <w:ind w:right="0" w:hanging="425" w:left="2126"/>
        <w:contextualSpacing w:val="true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Un nuevo Expedito Sanitario emitido por Sanidad Marítima.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</w:r>
      <w:r/>
    </w:p>
    <w:p w14:paraId="342F46E7">
      <w:pPr>
        <w:pStyle w:val="1539"/>
        <w:numPr>
          <w:ilvl w:val="0"/>
          <w:numId w:val="130"/>
        </w:numPr>
        <w:suppressLineNumbers w:val="false"/>
        <w:pBdr/>
        <w:spacing w:after="0" w:before="0" w:line="283" w:lineRule="atLeast"/>
        <w:ind w:right="0" w:hanging="425" w:left="2126"/>
        <w:contextualSpacing w:val="true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Nueva constancia de Zarpe.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</w:r>
      <w:r/>
    </w:p>
    <w:p w14:paraId="7CA6B78B">
      <w:pPr>
        <w:suppressLineNumbers w:val="false"/>
        <w:pBdr/>
        <w:spacing w:after="0" w:before="0" w:line="283" w:lineRule="atLeast"/>
        <w:ind w:right="0" w:hanging="425" w:left="1559"/>
        <w:contextualSpacing w:val="true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</w:r>
      <w:r/>
    </w:p>
    <w:p w14:paraId="6289DDAB">
      <w:pPr>
        <w:suppressLineNumbers w:val="false"/>
        <w:pBdr/>
        <w:spacing w:after="0" w:before="0" w:line="283" w:lineRule="atLeast"/>
        <w:ind w:right="0" w:hanging="1" w:left="1134"/>
        <w:contextualSpacing w:val="true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Asimismo, se establecen las siguientes situaciones particulares: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</w:r>
      <w:r/>
    </w:p>
    <w:p w14:paraId="5D65DC91">
      <w:pPr>
        <w:pStyle w:val="1539"/>
        <w:numPr>
          <w:ilvl w:val="0"/>
          <w:numId w:val="131"/>
        </w:numPr>
        <w:suppressLineNumbers w:val="false"/>
        <w:pBdr/>
        <w:spacing w:after="0" w:before="0" w:line="283" w:lineRule="atLeast"/>
        <w:ind w:right="0" w:hanging="425" w:left="2126"/>
        <w:contextualSpacing w:val="true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Buque despachado que fondea sin operar en puerto: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</w:r>
      <w:r/>
    </w:p>
    <w:p w14:paraId="5475DFFC">
      <w:pPr>
        <w:pStyle w:val="1539"/>
        <w:numPr>
          <w:ilvl w:val="1"/>
          <w:numId w:val="131"/>
        </w:numPr>
        <w:suppressLineNumbers w:val="false"/>
        <w:pBdr/>
        <w:spacing w:after="0" w:before="0" w:line="283" w:lineRule="atLeast"/>
        <w:ind w:right="0" w:hanging="425" w:left="2693"/>
        <w:contextualSpacing w:val="true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i el buque hubiera zarpado pero, antes de continuar su navegación, fuera autorizado a fondear en zonas bajo jurisdicción de CONMO y permaneciera allí por más de 24 horas, no se requerirá un nuevo despacho, siempre que no haya utilizado servicios del Puerto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 de Montevideo.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</w:r>
      <w:r/>
    </w:p>
    <w:p w14:paraId="536DF9A1">
      <w:pPr>
        <w:pStyle w:val="1539"/>
        <w:numPr>
          <w:ilvl w:val="0"/>
          <w:numId w:val="131"/>
        </w:numPr>
        <w:suppressLineNumbers w:val="false"/>
        <w:pBdr/>
        <w:spacing w:after="0" w:before="0" w:line="283" w:lineRule="atLeast"/>
        <w:ind w:right="0" w:hanging="425" w:left="2126"/>
        <w:contextualSpacing w:val="true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Buque despachado que fondea y utiliza servicios del puerto: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</w:r>
      <w:r/>
    </w:p>
    <w:p w14:paraId="5A38CD53">
      <w:pPr>
        <w:pStyle w:val="1539"/>
        <w:numPr>
          <w:ilvl w:val="1"/>
          <w:numId w:val="131"/>
        </w:numPr>
        <w:suppressLineNumbers w:val="false"/>
        <w:pBdr/>
        <w:spacing w:after="0" w:before="0" w:line="283" w:lineRule="atLeast"/>
        <w:ind w:right="0" w:hanging="425" w:left="2693"/>
        <w:contextualSpacing w:val="true"/>
        <w:jc w:val="both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es-ES" w:bidi="es-ES"/>
        </w:rPr>
        <w:t xml:space="preserve">Si, en igual situación, el buque hubiera hecho uso de servicios del Puerto de Montevideo luego del despacho, se deberá exigir la realización de un nuevo despacho.</w:t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7" w:right="964" w:bottom="1417" w:left="850" w:header="57" w:footer="283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Microsoft YaHei">
    <w:panose1 w:val="020B0603020202020204"/>
  </w:font>
  <w:font w:name="Wingdings">
    <w:panose1 w:val="05010000000000000000"/>
  </w:font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537"/>
      <w:pBdr/>
      <w:spacing/>
      <w:ind/>
      <w:rPr/>
    </w:pPr>
    <w:r/>
    <w:r/>
  </w:p>
  <w:tbl>
    <w:tblPr>
      <w:tblInd w:w="-72" w:type="dxa"/>
      <w:tblW w:w="10346" w:type="dxa"/>
      <w:tblCellMar>
        <w:left w:w="70" w:type="dxa"/>
        <w:top w:w="0" w:type="dxa"/>
        <w:right w:w="70" w:type="dxa"/>
        <w:bottom w:w="0" w:type="dxa"/>
      </w:tblCellMar>
      <w:tblBorders/>
      <w:tblLayout w:type="fixed"/>
      <w:tblLook w:val="0000" w:firstRow="0" w:lastRow="0" w:firstColumn="0" w:lastColumn="0" w:noHBand="0" w:noVBand="0"/>
    </w:tblPr>
    <w:tblGrid>
      <w:gridCol w:w="2127"/>
      <w:gridCol w:w="4110"/>
      <w:gridCol w:w="2408"/>
      <w:gridCol w:w="1701"/>
    </w:tblGrid>
    <w:tr>
      <w:trPr>
        <w:cantSplit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127" w:type="dxa"/>
          <w:vAlign w:val="center"/>
          <w:vMerge w:val="restart"/>
          <w:textDirection w:val="lrTb"/>
          <w:noWrap w:val="false"/>
        </w:tcPr>
        <w:p>
          <w:pPr>
            <w:pStyle w:val="1524"/>
            <w:keepNext w:val="true"/>
            <w:widowControl w:val="false"/>
            <w:numPr>
              <w:ilvl w:val="0"/>
              <w:numId w:val="0"/>
            </w:numPr>
            <w:pBdr/>
            <w:spacing w:after="0" w:before="0" w:line="360" w:lineRule="auto"/>
            <w:ind w:firstLine="0" w:left="0"/>
            <w:outlineLvl w:val="0"/>
            <w:rPr>
              <w:rFonts w:ascii="Times New Roman" w:hAnsi="Times New Roman" w:eastAsia="Times New Roman" w:cs="Times New Roman"/>
              <w:b/>
              <w:sz w:val="24"/>
              <w:szCs w:val="20"/>
              <w:lang w:val="es-ES_tradnl" w:eastAsia="es-ES"/>
            </w:rPr>
          </w:pPr>
          <w:r>
            <w:rPr>
              <w:rFonts w:ascii="Times New Roman" w:hAnsi="Times New Roman" w:eastAsia="Times New Roman" w:cs="Times New Roman"/>
              <w:b/>
              <w:sz w:val="24"/>
              <w:szCs w:val="20"/>
              <w:lang w:val="es-ES_tradnl" w:eastAsia="es-ES"/>
            </w:rPr>
            <w:t xml:space="preserve">APROBADO POR</w:t>
          </w:r>
          <w:r>
            <w:rPr>
              <w:rFonts w:ascii="Times New Roman" w:hAnsi="Times New Roman" w:eastAsia="Times New Roman" w:cs="Times New Roman"/>
              <w:b/>
              <w:sz w:val="24"/>
              <w:szCs w:val="20"/>
              <w:lang w:val="es-ES_tradnl" w:eastAsia="es-ES"/>
            </w:rPr>
          </w:r>
          <w:r>
            <w:rPr>
              <w:rFonts w:ascii="Times New Roman" w:hAnsi="Times New Roman" w:eastAsia="Times New Roman" w:cs="Times New Roman"/>
              <w:b/>
              <w:sz w:val="24"/>
              <w:szCs w:val="20"/>
              <w:lang w:val="es-ES_tradnl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4110" w:type="dxa"/>
          <w:textDirection w:val="lrTb"/>
          <w:noWrap w:val="false"/>
        </w:tcPr>
        <w:p>
          <w:pPr>
            <w:pStyle w:val="1524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  <w:t xml:space="preserve">CARGO</w:t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408" w:type="dxa"/>
          <w:textDirection w:val="lrTb"/>
          <w:noWrap w:val="false"/>
        </w:tcPr>
        <w:p>
          <w:pPr>
            <w:pStyle w:val="1524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  <w:t xml:space="preserve">FIRMA</w:t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701" w:type="dxa"/>
          <w:textDirection w:val="lrTb"/>
          <w:noWrap w:val="false"/>
        </w:tcPr>
        <w:p>
          <w:pPr>
            <w:pStyle w:val="1524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  <w:t xml:space="preserve">FECHA</w:t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</w:p>
      </w:tc>
    </w:tr>
    <w:tr>
      <w:trPr>
        <w:cantSplit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127" w:type="dxa"/>
          <w:vAlign w:val="center"/>
          <w:vMerge w:val="continue"/>
          <w:textDirection w:val="lrTb"/>
          <w:noWrap w:val="false"/>
        </w:tcPr>
        <w:p>
          <w:pPr>
            <w:pStyle w:val="1524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4110" w:type="dxa"/>
          <w:vAlign w:val="center"/>
          <w:textDirection w:val="lrTb"/>
          <w:noWrap w:val="false"/>
        </w:tcPr>
        <w:p>
          <w:pPr>
            <w:pStyle w:val="1524"/>
            <w:widowControl w:val="false"/>
            <w:pBdr/>
            <w:spacing w:after="0" w:before="0" w:line="240" w:lineRule="auto"/>
            <w:ind w:right="0" w:firstLine="54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  <w:t xml:space="preserve">Prefecto del Puerto de Montevideo</w:t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408" w:type="dxa"/>
          <w:vAlign w:val="center"/>
          <w:textDirection w:val="lrTb"/>
          <w:noWrap w:val="false"/>
        </w:tcPr>
        <w:p>
          <w:pPr>
            <w:pStyle w:val="1524"/>
            <w:widowControl w:val="false"/>
            <w:pBdr/>
            <w:spacing w:after="0" w:before="0" w:line="240" w:lineRule="auto"/>
            <w:ind w:firstLine="540" w:left="-540"/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pP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701" w:type="dxa"/>
          <w:vAlign w:val="center"/>
          <w:textDirection w:val="lrTb"/>
          <w:noWrap w:val="false"/>
        </w:tcPr>
        <w:p>
          <w:pPr>
            <w:pStyle w:val="1524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</w:p>
      </w:tc>
    </w:tr>
    <w:tr>
      <w:trPr>
        <w:cantSplit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127" w:type="dxa"/>
          <w:vAlign w:val="center"/>
          <w:textDirection w:val="lrTb"/>
          <w:noWrap w:val="false"/>
        </w:tcPr>
        <w:p>
          <w:pPr>
            <w:pStyle w:val="1524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  <w:t xml:space="preserve">REVISADO POR</w:t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4110" w:type="dxa"/>
          <w:vAlign w:val="center"/>
          <w:textDirection w:val="lrTb"/>
          <w:noWrap w:val="false"/>
        </w:tcPr>
        <w:p>
          <w:pPr>
            <w:pStyle w:val="1524"/>
            <w:widowControl w:val="false"/>
            <w:pBdr/>
            <w:spacing w:after="0" w:before="0" w:line="240" w:lineRule="auto"/>
            <w:ind w:right="0" w:firstLine="54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  <w:t xml:space="preserve">Jefe de la División Marina Mercante</w:t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408" w:type="dxa"/>
          <w:vAlign w:val="center"/>
          <w:textDirection w:val="lrTb"/>
          <w:noWrap w:val="false"/>
        </w:tcPr>
        <w:p>
          <w:pPr>
            <w:pStyle w:val="1524"/>
            <w:widowControl w:val="false"/>
            <w:pBdr/>
            <w:spacing w:after="0" w:before="0" w:line="240" w:lineRule="auto"/>
            <w:ind w:firstLine="540" w:left="-540"/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pP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701" w:type="dxa"/>
          <w:vAlign w:val="center"/>
          <w:textDirection w:val="lrTb"/>
          <w:noWrap w:val="false"/>
        </w:tcPr>
        <w:p>
          <w:pPr>
            <w:pStyle w:val="1524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r>
        </w:p>
      </w:tc>
    </w:tr>
    <w:tr>
      <w:trPr>
        <w:cantSplit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127" w:type="dxa"/>
          <w:vAlign w:val="center"/>
          <w:textDirection w:val="lrTb"/>
          <w:noWrap w:val="false"/>
        </w:tcPr>
        <w:p>
          <w:pPr>
            <w:pStyle w:val="1524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  <w:t xml:space="preserve">DOCUMENTO</w:t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r>
        </w:p>
      </w:tc>
      <w:tc>
        <w:tcPr>
          <w:gridSpan w:val="3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8219" w:type="dxa"/>
          <w:vAlign w:val="center"/>
          <w:textDirection w:val="lrTb"/>
          <w:noWrap w:val="false"/>
        </w:tcPr>
        <w:p>
          <w:pPr>
            <w:pStyle w:val="1524"/>
            <w:widowControl w:val="false"/>
            <w:pBdr/>
            <w:spacing w:after="0" w:before="0" w:line="240" w:lineRule="auto"/>
            <w:ind w:firstLine="540" w:left="-540"/>
            <w:jc w:val="left"/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pP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5080" distB="5080" distL="5080" distR="5080" simplePos="0" relativeHeight="3" behindDoc="1" locked="0" layoutInCell="0" allowOverlap="1">
                    <wp:simplePos x="0" y="0"/>
                    <wp:positionH relativeFrom="column">
                      <wp:posOffset>4413885</wp:posOffset>
                    </wp:positionH>
                    <wp:positionV relativeFrom="paragraph">
                      <wp:posOffset>37465</wp:posOffset>
                    </wp:positionV>
                    <wp:extent cx="114300" cy="114300"/>
                    <wp:effectExtent l="5080" t="5080" r="5080" b="5080"/>
                    <wp:wrapNone/>
                    <wp:docPr id="2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14480" cy="1144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1" o:spid="_x0000_s1" o:spt="1" type="#_x0000_t1" style="position:absolute;z-index:-3;o:allowoverlap:true;o:allowincell:false;mso-position-horizontal-relative:text;margin-left:347.55pt;mso-position-horizontal:absolute;mso-position-vertical-relative:text;margin-top:2.95pt;mso-position-vertical:absolute;width:9.00pt;height:9.00pt;mso-wrap-distance-left:0.40pt;mso-wrap-distance-top:0.40pt;mso-wrap-distance-right:0.40pt;mso-wrap-distance-bottom:0.40pt;visibility:visible;" fillcolor="#FFFFFF" strokecolor="#000000" strokeweight="0.75pt"/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5080" distB="5080" distL="5080" distR="5080" simplePos="0" relativeHeight="5" behindDoc="1" locked="0" layoutInCell="0" allowOverlap="1">
                    <wp:simplePos x="0" y="0"/>
                    <wp:positionH relativeFrom="column">
                      <wp:posOffset>2757805</wp:posOffset>
                    </wp:positionH>
                    <wp:positionV relativeFrom="paragraph">
                      <wp:posOffset>43180</wp:posOffset>
                    </wp:positionV>
                    <wp:extent cx="114300" cy="114300"/>
                    <wp:effectExtent l="5080" t="5080" r="5080" b="5080"/>
                    <wp:wrapNone/>
                    <wp:docPr id="3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14480" cy="1144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2" o:spid="_x0000_s2" o:spt="1" type="#_x0000_t1" style="position:absolute;z-index:-5;o:allowoverlap:true;o:allowincell:false;mso-position-horizontal-relative:text;margin-left:217.15pt;mso-position-horizontal:absolute;mso-position-vertical-relative:text;margin-top:3.40pt;mso-position-vertical:absolute;width:9.00pt;height:9.00pt;mso-wrap-distance-left:0.40pt;mso-wrap-distance-top:0.40pt;mso-wrap-distance-right:0.40pt;mso-wrap-distance-bottom:0.40pt;visibility:visible;" fillcolor="#FFFFFF" strokecolor="#000000" strokeweight="0.75pt"/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5080" distB="5080" distL="5080" distR="5080" simplePos="0" relativeHeight="7" behindDoc="1" locked="0" layoutInCell="0" allowOverlap="1">
                    <wp:simplePos x="0" y="0"/>
                    <wp:positionH relativeFrom="column">
                      <wp:posOffset>1713230</wp:posOffset>
                    </wp:positionH>
                    <wp:positionV relativeFrom="paragraph">
                      <wp:posOffset>52705</wp:posOffset>
                    </wp:positionV>
                    <wp:extent cx="114300" cy="114300"/>
                    <wp:effectExtent l="5080" t="5080" r="5080" b="5080"/>
                    <wp:wrapNone/>
                    <wp:docPr id="4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14480" cy="1144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3" o:spid="_x0000_s3" o:spt="1" type="#_x0000_t1" style="position:absolute;z-index:-7;o:allowoverlap:true;o:allowincell:false;mso-position-horizontal-relative:text;margin-left:134.90pt;mso-position-horizontal:absolute;mso-position-vertical-relative:text;margin-top:4.15pt;mso-position-vertical:absolute;width:9.00pt;height:9.00pt;mso-wrap-distance-left:0.40pt;mso-wrap-distance-top:0.40pt;mso-wrap-distance-right:0.40pt;mso-wrap-distance-bottom:0.40pt;visibility:visible;" fillcolor="#FFFFFF" strokecolor="#000000" strokeweight="0.75pt"/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5715" distB="4445" distL="5715" distR="4445" simplePos="0" relativeHeight="9" behindDoc="1" locked="0" layoutInCell="0" allowOverlap="1">
                    <wp:simplePos x="0" y="0"/>
                    <wp:positionH relativeFrom="column">
                      <wp:posOffset>1708785</wp:posOffset>
                    </wp:positionH>
                    <wp:positionV relativeFrom="paragraph">
                      <wp:posOffset>31750</wp:posOffset>
                    </wp:positionV>
                    <wp:extent cx="130175" cy="116205"/>
                    <wp:effectExtent l="5715" t="5715" r="4445" b="4445"/>
                    <wp:wrapNone/>
                    <wp:docPr id="5" name="Rectangl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30320" cy="116280"/>
                            </a:xfrm>
                            <a:prstGeom prst="rect">
                              <a:avLst/>
                            </a:prstGeom>
                            <a:solidFill>
                              <a:srgbClr val="66FF33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4" o:spid="_x0000_s4" o:spt="1" type="#_x0000_t1" style="position:absolute;z-index:-9;o:allowoverlap:true;o:allowincell:false;mso-position-horizontal-relative:text;margin-left:134.55pt;mso-position-horizontal:absolute;mso-position-vertical-relative:text;margin-top:2.50pt;mso-position-vertical:absolute;width:10.25pt;height:9.15pt;mso-wrap-distance-left:0.45pt;mso-wrap-distance-top:0.45pt;mso-wrap-distance-right:0.35pt;mso-wrap-distance-bottom:0.35pt;visibility:visible;" fillcolor="#66FF33" strokecolor="#000000" strokeweight="0.75pt"/>
                </w:pict>
              </mc:Fallback>
            </mc:AlternateContent>
            <w:t xml:space="preserve">                  </w:t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  <w:t xml:space="preserve">Original              Copia Controlada               Copia No Controlada</w:t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r>
        </w:p>
      </w:tc>
    </w:tr>
  </w:tbl>
  <w:p>
    <w:pPr>
      <w:pStyle w:val="1537"/>
      <w:pBdr/>
      <w:spacing/>
      <w:ind/>
      <w:rPr/>
    </w:pPr>
    <w:r/>
    <w:r/>
  </w:p>
  <w:p>
    <w:pPr>
      <w:pStyle w:val="153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536"/>
      <w:pBdr/>
      <w:spacing/>
      <w:ind/>
      <w:rPr/>
    </w:pPr>
    <w:r/>
    <w:r/>
  </w:p>
  <w:tbl>
    <w:tblPr>
      <w:tblInd w:w="-72" w:type="dxa"/>
      <w:tblW w:w="10346" w:type="dxa"/>
      <w:tblCellMar>
        <w:left w:w="70" w:type="dxa"/>
        <w:top w:w="0" w:type="dxa"/>
        <w:right w:w="70" w:type="dxa"/>
        <w:bottom w:w="0" w:type="dxa"/>
      </w:tblCellMar>
      <w:tblBorders/>
      <w:tblLayout w:type="fixed"/>
      <w:tblLook w:val="0000" w:firstRow="0" w:lastRow="0" w:firstColumn="0" w:lastColumn="0" w:noHBand="0" w:noVBand="0"/>
    </w:tblPr>
    <w:tblGrid>
      <w:gridCol w:w="1559"/>
      <w:gridCol w:w="3049"/>
      <w:gridCol w:w="4049"/>
      <w:gridCol w:w="1689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59" w:type="dxa"/>
          <w:vAlign w:val="center"/>
          <w:vMerge w:val="restart"/>
          <w:textDirection w:val="lrTb"/>
          <w:noWrap w:val="false"/>
        </w:tcPr>
        <w:p>
          <w:pPr>
            <w:pStyle w:val="1524"/>
            <w:widowControl w:val="false"/>
            <w:pBdr/>
            <w:tabs>
              <w:tab w:val="clear" w:leader="none" w:pos="708"/>
              <w:tab w:val="center" w:leader="none" w:pos="4419"/>
              <w:tab w:val="right" w:leader="none" w:pos="8838"/>
            </w:tabs>
            <w:spacing w:after="0" w:before="0" w:line="240" w:lineRule="auto"/>
            <w:ind/>
            <w:jc w:val="center"/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49300" cy="644525"/>
                    <wp:effectExtent l="0" t="0" r="0" b="0"/>
                    <wp:docPr id="1" name="Imagen 1" descr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Imagen 1" descr="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49300" cy="64452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59.00pt;height:50.75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049" w:type="dxa"/>
          <w:vAlign w:val="center"/>
          <w:vMerge w:val="restart"/>
          <w:textDirection w:val="lrTb"/>
          <w:noWrap w:val="false"/>
        </w:tcPr>
        <w:p>
          <w:pPr>
            <w:pStyle w:val="1524"/>
            <w:widowControl w:val="false"/>
            <w:pBdr/>
            <w:tabs>
              <w:tab w:val="clear" w:leader="none" w:pos="708"/>
              <w:tab w:val="center" w:leader="none" w:pos="4419"/>
              <w:tab w:val="right" w:leader="none" w:pos="8838"/>
            </w:tabs>
            <w:spacing w:after="0" w:before="0" w:line="240" w:lineRule="auto"/>
            <w:ind/>
            <w:jc w:val="center"/>
            <w:rPr>
              <w:rFonts w:ascii="Times New Roman" w:hAnsi="Times New Roman" w:eastAsia="Times New Roman" w:cs="Times New Roman"/>
              <w:b/>
              <w:bCs/>
              <w:sz w:val="28"/>
              <w:szCs w:val="28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  <w:t xml:space="preserve">PREFECTURA DEL PUERTO DE</w:t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8"/>
              <w:lang w:val="es-ES" w:eastAsia="ar-SA"/>
            </w:rPr>
          </w:r>
        </w:p>
        <w:p w14:paraId="0AD85559">
          <w:pPr>
            <w:widowControl w:val="false"/>
            <w:pBdr/>
            <w:tabs>
              <w:tab w:val="clear" w:leader="none" w:pos="708"/>
              <w:tab w:val="center" w:leader="none" w:pos="4419"/>
              <w:tab w:val="right" w:leader="none" w:pos="8838"/>
            </w:tabs>
            <w:spacing w:after="0" w:before="0" w:line="240" w:lineRule="auto"/>
            <w:ind/>
            <w:jc w:val="center"/>
            <w:rPr>
              <w:rFonts w:ascii="Times New Roman" w:hAnsi="Times New Roman" w:eastAsia="Times New Roman" w:cs="Times New Roman"/>
              <w:b/>
              <w:bCs/>
              <w:sz w:val="28"/>
              <w:szCs w:val="28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  <w:t xml:space="preserve">MONTEVIDEO</w:t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8"/>
              <w:lang w:val="es-ES" w:eastAsia="ar-S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49" w:type="dxa"/>
          <w:vAlign w:val="center"/>
          <w:vMerge w:val="restart"/>
          <w:textDirection w:val="lrTb"/>
          <w:noWrap w:val="false"/>
        </w:tcPr>
        <w:p>
          <w:pPr>
            <w:pStyle w:val="1524"/>
            <w:widowControl w:val="false"/>
            <w:suppressLineNumbers w:val="false"/>
            <w:pBdr/>
            <w:spacing w:after="120" w:before="120" w:line="240" w:lineRule="auto"/>
            <w:ind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 xml:space="preserve">ENTRADA / DESPACHO DE BUQUES DE PESCA NACIONAL
</w: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689" w:type="dxa"/>
          <w:vAlign w:val="center"/>
          <w:textDirection w:val="lrTb"/>
          <w:noWrap w:val="false"/>
        </w:tcPr>
        <w:p>
          <w:pPr>
            <w:pStyle w:val="1524"/>
            <w:widowControl w:val="false"/>
            <w:pBdr/>
            <w:tabs>
              <w:tab w:val="clear" w:leader="none" w:pos="708"/>
              <w:tab w:val="right" w:leader="none" w:pos="1744"/>
              <w:tab w:val="center" w:leader="none" w:pos="4419"/>
              <w:tab w:val="right" w:leader="none" w:pos="8838"/>
            </w:tabs>
            <w:spacing w:after="0" w:before="0" w:line="240" w:lineRule="auto"/>
            <w:ind/>
            <w:jc w:val="center"/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  <w:t xml:space="preserve">PR-provisorio</w:t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r>
        </w:p>
      </w:tc>
    </w:tr>
    <w:tr>
      <w:trPr>
        <w:cantSplit/>
        <w:trHeight w:val="702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59" w:type="dxa"/>
          <w:vAlign w:val="center"/>
          <w:vMerge w:val="continue"/>
          <w:textDirection w:val="lrTb"/>
          <w:noWrap w:val="false"/>
        </w:tcPr>
        <w:p>
          <w:pPr>
            <w:pStyle w:val="1524"/>
            <w:widowControl w:val="false"/>
            <w:pBdr/>
            <w:spacing w:after="0" w:before="0" w:line="240" w:lineRule="auto"/>
            <w:ind/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049" w:type="dxa"/>
          <w:vAlign w:val="center"/>
          <w:vMerge w:val="continue"/>
          <w:textDirection w:val="lrTb"/>
          <w:noWrap w:val="false"/>
        </w:tcPr>
        <w:p>
          <w:pPr>
            <w:pStyle w:val="1524"/>
            <w:widowControl w:val="false"/>
            <w:pBdr/>
            <w:spacing w:after="0" w:before="0" w:line="240" w:lineRule="auto"/>
            <w:ind/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49" w:type="dxa"/>
          <w:vAlign w:val="center"/>
          <w:vMerge w:val="continue"/>
          <w:textDirection w:val="lrTb"/>
          <w:noWrap w:val="false"/>
        </w:tcPr>
        <w:p>
          <w:pPr>
            <w:pStyle w:val="1524"/>
            <w:widowControl w:val="false"/>
            <w:pBdr/>
            <w:spacing w:after="0" w:before="0" w:line="240" w:lineRule="auto"/>
            <w:ind/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689" w:type="dxa"/>
          <w:vAlign w:val="center"/>
          <w:textDirection w:val="lrTb"/>
          <w:noWrap w:val="false"/>
        </w:tcPr>
        <w:p>
          <w:pPr>
            <w:pStyle w:val="1524"/>
            <w:widowControl w:val="false"/>
            <w:pBdr/>
            <w:tabs>
              <w:tab w:val="clear" w:leader="none" w:pos="708"/>
              <w:tab w:val="center" w:leader="none" w:pos="4419"/>
              <w:tab w:val="right" w:leader="none" w:pos="8838"/>
            </w:tabs>
            <w:spacing w:after="0" w:before="0" w:line="240" w:lineRule="auto"/>
            <w:ind/>
            <w:jc w:val="center"/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  <w:t xml:space="preserve">Revisión 01</w:t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r>
        </w:p>
      </w:tc>
    </w:tr>
  </w:tbl>
  <w:p>
    <w:pPr>
      <w:pStyle w:val="1536"/>
      <w:pBdr/>
      <w:spacing/>
      <w:ind/>
      <w:rPr/>
    </w:pPr>
    <w:r/>
    <w:r/>
  </w:p>
  <w:p>
    <w:pPr>
      <w:pStyle w:val="153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2520"/>
        </w:tabs>
        <w:spacing/>
        <w:ind w:hanging="1080" w:left="252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2880"/>
        </w:tabs>
        <w:spacing/>
        <w:ind w:hanging="1080" w:left="288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eastAsia="Times New Roman" w:cs="Times New Roman"/>
        <w:b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720" w:left="1440"/>
      </w:pPr>
      <w:rPr>
        <w:b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>
        <w:b/>
      </w:rPr>
      <w:start w:val="1"/>
      <w:suff w:val="tab"/>
    </w:lvl>
    <w:lvl w:ilvl="4">
      <w:isLgl w:val="false"/>
      <w:lvlJc w:val="left"/>
      <w:lvlText w:val="·"/>
      <w:numFmt w:val="bullet"/>
      <w:pPr>
        <w:pBdr/>
        <w:tabs>
          <w:tab w:val="num" w:leader="none" w:pos="2520"/>
        </w:tabs>
        <w:spacing/>
        <w:ind w:hanging="1080" w:left="252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tabs>
          <w:tab w:val="num" w:leader="none" w:pos="2880"/>
        </w:tabs>
        <w:spacing/>
        <w:ind w:hanging="1080" w:left="288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2520"/>
        </w:tabs>
        <w:spacing/>
        <w:ind w:hanging="1080" w:left="252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2880"/>
        </w:tabs>
        <w:spacing/>
        <w:ind w:hanging="1080" w:left="288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3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4">
    <w:nsid w:val="3F6B5E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38A3F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73FE6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03EFA2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95C7DF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C46E6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–"/>
      <w:numFmt w:val="bullet"/>
      <w:pPr>
        <w:pBdr/>
        <w:spacing/>
        <w:ind w:hanging="360" w:left="2869"/>
      </w:pPr>
      <w:rPr>
        <w:rFonts w:ascii="Arial" w:hAnsi="Arial" w:eastAsia="Arial" w:cs="Arial"/>
        <w:b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19C5FB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4">
    <w:nsid w:val="4C46E69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793E529"/>
    <w:lvl w:ilvl="0">
      <w:isLgl w:val="false"/>
      <w:lvlJc w:val="left"/>
      <w:lvlText w:val="·"/>
      <w:numFmt w:val="bullet"/>
      <w:pPr>
        <w:pBdr/>
        <w:spacing/>
        <w:ind w:hanging="360" w:left="2833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553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4273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993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713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6433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7153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873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8593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0793E529"/>
    <w:lvl w:ilvl="0">
      <w:isLgl w:val="false"/>
      <w:lvlJc w:val="left"/>
      <w:lvlText w:val="·"/>
      <w:numFmt w:val="bullet"/>
      <w:pPr>
        <w:pBdr/>
        <w:spacing/>
        <w:ind w:hanging="360" w:left="213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5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7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9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1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3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5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7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9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0793E529"/>
    <w:lvl w:ilvl="0">
      <w:isLgl w:val="false"/>
      <w:lvlJc w:val="left"/>
      <w:lvlText w:val="·"/>
      <w:numFmt w:val="bullet"/>
      <w:pPr>
        <w:pBdr/>
        <w:spacing/>
        <w:ind w:hanging="360" w:left="213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5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7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9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1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3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5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7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9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793E529"/>
    <w:lvl w:ilvl="0">
      <w:isLgl w:val="false"/>
      <w:lvlJc w:val="left"/>
      <w:lvlText w:val="·"/>
      <w:numFmt w:val="bullet"/>
      <w:pPr>
        <w:pBdr/>
        <w:spacing/>
        <w:ind w:hanging="360" w:left="213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5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7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9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1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3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5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7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9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2B9C6E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6732EDB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1">
    <w:nsid w:val="2E6AD5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F3326CE"/>
    <w:lvl w:ilvl="0">
      <w:isLgl w:val="false"/>
      <w:lvlJc w:val="left"/>
      <w:lvlText w:val="·"/>
      <w:numFmt w:val="bullet"/>
      <w:pPr>
        <w:pBdr/>
        <w:tabs>
          <w:tab w:val="num" w:leader="none" w:pos="1800"/>
        </w:tabs>
        <w:spacing/>
        <w:ind w:hanging="360" w:left="720"/>
      </w:pPr>
      <w:rPr>
        <w:rFonts w:hint="default" w:ascii="Symbol" w:hAnsi="Symbol" w:eastAsia="Symbol" w:cs="Symbol"/>
        <w:b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60"/>
      </w:pPr>
      <w:rPr>
        <w:rFonts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4AD6E7DE"/>
    <w:lvl w:ilvl="0">
      <w:isLgl w:val="false"/>
      <w:lvlJc w:val="left"/>
      <w:lvlText w:val="·"/>
      <w:numFmt w:val="bullet"/>
      <w:pPr>
        <w:pBdr/>
        <w:tabs>
          <w:tab w:val="num" w:leader="none" w:pos="1800"/>
        </w:tabs>
        <w:spacing/>
        <w:ind w:hanging="360" w:left="720"/>
      </w:pPr>
      <w:rPr>
        <w:rFonts w:hint="default" w:ascii="Symbol" w:hAnsi="Symbol" w:eastAsia="Symbol" w:cs="Symbol"/>
        <w:b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60"/>
      </w:pPr>
      <w:rPr>
        <w:rFonts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4A7561FF"/>
    <w:lvl w:ilvl="0">
      <w:isLgl w:val="false"/>
      <w:lvlJc w:val="left"/>
      <w:lvlText w:val="·"/>
      <w:numFmt w:val="bullet"/>
      <w:pPr>
        <w:pBdr/>
        <w:tabs>
          <w:tab w:val="num" w:leader="none" w:pos="1800"/>
        </w:tabs>
        <w:spacing/>
        <w:ind w:hanging="360" w:left="720"/>
      </w:pPr>
      <w:rPr>
        <w:rFonts w:hint="default" w:ascii="Symbol" w:hAnsi="Symbol" w:eastAsia="Symbol" w:cs="Symbol"/>
        <w:b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1A3C1FA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60"/>
      </w:pPr>
      <w:rPr>
        <w:rFonts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6A0767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ascii="Arial" w:hAnsi="Arial"/>
        <w:b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>
        <w:b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2520"/>
        </w:tabs>
        <w:spacing/>
        <w:ind w:hanging="1080" w:left="252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2880"/>
        </w:tabs>
        <w:spacing/>
        <w:ind w:hanging="1080" w:left="288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28">
    <w:nsid w:val="7D9FAC1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52D752F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2523581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1">
    <w:nsid w:val="5FA98167"/>
    <w:lvl w:ilvl="0">
      <w:isLgl w:val="false"/>
      <w:lvlJc w:val="left"/>
      <w:lvlText w:val="·"/>
      <w:numFmt w:val="bullet"/>
      <w:pPr>
        <w:pBdr/>
        <w:tabs>
          <w:tab w:val="num" w:leader="none" w:pos="1440"/>
        </w:tabs>
        <w:spacing/>
        <w:ind w:hanging="360" w:left="720"/>
      </w:pPr>
      <w:rPr>
        <w:rFonts w:hint="default" w:ascii="Symbol" w:hAnsi="Symbol" w:eastAsia="Symbol" w:cs="Symbol"/>
        <w:b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556BED8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3">
    <w:nsid w:val="13A2F83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20D6E1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6D980D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20C7F1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530BB3DC"/>
    <w:lvl w:ilvl="0">
      <w:isLgl w:val="false"/>
      <w:lvlJc w:val="left"/>
      <w:lvlText w:val="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192FBD8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183AED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4CA1CB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6BAC771D"/>
    <w:lvl w:ilvl="0">
      <w:isLgl w:val="false"/>
      <w:lvlJc w:val="left"/>
      <w:lvlText w:val="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7CD21E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2">
      <w:isLgl w:val="false"/>
      <w:lvlJc w:val="left"/>
      <w:lvlText w:val="·"/>
      <w:numFmt w:val="bullet"/>
      <w:pPr>
        <w:pBdr/>
        <w:tabs>
          <w:tab w:val="num" w:leader="none" w:pos="1440"/>
        </w:tabs>
        <w:spacing/>
        <w:ind w:hanging="720" w:left="1440"/>
      </w:pPr>
      <w:rPr>
        <w:rFonts w:hint="default" w:ascii="Symbol" w:hAnsi="Symbol" w:eastAsia="Symbol" w:cs="Symbol"/>
        <w:b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>
        <w:b/>
      </w:rPr>
      <w:start w:val="1"/>
      <w:suff w:val="tab"/>
    </w:lvl>
    <w:lvl w:ilvl="4">
      <w:isLgl w:val="false"/>
      <w:lvlJc w:val="left"/>
      <w:lvlText w:val="·"/>
      <w:numFmt w:val="bullet"/>
      <w:pPr>
        <w:pBdr/>
        <w:tabs>
          <w:tab w:val="num" w:leader="none" w:pos="2520"/>
        </w:tabs>
        <w:spacing/>
        <w:ind w:hanging="1080" w:left="252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tabs>
          <w:tab w:val="num" w:leader="none" w:pos="2880"/>
        </w:tabs>
        <w:spacing/>
        <w:ind w:hanging="1080" w:left="288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44">
    <w:nsid w:val="0C4F58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6D5DE4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>
        <w:b/>
      </w:rPr>
      <w:start w:val="1"/>
      <w:suff w:val="tab"/>
    </w:lvl>
    <w:lvl w:ilvl="2">
      <w:isLgl w:val="false"/>
      <w:lvlJc w:val="left"/>
      <w:lvlText w:val="·"/>
      <w:numFmt w:val="bullet"/>
      <w:pPr>
        <w:pBdr/>
        <w:tabs>
          <w:tab w:val="num" w:leader="none" w:pos="1440"/>
        </w:tabs>
        <w:spacing/>
        <w:ind w:hanging="720" w:left="1440"/>
      </w:pPr>
      <w:rPr>
        <w:rFonts w:hint="default" w:ascii="Symbol" w:hAnsi="Symbol" w:eastAsia="Symbol" w:cs="Symbol"/>
        <w:b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>
        <w:b/>
      </w:rPr>
      <w:start w:val="1"/>
      <w:suff w:val="tab"/>
    </w:lvl>
    <w:lvl w:ilvl="4">
      <w:isLgl w:val="false"/>
      <w:lvlJc w:val="left"/>
      <w:lvlText w:val="·"/>
      <w:numFmt w:val="bullet"/>
      <w:pPr>
        <w:pBdr/>
        <w:tabs>
          <w:tab w:val="num" w:leader="none" w:pos="2520"/>
        </w:tabs>
        <w:spacing/>
        <w:ind w:hanging="1080" w:left="252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tabs>
          <w:tab w:val="num" w:leader="none" w:pos="2880"/>
        </w:tabs>
        <w:spacing/>
        <w:ind w:hanging="1080" w:left="288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4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>
        <w:b/>
      </w:rPr>
      <w:start w:val="1"/>
      <w:suff w:val="tab"/>
    </w:lvl>
    <w:lvl w:ilvl="2">
      <w:isLgl w:val="false"/>
      <w:lvlJc w:val="left"/>
      <w:lvlText w:val="·"/>
      <w:numFmt w:val="bullet"/>
      <w:pPr>
        <w:pBdr/>
        <w:tabs>
          <w:tab w:val="num" w:leader="none" w:pos="1440"/>
        </w:tabs>
        <w:spacing/>
        <w:ind w:hanging="720" w:left="1440"/>
      </w:pPr>
      <w:rPr>
        <w:rFonts w:hint="default" w:ascii="Symbol" w:hAnsi="Symbol" w:eastAsia="Symbol" w:cs="Symbol"/>
        <w:b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>
        <w:b/>
      </w:rPr>
      <w:start w:val="1"/>
      <w:suff w:val="tab"/>
    </w:lvl>
    <w:lvl w:ilvl="4">
      <w:isLgl w:val="false"/>
      <w:lvlJc w:val="left"/>
      <w:lvlText w:val="·"/>
      <w:numFmt w:val="bullet"/>
      <w:pPr>
        <w:pBdr/>
        <w:tabs>
          <w:tab w:val="num" w:leader="none" w:pos="2520"/>
        </w:tabs>
        <w:spacing/>
        <w:ind w:hanging="1080" w:left="252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tabs>
          <w:tab w:val="num" w:leader="none" w:pos="2880"/>
        </w:tabs>
        <w:spacing/>
        <w:ind w:hanging="1080" w:left="288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48">
    <w:nsid w:val="65E61BCF"/>
    <w:lvl w:ilvl="0">
      <w:isLgl w:val="false"/>
      <w:lvlJc w:val="left"/>
      <w:lvlText w:val="o"/>
      <w:numFmt w:val="bullet"/>
      <w:pPr>
        <w:pBdr/>
        <w:spacing/>
        <w:ind w:hanging="360" w:left="1428"/>
      </w:pPr>
      <w:rPr>
        <w:rFonts w:ascii="Courier New" w:hAnsi="Courier New" w:eastAsia="Courier New" w:cs="Courier New"/>
        <w:b w:val="0"/>
        <w:sz w:val="52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6FE70656"/>
    <w:lvl w:ilvl="0">
      <w:isLgl w:val="false"/>
      <w:lvlJc w:val="left"/>
      <w:lvlText w:val="–"/>
      <w:numFmt w:val="bullet"/>
      <w:pPr>
        <w:pBdr/>
        <w:spacing/>
        <w:ind w:hanging="360" w:left="2125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24F1A420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3D208DEC"/>
    <w:lvl w:ilvl="0">
      <w:isLgl w:val="false"/>
      <w:lvlJc w:val="left"/>
      <w:lvlText w:val="–"/>
      <w:numFmt w:val="bullet"/>
      <w:pPr>
        <w:pBdr/>
        <w:spacing/>
        <w:ind w:hanging="360" w:left="1843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63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283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003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723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443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163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83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603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210A1A1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692B8951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65E61BCF"/>
    <w:lvl w:ilvl="0">
      <w:isLgl w:val="false"/>
      <w:lvlJc w:val="left"/>
      <w:lvlText w:val="o"/>
      <w:numFmt w:val="bullet"/>
      <w:pPr>
        <w:pBdr/>
        <w:spacing/>
        <w:ind w:hanging="360" w:left="1428"/>
      </w:pPr>
      <w:rPr>
        <w:rFonts w:ascii="Courier New" w:hAnsi="Courier New" w:eastAsia="Courier New" w:cs="Courier New"/>
        <w:sz w:val="52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3935FA00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3F2B3A55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52DE2C72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65E61BCF"/>
    <w:lvl w:ilvl="0">
      <w:isLgl w:val="false"/>
      <w:lvlJc w:val="left"/>
      <w:lvlText w:val="o"/>
      <w:numFmt w:val="bullet"/>
      <w:pPr>
        <w:pBdr/>
        <w:spacing/>
        <w:ind w:hanging="360" w:left="1428"/>
      </w:pPr>
      <w:rPr>
        <w:rFonts w:ascii="Courier New" w:hAnsi="Courier New" w:eastAsia="Courier New" w:cs="Courier New"/>
        <w:sz w:val="52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3935FA00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24F1A420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210A1A1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692B8951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3F2B3A55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52DE2C72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ascii="Arial" w:hAnsi="Arial" w:eastAsia="Arial" w:cs="Arial"/>
        <w:b/>
      </w:rPr>
      <w:start w:val="1"/>
      <w:suff w:val="tab"/>
    </w:lvl>
    <w:lvl w:ilvl="2">
      <w:isLgl w:val="false"/>
      <w:lvlJc w:val="left"/>
      <w:lvlText w:val="·"/>
      <w:numFmt w:val="bullet"/>
      <w:pPr>
        <w:pBdr/>
        <w:tabs>
          <w:tab w:val="num" w:leader="none" w:pos="1440"/>
        </w:tabs>
        <w:spacing/>
        <w:ind w:hanging="720" w:left="1440"/>
      </w:pPr>
      <w:rPr>
        <w:rFonts w:hint="default" w:ascii="Symbol" w:hAnsi="Symbol" w:eastAsia="Symbol" w:cs="Symbol"/>
        <w:b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>
        <w:b/>
      </w:rPr>
      <w:start w:val="1"/>
      <w:suff w:val="tab"/>
    </w:lvl>
    <w:lvl w:ilvl="4">
      <w:isLgl w:val="false"/>
      <w:lvlJc w:val="left"/>
      <w:lvlText w:val="·"/>
      <w:numFmt w:val="bullet"/>
      <w:pPr>
        <w:pBdr/>
        <w:tabs>
          <w:tab w:val="num" w:leader="none" w:pos="2520"/>
        </w:tabs>
        <w:spacing/>
        <w:ind w:hanging="1080" w:left="252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tabs>
          <w:tab w:val="num" w:leader="none" w:pos="2880"/>
        </w:tabs>
        <w:spacing/>
        <w:ind w:hanging="1080" w:left="288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66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ascii="Arial" w:hAnsi="Arial" w:eastAsia="Arial" w:cs="Arial"/>
        <w:b/>
      </w:rPr>
      <w:start w:val="1"/>
      <w:suff w:val="tab"/>
    </w:lvl>
    <w:lvl w:ilvl="2">
      <w:isLgl w:val="false"/>
      <w:lvlJc w:val="left"/>
      <w:lvlText w:val="·"/>
      <w:numFmt w:val="bullet"/>
      <w:pPr>
        <w:pBdr/>
        <w:tabs>
          <w:tab w:val="num" w:leader="none" w:pos="1440"/>
        </w:tabs>
        <w:spacing/>
        <w:ind w:hanging="720" w:left="1440"/>
      </w:pPr>
      <w:rPr>
        <w:rFonts w:hint="default" w:ascii="Symbol" w:hAnsi="Symbol" w:eastAsia="Symbol" w:cs="Symbol"/>
        <w:b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>
        <w:b/>
      </w:rPr>
      <w:start w:val="1"/>
      <w:suff w:val="tab"/>
    </w:lvl>
    <w:lvl w:ilvl="4">
      <w:isLgl w:val="false"/>
      <w:lvlJc w:val="left"/>
      <w:lvlText w:val="·"/>
      <w:numFmt w:val="bullet"/>
      <w:pPr>
        <w:pBdr/>
        <w:tabs>
          <w:tab w:val="num" w:leader="none" w:pos="2520"/>
        </w:tabs>
        <w:spacing/>
        <w:ind w:hanging="1080" w:left="252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tabs>
          <w:tab w:val="num" w:leader="none" w:pos="2880"/>
        </w:tabs>
        <w:spacing/>
        <w:ind w:hanging="1080" w:left="288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6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ascii="Arial" w:hAnsi="Arial" w:eastAsia="Arial" w:cs="Arial"/>
        <w:b/>
      </w:rPr>
      <w:start w:val="1"/>
      <w:suff w:val="tab"/>
    </w:lvl>
    <w:lvl w:ilvl="2">
      <w:isLgl w:val="false"/>
      <w:lvlJc w:val="left"/>
      <w:lvlText w:val="·"/>
      <w:numFmt w:val="bullet"/>
      <w:pPr>
        <w:pBdr/>
        <w:tabs>
          <w:tab w:val="num" w:leader="none" w:pos="1440"/>
        </w:tabs>
        <w:spacing/>
        <w:ind w:hanging="720" w:left="1440"/>
      </w:pPr>
      <w:rPr>
        <w:rFonts w:hint="default" w:ascii="Symbol" w:hAnsi="Symbol" w:eastAsia="Symbol" w:cs="Symbol"/>
        <w:b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>
        <w:b/>
      </w:rPr>
      <w:start w:val="1"/>
      <w:suff w:val="tab"/>
    </w:lvl>
    <w:lvl w:ilvl="4">
      <w:isLgl w:val="false"/>
      <w:lvlJc w:val="left"/>
      <w:lvlText w:val="·"/>
      <w:numFmt w:val="bullet"/>
      <w:pPr>
        <w:pBdr/>
        <w:tabs>
          <w:tab w:val="num" w:leader="none" w:pos="2520"/>
        </w:tabs>
        <w:spacing/>
        <w:ind w:hanging="1080" w:left="2520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tabs>
          <w:tab w:val="num" w:leader="none" w:pos="2880"/>
        </w:tabs>
        <w:spacing/>
        <w:ind w:hanging="1080" w:left="2880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68">
    <w:nsid w:val="7F3326CE"/>
    <w:lvl w:ilvl="0">
      <w:isLgl w:val="false"/>
      <w:lvlJc w:val="left"/>
      <w:lvlText w:val="·"/>
      <w:numFmt w:val="bullet"/>
      <w:pPr>
        <w:pBdr/>
        <w:tabs>
          <w:tab w:val="num" w:leader="none" w:pos="1800"/>
        </w:tabs>
        <w:spacing/>
        <w:ind w:hanging="360" w:left="720"/>
      </w:pPr>
      <w:rPr>
        <w:rFonts w:hint="default" w:ascii="Symbol" w:hAnsi="Symbol" w:eastAsia="Symbol" w:cs="Symbol"/>
        <w:b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60"/>
      </w:pPr>
      <w:rPr>
        <w:rFonts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3AD3BF4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0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4C46E69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6C64FCE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2A1632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023D4D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14EFBA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4C46E69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6844C9BC"/>
    <w:lvl w:ilvl="0">
      <w:isLgl w:val="false"/>
      <w:lvlJc w:val="left"/>
      <w:lvlText w:val="·"/>
      <w:numFmt w:val="bullet"/>
      <w:pPr>
        <w:pBdr/>
        <w:spacing/>
        <w:ind w:hanging="360" w:left="24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1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8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5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2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60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7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4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81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1FB588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2ADBFDFD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37E09285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634073F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213A99D3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40CDEF1E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nsid w:val="3F6B5E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3F6B5E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nsid w:val="3F6B5E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3F6B5E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nsid w:val="3F6B5E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nsid w:val="3F6B5E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nsid w:val="5F8B3D63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nsid w:val="3A5CD7B4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§"/>
      <w:numFmt w:val="bullet"/>
      <w:pPr>
        <w:pBdr/>
        <w:spacing/>
        <w:ind w:hanging="360" w:left="2137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nsid w:val="3A5CD7B4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§"/>
      <w:numFmt w:val="bullet"/>
      <w:pPr>
        <w:pBdr/>
        <w:spacing/>
        <w:ind w:hanging="360" w:left="2137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nsid w:val="3A5CD7B4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§"/>
      <w:numFmt w:val="bullet"/>
      <w:pPr>
        <w:pBdr/>
        <w:spacing/>
        <w:ind w:hanging="360" w:left="2137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6686CB85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08D42C13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nsid w:val="3302839E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6686CB85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6686CB85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nsid w:val="6686CB85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6686CB85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3302839E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3302839E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3302839E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nsid w:val="3302839E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3302839E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3302839E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nsid w:val="3302839E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3302839E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4C46E69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nsid w:val="4C46E69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">
    <w:nsid w:val="4C46E69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">
    <w:nsid w:val="4C46E69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">
    <w:nsid w:val="3302839E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">
    <w:nsid w:val="6410F5B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">
    <w:nsid w:val="4B822E6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">
    <w:nsid w:val="2A76B3D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§"/>
      <w:numFmt w:val="bullet"/>
      <w:pPr>
        <w:pBdr/>
        <w:spacing/>
        <w:ind w:hanging="360" w:left="1440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">
    <w:nsid w:val="3302839E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">
    <w:nsid w:val="4C46E69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">
    <w:nsid w:val="4C46E69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">
    <w:nsid w:val="3302839E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AR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43">
    <w:name w:val="Table Grid"/>
    <w:basedOn w:val="15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4">
    <w:name w:val="Table Grid Light"/>
    <w:basedOn w:val="15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5">
    <w:name w:val="Plain Table 1"/>
    <w:basedOn w:val="15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6">
    <w:name w:val="Plain Table 2"/>
    <w:basedOn w:val="15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7">
    <w:name w:val="Plain Table 3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8">
    <w:name w:val="Plain Table 4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9">
    <w:name w:val="Plain Table 5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0">
    <w:name w:val="Grid Table 1 Light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1">
    <w:name w:val="Grid Table 1 Light - Accent 1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2">
    <w:name w:val="Grid Table 1 Light - Accent 2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3">
    <w:name w:val="Grid Table 1 Light - Accent 3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4">
    <w:name w:val="Grid Table 1 Light - Accent 4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5">
    <w:name w:val="Grid Table 1 Light - Accent 5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6">
    <w:name w:val="Grid Table 1 Light - Accent 6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7">
    <w:name w:val="Grid Table 2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8">
    <w:name w:val="Grid Table 2 - Accent 1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9">
    <w:name w:val="Grid Table 2 - Accent 2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0">
    <w:name w:val="Grid Table 2 - Accent 3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1">
    <w:name w:val="Grid Table 2 - Accent 4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2">
    <w:name w:val="Grid Table 2 - Accent 5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3">
    <w:name w:val="Grid Table 2 - Accent 6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4">
    <w:name w:val="Grid Table 3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5">
    <w:name w:val="Grid Table 3 - Accent 1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6">
    <w:name w:val="Grid Table 3 - Accent 2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7">
    <w:name w:val="Grid Table 3 - Accent 3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8">
    <w:name w:val="Grid Table 3 - Accent 4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9">
    <w:name w:val="Grid Table 3 - Accent 5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0">
    <w:name w:val="Grid Table 3 - Accent 6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1">
    <w:name w:val="Grid Table 4"/>
    <w:basedOn w:val="15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2">
    <w:name w:val="Grid Table 4 - Accent 1"/>
    <w:basedOn w:val="15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3">
    <w:name w:val="Grid Table 4 - Accent 2"/>
    <w:basedOn w:val="15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4">
    <w:name w:val="Grid Table 4 - Accent 3"/>
    <w:basedOn w:val="15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5">
    <w:name w:val="Grid Table 4 - Accent 4"/>
    <w:basedOn w:val="15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6">
    <w:name w:val="Grid Table 4 - Accent 5"/>
    <w:basedOn w:val="15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7">
    <w:name w:val="Grid Table 4 - Accent 6"/>
    <w:basedOn w:val="15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8">
    <w:name w:val="Grid Table 5 Dark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9">
    <w:name w:val="Grid Table 5 Dark- Accent 1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0">
    <w:name w:val="Grid Table 5 Dark - Accent 2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1">
    <w:name w:val="Grid Table 5 Dark - Accent 3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2">
    <w:name w:val="Grid Table 5 Dark- Accent 4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3">
    <w:name w:val="Grid Table 5 Dark - Accent 5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4">
    <w:name w:val="Grid Table 5 Dark - Accent 6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5">
    <w:name w:val="Grid Table 6 Colorful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6">
    <w:name w:val="Grid Table 6 Colorful - Accent 1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7">
    <w:name w:val="Grid Table 6 Colorful - Accent 2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Grid Table 6 Colorful - Accent 3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9">
    <w:name w:val="Grid Table 6 Colorful - Accent 4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Grid Table 6 Colorful - Accent 5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Grid Table 6 Colorful - Accent 6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Grid Table 7 Colorful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Grid Table 7 Colorful - Accent 1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Grid Table 7 Colorful - Accent 2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Grid Table 7 Colorful - Accent 3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Grid Table 7 Colorful - Accent 4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Grid Table 7 Colorful - Accent 5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Grid Table 7 Colorful - Accent 6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List Table 1 Light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List Table 1 Light - Accent 1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List Table 1 Light - Accent 2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List Table 1 Light - Accent 3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List Table 1 Light - Accent 4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List Table 1 Light - Accent 5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List Table 1 Light - Accent 6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List Table 2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List Table 2 - Accent 1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List Table 2 - Accent 2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List Table 2 - Accent 3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List Table 2 - Accent 4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List Table 2 - Accent 5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List Table 2 - Accent 6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List Table 3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List Table 3 - Accent 1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List Table 3 - Accent 2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List Table 3 - Accent 3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List Table 3 - Accent 4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List Table 3 - Accent 5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List Table 3 - Accent 6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List Table 4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List Table 4 - Accent 1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List Table 4 - Accent 2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List Table 4 - Accent 3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List Table 4 - Accent 4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List Table 4 - Accent 5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List Table 4 - Accent 6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List Table 5 Dark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List Table 5 Dark - Accent 1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List Table 5 Dark - Accent 2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List Table 5 Dark - Accent 3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List Table 5 Dark - Accent 4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List Table 5 Dark - Accent 5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List Table 5 Dark - Accent 6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List Table 6 Colorful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List Table 6 Colorful - Accent 1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List Table 6 Colorful - Accent 2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List Table 6 Colorful - Accent 3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List Table 6 Colorful - Accent 4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List Table 6 Colorful - Accent 5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List Table 6 Colorful - Accent 6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List Table 7 Colorful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List Table 7 Colorful - Accent 1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List Table 7 Colorful - Accent 2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List Table 7 Colorful - Accent 3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List Table 7 Colorful - Accent 4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List Table 7 Colorful - Accent 5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List Table 7 Colorful - Accent 6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Lined - Accent"/>
    <w:basedOn w:val="15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Lined - Accent 1"/>
    <w:basedOn w:val="15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Lined - Accent 2"/>
    <w:basedOn w:val="15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Lined - Accent 3"/>
    <w:basedOn w:val="15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Lined - Accent 4"/>
    <w:basedOn w:val="15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Lined - Accent 5"/>
    <w:basedOn w:val="15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Lined - Accent 6"/>
    <w:basedOn w:val="15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Bordered &amp; Lined - Accent"/>
    <w:basedOn w:val="15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Bordered &amp; Lined - Accent 1"/>
    <w:basedOn w:val="15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Bordered &amp; Lined - Accent 2"/>
    <w:basedOn w:val="15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Bordered &amp; Lined - Accent 3"/>
    <w:basedOn w:val="15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Bordered &amp; Lined - Accent 4"/>
    <w:basedOn w:val="15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Bordered &amp; Lined - Accent 5"/>
    <w:basedOn w:val="15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Bordered &amp; Lined - Accent 6"/>
    <w:basedOn w:val="15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Bordered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Bordered - Accent 1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Bordered - Accent 2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Bordered - Accent 3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Bordered - Accent 4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Bordered - Accent 5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Bordered - Accent 6"/>
    <w:basedOn w:val="15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69">
    <w:name w:val="Heading 1"/>
    <w:basedOn w:val="1524"/>
    <w:next w:val="1524"/>
    <w:link w:val="147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70">
    <w:name w:val="Heading 2"/>
    <w:basedOn w:val="1524"/>
    <w:next w:val="1524"/>
    <w:link w:val="147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71">
    <w:name w:val="Heading 3"/>
    <w:basedOn w:val="1524"/>
    <w:next w:val="1524"/>
    <w:link w:val="148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72">
    <w:name w:val="Heading 4"/>
    <w:basedOn w:val="1524"/>
    <w:next w:val="1524"/>
    <w:link w:val="148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73">
    <w:name w:val="Heading 5"/>
    <w:basedOn w:val="1524"/>
    <w:next w:val="1524"/>
    <w:link w:val="148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74">
    <w:name w:val="Heading 6"/>
    <w:basedOn w:val="1524"/>
    <w:next w:val="1524"/>
    <w:link w:val="148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75">
    <w:name w:val="Heading 7"/>
    <w:basedOn w:val="1524"/>
    <w:next w:val="1524"/>
    <w:link w:val="148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76">
    <w:name w:val="Heading 8"/>
    <w:basedOn w:val="1524"/>
    <w:next w:val="1524"/>
    <w:link w:val="148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7">
    <w:name w:val="Heading 9"/>
    <w:basedOn w:val="1524"/>
    <w:next w:val="1524"/>
    <w:link w:val="148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8">
    <w:name w:val="Heading 1 Char"/>
    <w:basedOn w:val="1525"/>
    <w:link w:val="14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479">
    <w:name w:val="Heading 2 Char"/>
    <w:basedOn w:val="1525"/>
    <w:link w:val="14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480">
    <w:name w:val="Heading 3 Char"/>
    <w:basedOn w:val="1525"/>
    <w:link w:val="14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481">
    <w:name w:val="Heading 4 Char"/>
    <w:basedOn w:val="1525"/>
    <w:link w:val="147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482">
    <w:name w:val="Heading 5 Char"/>
    <w:basedOn w:val="1525"/>
    <w:link w:val="14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483">
    <w:name w:val="Heading 6 Char"/>
    <w:basedOn w:val="1525"/>
    <w:link w:val="147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484">
    <w:name w:val="Heading 7 Char"/>
    <w:basedOn w:val="1525"/>
    <w:link w:val="147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485">
    <w:name w:val="Heading 8 Char"/>
    <w:basedOn w:val="1525"/>
    <w:link w:val="14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486">
    <w:name w:val="Heading 9 Char"/>
    <w:basedOn w:val="1525"/>
    <w:link w:val="14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487">
    <w:name w:val="Title"/>
    <w:basedOn w:val="1524"/>
    <w:next w:val="1524"/>
    <w:link w:val="148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488">
    <w:name w:val="Title Char"/>
    <w:basedOn w:val="1525"/>
    <w:link w:val="14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489">
    <w:name w:val="Subtitle"/>
    <w:basedOn w:val="1524"/>
    <w:next w:val="1524"/>
    <w:link w:val="149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490">
    <w:name w:val="Subtitle Char"/>
    <w:basedOn w:val="1525"/>
    <w:link w:val="148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491">
    <w:name w:val="Quote"/>
    <w:basedOn w:val="1524"/>
    <w:next w:val="1524"/>
    <w:link w:val="149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492">
    <w:name w:val="Quote Char"/>
    <w:basedOn w:val="1525"/>
    <w:link w:val="149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493">
    <w:name w:val="Intense Emphasis"/>
    <w:basedOn w:val="152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494">
    <w:name w:val="Intense Quote"/>
    <w:basedOn w:val="1524"/>
    <w:next w:val="1524"/>
    <w:link w:val="14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495">
    <w:name w:val="Intense Quote Char"/>
    <w:basedOn w:val="1525"/>
    <w:link w:val="14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496">
    <w:name w:val="Intense Reference"/>
    <w:basedOn w:val="152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497">
    <w:name w:val="No Spacing"/>
    <w:basedOn w:val="1524"/>
    <w:uiPriority w:val="1"/>
    <w:qFormat/>
    <w:pPr>
      <w:pBdr/>
      <w:spacing w:after="0" w:line="240" w:lineRule="auto"/>
      <w:ind/>
    </w:pPr>
  </w:style>
  <w:style w:type="character" w:styleId="1498">
    <w:name w:val="Subtle Emphasis"/>
    <w:basedOn w:val="152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499">
    <w:name w:val="Emphasis"/>
    <w:basedOn w:val="1525"/>
    <w:uiPriority w:val="20"/>
    <w:qFormat/>
    <w:pPr>
      <w:pBdr/>
      <w:spacing/>
      <w:ind/>
    </w:pPr>
    <w:rPr>
      <w:i/>
      <w:iCs/>
    </w:rPr>
  </w:style>
  <w:style w:type="character" w:styleId="1500">
    <w:name w:val="Strong"/>
    <w:basedOn w:val="1525"/>
    <w:uiPriority w:val="22"/>
    <w:qFormat/>
    <w:pPr>
      <w:pBdr/>
      <w:spacing/>
      <w:ind/>
    </w:pPr>
    <w:rPr>
      <w:b/>
      <w:bCs/>
    </w:rPr>
  </w:style>
  <w:style w:type="character" w:styleId="1501">
    <w:name w:val="Subtle Reference"/>
    <w:basedOn w:val="152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02">
    <w:name w:val="Book Title"/>
    <w:basedOn w:val="152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503">
    <w:name w:val="Header Char"/>
    <w:basedOn w:val="1525"/>
    <w:link w:val="1536"/>
    <w:uiPriority w:val="99"/>
    <w:pPr>
      <w:pBdr/>
      <w:spacing/>
      <w:ind/>
    </w:pPr>
  </w:style>
  <w:style w:type="character" w:styleId="1504">
    <w:name w:val="Footer Char"/>
    <w:basedOn w:val="1525"/>
    <w:link w:val="1537"/>
    <w:uiPriority w:val="99"/>
    <w:pPr>
      <w:pBdr/>
      <w:spacing/>
      <w:ind/>
    </w:pPr>
  </w:style>
  <w:style w:type="paragraph" w:styleId="1505">
    <w:name w:val="footnote text"/>
    <w:basedOn w:val="1524"/>
    <w:link w:val="15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06">
    <w:name w:val="Footnote Text Char"/>
    <w:basedOn w:val="1525"/>
    <w:link w:val="1505"/>
    <w:uiPriority w:val="99"/>
    <w:semiHidden/>
    <w:pPr>
      <w:pBdr/>
      <w:spacing/>
      <w:ind/>
    </w:pPr>
    <w:rPr>
      <w:sz w:val="20"/>
      <w:szCs w:val="20"/>
    </w:rPr>
  </w:style>
  <w:style w:type="character" w:styleId="1507">
    <w:name w:val="footnote reference"/>
    <w:basedOn w:val="1525"/>
    <w:uiPriority w:val="99"/>
    <w:semiHidden/>
    <w:unhideWhenUsed/>
    <w:pPr>
      <w:pBdr/>
      <w:spacing/>
      <w:ind/>
    </w:pPr>
    <w:rPr>
      <w:vertAlign w:val="superscript"/>
    </w:rPr>
  </w:style>
  <w:style w:type="paragraph" w:styleId="1508">
    <w:name w:val="endnote text"/>
    <w:basedOn w:val="1524"/>
    <w:link w:val="15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09">
    <w:name w:val="Endnote Text Char"/>
    <w:basedOn w:val="1525"/>
    <w:link w:val="1508"/>
    <w:uiPriority w:val="99"/>
    <w:semiHidden/>
    <w:pPr>
      <w:pBdr/>
      <w:spacing/>
      <w:ind/>
    </w:pPr>
    <w:rPr>
      <w:sz w:val="20"/>
      <w:szCs w:val="20"/>
    </w:rPr>
  </w:style>
  <w:style w:type="character" w:styleId="1510">
    <w:name w:val="endnote reference"/>
    <w:basedOn w:val="1525"/>
    <w:uiPriority w:val="99"/>
    <w:semiHidden/>
    <w:unhideWhenUsed/>
    <w:pPr>
      <w:pBdr/>
      <w:spacing/>
      <w:ind/>
    </w:pPr>
    <w:rPr>
      <w:vertAlign w:val="superscript"/>
    </w:rPr>
  </w:style>
  <w:style w:type="character" w:styleId="1511">
    <w:name w:val="FollowedHyperlink"/>
    <w:basedOn w:val="152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12">
    <w:name w:val="toc 1"/>
    <w:basedOn w:val="1524"/>
    <w:next w:val="1524"/>
    <w:uiPriority w:val="39"/>
    <w:unhideWhenUsed/>
    <w:pPr>
      <w:pBdr/>
      <w:spacing w:after="100"/>
      <w:ind/>
    </w:pPr>
  </w:style>
  <w:style w:type="paragraph" w:styleId="1513">
    <w:name w:val="toc 2"/>
    <w:basedOn w:val="1524"/>
    <w:next w:val="1524"/>
    <w:uiPriority w:val="39"/>
    <w:unhideWhenUsed/>
    <w:pPr>
      <w:pBdr/>
      <w:spacing w:after="100"/>
      <w:ind w:left="220"/>
    </w:pPr>
  </w:style>
  <w:style w:type="paragraph" w:styleId="1514">
    <w:name w:val="toc 3"/>
    <w:basedOn w:val="1524"/>
    <w:next w:val="1524"/>
    <w:uiPriority w:val="39"/>
    <w:unhideWhenUsed/>
    <w:pPr>
      <w:pBdr/>
      <w:spacing w:after="100"/>
      <w:ind w:left="440"/>
    </w:pPr>
  </w:style>
  <w:style w:type="paragraph" w:styleId="1515">
    <w:name w:val="toc 4"/>
    <w:basedOn w:val="1524"/>
    <w:next w:val="1524"/>
    <w:uiPriority w:val="39"/>
    <w:unhideWhenUsed/>
    <w:pPr>
      <w:pBdr/>
      <w:spacing w:after="100"/>
      <w:ind w:left="660"/>
    </w:pPr>
  </w:style>
  <w:style w:type="paragraph" w:styleId="1516">
    <w:name w:val="toc 5"/>
    <w:basedOn w:val="1524"/>
    <w:next w:val="1524"/>
    <w:uiPriority w:val="39"/>
    <w:unhideWhenUsed/>
    <w:pPr>
      <w:pBdr/>
      <w:spacing w:after="100"/>
      <w:ind w:left="880"/>
    </w:pPr>
  </w:style>
  <w:style w:type="paragraph" w:styleId="1517">
    <w:name w:val="toc 6"/>
    <w:basedOn w:val="1524"/>
    <w:next w:val="1524"/>
    <w:uiPriority w:val="39"/>
    <w:unhideWhenUsed/>
    <w:pPr>
      <w:pBdr/>
      <w:spacing w:after="100"/>
      <w:ind w:left="1100"/>
    </w:pPr>
  </w:style>
  <w:style w:type="paragraph" w:styleId="1518">
    <w:name w:val="toc 7"/>
    <w:basedOn w:val="1524"/>
    <w:next w:val="1524"/>
    <w:uiPriority w:val="39"/>
    <w:unhideWhenUsed/>
    <w:pPr>
      <w:pBdr/>
      <w:spacing w:after="100"/>
      <w:ind w:left="1320"/>
    </w:pPr>
  </w:style>
  <w:style w:type="paragraph" w:styleId="1519">
    <w:name w:val="toc 8"/>
    <w:basedOn w:val="1524"/>
    <w:next w:val="1524"/>
    <w:uiPriority w:val="39"/>
    <w:unhideWhenUsed/>
    <w:pPr>
      <w:pBdr/>
      <w:spacing w:after="100"/>
      <w:ind w:left="1540"/>
    </w:pPr>
  </w:style>
  <w:style w:type="paragraph" w:styleId="1520">
    <w:name w:val="toc 9"/>
    <w:basedOn w:val="1524"/>
    <w:next w:val="1524"/>
    <w:uiPriority w:val="39"/>
    <w:unhideWhenUsed/>
    <w:pPr>
      <w:pBdr/>
      <w:spacing w:after="100"/>
      <w:ind w:left="1760"/>
    </w:pPr>
  </w:style>
  <w:style w:type="character" w:styleId="1521">
    <w:name w:val="Placeholder Text"/>
    <w:basedOn w:val="1525"/>
    <w:uiPriority w:val="99"/>
    <w:semiHidden/>
    <w:pPr>
      <w:pBdr/>
      <w:spacing/>
      <w:ind/>
    </w:pPr>
    <w:rPr>
      <w:color w:val="666666"/>
    </w:rPr>
  </w:style>
  <w:style w:type="paragraph" w:styleId="1522">
    <w:name w:val="TOC Heading"/>
    <w:uiPriority w:val="39"/>
    <w:unhideWhenUsed/>
    <w:pPr>
      <w:pBdr/>
      <w:spacing/>
      <w:ind/>
    </w:pPr>
  </w:style>
  <w:style w:type="paragraph" w:styleId="1523">
    <w:name w:val="table of figures"/>
    <w:basedOn w:val="1524"/>
    <w:next w:val="1524"/>
    <w:uiPriority w:val="99"/>
    <w:unhideWhenUsed/>
    <w:pPr>
      <w:pBdr/>
      <w:spacing w:after="0" w:afterAutospacing="0"/>
      <w:ind/>
    </w:pPr>
  </w:style>
  <w:style w:type="paragraph" w:styleId="1524" w:default="1">
    <w:name w:val="Normal"/>
    <w:qFormat/>
    <w:pPr>
      <w:widowControl w:val="true"/>
      <w:pBdr/>
      <w:bidi w:val="false"/>
      <w:spacing w:after="200" w:before="0" w:line="276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es-AR" w:eastAsia="en-US" w:bidi="ar-SA"/>
    </w:rPr>
  </w:style>
  <w:style w:type="character" w:styleId="1525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1526" w:customStyle="1">
    <w:name w:val="Encabezado Car"/>
    <w:basedOn w:val="1525"/>
    <w:uiPriority w:val="99"/>
    <w:qFormat/>
    <w:pPr>
      <w:pBdr/>
      <w:spacing/>
      <w:ind/>
    </w:pPr>
  </w:style>
  <w:style w:type="character" w:styleId="1527" w:customStyle="1">
    <w:name w:val="Pie de página Car"/>
    <w:basedOn w:val="1525"/>
    <w:uiPriority w:val="99"/>
    <w:qFormat/>
    <w:pPr>
      <w:pBdr/>
      <w:spacing/>
      <w:ind/>
    </w:pPr>
  </w:style>
  <w:style w:type="character" w:styleId="1528" w:customStyle="1">
    <w:name w:val="Texto de globo Car"/>
    <w:basedOn w:val="1525"/>
    <w:link w:val="1538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character" w:styleId="1529">
    <w:name w:val="Hyperlink"/>
    <w:pPr>
      <w:pBdr/>
      <w:spacing/>
      <w:ind/>
    </w:pPr>
    <w:rPr>
      <w:color w:val="000080"/>
      <w:u w:val="single"/>
    </w:rPr>
  </w:style>
  <w:style w:type="paragraph" w:styleId="1530">
    <w:name w:val="Título"/>
    <w:basedOn w:val="1524"/>
    <w:next w:val="1531"/>
    <w:qFormat/>
    <w:pPr>
      <w:keepNext w:val="true"/>
      <w:pBdr/>
      <w:spacing w:after="120" w:before="240"/>
      <w:ind/>
    </w:pPr>
    <w:rPr>
      <w:rFonts w:ascii="Liberation Sans" w:hAnsi="Liberation Sans" w:eastAsia="Microsoft YaHei" w:cs="Arial"/>
      <w:sz w:val="28"/>
      <w:szCs w:val="28"/>
    </w:rPr>
  </w:style>
  <w:style w:type="paragraph" w:styleId="1531">
    <w:name w:val="Body Text"/>
    <w:basedOn w:val="1524"/>
    <w:pPr>
      <w:pBdr/>
      <w:spacing w:after="140" w:before="0" w:line="276" w:lineRule="auto"/>
      <w:ind/>
    </w:pPr>
  </w:style>
  <w:style w:type="paragraph" w:styleId="1532">
    <w:name w:val="List"/>
    <w:basedOn w:val="1531"/>
    <w:pPr>
      <w:pBdr/>
      <w:spacing/>
      <w:ind/>
    </w:pPr>
    <w:rPr>
      <w:rFonts w:cs="Arial"/>
    </w:rPr>
  </w:style>
  <w:style w:type="paragraph" w:styleId="1533">
    <w:name w:val="Caption"/>
    <w:basedOn w:val="1524"/>
    <w:qFormat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1534">
    <w:name w:val="Índice"/>
    <w:basedOn w:val="1524"/>
    <w:qFormat/>
    <w:pPr>
      <w:suppressLineNumbers w:val="true"/>
      <w:pBdr/>
      <w:spacing/>
      <w:ind/>
    </w:pPr>
    <w:rPr>
      <w:rFonts w:cs="Arial"/>
    </w:rPr>
  </w:style>
  <w:style w:type="paragraph" w:styleId="1535">
    <w:name w:val="Cabecera y pie"/>
    <w:basedOn w:val="1524"/>
    <w:qFormat/>
    <w:pPr>
      <w:pBdr/>
      <w:spacing/>
      <w:ind/>
    </w:pPr>
  </w:style>
  <w:style w:type="paragraph" w:styleId="1536">
    <w:name w:val="Header"/>
    <w:basedOn w:val="1524"/>
    <w:link w:val="1526"/>
    <w:uiPriority w:val="99"/>
    <w:unhideWhenUsed/>
    <w:pPr>
      <w:pBdr/>
      <w:tabs>
        <w:tab w:val="clear" w:leader="none" w:pos="708"/>
        <w:tab w:val="center" w:leader="none" w:pos="4419"/>
        <w:tab w:val="right" w:leader="none" w:pos="8838"/>
      </w:tabs>
      <w:spacing w:after="0" w:before="0" w:line="240" w:lineRule="auto"/>
      <w:ind/>
    </w:pPr>
  </w:style>
  <w:style w:type="paragraph" w:styleId="1537">
    <w:name w:val="Footer"/>
    <w:basedOn w:val="1524"/>
    <w:link w:val="1527"/>
    <w:uiPriority w:val="99"/>
    <w:unhideWhenUsed/>
    <w:pPr>
      <w:pBdr/>
      <w:tabs>
        <w:tab w:val="clear" w:leader="none" w:pos="708"/>
        <w:tab w:val="center" w:leader="none" w:pos="4419"/>
        <w:tab w:val="right" w:leader="none" w:pos="8838"/>
      </w:tabs>
      <w:spacing w:after="0" w:before="0" w:line="240" w:lineRule="auto"/>
      <w:ind/>
    </w:pPr>
  </w:style>
  <w:style w:type="paragraph" w:styleId="1538">
    <w:name w:val="Balloon Text"/>
    <w:basedOn w:val="1524"/>
    <w:link w:val="1528"/>
    <w:uiPriority w:val="99"/>
    <w:semiHidden/>
    <w:unhideWhenUsed/>
    <w:qFormat/>
    <w:pPr>
      <w:pBdr/>
      <w:spacing w:after="0" w:before="0" w:line="240" w:lineRule="auto"/>
      <w:ind/>
    </w:pPr>
    <w:rPr>
      <w:rFonts w:ascii="Tahoma" w:hAnsi="Tahoma" w:cs="Tahoma"/>
      <w:sz w:val="16"/>
      <w:szCs w:val="16"/>
    </w:rPr>
  </w:style>
  <w:style w:type="paragraph" w:styleId="1539">
    <w:name w:val="List Paragraph"/>
    <w:basedOn w:val="1524"/>
    <w:uiPriority w:val="34"/>
    <w:qFormat/>
    <w:pPr>
      <w:pBdr/>
      <w:spacing w:after="160" w:before="0" w:line="259" w:lineRule="auto"/>
      <w:ind w:firstLine="0" w:left="720"/>
      <w:contextualSpacing w:val="true"/>
    </w:pPr>
    <w:rPr>
      <w:lang w:val="es-UY"/>
    </w:rPr>
  </w:style>
  <w:style w:type="paragraph" w:styleId="1540" w:customStyle="1">
    <w:name w:val="Texto independiente 31"/>
    <w:basedOn w:val="1524"/>
    <w:qFormat/>
    <w:pPr>
      <w:widowControl w:val="false"/>
      <w:pBdr/>
      <w:spacing w:after="0" w:before="0" w:line="240" w:lineRule="auto"/>
      <w:ind/>
      <w:jc w:val="both"/>
    </w:pPr>
    <w:rPr>
      <w:rFonts w:ascii="Times New Roman" w:hAnsi="Times New Roman" w:eastAsia="Times New Roman" w:cs="Times New Roman"/>
      <w:sz w:val="24"/>
      <w:szCs w:val="20"/>
      <w:lang w:val="es-ES_tradnl" w:eastAsia="ar-SA"/>
    </w:rPr>
  </w:style>
  <w:style w:type="numbering" w:styleId="1541" w:default="1">
    <w:name w:val="No List"/>
    <w:uiPriority w:val="99"/>
    <w:semiHidden/>
    <w:unhideWhenUsed/>
    <w:qFormat/>
    <w:pPr>
      <w:pBdr/>
      <w:spacing/>
      <w:ind/>
    </w:pPr>
  </w:style>
  <w:style w:type="table" w:styleId="1542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59A94F90-050E-4E90-9B52-E0C4ACEF1C60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HeadingPairs>
    <vt:vector size="0" baseType="variant"/>
  </HeadingPairs>
  <TitlesOfParts>
    <vt:vector size="0" baseType="lpstr"/>
  </TitlesOfParts>
  <Company>WindowsWolf.com.ar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</dc:creator>
  <dc:description/>
  <dc:language>es-UY</dc:language>
  <cp:revision>49</cp:revision>
  <dcterms:created xsi:type="dcterms:W3CDTF">2023-09-26T12:51:00Z</dcterms:created>
  <dcterms:modified xsi:type="dcterms:W3CDTF">2026-04-07T17:04:47Z</dcterms:modified>
</cp:coreProperties>
</file>