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DCB086" w14:textId="19CABC8F">
      <w:pPr>
        <w:pStyle w:val="1399"/>
        <w:numPr>
          <w:ilvl w:val="0"/>
          <w:numId w:val="50"/>
        </w:numPr>
        <w:suppressLineNumbers w:val="false"/>
        <w:pBdr/>
        <w:spacing w:after="0" w:before="0" w:line="259" w:lineRule="auto"/>
        <w:ind w:right="0" w:hanging="283" w:left="283"/>
        <w:contextualSpacing w:val="false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OBJETIVO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5E89F7BC" w14:textId="11BEBEE6">
      <w:pPr>
        <w:pStyle w:val="1394"/>
        <w:suppressLineNumbers w:val="false"/>
        <w:pBdr/>
        <w:spacing w:after="0" w:before="0" w:line="259" w:lineRule="auto"/>
        <w:ind w:right="0" w:firstLine="0" w:left="567"/>
        <w:contextualSpacing w:val="false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Establecer las pautas y requisitos para la recepción, verificación y control de la información y documentación presentada por agencias marítimas y/o armadores, relacionada con las solicitudes de varado de buques en dique seco.</w:t>
      </w:r>
      <w:r>
        <w:rPr>
          <w:highlight w:val="none"/>
        </w:rPr>
      </w:r>
      <w:r>
        <w:rPr>
          <w:highlight w:val="none"/>
        </w:rPr>
      </w:r>
    </w:p>
    <w:p w14:paraId="59A7D0DA">
      <w:pPr>
        <w:pStyle w:val="1394"/>
        <w:suppressLineNumbers w:val="false"/>
        <w:pBdr/>
        <w:spacing w:after="0" w:afterLines="0" w:before="0" w:beforeLines="0" w:line="259" w:lineRule="auto"/>
        <w:ind w:right="0" w:firstLine="0" w:left="567"/>
        <w:contextualSpacing w:val="false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 w14:paraId="2F1A11DF" w14:textId="3B8D0C47">
      <w:pPr>
        <w:pStyle w:val="1399"/>
        <w:numPr>
          <w:ilvl w:val="0"/>
          <w:numId w:val="50"/>
        </w:numPr>
        <w:suppressLineNumbers w:val="false"/>
        <w:pBdr/>
        <w:spacing w:after="0" w:before="0" w:line="259" w:lineRule="auto"/>
        <w:ind w:right="0" w:hanging="283" w:left="283"/>
        <w:contextualSpacing w:val="false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ALCANCE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76D4B5C7" w14:textId="526C6282">
      <w:pPr>
        <w:pStyle w:val="1394"/>
        <w:suppressLineNumbers w:val="false"/>
        <w:pBdr/>
        <w:spacing w:after="0" w:before="0" w:line="259" w:lineRule="auto"/>
        <w:ind w:right="0" w:firstLine="0" w:left="567"/>
        <w:contextualSpacing w:val="false"/>
        <w:jc w:val="both"/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El pres</w:t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ente procedimiento es aplicable a todas las solicitudes presentadas por agencias marítimas y/o armadores ante la Autoridad Marítima para el varado de buques en dique seco, a realizarse en puertos bajo jurisdicción de la Prefectura del Puerto de Montevideo.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</w:r>
    </w:p>
    <w:p w14:paraId="6250105D">
      <w:pPr>
        <w:pStyle w:val="1394"/>
        <w:suppressLineNumbers w:val="false"/>
        <w:pBdr/>
        <w:spacing w:after="0" w:afterLines="0" w:before="0" w:beforeLines="0" w:line="259" w:lineRule="auto"/>
        <w:ind w:right="0" w:firstLine="0" w:left="567"/>
        <w:contextualSpacing w:val="false"/>
        <w:jc w:val="both"/>
        <w:rPr/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</w:r>
      <w:r/>
    </w:p>
    <w:p w14:paraId="26460DBD" w14:textId="689660A4">
      <w:pPr>
        <w:pStyle w:val="1399"/>
        <w:numPr>
          <w:ilvl w:val="0"/>
          <w:numId w:val="50"/>
        </w:numPr>
        <w:suppressLineNumbers w:val="false"/>
        <w:pBdr/>
        <w:spacing w:after="0" w:before="0" w:line="259" w:lineRule="auto"/>
        <w:ind w:right="0" w:hanging="283" w:left="283"/>
        <w:contextualSpacing w:val="false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REFERENCIAS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76D66459" w14:textId="504B1C4F">
      <w:pPr>
        <w:pStyle w:val="1399"/>
        <w:numPr>
          <w:ilvl w:val="0"/>
          <w:numId w:val="7"/>
        </w:numPr>
        <w:suppressLineNumbers w:val="false"/>
        <w:pBdr/>
        <w:spacing w:after="0" w:afterAutospacing="0" w:before="0" w:beforeAutospacing="0" w:line="259" w:lineRule="auto"/>
        <w:ind w:right="0" w:hanging="425" w:left="992"/>
        <w:contextualSpacing w:val="false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es-ES"/>
        </w:rPr>
        <w:t xml:space="preserve">Decreto </w:t>
      </w:r>
      <w:r>
        <w:rPr>
          <w:rFonts w:ascii="Times New Roman" w:hAnsi="Times New Roman" w:eastAsia="Times New Roman" w:cs="Times New Roman"/>
          <w:lang w:val="es-ES"/>
        </w:rPr>
        <w:t xml:space="preserve">N.°</w:t>
      </w:r>
      <w:r>
        <w:rPr>
          <w:rFonts w:ascii="Times New Roman" w:hAnsi="Times New Roman" w:eastAsia="Times New Roman" w:cs="Times New Roman"/>
          <w:lang w:val="es-ES"/>
        </w:rPr>
        <w:t xml:space="preserve"> 302/983 - Reglamento de la </w:t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C</w:t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omisión</w:t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T</w:t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écnica</w:t>
      </w:r>
      <w:r>
        <w:rPr>
          <w:rFonts w:ascii="Times New Roman" w:hAnsi="Times New Roman" w:eastAsia="Times New Roman" w:cs="Times New Roman"/>
          <w:lang w:val="es-ES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556AF71">
      <w:pPr>
        <w:pStyle w:val="1399"/>
        <w:numPr>
          <w:ilvl w:val="0"/>
          <w:numId w:val="52"/>
        </w:numPr>
        <w:suppressLineNumbers w:val="false"/>
        <w:pBdr/>
        <w:spacing w:after="0" w:before="0" w:line="259" w:lineRule="auto"/>
        <w:ind w:right="0" w:hanging="425" w:left="992"/>
        <w:contextualSpacing w:val="false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es-ES"/>
        </w:rPr>
        <w:t xml:space="preserve">Circular DIRME </w:t>
      </w:r>
      <w:r>
        <w:rPr>
          <w:rFonts w:ascii="Times New Roman" w:hAnsi="Times New Roman" w:eastAsia="Times New Roman" w:cs="Times New Roman"/>
          <w:lang w:val="es-ES"/>
        </w:rPr>
        <w:t xml:space="preserve">N.°</w:t>
      </w:r>
      <w:r>
        <w:rPr>
          <w:rFonts w:ascii="Times New Roman" w:hAnsi="Times New Roman" w:eastAsia="Times New Roman" w:cs="Times New Roman"/>
          <w:lang w:val="es-ES"/>
        </w:rPr>
        <w:t xml:space="preserve"> 009/016 - Trabajos en buques, que requieren intervención previa de COTEC</w:t>
      </w:r>
      <w:r>
        <w:rPr>
          <w:rFonts w:ascii="Times New Roman" w:hAnsi="Times New Roman" w:eastAsia="Times New Roman" w:cs="Times New Roman"/>
          <w:lang w:val="es-ES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</w:p>
    <w:p w14:paraId="2B51D05F" w14:textId="0F9164D8">
      <w:pPr>
        <w:pStyle w:val="1399"/>
        <w:numPr>
          <w:ilvl w:val="0"/>
          <w:numId w:val="7"/>
        </w:numPr>
        <w:suppressLineNumbers w:val="false"/>
        <w:pBdr/>
        <w:spacing w:after="0" w:afterAutospacing="0" w:before="0" w:beforeAutospacing="0" w:line="259" w:lineRule="auto"/>
        <w:ind w:right="0" w:hanging="425" w:left="992"/>
        <w:contextualSpacing w:val="false"/>
        <w:jc w:val="left"/>
        <w:rPr/>
      </w:pPr>
      <w:r>
        <w:rPr>
          <w:rFonts w:ascii="Times New Roman" w:hAnsi="Times New Roman" w:eastAsia="Times New Roman" w:cs="Times New Roman"/>
          <w:lang w:val="es-ES"/>
        </w:rPr>
        <w:t xml:space="preserve">Formato de Solicitud de Varada (DIRME)</w:t>
      </w:r>
      <w:r>
        <w:rPr>
          <w:rFonts w:ascii="Times New Roman" w:hAnsi="Times New Roman" w:eastAsia="Times New Roman" w:cs="Times New Roman"/>
          <w:lang w:val="es-ES"/>
        </w:rPr>
        <w:t xml:space="preserve">.</w:t>
      </w:r>
      <w:r>
        <w:rPr>
          <w:rFonts w:ascii="Times New Roman" w:hAnsi="Times New Roman" w:eastAsia="Times New Roman" w:cs="Times New Roman"/>
          <w:lang w:val="es-ES"/>
        </w:rPr>
        <w:t xml:space="preserve"> </w:t>
      </w:r>
      <w:r>
        <w:br/>
      </w:r>
      <w:r>
        <w:rPr>
          <w:lang w:val="es-ES"/>
        </w:rPr>
      </w:r>
      <w:r/>
    </w:p>
    <w:p w14:paraId="3047AC2F" w14:textId="52B395AD">
      <w:pPr>
        <w:pStyle w:val="1399"/>
        <w:numPr>
          <w:ilvl w:val="0"/>
          <w:numId w:val="50"/>
        </w:numPr>
        <w:suppressLineNumbers w:val="false"/>
        <w:pBdr/>
        <w:spacing w:after="0" w:before="0" w:line="259" w:lineRule="auto"/>
        <w:ind w:right="0" w:hanging="283" w:left="283"/>
        <w:contextualSpacing w:val="false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DEFINICIONES, ABREVIATURAS Y SÍMBOLOS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2829ABDA" w14:textId="10012CCD">
      <w:pPr>
        <w:pStyle w:val="1399"/>
        <w:numPr>
          <w:ilvl w:val="0"/>
          <w:numId w:val="21"/>
        </w:numPr>
        <w:suppressLineNumbers w:val="false"/>
        <w:pBdr/>
        <w:spacing w:after="0" w:before="0" w:line="259" w:lineRule="auto"/>
        <w:ind w:right="0" w:hanging="425" w:left="992"/>
        <w:contextualSpacing w:val="false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u w:val="single"/>
          <w:lang w:val="es-ES"/>
        </w:rPr>
        <w:t xml:space="preserve">DIRME</w:t>
      </w:r>
      <w:r>
        <w:rPr>
          <w:rFonts w:ascii="Times New Roman" w:hAnsi="Times New Roman" w:eastAsia="Times New Roman" w:cs="Times New Roman"/>
          <w:b w:val="0"/>
          <w:bCs w:val="0"/>
          <w:u w:val="single"/>
          <w:lang w:val="es-ES"/>
        </w:rPr>
        <w:t xml:space="preserve">:</w:t>
      </w:r>
      <w:r>
        <w:rPr>
          <w:rFonts w:ascii="Times New Roman" w:hAnsi="Times New Roman" w:eastAsia="Times New Roman" w:cs="Times New Roman"/>
          <w:lang w:val="es-ES"/>
        </w:rPr>
        <w:t xml:space="preserve"> </w:t>
      </w:r>
      <w:r>
        <w:rPr>
          <w:rFonts w:ascii="Times New Roman" w:hAnsi="Times New Roman" w:eastAsia="Times New Roman" w:cs="Times New Roman"/>
          <w:lang w:val="es-ES"/>
        </w:rPr>
        <w:t xml:space="preserve">Dirección Registral y de Marina Mercante</w:t>
      </w:r>
      <w:r>
        <w:rPr>
          <w:rFonts w:ascii="Times New Roman" w:hAnsi="Times New Roman" w:eastAsia="Times New Roman" w:cs="Times New Roman"/>
          <w:lang w:val="es-ES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94D3F44" w14:textId="421E27F3">
      <w:pPr>
        <w:pStyle w:val="1399"/>
        <w:numPr>
          <w:ilvl w:val="0"/>
          <w:numId w:val="21"/>
        </w:numPr>
        <w:suppressLineNumbers w:val="false"/>
        <w:pBdr/>
        <w:spacing w:after="0" w:afterAutospacing="0" w:before="0" w:beforeAutospacing="0" w:line="259" w:lineRule="auto"/>
        <w:ind w:right="0" w:hanging="425" w:left="992"/>
        <w:contextualSpacing w:val="false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u w:val="single"/>
          <w:lang w:val="es-ES"/>
        </w:rPr>
        <w:t xml:space="preserve">COTEC</w:t>
      </w:r>
      <w:r>
        <w:rPr>
          <w:rFonts w:ascii="Times New Roman" w:hAnsi="Times New Roman" w:eastAsia="Times New Roman" w:cs="Times New Roman"/>
          <w:b w:val="0"/>
          <w:bCs w:val="0"/>
          <w:u w:val="single"/>
          <w:lang w:val="es-ES"/>
        </w:rPr>
        <w:t xml:space="preserve">:</w:t>
      </w:r>
      <w:r>
        <w:rPr>
          <w:rFonts w:ascii="Times New Roman" w:hAnsi="Times New Roman" w:eastAsia="Times New Roman" w:cs="Times New Roman"/>
          <w:lang w:val="es-ES"/>
        </w:rPr>
        <w:t xml:space="preserve"> </w:t>
      </w:r>
      <w:r>
        <w:rPr>
          <w:rFonts w:ascii="Times New Roman" w:hAnsi="Times New Roman" w:eastAsia="Times New Roman" w:cs="Times New Roman"/>
          <w:lang w:val="es-ES"/>
        </w:rPr>
        <w:t xml:space="preserve">Comisión Técnica</w:t>
      </w:r>
      <w:r>
        <w:rPr>
          <w:rFonts w:ascii="Times New Roman" w:hAnsi="Times New Roman" w:eastAsia="Times New Roman" w:cs="Times New Roman"/>
          <w:lang w:val="es-ES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CE255AA" w14:textId="319936F2">
      <w:pPr>
        <w:pStyle w:val="1399"/>
        <w:numPr>
          <w:ilvl w:val="0"/>
          <w:numId w:val="21"/>
        </w:numPr>
        <w:suppressLineNumbers w:val="false"/>
        <w:pBdr/>
        <w:spacing w:after="0" w:afterAutospacing="0" w:before="0" w:beforeAutospacing="0" w:line="259" w:lineRule="auto"/>
        <w:ind w:right="0" w:hanging="425" w:left="992"/>
        <w:contextualSpacing w:val="false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u w:val="single"/>
          <w:lang w:val="es-ES"/>
        </w:rPr>
        <w:t xml:space="preserve">OCG:</w:t>
      </w:r>
      <w:r>
        <w:rPr>
          <w:rFonts w:ascii="Times New Roman" w:hAnsi="Times New Roman" w:eastAsia="Times New Roman" w:cs="Times New Roman"/>
          <w:lang w:val="es-ES"/>
        </w:rPr>
        <w:t xml:space="preserve"> Oficial </w:t>
      </w:r>
      <w:r>
        <w:rPr>
          <w:rFonts w:ascii="Times New Roman" w:hAnsi="Times New Roman" w:eastAsia="Times New Roman" w:cs="Times New Roman"/>
          <w:lang w:val="es-ES"/>
        </w:rPr>
        <w:t xml:space="preserve">Comandante</w:t>
      </w:r>
      <w:r>
        <w:rPr>
          <w:rFonts w:ascii="Times New Roman" w:hAnsi="Times New Roman" w:eastAsia="Times New Roman" w:cs="Times New Roman"/>
          <w:lang w:val="es-ES"/>
        </w:rPr>
        <w:t xml:space="preserve"> de Guardia.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AAE4AFB" w14:textId="33998EB1">
      <w:pPr>
        <w:pStyle w:val="1399"/>
        <w:numPr>
          <w:ilvl w:val="0"/>
          <w:numId w:val="21"/>
        </w:numPr>
        <w:suppressLineNumbers w:val="false"/>
        <w:pBdr/>
        <w:spacing w:after="0" w:afterAutospacing="0" w:before="0" w:beforeAutospacing="0" w:line="259" w:lineRule="auto"/>
        <w:ind w:right="0" w:hanging="425" w:left="992"/>
        <w:contextualSpacing w:val="false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u w:val="single"/>
          <w:lang w:val="es-ES"/>
        </w:rPr>
        <w:t xml:space="preserve">Agencia marítima</w:t>
      </w:r>
      <w:r>
        <w:rPr>
          <w:rFonts w:ascii="Times New Roman" w:hAnsi="Times New Roman" w:eastAsia="Times New Roman" w:cs="Times New Roman"/>
          <w:b w:val="0"/>
          <w:bCs w:val="0"/>
          <w:u w:val="single"/>
          <w:lang w:val="es-ES"/>
        </w:rPr>
        <w:t xml:space="preserve">:</w:t>
      </w:r>
      <w:r>
        <w:rPr>
          <w:rFonts w:ascii="Times New Roman" w:hAnsi="Times New Roman" w:eastAsia="Times New Roman" w:cs="Times New Roman"/>
          <w:lang w:val="es-ES"/>
        </w:rPr>
        <w:t xml:space="preserve"> Entidad responsable de gestionar los servicios portuarios para las embarcaciones.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171179E" w14:textId="34AF4F75">
      <w:pPr>
        <w:pStyle w:val="1399"/>
        <w:numPr>
          <w:ilvl w:val="0"/>
          <w:numId w:val="21"/>
        </w:numPr>
        <w:suppressLineNumbers w:val="false"/>
        <w:pBdr/>
        <w:spacing w:after="0" w:afterAutospacing="0" w:before="0" w:beforeAutospacing="0" w:line="259" w:lineRule="auto"/>
        <w:ind w:right="0" w:hanging="425" w:left="992"/>
        <w:contextualSpacing w:val="false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u w:val="single"/>
          <w:lang w:val="es-ES"/>
        </w:rPr>
        <w:t xml:space="preserve">Armado</w:t>
      </w:r>
      <w:r>
        <w:rPr>
          <w:rFonts w:ascii="Times New Roman" w:hAnsi="Times New Roman" w:eastAsia="Times New Roman" w:cs="Times New Roman"/>
          <w:b w:val="0"/>
          <w:bCs w:val="0"/>
          <w:u w:val="single"/>
          <w:lang w:val="es-ES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u w:val="single"/>
          <w:lang w:val="es-ES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u w:val="none"/>
          <w:lang w:val="es-ES"/>
        </w:rPr>
        <w:t xml:space="preserve"> </w:t>
      </w:r>
      <w:r>
        <w:rPr>
          <w:rFonts w:ascii="Times New Roman" w:hAnsi="Times New Roman" w:eastAsia="Times New Roman" w:cs="Times New Roman"/>
          <w:lang w:val="es-ES"/>
        </w:rPr>
        <w:t xml:space="preserve">P</w:t>
      </w:r>
      <w:r>
        <w:rPr>
          <w:rFonts w:ascii="Times New Roman" w:hAnsi="Times New Roman" w:eastAsia="Times New Roman" w:cs="Times New Roman"/>
          <w:lang w:val="es-ES"/>
        </w:rPr>
        <w:t xml:space="preserve">ersona que tiene la </w:t>
      </w:r>
      <w:r>
        <w:rPr>
          <w:rFonts w:ascii="Times New Roman" w:hAnsi="Times New Roman" w:eastAsia="Times New Roman" w:cs="Times New Roman"/>
          <w:lang w:val="es-ES"/>
        </w:rPr>
        <w:t xml:space="preserve">propieda</w:t>
      </w:r>
      <w:r>
        <w:rPr>
          <w:rFonts w:ascii="Times New Roman" w:hAnsi="Times New Roman" w:eastAsia="Times New Roman" w:cs="Times New Roman"/>
          <w:lang w:val="es-ES"/>
        </w:rPr>
        <w:t xml:space="preserve">d legal</w:t>
      </w:r>
      <w:r>
        <w:rPr>
          <w:rFonts w:ascii="Times New Roman" w:hAnsi="Times New Roman" w:eastAsia="Times New Roman" w:cs="Times New Roman"/>
          <w:lang w:val="es-ES"/>
        </w:rPr>
        <w:t xml:space="preserve"> </w:t>
      </w:r>
      <w:r>
        <w:rPr>
          <w:rFonts w:ascii="Times New Roman" w:hAnsi="Times New Roman" w:eastAsia="Times New Roman" w:cs="Times New Roman"/>
          <w:lang w:val="es-ES"/>
        </w:rPr>
        <w:t xml:space="preserve">del buque</w:t>
      </w:r>
      <w:r>
        <w:rPr>
          <w:rFonts w:ascii="Times New Roman" w:hAnsi="Times New Roman" w:eastAsia="Times New Roman" w:cs="Times New Roman"/>
          <w:lang w:val="es-ES"/>
        </w:rPr>
        <w:t xml:space="preserve">.</w:t>
      </w:r>
      <w:r>
        <w:br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DB30FB5" w14:textId="5090F07E">
      <w:pPr>
        <w:pStyle w:val="1399"/>
        <w:numPr>
          <w:ilvl w:val="0"/>
          <w:numId w:val="50"/>
        </w:numPr>
        <w:suppressLineNumbers w:val="false"/>
        <w:pBdr/>
        <w:spacing w:after="0" w:before="0" w:line="259" w:lineRule="auto"/>
        <w:ind w:right="0" w:hanging="283" w:left="283"/>
        <w:contextualSpacing w:val="false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DESARROLLO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36FB5492" w14:textId="29164CAC">
      <w:pPr>
        <w:pStyle w:val="1394"/>
        <w:suppressLineNumbers w:val="false"/>
        <w:pBdr/>
        <w:spacing w:after="0" w:before="0" w:line="259" w:lineRule="auto"/>
        <w:ind w:right="0" w:firstLine="0" w:left="567"/>
        <w:contextualSpacing w:val="false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Para el desarrollo del presente procedimiento se estableció un flujo de información definido, con el </w:t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objetivo de facilitar la verificación de los requisitos exigidos y minimizar demoras innecesarias en la </w:t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operativa de los buques: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09A47B40" w14:textId="4477342D">
      <w:pPr>
        <w:pStyle w:val="1399"/>
        <w:numPr>
          <w:ilvl w:val="1"/>
          <w:numId w:val="50"/>
        </w:numPr>
        <w:suppressLineNumbers w:val="false"/>
        <w:pBdr/>
        <w:spacing w:after="0" w:before="0" w:line="259" w:lineRule="auto"/>
        <w:ind w:right="0" w:hanging="283" w:left="1417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En primera instancia se debe recibir la Solicitud de Varada a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través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 de las oficinas de atención al público de la División II Marina Mercante, tanto en la Prefectura del Puerto de Montevideo para buques surtos en los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muelles del puerto, como en el Destacamento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Mántaras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 para aquellos buques surtos en la Terminal de Puerto Capurro.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AB4B9C2" w14:textId="2E43E68A">
      <w:pPr>
        <w:pStyle w:val="1399"/>
        <w:numPr>
          <w:ilvl w:val="1"/>
          <w:numId w:val="50"/>
        </w:numPr>
        <w:suppressLineNumbers w:val="false"/>
        <w:pBdr/>
        <w:spacing w:after="0" w:before="0" w:line="259" w:lineRule="auto"/>
        <w:ind w:right="0" w:hanging="283" w:left="1417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Una vez presentada la solicitud, el tripulante que reciba la misma deberá informar al OCG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y hacerle llegar la solicitud correspondiente por la vía que este entienda más práctica. Una vez en poder del OCG, este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revisará que la misma cuente con l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as firmas de los inspectores de COTEC, los cuales darán validez a la solicitud, debiendo prestar especial atención a la fecha esperada de varada para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un control del movimiento portuario.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9F6F1E9" w14:textId="4F47DA6A">
      <w:pPr>
        <w:pStyle w:val="1399"/>
        <w:numPr>
          <w:ilvl w:val="2"/>
          <w:numId w:val="2"/>
        </w:numPr>
        <w:suppressLineNumbers w:val="false"/>
        <w:pBdr/>
        <w:spacing w:after="0" w:before="0" w:line="259" w:lineRule="auto"/>
        <w:ind w:right="0" w:hanging="283" w:left="1984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En caso de que el buque no ingrese por medios propios a dique y requiera de remolcador, la maniobra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 de remolque deberá estar particularmente autorizada por los inspectores de COTEC,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 y el armador deberá presentar ante esta Prefectura un formulario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 detallando que remolcador hará la maniobra y las condiciones climáticas necesarias para la misma.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07A5B14" w14:textId="23E088AC">
      <w:pPr>
        <w:pStyle w:val="1399"/>
        <w:numPr>
          <w:ilvl w:val="2"/>
          <w:numId w:val="2"/>
        </w:numPr>
        <w:suppressLineNumbers w:val="false"/>
        <w:pBdr/>
        <w:spacing w:after="0" w:before="0" w:line="259" w:lineRule="auto"/>
        <w:ind w:right="0" w:hanging="283" w:left="1984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En el caso de que el buque si pretenda ingresar por medios propios, pero no tenga sus certificados vigentes,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la agencia marítima y/o armador deberá presentar ante esta Prefectura un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certificado de COTEC que autorice el movimiento detallando desde que muro o terminal hasta que dique se realizará el mismo.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CA2F8F3" w14:textId="12E02B69">
      <w:pPr>
        <w:pStyle w:val="1399"/>
        <w:numPr>
          <w:ilvl w:val="1"/>
          <w:numId w:val="50"/>
        </w:numPr>
        <w:suppressLineNumbers w:val="false"/>
        <w:pBdr/>
        <w:spacing w:after="0" w:before="0" w:line="259" w:lineRule="auto"/>
        <w:ind w:right="0" w:hanging="283" w:left="1417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Una vez que se haya corroborado que la Solicitud de Varada este debidamente autorizada por COTEC, la misma volverá a las oficinas de la División II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 Marina Mercante de esta Prefectura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 o al Destacamento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Mántaras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, l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os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 cual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es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 se encargar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á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 de comunicar a la agencia marítima y/o armador que la maniobra fue autorizada.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Así mismo, est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 ofici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na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 deber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án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 comunicarle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a CONMO la debida autorización para que, una vez el buque se disponga a realizar la maniobra, esta fluya sin demoras innecesarias.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s-E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</w:rPr>
        <w:t xml:space="preserve">El movimiento comenzará una vez el buque solicite autorización por radio CONMO y este, en base a las condiciones del momento en puerto, autorice la misma.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25F6A15B" w14:textId="62268DB2">
      <w:pPr>
        <w:pStyle w:val="1399"/>
        <w:numPr>
          <w:ilvl w:val="1"/>
          <w:numId w:val="50"/>
        </w:numPr>
        <w:suppressLineNumbers w:val="false"/>
        <w:pBdr/>
        <w:spacing w:after="0" w:before="0" w:line="259" w:lineRule="auto"/>
        <w:ind w:right="0" w:hanging="283" w:left="1417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Finalizado el movimiento y una vez ubicado el buque en dique, este deberá comunicar a CONMO la finalización del mismo, informando cualquier novedad ocurrida durante su desarrollo, en caso de no haber sido reportada oportunamente.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1FF62A3C" w14:textId="57C5BDB1">
      <w:pPr>
        <w:pStyle w:val="1399"/>
        <w:numPr>
          <w:ilvl w:val="1"/>
          <w:numId w:val="50"/>
        </w:numPr>
        <w:suppressLineNumbers w:val="false"/>
        <w:pBdr/>
        <w:spacing w:after="0" w:before="0" w:line="259" w:lineRule="auto"/>
        <w:ind w:right="0" w:hanging="283" w:left="1417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Comunicada la finalización por parte del buque,</w:t>
      </w:r>
      <w:r>
        <w:rPr>
          <w:rFonts w:ascii="Times New Roman" w:hAnsi="Times New Roman" w:eastAsia="Times New Roman" w:cs="Times New Roman"/>
          <w:b w:val="0"/>
          <w:bCs w:val="0"/>
        </w:rPr>
        <w:t xml:space="preserve"> CONMO deberá comunicar al OCG la finalización del movimiento</w:t>
      </w:r>
      <w:r>
        <w:rPr>
          <w:rFonts w:ascii="Times New Roman" w:hAnsi="Times New Roman" w:eastAsia="Times New Roman" w:cs="Times New Roman"/>
          <w:b w:val="0"/>
          <w:bCs w:val="0"/>
        </w:rPr>
        <w:t xml:space="preserve"> y las novedades ocurridas en el transcurso si las hubiese</w:t>
      </w:r>
      <w:r>
        <w:rPr>
          <w:rFonts w:ascii="Times New Roman" w:hAnsi="Times New Roman" w:eastAsia="Times New Roman" w:cs="Times New Roman"/>
          <w:b w:val="0"/>
          <w:bCs w:val="0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37C54518">
      <w:pPr>
        <w:pStyle w:val="1394"/>
        <w:suppressLineNumbers w:val="false"/>
        <w:pBdr/>
        <w:spacing w:after="0" w:afterLines="0" w:before="0" w:beforeLines="0" w:line="259" w:lineRule="auto"/>
        <w:ind w:left="720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u w:val="single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  <w:u w:val="single"/>
        </w:rPr>
      </w:r>
      <w:r>
        <w:rPr>
          <w:rFonts w:ascii="Times New Roman" w:hAnsi="Times New Roman" w:eastAsia="Times New Roman" w:cs="Times New Roman"/>
          <w:b w:val="0"/>
          <w:bCs w:val="0"/>
          <w:u w:val="single"/>
        </w:rPr>
      </w:r>
      <w:r>
        <w:rPr>
          <w:rFonts w:ascii="Times New Roman" w:hAnsi="Times New Roman" w:eastAsia="Times New Roman" w:cs="Times New Roman"/>
          <w:b w:val="0"/>
          <w:bCs w:val="0"/>
          <w:u w:val="single"/>
        </w:rPr>
      </w:r>
    </w:p>
    <w:p w14:paraId="26B8706E" w14:textId="01D34D44">
      <w:pPr>
        <w:pStyle w:val="1394"/>
        <w:suppressLineNumbers w:val="false"/>
        <w:pBdr/>
        <w:spacing w:after="0" w:before="0" w:line="259" w:lineRule="auto"/>
        <w:ind w:left="720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highlight w:val="none"/>
          <w:u w:val="single"/>
        </w:rPr>
      </w:pPr>
      <w:r>
        <w:rPr>
          <w:rFonts w:ascii="Times New Roman" w:hAnsi="Times New Roman" w:eastAsia="Times New Roman" w:cs="Times New Roman"/>
          <w:b w:val="0"/>
          <w:bCs w:val="0"/>
          <w:u w:val="single"/>
        </w:rPr>
        <w:t xml:space="preserve">Diagrama de flujo de la información:</w:t>
      </w:r>
      <w:r>
        <w:rPr>
          <w:rFonts w:ascii="Times New Roman" w:hAnsi="Times New Roman" w:eastAsia="Times New Roman" w:cs="Times New Roman"/>
          <w:b w:val="0"/>
          <w:bCs w:val="0"/>
          <w:highlight w:val="none"/>
          <w:u w:val="single"/>
        </w:rPr>
      </w:r>
      <w:r>
        <w:rPr>
          <w:rFonts w:ascii="Times New Roman" w:hAnsi="Times New Roman" w:eastAsia="Times New Roman" w:cs="Times New Roman"/>
          <w:b w:val="0"/>
          <w:bCs w:val="0"/>
          <w:highlight w:val="none"/>
          <w:u w:val="single"/>
        </w:rPr>
      </w:r>
    </w:p>
    <w:p w14:paraId="200689ED" w14:textId="6EFFBE77">
      <w:pPr>
        <w:pStyle w:val="1394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5496" cy="5040799"/>
                <wp:effectExtent l="0" t="0" r="0" b="0"/>
                <wp:docPr id="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4950633" name="Picture 72495063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535496" cy="5040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5.87pt;height:396.91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9" w:orient="portrait" w:w="11907"/>
      <w:pgMar w:top="1440" w:right="1080" w:bottom="1440" w:left="108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EAD59E6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42E9B65" w14:textId="77777777">
      <w:pPr>
        <w:pBdr/>
        <w:spacing w:after="0" w:line="240" w:lineRule="auto"/>
        <w:ind/>
        <w:rPr/>
      </w:pPr>
      <w:r>
        <w:continuationSeparator/>
      </w:r>
      <w:r/>
    </w:p>
  </w:endnote>
  <w:endnote w:type="continuationNotice" w:id="1">
    <w:p w14:paraId="53CE3A27" w14:textId="77777777">
      <w:pPr>
        <w:pBdr/>
        <w:spacing w:after="0" w:line="240" w:lineRule="auto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72" w:type="dxa"/>
      <w:tblW w:w="10047" w:type="dxa"/>
      <w:tblCellMar>
        <w:left w:w="70" w:type="dxa"/>
        <w:top w:w="0" w:type="dxa"/>
        <w:right w:w="70" w:type="dxa"/>
        <w:bottom w:w="0" w:type="dxa"/>
      </w:tblCellMar>
      <w:tblBorders/>
      <w:tblLayout w:type="fixed"/>
      <w:tblLook w:val="0000" w:firstRow="0" w:lastRow="0" w:firstColumn="0" w:lastColumn="0" w:noHBand="0" w:noVBand="0"/>
    </w:tblPr>
    <w:tblGrid>
      <w:gridCol w:w="2127"/>
      <w:gridCol w:w="4110"/>
      <w:gridCol w:w="2109"/>
      <w:gridCol w:w="1701"/>
    </w:tblGrid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7" w:type="dxa"/>
          <w:vAlign w:val="center"/>
          <w:vMerge w:val="restart"/>
          <w:textDirection w:val="lrTb"/>
          <w:noWrap w:val="false"/>
        </w:tcPr>
        <w:p w14:paraId="41AFF9C9">
          <w:pPr>
            <w:pStyle w:val="1394"/>
            <w:keepNext w:val="true"/>
            <w:widowControl w:val="false"/>
            <w:numPr>
              <w:ilvl w:val="0"/>
              <w:numId w:val="0"/>
            </w:numPr>
            <w:pBdr/>
            <w:spacing w:after="0" w:before="0" w:line="360" w:lineRule="auto"/>
            <w:ind w:firstLine="0" w:left="0"/>
            <w:jc w:val="center"/>
            <w:outlineLvl w:val="0"/>
            <w:rPr>
              <w:rFonts w:ascii="Times New Roman" w:hAnsi="Times New Roman" w:eastAsia="Times New Roman" w:cs="Times New Roman"/>
              <w:b/>
              <w:sz w:val="24"/>
              <w:szCs w:val="20"/>
              <w:lang w:val="es-ES_tradnl" w:eastAsia="es-ES"/>
            </w:rPr>
          </w:pPr>
          <w:r>
            <w:rPr>
              <w:rFonts w:ascii="Times New Roman" w:hAnsi="Times New Roman" w:eastAsia="Times New Roman" w:cs="Times New Roman"/>
              <w:b/>
              <w:sz w:val="24"/>
              <w:szCs w:val="20"/>
              <w:lang w:val="es-ES_tradnl" w:eastAsia="es-ES"/>
            </w:rPr>
            <w:t xml:space="preserve">APROBADO POR</w:t>
          </w:r>
          <w:r>
            <w:rPr>
              <w:rFonts w:ascii="Times New Roman" w:hAnsi="Times New Roman" w:eastAsia="Times New Roman" w:cs="Times New Roman"/>
              <w:b/>
              <w:sz w:val="24"/>
              <w:szCs w:val="20"/>
              <w:lang w:val="es-ES_tradnl" w:eastAsia="es-ES"/>
            </w:rPr>
          </w:r>
          <w:r>
            <w:rPr>
              <w:rFonts w:ascii="Times New Roman" w:hAnsi="Times New Roman" w:eastAsia="Times New Roman" w:cs="Times New Roman"/>
              <w:b/>
              <w:sz w:val="24"/>
              <w:szCs w:val="20"/>
              <w:lang w:val="es-ES_tradnl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4110" w:type="dxa"/>
          <w:textDirection w:val="lrTb"/>
          <w:noWrap w:val="false"/>
        </w:tcPr>
        <w:p w14:paraId="0B5804DA">
          <w:pPr>
            <w:pStyle w:val="139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CARGO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09" w:type="dxa"/>
          <w:textDirection w:val="lrTb"/>
          <w:noWrap w:val="false"/>
        </w:tcPr>
        <w:p w14:paraId="6F2FC20F">
          <w:pPr>
            <w:pStyle w:val="139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FIRMA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01" w:type="dxa"/>
          <w:textDirection w:val="lrTb"/>
          <w:noWrap w:val="false"/>
        </w:tcPr>
        <w:p w14:paraId="224DA6B3">
          <w:pPr>
            <w:pStyle w:val="139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FECHA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</w:tr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7" w:type="dxa"/>
          <w:vAlign w:val="center"/>
          <w:vMerge w:val="continue"/>
          <w:textDirection w:val="lrTb"/>
          <w:noWrap w:val="false"/>
        </w:tcPr>
        <w:p w14:paraId="766F392D">
          <w:pPr>
            <w:pStyle w:val="139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4110" w:type="dxa"/>
          <w:vAlign w:val="center"/>
          <w:textDirection w:val="lrTb"/>
          <w:noWrap w:val="false"/>
        </w:tcPr>
        <w:p w14:paraId="07BBEBDA">
          <w:pPr>
            <w:pStyle w:val="1394"/>
            <w:widowControl w:val="false"/>
            <w:pBdr/>
            <w:spacing w:after="0" w:before="0" w:line="240" w:lineRule="auto"/>
            <w:ind w:firstLine="47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 xml:space="preserve">Prefecto del Puerto de Montevideo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09" w:type="dxa"/>
          <w:vAlign w:val="center"/>
          <w:textDirection w:val="lrTb"/>
          <w:noWrap w:val="false"/>
        </w:tcPr>
        <w:p w14:paraId="7BBD7758">
          <w:pPr>
            <w:pStyle w:val="1394"/>
            <w:widowControl w:val="false"/>
            <w:pBdr/>
            <w:spacing w:after="0" w:before="0" w:line="240" w:lineRule="auto"/>
            <w:ind w:firstLine="540" w:left="-540"/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pP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01" w:type="dxa"/>
          <w:vAlign w:val="center"/>
          <w:textDirection w:val="lrTb"/>
          <w:noWrap w:val="false"/>
        </w:tcPr>
        <w:p w14:paraId="1B174C1F">
          <w:pPr>
            <w:pStyle w:val="139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</w:tr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7" w:type="dxa"/>
          <w:vAlign w:val="center"/>
          <w:textDirection w:val="lrTb"/>
          <w:noWrap w:val="false"/>
        </w:tcPr>
        <w:p w14:paraId="41F7461E">
          <w:pPr>
            <w:pStyle w:val="139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REVISADO POR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4110" w:type="dxa"/>
          <w:vAlign w:val="center"/>
          <w:textDirection w:val="lrTb"/>
          <w:noWrap w:val="false"/>
        </w:tcPr>
        <w:p w14:paraId="74E57750">
          <w:pPr>
            <w:pStyle w:val="139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 xml:space="preserve">Jefe de la División Marina Mercante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09" w:type="dxa"/>
          <w:vAlign w:val="center"/>
          <w:textDirection w:val="lrTb"/>
          <w:noWrap w:val="false"/>
        </w:tcPr>
        <w:p w14:paraId="48BA493D">
          <w:pPr>
            <w:pStyle w:val="1394"/>
            <w:widowControl w:val="false"/>
            <w:pBdr/>
            <w:spacing w:after="0" w:before="0" w:line="240" w:lineRule="auto"/>
            <w:ind w:firstLine="540" w:left="-540"/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pP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01" w:type="dxa"/>
          <w:vAlign w:val="center"/>
          <w:textDirection w:val="lrTb"/>
          <w:noWrap w:val="false"/>
        </w:tcPr>
        <w:p w14:paraId="03BDEAB7">
          <w:pPr>
            <w:pStyle w:val="139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</w:p>
      </w:tc>
    </w:tr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7" w:type="dxa"/>
          <w:vAlign w:val="center"/>
          <w:textDirection w:val="lrTb"/>
          <w:noWrap w:val="false"/>
        </w:tcPr>
        <w:p w14:paraId="61117812">
          <w:pPr>
            <w:pStyle w:val="139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DOCUMENTO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  <w:tc>
        <w:tcPr>
          <w:gridSpan w:val="3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7920" w:type="dxa"/>
          <w:vAlign w:val="center"/>
          <w:textDirection w:val="lrTb"/>
          <w:noWrap w:val="false"/>
        </w:tcPr>
        <w:p w14:paraId="4775E6F0">
          <w:pPr>
            <w:pStyle w:val="1394"/>
            <w:widowControl w:val="false"/>
            <w:pBdr/>
            <w:spacing w:after="0" w:before="0" w:line="240" w:lineRule="auto"/>
            <w:ind w:firstLine="540" w:left="-540"/>
            <w:jc w:val="left"/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080" distB="5080" distL="5080" distR="5080" simplePos="0" relativeHeight="3" behindDoc="1" locked="0" layoutInCell="1" allowOverlap="1">
                    <wp:simplePos x="0" y="0"/>
                    <wp:positionH relativeFrom="column">
                      <wp:posOffset>3194685</wp:posOffset>
                    </wp:positionH>
                    <wp:positionV relativeFrom="paragraph">
                      <wp:posOffset>37465</wp:posOffset>
                    </wp:positionV>
                    <wp:extent cx="114300" cy="114300"/>
                    <wp:effectExtent l="5080" t="5080" r="5080" b="5080"/>
                    <wp:wrapNone/>
                    <wp:docPr id="2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1500079846" name=""/>
                          <wps:cNvSpPr/>
                          <wps:spPr bwMode="auto">
                            <a:xfrm>
                              <a:off x="0" y="0"/>
                              <a:ext cx="114480" cy="114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1" o:spid="_x0000_s1" o:spt="1" type="#_x0000_t1" style="position:absolute;z-index:-3;o:allowoverlap:true;o:allowincell:true;mso-position-horizontal-relative:text;margin-left:251.55pt;mso-position-horizontal:absolute;mso-position-vertical-relative:text;margin-top:2.95pt;mso-position-vertical:absolute;width:9.00pt;height:9.00pt;mso-wrap-distance-left:0.40pt;mso-wrap-distance-top:0.40pt;mso-wrap-distance-right:0.40pt;mso-wrap-distance-bottom:0.40pt;visibility:visible;" fillcolor="#FFFFFF" strokecolor="#000000" strokeweight="0.75pt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080" distB="5080" distL="5080" distR="5080" simplePos="0" relativeHeight="5" behindDoc="1" locked="0" layoutInCell="1" allowOverlap="1">
                    <wp:simplePos x="0" y="0"/>
                    <wp:positionH relativeFrom="column">
                      <wp:posOffset>1471930</wp:posOffset>
                    </wp:positionH>
                    <wp:positionV relativeFrom="paragraph">
                      <wp:posOffset>43180</wp:posOffset>
                    </wp:positionV>
                    <wp:extent cx="114300" cy="114300"/>
                    <wp:effectExtent l="5080" t="5080" r="5080" b="5080"/>
                    <wp:wrapNone/>
                    <wp:docPr id="3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1081570352" name=""/>
                          <wps:cNvSpPr/>
                          <wps:spPr bwMode="auto">
                            <a:xfrm>
                              <a:off x="0" y="0"/>
                              <a:ext cx="114480" cy="114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2" o:spid="_x0000_s2" o:spt="1" type="#_x0000_t1" style="position:absolute;z-index:-5;o:allowoverlap:true;o:allowincell:true;mso-position-horizontal-relative:text;margin-left:115.90pt;mso-position-horizontal:absolute;mso-position-vertical-relative:text;margin-top:3.40pt;mso-position-vertical:absolute;width:9.00pt;height:9.00pt;mso-wrap-distance-left:0.40pt;mso-wrap-distance-top:0.40pt;mso-wrap-distance-right:0.40pt;mso-wrap-distance-bottom:0.40pt;visibility:visible;" fillcolor="#FFFFFF" strokecolor="#000000" strokeweight="0.75pt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080" distB="5080" distL="5080" distR="5080" simplePos="0" relativeHeight="7" behindDoc="1" locked="0" layoutInCell="1" allowOverlap="1">
                    <wp:simplePos x="0" y="0"/>
                    <wp:positionH relativeFrom="column">
                      <wp:posOffset>427355</wp:posOffset>
                    </wp:positionH>
                    <wp:positionV relativeFrom="paragraph">
                      <wp:posOffset>52705</wp:posOffset>
                    </wp:positionV>
                    <wp:extent cx="114300" cy="114300"/>
                    <wp:effectExtent l="5080" t="5080" r="5080" b="5080"/>
                    <wp:wrapNone/>
                    <wp:docPr id="4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1610210961" name=""/>
                          <wps:cNvSpPr/>
                          <wps:spPr bwMode="auto">
                            <a:xfrm>
                              <a:off x="0" y="0"/>
                              <a:ext cx="114480" cy="114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3" o:spid="_x0000_s3" o:spt="1" type="#_x0000_t1" style="position:absolute;z-index:-7;o:allowoverlap:true;o:allowincell:true;mso-position-horizontal-relative:text;margin-left:33.65pt;mso-position-horizontal:absolute;mso-position-vertical-relative:text;margin-top:4.15pt;mso-position-vertical:absolute;width:9.00pt;height:9.00pt;mso-wrap-distance-left:0.40pt;mso-wrap-distance-top:0.40pt;mso-wrap-distance-right:0.40pt;mso-wrap-distance-bottom:0.40pt;visibility:visible;" fillcolor="#FFFFFF" strokecolor="#000000" strokeweight="0.75pt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715" distB="4445" distL="5715" distR="4445" simplePos="0" relativeHeight="9" behindDoc="1" locked="0" layoutInCell="1" allowOverlap="1">
                    <wp:simplePos x="0" y="0"/>
                    <wp:positionH relativeFrom="column">
                      <wp:posOffset>422910</wp:posOffset>
                    </wp:positionH>
                    <wp:positionV relativeFrom="paragraph">
                      <wp:posOffset>31750</wp:posOffset>
                    </wp:positionV>
                    <wp:extent cx="130175" cy="116205"/>
                    <wp:effectExtent l="5715" t="5715" r="4445" b="4445"/>
                    <wp:wrapNone/>
                    <wp:docPr id="5" name="Rectangl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1868743735" name=""/>
                          <wps:cNvSpPr/>
                          <wps:spPr bwMode="auto">
                            <a:xfrm>
                              <a:off x="0" y="0"/>
                              <a:ext cx="130320" cy="116280"/>
                            </a:xfrm>
                            <a:prstGeom prst="rect">
                              <a:avLst/>
                            </a:prstGeom>
                            <a:solidFill>
                              <a:srgbClr val="66FF33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4" o:spid="_x0000_s4" o:spt="1" type="#_x0000_t1" style="position:absolute;z-index:-9;o:allowoverlap:true;o:allowincell:true;mso-position-horizontal-relative:text;margin-left:33.30pt;mso-position-horizontal:absolute;mso-position-vertical-relative:text;margin-top:2.50pt;mso-position-vertical:absolute;width:10.25pt;height:9.15pt;mso-wrap-distance-left:0.45pt;mso-wrap-distance-top:0.45pt;mso-wrap-distance-right:0.35pt;mso-wrap-distance-bottom:0.35pt;visibility:visible;" fillcolor="#66FF33" strokecolor="#000000" strokeweight="0.75pt"/>
                </w:pict>
              </mc:Fallback>
            </mc:AlternateContent>
            <w:t xml:space="preserve">                   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  <w:t xml:space="preserve">Original              Copia Controlada                 Copia No Controlada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</w:p>
      </w:tc>
    </w:tr>
  </w:tbl>
  <w:p w14:paraId="30E57CCA" w14:textId="1EC10B20">
    <w:pPr>
      <w:pStyle w:val="1404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DD0D5DD" w14:textId="77777777">
    <w:pPr>
      <w:pStyle w:val="1404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2CD9251" w14:textId="77777777">
    <w:pPr>
      <w:pStyle w:val="140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B6ABE76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FAD9F2B" w14:textId="77777777">
      <w:pPr>
        <w:pBdr/>
        <w:spacing w:after="0" w:line="240" w:lineRule="auto"/>
        <w:ind/>
        <w:rPr/>
      </w:pPr>
      <w:r>
        <w:continuationSeparator/>
      </w:r>
      <w:r/>
    </w:p>
  </w:footnote>
  <w:footnote w:type="continuationNotice" w:id="1">
    <w:p w14:paraId="78DE65BD" w14:textId="77777777">
      <w:pPr>
        <w:pBdr/>
        <w:spacing w:after="0" w:line="240" w:lineRule="auto"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88" w:type="dxa"/>
      <w:tblW w:w="10061" w:type="dxa"/>
      <w:tblCellMar>
        <w:left w:w="70" w:type="dxa"/>
        <w:top w:w="0" w:type="dxa"/>
        <w:right w:w="70" w:type="dxa"/>
        <w:bottom w:w="0" w:type="dxa"/>
      </w:tblCellMar>
      <w:tblBorders/>
      <w:tblLayout w:type="fixed"/>
      <w:tblLook w:val="0000" w:firstRow="0" w:lastRow="0" w:firstColumn="0" w:lastColumn="0" w:noHBand="0" w:noVBand="0"/>
    </w:tblPr>
    <w:tblGrid>
      <w:gridCol w:w="1559"/>
      <w:gridCol w:w="2834"/>
      <w:gridCol w:w="3978"/>
      <w:gridCol w:w="1689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59" w:type="dxa"/>
          <w:vAlign w:val="center"/>
          <w:vMerge w:val="restart"/>
          <w:textDirection w:val="lrTb"/>
          <w:noWrap w:val="false"/>
        </w:tcPr>
        <w:p w14:paraId="08E1721C">
          <w:pPr>
            <w:pStyle w:val="1394"/>
            <w:widowControl w:val="false"/>
            <w:suppressLineNumbers w:val="false"/>
            <w:pBdr/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8"/>
              <w:szCs w:val="20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49300" cy="644525"/>
                    <wp:effectExtent l="0" t="0" r="0" b="0"/>
                    <wp:docPr id="1" name="Imagen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227414271" name="Imagen 1" descr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49299" cy="64452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59.00pt;height:50.75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834" w:type="dxa"/>
          <w:vAlign w:val="center"/>
          <w:vMerge w:val="restart"/>
          <w:textDirection w:val="lrTb"/>
          <w:noWrap w:val="false"/>
        </w:tcPr>
        <w:p w14:paraId="293812A5">
          <w:pPr>
            <w:pStyle w:val="1394"/>
            <w:widowControl w:val="false"/>
            <w:pBdr/>
            <w:tabs>
              <w:tab w:val="clear" w:leader="none" w:pos="708"/>
              <w:tab w:val="center" w:leader="none" w:pos="4419"/>
              <w:tab w:val="right" w:leader="none" w:pos="8838"/>
            </w:tabs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  <w:t xml:space="preserve">PREFECTURA DEL PUERTO DE MONTEVIDEO</w:t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978" w:type="dxa"/>
          <w:vAlign w:val="center"/>
          <w:vMerge w:val="restart"/>
          <w:textDirection w:val="lrTb"/>
          <w:noWrap w:val="false"/>
        </w:tcPr>
        <w:p w14:paraId="4F8ABF7F">
          <w:pPr>
            <w:pStyle w:val="1394"/>
            <w:widowControl w:val="false"/>
            <w:suppressLineNumbers w:val="false"/>
            <w:pBdr/>
            <w:spacing w:after="120" w:before="120" w:line="240" w:lineRule="auto"/>
            <w:ind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PROCEDIMIENTO PARA VARADO DE BUQUES EN DIQUE SECO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689" w:type="dxa"/>
          <w:vAlign w:val="center"/>
          <w:textDirection w:val="lrTb"/>
          <w:noWrap w:val="false"/>
        </w:tcPr>
        <w:p w14:paraId="5819DBC7">
          <w:pPr>
            <w:pStyle w:val="1394"/>
            <w:widowControl w:val="false"/>
            <w:pBdr/>
            <w:tabs>
              <w:tab w:val="clear" w:leader="none" w:pos="708"/>
              <w:tab w:val="center" w:leader="none" w:pos="4419"/>
              <w:tab w:val="right" w:leader="none" w:pos="8838"/>
            </w:tabs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  <w:t xml:space="preserve">PR-provisorio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59" w:type="dxa"/>
          <w:vAlign w:val="center"/>
          <w:vMerge w:val="continue"/>
          <w:textDirection w:val="lrTb"/>
          <w:noWrap w:val="false"/>
        </w:tcPr>
        <w:p w14:paraId="097E3F4C">
          <w:pPr>
            <w:pStyle w:val="1394"/>
            <w:widowControl w:val="false"/>
            <w:pBdr/>
            <w:spacing w:after="0" w:before="0" w:line="240" w:lineRule="auto"/>
            <w:ind/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834" w:type="dxa"/>
          <w:vAlign w:val="center"/>
          <w:vMerge w:val="continue"/>
          <w:textDirection w:val="lrTb"/>
          <w:noWrap w:val="false"/>
        </w:tcPr>
        <w:p w14:paraId="28058726">
          <w:pPr>
            <w:pStyle w:val="1394"/>
            <w:widowControl w:val="false"/>
            <w:pBdr/>
            <w:spacing w:after="0" w:before="0" w:line="240" w:lineRule="auto"/>
            <w:ind/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978" w:type="dxa"/>
          <w:vAlign w:val="center"/>
          <w:vMerge w:val="continue"/>
          <w:textDirection w:val="lrTb"/>
          <w:noWrap w:val="false"/>
        </w:tcPr>
        <w:p w14:paraId="623F18B4">
          <w:pPr>
            <w:pStyle w:val="1394"/>
            <w:widowControl w:val="false"/>
            <w:pBdr/>
            <w:spacing w:after="0" w:before="0" w:line="240" w:lineRule="auto"/>
            <w:ind/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689" w:type="dxa"/>
          <w:vAlign w:val="center"/>
          <w:textDirection w:val="lrTb"/>
          <w:noWrap w:val="false"/>
        </w:tcPr>
        <w:p w14:paraId="5F608A34">
          <w:pPr>
            <w:pStyle w:val="1394"/>
            <w:widowControl w:val="false"/>
            <w:pBdr/>
            <w:tabs>
              <w:tab w:val="clear" w:leader="none" w:pos="708"/>
              <w:tab w:val="center" w:leader="none" w:pos="4419"/>
              <w:tab w:val="right" w:leader="none" w:pos="8838"/>
            </w:tabs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  <w:t xml:space="preserve">Revisión 01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</w:p>
      </w:tc>
    </w:tr>
  </w:tbl>
  <w:p w14:paraId="6B3B39FD" w14:textId="4103614A">
    <w:pPr>
      <w:pStyle w:val="1402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E8EF0FA" w14:textId="77777777">
    <w:pPr>
      <w:pStyle w:val="1402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D8820E8" w14:textId="77777777">
    <w:pPr>
      <w:pStyle w:val="140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A8B029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1">
    <w:nsid w:val="2E77403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  <w:b w:val="0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519CB95C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5FB1585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001ADEC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0F12FEC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E40D70A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7">
    <w:nsid w:val="2EDC1E15"/>
    <w:lvl w:ilvl="0">
      <w:isLgl w:val="false"/>
      <w:lvlJc w:val="left"/>
      <w:lvlText w:val=""/>
      <w:numFmt w:val="bullet"/>
      <w:pPr>
        <w:pBdr/>
        <w:spacing/>
        <w:ind w:hanging="360" w:left="213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6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57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29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6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3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5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6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896"/>
      </w:pPr>
      <w:rPr>
        <w:rFonts w:hint="default" w:ascii="Wingdings" w:hAnsi="Wingdings"/>
      </w:rPr>
      <w:start w:val="1"/>
      <w:suff w:val="tab"/>
    </w:lvl>
  </w:abstractNum>
  <w:abstractNum w:abstractNumId="8">
    <w:nsid w:val="21696AE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5228851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1691BEA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1131B53E"/>
    <w:lvl w:ilvl="0">
      <w:isLgl w:val="false"/>
      <w:lvlJc w:val="left"/>
      <w:lvlText w:val=""/>
      <w:numFmt w:val="bullet"/>
      <w:pPr>
        <w:pBdr/>
        <w:spacing/>
        <w:ind w:hanging="360" w:left="213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2856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57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29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6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3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5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6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896"/>
      </w:pPr>
      <w:rPr>
        <w:rFonts w:hint="default" w:ascii="Wingdings" w:hAnsi="Wingdings"/>
      </w:rPr>
      <w:start w:val="1"/>
      <w:suff w:val="tab"/>
    </w:lvl>
  </w:abstractNum>
  <w:abstractNum w:abstractNumId="12">
    <w:nsid w:val="00360BF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07E4440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1442987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160B0261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16">
    <w:nsid w:val="183F8273"/>
    <w:lvl w:ilvl="0">
      <w:isLgl w:val="false"/>
      <w:lvlJc w:val="left"/>
      <w:lvlText w:val="%1."/>
      <w:numFmt w:val="decimal"/>
      <w:pPr>
        <w:pBdr/>
        <w:spacing/>
        <w:ind w:hanging="360" w:left="990"/>
      </w:pPr>
      <w:rPr/>
      <w:start w:val="1"/>
      <w:suff w:val="tab"/>
    </w:lvl>
    <w:lvl w:ilvl="1">
      <w:isLgl w:val="false"/>
      <w:lvlJc w:val="left"/>
      <w:lvlText w:val=""/>
      <w:numFmt w:val="bullet"/>
      <w:pPr>
        <w:pBdr/>
        <w:spacing/>
        <w:ind w:hanging="360" w:left="1788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18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17">
    <w:nsid w:val="19777E2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1D5017BC"/>
    <w:lvl w:ilvl="0">
      <w:isLgl w:val="false"/>
      <w:lvlJc w:val="left"/>
      <w:lvlText w:val="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9">
    <w:nsid w:val="1EAD9F1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1FCF211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b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2841412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2BE3879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371BC87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37535132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3753AAD1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26">
    <w:nsid w:val="3D8FF2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3F3435B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41B95FC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nsid w:val="41F10F5C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"/>
      <w:numFmt w:val="bullet"/>
      <w:pPr>
        <w:pBdr/>
        <w:spacing/>
        <w:ind w:hanging="360" w:left="1788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30">
    <w:nsid w:val="4CF007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4EA5CF3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nsid w:val="4FF01DE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5090147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5167560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52971A0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568E94A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5816BDD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nsid w:val="5AABC94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nsid w:val="5DA530F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nsid w:val="5EB273E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648ACFF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6542EBCE"/>
    <w:lvl w:ilvl="0">
      <w:isLgl w:val="false"/>
      <w:lvlJc w:val="left"/>
      <w:lvlText w:val="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43">
    <w:nsid w:val="69DC22C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nsid w:val="7021294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nsid w:val="73F2F22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nsid w:val="73FD8E2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nsid w:val="773DF3B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nsid w:val="7747795B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78EF206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nsid w:val="7C710A8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nsid w:val="2E40D70A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49"/>
  </w:num>
  <w:num w:numId="14">
    <w:abstractNumId w:val="32"/>
  </w:num>
  <w:num w:numId="15">
    <w:abstractNumId w:val="34"/>
  </w:num>
  <w:num w:numId="16">
    <w:abstractNumId w:val="47"/>
  </w:num>
  <w:num w:numId="17">
    <w:abstractNumId w:val="21"/>
  </w:num>
  <w:num w:numId="18">
    <w:abstractNumId w:val="45"/>
  </w:num>
  <w:num w:numId="19">
    <w:abstractNumId w:val="14"/>
  </w:num>
  <w:num w:numId="20">
    <w:abstractNumId w:val="16"/>
  </w:num>
  <w:num w:numId="21">
    <w:abstractNumId w:val="29"/>
  </w:num>
  <w:num w:numId="22">
    <w:abstractNumId w:val="12"/>
  </w:num>
  <w:num w:numId="23">
    <w:abstractNumId w:val="33"/>
  </w:num>
  <w:num w:numId="24">
    <w:abstractNumId w:val="22"/>
  </w:num>
  <w:num w:numId="25">
    <w:abstractNumId w:val="39"/>
  </w:num>
  <w:num w:numId="26">
    <w:abstractNumId w:val="37"/>
  </w:num>
  <w:num w:numId="27">
    <w:abstractNumId w:val="17"/>
  </w:num>
  <w:num w:numId="28">
    <w:abstractNumId w:val="43"/>
  </w:num>
  <w:num w:numId="29">
    <w:abstractNumId w:val="50"/>
  </w:num>
  <w:num w:numId="30">
    <w:abstractNumId w:val="28"/>
  </w:num>
  <w:num w:numId="31">
    <w:abstractNumId w:val="44"/>
  </w:num>
  <w:num w:numId="32">
    <w:abstractNumId w:val="35"/>
  </w:num>
  <w:num w:numId="33">
    <w:abstractNumId w:val="27"/>
  </w:num>
  <w:num w:numId="34">
    <w:abstractNumId w:val="30"/>
  </w:num>
  <w:num w:numId="35">
    <w:abstractNumId w:val="13"/>
  </w:num>
  <w:num w:numId="36">
    <w:abstractNumId w:val="46"/>
  </w:num>
  <w:num w:numId="37">
    <w:abstractNumId w:val="23"/>
  </w:num>
  <w:num w:numId="38">
    <w:abstractNumId w:val="42"/>
  </w:num>
  <w:num w:numId="39">
    <w:abstractNumId w:val="25"/>
  </w:num>
  <w:num w:numId="40">
    <w:abstractNumId w:val="40"/>
  </w:num>
  <w:num w:numId="41">
    <w:abstractNumId w:val="38"/>
  </w:num>
  <w:num w:numId="42">
    <w:abstractNumId w:val="36"/>
  </w:num>
  <w:num w:numId="43">
    <w:abstractNumId w:val="26"/>
  </w:num>
  <w:num w:numId="44">
    <w:abstractNumId w:val="31"/>
  </w:num>
  <w:num w:numId="45">
    <w:abstractNumId w:val="18"/>
  </w:num>
  <w:num w:numId="46">
    <w:abstractNumId w:val="15"/>
  </w:num>
  <w:num w:numId="47">
    <w:abstractNumId w:val="24"/>
  </w:num>
  <w:num w:numId="48">
    <w:abstractNumId w:val="48"/>
  </w:num>
  <w:num w:numId="49">
    <w:abstractNumId w:val="41"/>
  </w:num>
  <w:num w:numId="50">
    <w:abstractNumId w:val="20"/>
  </w:num>
  <w:num w:numId="51">
    <w:abstractNumId w:val="19"/>
  </w:num>
  <w:num w:numId="52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13">
    <w:name w:val="Table Grid Light"/>
    <w:basedOn w:val="13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Plain Table 1"/>
    <w:basedOn w:val="13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Plain Table 2"/>
    <w:basedOn w:val="13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Plain Table 3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Plain Table 4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Plain Table 5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1 Light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1 Light - Accent 1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1 Light - Accent 2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1 Light - Accent 3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1 Light - Accent 4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1 Light - Accent 5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1 Light - Accent 6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2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2 - Accent 1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2 - Accent 2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2 - Accent 3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2 - Accent 4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2 - Accent 5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2 - Accent 6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3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3 - Accent 1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3 - Accent 2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3 - Accent 3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3 - Accent 4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3 - Accent 5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3 - Accent 6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4"/>
    <w:basedOn w:val="13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4 - Accent 1"/>
    <w:basedOn w:val="13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4 - Accent 2"/>
    <w:basedOn w:val="13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Grid Table 4 - Accent 3"/>
    <w:basedOn w:val="13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Grid Table 4 - Accent 4"/>
    <w:basedOn w:val="13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Grid Table 4 - Accent 5"/>
    <w:basedOn w:val="13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Grid Table 4 - Accent 6"/>
    <w:basedOn w:val="13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Grid Table 5 Dark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Grid Table 5 Dark- Accent 1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Grid Table 5 Dark - Accent 2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Grid Table 5 Dark - Accent 3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Grid Table 5 Dark- Accent 4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Grid Table 5 Dark - Accent 5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Grid Table 5 Dark - Accent 6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Grid Table 6 Colorful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Grid Table 6 Colorful - Accent 1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Grid Table 6 Colorful - Accent 2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Grid Table 6 Colorful - Accent 3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Grid Table 6 Colorful - Accent 4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Grid Table 6 Colorful - Accent 5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Grid Table 6 Colorful - Accent 6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Grid Table 7 Colorful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Grid Table 7 Colorful - Accent 1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Grid Table 7 Colorful - Accent 2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Grid Table 7 Colorful - Accent 3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Grid Table 7 Colorful - Accent 4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Grid Table 7 Colorful - Accent 5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Grid Table 7 Colorful - Accent 6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1 Light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1 Light - Accent 1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1 Light - Accent 2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1 Light - Accent 3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1 Light - Accent 4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1 Light - Accent 5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1 Light - Accent 6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2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2 - Accent 1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2 - Accent 2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2 - Accent 3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2 - Accent 4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2 - Accent 5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2 - Accent 6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3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3 - Accent 1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3 - Accent 2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3 - Accent 3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3 - Accent 4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3 - Accent 5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3 - Accent 6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4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4 - Accent 1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4 - Accent 2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st Table 4 - Accent 3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st Table 4 - Accent 4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st Table 4 - Accent 5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st Table 4 - Accent 6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st Table 5 Dark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st Table 5 Dark - Accent 1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st Table 5 Dark - Accent 2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List Table 5 Dark - Accent 3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List Table 5 Dark - Accent 4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List Table 5 Dark - Accent 5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List Table 5 Dark - Accent 6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List Table 6 Colorful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List Table 6 Colorful - Accent 1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List Table 6 Colorful - Accent 2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List Table 6 Colorful - Accent 3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List Table 6 Colorful - Accent 4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List Table 6 Colorful - Accent 5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List Table 6 Colorful - Accent 6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List Table 7 Colorful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List Table 7 Colorful - Accent 1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List Table 7 Colorful - Accent 2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List Table 7 Colorful - Accent 3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List Table 7 Colorful - Accent 4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List Table 7 Colorful - Accent 5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List Table 7 Colorful - Accent 6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Lined - Accent"/>
    <w:basedOn w:val="13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Lined - Accent 1"/>
    <w:basedOn w:val="13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Lined - Accent 2"/>
    <w:basedOn w:val="13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Lined - Accent 3"/>
    <w:basedOn w:val="13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Lined - Accent 4"/>
    <w:basedOn w:val="13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Lined - Accent 5"/>
    <w:basedOn w:val="13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Lined - Accent 6"/>
    <w:basedOn w:val="13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Bordered &amp; Lined - Accent"/>
    <w:basedOn w:val="13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Bordered &amp; Lined - Accent 1"/>
    <w:basedOn w:val="13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Bordered &amp; Lined - Accent 2"/>
    <w:basedOn w:val="13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7">
    <w:name w:val="Bordered &amp; Lined - Accent 3"/>
    <w:basedOn w:val="13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Bordered &amp; Lined - Accent 4"/>
    <w:basedOn w:val="13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9">
    <w:name w:val="Bordered &amp; Lined - Accent 5"/>
    <w:basedOn w:val="13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0">
    <w:name w:val="Bordered &amp; Lined - Accent 6"/>
    <w:basedOn w:val="13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Bordered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Bordered - Accent 1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>
    <w:name w:val="Bordered - Accent 2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4">
    <w:name w:val="Bordered - Accent 3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>
    <w:name w:val="Bordered - Accent 4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>
    <w:name w:val="Bordered - Accent 5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>
    <w:name w:val="Bordered - Accent 6"/>
    <w:basedOn w:val="13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38">
    <w:name w:val="Heading 1"/>
    <w:basedOn w:val="1394"/>
    <w:next w:val="1394"/>
    <w:link w:val="134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39">
    <w:name w:val="Heading 2"/>
    <w:basedOn w:val="1394"/>
    <w:next w:val="1394"/>
    <w:link w:val="134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40">
    <w:name w:val="Heading 4"/>
    <w:basedOn w:val="1394"/>
    <w:next w:val="1394"/>
    <w:link w:val="134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41">
    <w:name w:val="Heading 5"/>
    <w:basedOn w:val="1394"/>
    <w:next w:val="1394"/>
    <w:link w:val="135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42">
    <w:name w:val="Heading 6"/>
    <w:basedOn w:val="1394"/>
    <w:next w:val="1394"/>
    <w:link w:val="135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43">
    <w:name w:val="Heading 7"/>
    <w:basedOn w:val="1394"/>
    <w:next w:val="1394"/>
    <w:link w:val="135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44">
    <w:name w:val="Heading 8"/>
    <w:basedOn w:val="1394"/>
    <w:next w:val="1394"/>
    <w:link w:val="135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45">
    <w:name w:val="Heading 9"/>
    <w:basedOn w:val="1394"/>
    <w:next w:val="1394"/>
    <w:link w:val="135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46">
    <w:name w:val="Heading 1 Char"/>
    <w:basedOn w:val="1396"/>
    <w:link w:val="13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47">
    <w:name w:val="Heading 2 Char"/>
    <w:basedOn w:val="1396"/>
    <w:link w:val="13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48">
    <w:name w:val="Heading 3 Char"/>
    <w:basedOn w:val="1396"/>
    <w:link w:val="13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49">
    <w:name w:val="Heading 4 Char"/>
    <w:basedOn w:val="1396"/>
    <w:link w:val="13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50">
    <w:name w:val="Heading 5 Char"/>
    <w:basedOn w:val="1396"/>
    <w:link w:val="13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51">
    <w:name w:val="Heading 6 Char"/>
    <w:basedOn w:val="1396"/>
    <w:link w:val="13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52">
    <w:name w:val="Heading 7 Char"/>
    <w:basedOn w:val="1396"/>
    <w:link w:val="13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53">
    <w:name w:val="Heading 8 Char"/>
    <w:basedOn w:val="1396"/>
    <w:link w:val="13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54">
    <w:name w:val="Heading 9 Char"/>
    <w:basedOn w:val="1396"/>
    <w:link w:val="13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55">
    <w:name w:val="Title"/>
    <w:basedOn w:val="1394"/>
    <w:next w:val="1394"/>
    <w:link w:val="135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56">
    <w:name w:val="Title Char"/>
    <w:basedOn w:val="1396"/>
    <w:link w:val="13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57">
    <w:name w:val="Subtitle"/>
    <w:basedOn w:val="1394"/>
    <w:next w:val="1394"/>
    <w:link w:val="135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58">
    <w:name w:val="Subtitle Char"/>
    <w:basedOn w:val="1396"/>
    <w:link w:val="13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59">
    <w:name w:val="Quote"/>
    <w:basedOn w:val="1394"/>
    <w:next w:val="1394"/>
    <w:link w:val="13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60">
    <w:name w:val="Quote Char"/>
    <w:basedOn w:val="1396"/>
    <w:link w:val="135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61">
    <w:name w:val="Intense Emphasis"/>
    <w:basedOn w:val="13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62">
    <w:name w:val="Intense Quote"/>
    <w:basedOn w:val="1394"/>
    <w:next w:val="1394"/>
    <w:link w:val="13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63">
    <w:name w:val="Intense Quote Char"/>
    <w:basedOn w:val="1396"/>
    <w:link w:val="13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64">
    <w:name w:val="Intense Reference"/>
    <w:basedOn w:val="13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65">
    <w:name w:val="No Spacing"/>
    <w:basedOn w:val="1394"/>
    <w:uiPriority w:val="1"/>
    <w:qFormat/>
    <w:pPr>
      <w:pBdr/>
      <w:spacing w:after="0" w:line="240" w:lineRule="auto"/>
      <w:ind/>
    </w:pPr>
  </w:style>
  <w:style w:type="character" w:styleId="1366">
    <w:name w:val="Subtle Emphasis"/>
    <w:basedOn w:val="13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67">
    <w:name w:val="Emphasis"/>
    <w:basedOn w:val="1396"/>
    <w:uiPriority w:val="20"/>
    <w:qFormat/>
    <w:pPr>
      <w:pBdr/>
      <w:spacing/>
      <w:ind/>
    </w:pPr>
    <w:rPr>
      <w:i/>
      <w:iCs/>
    </w:rPr>
  </w:style>
  <w:style w:type="character" w:styleId="1368">
    <w:name w:val="Strong"/>
    <w:basedOn w:val="1396"/>
    <w:uiPriority w:val="22"/>
    <w:qFormat/>
    <w:pPr>
      <w:pBdr/>
      <w:spacing/>
      <w:ind/>
    </w:pPr>
    <w:rPr>
      <w:b/>
      <w:bCs/>
    </w:rPr>
  </w:style>
  <w:style w:type="character" w:styleId="1369">
    <w:name w:val="Subtle Reference"/>
    <w:basedOn w:val="13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70">
    <w:name w:val="Book Title"/>
    <w:basedOn w:val="139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71">
    <w:name w:val="Header Char"/>
    <w:basedOn w:val="1396"/>
    <w:link w:val="1402"/>
    <w:uiPriority w:val="99"/>
    <w:pPr>
      <w:pBdr/>
      <w:spacing/>
      <w:ind/>
    </w:pPr>
  </w:style>
  <w:style w:type="character" w:styleId="1372">
    <w:name w:val="Footer Char"/>
    <w:basedOn w:val="1396"/>
    <w:link w:val="1404"/>
    <w:uiPriority w:val="99"/>
    <w:pPr>
      <w:pBdr/>
      <w:spacing/>
      <w:ind/>
    </w:pPr>
  </w:style>
  <w:style w:type="paragraph" w:styleId="1373">
    <w:name w:val="Caption"/>
    <w:basedOn w:val="1394"/>
    <w:next w:val="13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74">
    <w:name w:val="footnote text"/>
    <w:basedOn w:val="1394"/>
    <w:link w:val="13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75">
    <w:name w:val="Footnote Text Char"/>
    <w:basedOn w:val="1396"/>
    <w:link w:val="1374"/>
    <w:uiPriority w:val="99"/>
    <w:semiHidden/>
    <w:pPr>
      <w:pBdr/>
      <w:spacing/>
      <w:ind/>
    </w:pPr>
    <w:rPr>
      <w:sz w:val="20"/>
      <w:szCs w:val="20"/>
    </w:rPr>
  </w:style>
  <w:style w:type="character" w:styleId="1376">
    <w:name w:val="footnote reference"/>
    <w:basedOn w:val="1396"/>
    <w:uiPriority w:val="99"/>
    <w:semiHidden/>
    <w:unhideWhenUsed/>
    <w:pPr>
      <w:pBdr/>
      <w:spacing/>
      <w:ind/>
    </w:pPr>
    <w:rPr>
      <w:vertAlign w:val="superscript"/>
    </w:rPr>
  </w:style>
  <w:style w:type="paragraph" w:styleId="1377">
    <w:name w:val="endnote text"/>
    <w:basedOn w:val="1394"/>
    <w:link w:val="13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78">
    <w:name w:val="Endnote Text Char"/>
    <w:basedOn w:val="1396"/>
    <w:link w:val="1377"/>
    <w:uiPriority w:val="99"/>
    <w:semiHidden/>
    <w:pPr>
      <w:pBdr/>
      <w:spacing/>
      <w:ind/>
    </w:pPr>
    <w:rPr>
      <w:sz w:val="20"/>
      <w:szCs w:val="20"/>
    </w:rPr>
  </w:style>
  <w:style w:type="character" w:styleId="1379">
    <w:name w:val="endnote reference"/>
    <w:basedOn w:val="1396"/>
    <w:uiPriority w:val="99"/>
    <w:semiHidden/>
    <w:unhideWhenUsed/>
    <w:pPr>
      <w:pBdr/>
      <w:spacing/>
      <w:ind/>
    </w:pPr>
    <w:rPr>
      <w:vertAlign w:val="superscript"/>
    </w:rPr>
  </w:style>
  <w:style w:type="character" w:styleId="1380">
    <w:name w:val="Hyperlink"/>
    <w:basedOn w:val="13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81">
    <w:name w:val="FollowedHyperlink"/>
    <w:basedOn w:val="13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82">
    <w:name w:val="toc 1"/>
    <w:basedOn w:val="1394"/>
    <w:next w:val="1394"/>
    <w:uiPriority w:val="39"/>
    <w:unhideWhenUsed/>
    <w:pPr>
      <w:pBdr/>
      <w:spacing w:after="100"/>
      <w:ind/>
    </w:pPr>
  </w:style>
  <w:style w:type="paragraph" w:styleId="1383">
    <w:name w:val="toc 2"/>
    <w:basedOn w:val="1394"/>
    <w:next w:val="1394"/>
    <w:uiPriority w:val="39"/>
    <w:unhideWhenUsed/>
    <w:pPr>
      <w:pBdr/>
      <w:spacing w:after="100"/>
      <w:ind w:left="220"/>
    </w:pPr>
  </w:style>
  <w:style w:type="paragraph" w:styleId="1384">
    <w:name w:val="toc 3"/>
    <w:basedOn w:val="1394"/>
    <w:next w:val="1394"/>
    <w:uiPriority w:val="39"/>
    <w:unhideWhenUsed/>
    <w:pPr>
      <w:pBdr/>
      <w:spacing w:after="100"/>
      <w:ind w:left="440"/>
    </w:pPr>
  </w:style>
  <w:style w:type="paragraph" w:styleId="1385">
    <w:name w:val="toc 4"/>
    <w:basedOn w:val="1394"/>
    <w:next w:val="1394"/>
    <w:uiPriority w:val="39"/>
    <w:unhideWhenUsed/>
    <w:pPr>
      <w:pBdr/>
      <w:spacing w:after="100"/>
      <w:ind w:left="660"/>
    </w:pPr>
  </w:style>
  <w:style w:type="paragraph" w:styleId="1386">
    <w:name w:val="toc 5"/>
    <w:basedOn w:val="1394"/>
    <w:next w:val="1394"/>
    <w:uiPriority w:val="39"/>
    <w:unhideWhenUsed/>
    <w:pPr>
      <w:pBdr/>
      <w:spacing w:after="100"/>
      <w:ind w:left="880"/>
    </w:pPr>
  </w:style>
  <w:style w:type="paragraph" w:styleId="1387">
    <w:name w:val="toc 6"/>
    <w:basedOn w:val="1394"/>
    <w:next w:val="1394"/>
    <w:uiPriority w:val="39"/>
    <w:unhideWhenUsed/>
    <w:pPr>
      <w:pBdr/>
      <w:spacing w:after="100"/>
      <w:ind w:left="1100"/>
    </w:pPr>
  </w:style>
  <w:style w:type="paragraph" w:styleId="1388">
    <w:name w:val="toc 7"/>
    <w:basedOn w:val="1394"/>
    <w:next w:val="1394"/>
    <w:uiPriority w:val="39"/>
    <w:unhideWhenUsed/>
    <w:pPr>
      <w:pBdr/>
      <w:spacing w:after="100"/>
      <w:ind w:left="1320"/>
    </w:pPr>
  </w:style>
  <w:style w:type="paragraph" w:styleId="1389">
    <w:name w:val="toc 8"/>
    <w:basedOn w:val="1394"/>
    <w:next w:val="1394"/>
    <w:uiPriority w:val="39"/>
    <w:unhideWhenUsed/>
    <w:pPr>
      <w:pBdr/>
      <w:spacing w:after="100"/>
      <w:ind w:left="1540"/>
    </w:pPr>
  </w:style>
  <w:style w:type="paragraph" w:styleId="1390">
    <w:name w:val="toc 9"/>
    <w:basedOn w:val="1394"/>
    <w:next w:val="1394"/>
    <w:uiPriority w:val="39"/>
    <w:unhideWhenUsed/>
    <w:pPr>
      <w:pBdr/>
      <w:spacing w:after="100"/>
      <w:ind w:left="1760"/>
    </w:pPr>
  </w:style>
  <w:style w:type="character" w:styleId="1391">
    <w:name w:val="Placeholder Text"/>
    <w:basedOn w:val="1396"/>
    <w:uiPriority w:val="99"/>
    <w:semiHidden/>
    <w:pPr>
      <w:pBdr/>
      <w:spacing/>
      <w:ind/>
    </w:pPr>
    <w:rPr>
      <w:color w:val="666666"/>
    </w:rPr>
  </w:style>
  <w:style w:type="paragraph" w:styleId="1392">
    <w:name w:val="TOC Heading"/>
    <w:uiPriority w:val="39"/>
    <w:unhideWhenUsed/>
    <w:pPr>
      <w:pBdr/>
      <w:spacing/>
      <w:ind/>
    </w:pPr>
  </w:style>
  <w:style w:type="paragraph" w:styleId="1393">
    <w:name w:val="table of figures"/>
    <w:basedOn w:val="1394"/>
    <w:next w:val="1394"/>
    <w:uiPriority w:val="99"/>
    <w:unhideWhenUsed/>
    <w:pPr>
      <w:pBdr/>
      <w:spacing w:after="0" w:afterAutospacing="0"/>
      <w:ind/>
    </w:pPr>
  </w:style>
  <w:style w:type="paragraph" w:styleId="1394" w:default="1">
    <w:name w:val="Normal"/>
    <w:qFormat/>
    <w:pPr>
      <w:pBdr/>
      <w:spacing/>
      <w:ind/>
    </w:pPr>
  </w:style>
  <w:style w:type="paragraph" w:styleId="1395">
    <w:name w:val="Heading 3"/>
    <w:basedOn w:val="1394"/>
    <w:next w:val="1394"/>
    <w:link w:val="1405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1396" w:default="1">
    <w:name w:val="Default Paragraph Font"/>
    <w:uiPriority w:val="1"/>
    <w:semiHidden/>
    <w:unhideWhenUsed/>
    <w:pPr>
      <w:pBdr/>
      <w:spacing/>
      <w:ind/>
    </w:pPr>
  </w:style>
  <w:style w:type="table" w:styleId="13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98" w:default="1">
    <w:name w:val="No List"/>
    <w:uiPriority w:val="99"/>
    <w:semiHidden/>
    <w:unhideWhenUsed/>
    <w:pPr>
      <w:pBdr/>
      <w:spacing/>
      <w:ind/>
    </w:pPr>
  </w:style>
  <w:style w:type="paragraph" w:styleId="1399">
    <w:name w:val="List Paragraph"/>
    <w:basedOn w:val="1394"/>
    <w:uiPriority w:val="34"/>
    <w:qFormat/>
    <w:pPr>
      <w:pBdr/>
      <w:spacing/>
      <w:ind w:left="720"/>
      <w:contextualSpacing w:val="true"/>
    </w:pPr>
  </w:style>
  <w:style w:type="table" w:styleId="1400">
    <w:name w:val="Table Grid"/>
    <w:basedOn w:val="1397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01" w:customStyle="1">
    <w:name w:val="Encabezado Car"/>
    <w:basedOn w:val="1396"/>
    <w:link w:val="1402"/>
    <w:uiPriority w:val="99"/>
    <w:pPr>
      <w:pBdr/>
      <w:spacing/>
      <w:ind/>
    </w:pPr>
  </w:style>
  <w:style w:type="paragraph" w:styleId="1402">
    <w:name w:val="Header"/>
    <w:basedOn w:val="1394"/>
    <w:link w:val="140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403" w:customStyle="1">
    <w:name w:val="Pie de página Car"/>
    <w:basedOn w:val="1396"/>
    <w:link w:val="1404"/>
    <w:uiPriority w:val="99"/>
    <w:pPr>
      <w:pBdr/>
      <w:spacing/>
      <w:ind/>
    </w:pPr>
  </w:style>
  <w:style w:type="paragraph" w:styleId="1404">
    <w:name w:val="Footer"/>
    <w:basedOn w:val="1394"/>
    <w:link w:val="140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405" w:customStyle="1">
    <w:name w:val="Título 3 Car"/>
    <w:basedOn w:val="1396"/>
    <w:link w:val="1395"/>
    <w:uiPriority w:val="9"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2026-04-07T17:54:31Z</dcterms:modified>
</cp:coreProperties>
</file>