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pPr w:horzAnchor="margin" w:tblpXSpec="center" w:vertAnchor="margin" w:tblpY="-675" w:leftFromText="141" w:topFromText="0" w:rightFromText="141" w:bottomFromText="0"/>
        <w:tblW w:w="10276" w:type="dxa"/>
        <w:tblLayout w:type="fixed"/>
        <w:tblLook w:val="0000" w:firstRow="0" w:lastRow="0" w:firstColumn="0" w:lastColumn="0" w:noHBand="0" w:noVBand="0"/>
      </w:tblPr>
      <w:tblGrid>
        <w:gridCol w:w="1134"/>
        <w:gridCol w:w="1985"/>
        <w:gridCol w:w="5103"/>
        <w:gridCol w:w="2054"/>
      </w:tblGrid>
      <w:tr>
        <w:trPr>
          <w:trHeight w:val="5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34" w:type="dxa"/>
            <w:vMerge w:val="restart"/>
            <w:textDirection w:val="lrTb"/>
            <w:noWrap w:val="false"/>
          </w:tcPr>
          <w:p>
            <w:pPr>
              <w:ind w:hanging="2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8"/>
                <w:szCs w:val="28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lang w:eastAsia="es-E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1670" cy="629285"/>
                      <wp:effectExtent l="0" t="0" r="0" b="0"/>
                      <wp:docPr id="1" name="image1.jp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jpg"/>
                              <pic:cNvPicPr/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1670" cy="62928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52.1pt;height:49.5pt;mso-wrap-distance-left:0.0pt;mso-wrap-distance-top:0.0pt;mso-wrap-distance-right:0.0pt;mso-wrap-distance-bottom:0.0pt;">
                      <v:path textboxrect="0,0,0,0"/>
                      <v:imagedata r:id="rId9" o:title="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ind w:left="1" w:hanging="3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8"/>
                <w:szCs w:val="28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  <w:color w:val="000000"/>
                <w:sz w:val="28"/>
                <w:szCs w:val="28"/>
              </w:rPr>
              <w:t xml:space="preserve">Centro de Control Montevideo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03" w:type="dxa"/>
            <w:vAlign w:val="center"/>
            <w:vMerge w:val="restart"/>
            <w:textDirection w:val="lrTb"/>
            <w:noWrap w:val="false"/>
          </w:tcPr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b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  <w:color w:val="000000"/>
                <w:sz w:val="24"/>
                <w:szCs w:val="24"/>
              </w:rPr>
              <w:t xml:space="preserve">ANEXO FOXTROT</w:t>
            </w:r>
            <w:r/>
          </w:p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  <w:color w:val="000000"/>
                <w:sz w:val="24"/>
                <w:szCs w:val="24"/>
              </w:rPr>
              <w:t xml:space="preserve">FICHA DE PROCESOS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4" w:type="dxa"/>
            <w:vAlign w:val="center"/>
            <w:textDirection w:val="lrTb"/>
            <w:noWrap w:val="false"/>
          </w:tcPr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  <w:t xml:space="preserve">FO – 422 -04</w:t>
            </w:r>
            <w:r/>
          </w:p>
        </w:tc>
      </w:tr>
      <w:tr>
        <w:trPr>
          <w:trHeight w:val="5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34" w:type="dxa"/>
            <w:vMerge w:val="continue"/>
            <w:textDirection w:val="lrTb"/>
            <w:noWrap w:val="false"/>
          </w:tcPr>
          <w:p>
            <w:pPr>
              <w:ind w:hanging="2"/>
              <w:widowControl w:val="off"/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5" w:type="dxa"/>
            <w:vAlign w:val="center"/>
            <w:vMerge w:val="continue"/>
            <w:textDirection w:val="lrTb"/>
            <w:noWrap w:val="false"/>
          </w:tcPr>
          <w:p>
            <w:pPr>
              <w:ind w:hanging="2"/>
              <w:widowControl w:val="off"/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03" w:type="dxa"/>
            <w:vAlign w:val="center"/>
            <w:vMerge w:val="continue"/>
            <w:textDirection w:val="lrTb"/>
            <w:noWrap w:val="false"/>
          </w:tcPr>
          <w:p>
            <w:pPr>
              <w:ind w:hanging="2"/>
              <w:widowControl w:val="off"/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4" w:type="dxa"/>
            <w:vAlign w:val="center"/>
            <w:textDirection w:val="lrTb"/>
            <w:noWrap w:val="false"/>
          </w:tcPr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  <w:t xml:space="preserve">Revisión: </w:t>
            </w:r>
            <w:r>
              <w:rPr>
                <w:sz w:val="24"/>
                <w:szCs w:val="24"/>
                <w:lang w:val="es-UY"/>
              </w:rPr>
              <w:t xml:space="preserve">7</w:t>
            </w:r>
            <w:r/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E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S"/>
        </w:rPr>
      </w:r>
      <w:r/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5051"/>
        <w:gridCol w:w="1645"/>
        <w:gridCol w:w="2024"/>
      </w:tblGrid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FICHA DE PROCESOS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PROCESO: PROCESO DE APOYO DE CONMO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REVISIÓN: 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FECHA: 1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7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/09/20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20</w:t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MISIÓN DEL PROCESO</w:t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Brindar apoyo y herramientas fundamentales para llevar a cabo el proceso de comunicaciones para el ordenamiento del tráfico 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marítimo .</w:t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ACTIVIDADES QUE FORMAN EL PROCESO</w:t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Para llevar a cabo su proceso principal, CONMO necesita de equipamiento tanto de comunicaciones como PC, así como también cuenta con Radar, Anemómetro, plataforma digital 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SeaVision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 y equipo grabadora de comunicaciones. Así mismo cuenta con 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una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 Plan de Evacuación ante cualquier incidente en el edificio. Otra de las actividades que forma par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te del proceso de apoyo de CONMO, es Compra, las mismas se realizan a través del Departamento Contable de la Prefectura del Puerto de Montevideo, quien dispone la entrega del material solicitado o gestiona la solicitud por la vía del mando correspondiente.</w:t>
            </w:r>
            <w:r/>
          </w:p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RESPONSABLES DEL PROCESO</w:t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DUEÑO: Jefe de CONMO - Responsable del Departamento de Informática y Comunicaciones de CONMO – Secretaria de CONMO</w:t>
            </w:r>
            <w:r/>
          </w:p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PARTICIPANTES: Personal de CONMO</w:t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LÍMITES DEL PROCESO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INICIO: </w:t>
            </w:r>
            <w:r/>
          </w:p>
          <w:p>
            <w:pPr>
              <w:numPr>
                <w:ilvl w:val="0"/>
                <w:numId w:val="1"/>
              </w:numPr>
              <w:spacing w:after="0" w:line="240" w:lineRule="auto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Emisión y/o recepción de comunicación radial</w:t>
            </w:r>
            <w:r/>
          </w:p>
          <w:p>
            <w:pPr>
              <w:numPr>
                <w:ilvl w:val="0"/>
                <w:numId w:val="1"/>
              </w:numPr>
              <w:spacing w:after="0" w:line="240" w:lineRule="auto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Falla o rotura en Equipos</w:t>
            </w:r>
            <w:r/>
          </w:p>
          <w:p>
            <w:pPr>
              <w:numPr>
                <w:ilvl w:val="0"/>
                <w:numId w:val="1"/>
              </w:numPr>
              <w:spacing w:after="0" w:line="240" w:lineRule="auto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Señal de evacuación o incendio</w:t>
            </w:r>
            <w:r/>
          </w:p>
          <w:p>
            <w:pPr>
              <w:numPr>
                <w:ilvl w:val="0"/>
                <w:numId w:val="1"/>
              </w:numPr>
              <w:spacing w:after="160" w:line="240" w:lineRule="auto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Necesidad de adquisición de nuevos equipos o servicios.</w:t>
            </w:r>
            <w:r/>
          </w:p>
          <w:p>
            <w:pPr>
              <w:spacing w:after="24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FIN:</w:t>
            </w:r>
            <w:r/>
          </w:p>
          <w:p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Recepción y/o emisión de comunicación radial. Grabación de la misma</w:t>
            </w:r>
            <w:r/>
          </w:p>
          <w:p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Equipo funcionando </w:t>
            </w:r>
            <w:r/>
          </w:p>
          <w:p>
            <w:pPr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Edificio evacuado</w:t>
            </w:r>
            <w:r/>
          </w:p>
          <w:p>
            <w:pPr>
              <w:numPr>
                <w:ilvl w:val="0"/>
                <w:numId w:val="2"/>
              </w:numPr>
              <w:spacing w:after="160" w:line="0" w:lineRule="atLeast"/>
              <w:rPr>
                <w:rFonts w:ascii="Calibri" w:hAnsi="Calibri" w:eastAsia="Times New Roman" w:cs="Times New Roman"/>
                <w:color w:val="000000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Adquisición de nuevos equipos o servicios.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ENTRADAS DEL PROCESO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SALIDAS DEL PROCESO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Solicitud de información o comunicación por operativa  comunicación</w:t>
            </w:r>
            <w:r/>
          </w:p>
          <w:p>
            <w:pPr>
              <w:numPr>
                <w:ilvl w:val="0"/>
                <w:numId w:val="3"/>
              </w:num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Equipo con falla o averiado</w:t>
            </w:r>
            <w:r/>
          </w:p>
          <w:p>
            <w:pPr>
              <w:numPr>
                <w:ilvl w:val="0"/>
                <w:numId w:val="3"/>
              </w:numPr>
              <w:jc w:val="both"/>
              <w:spacing w:after="0" w:line="240" w:lineRule="auto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Incendio o siniestro </w:t>
            </w:r>
            <w:r/>
          </w:p>
          <w:p>
            <w:pPr>
              <w:numPr>
                <w:ilvl w:val="0"/>
                <w:numId w:val="3"/>
              </w:numPr>
              <w:jc w:val="both"/>
              <w:spacing w:after="160" w:line="240" w:lineRule="auto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Solicitud de compra mediante FO 840-01 al Departamento Contable de PREMO o por CS PREMO dirigida al Estado Mayor de la Prefectura Nacional Naval. </w:t>
            </w:r>
            <w:r/>
          </w:p>
          <w:p>
            <w:pPr>
              <w:spacing w:after="24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4"/>
              </w:numPr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Comunicación realizada exitosamente, comunicación des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grabada. </w:t>
            </w:r>
            <w:r/>
          </w:p>
          <w:p>
            <w:pPr>
              <w:numPr>
                <w:ilvl w:val="0"/>
                <w:numId w:val="4"/>
              </w:numPr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Equipo nuevo o reparado</w:t>
            </w:r>
            <w:r/>
          </w:p>
          <w:p>
            <w:pPr>
              <w:numPr>
                <w:ilvl w:val="0"/>
                <w:numId w:val="4"/>
              </w:numPr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Plan de evacuación, simulacros de emergencia.</w:t>
            </w:r>
            <w:r/>
          </w:p>
          <w:p>
            <w:pPr>
              <w:numPr>
                <w:ilvl w:val="0"/>
                <w:numId w:val="4"/>
              </w:numPr>
              <w:spacing w:after="160" w:line="240" w:lineRule="auto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Compra realizada. Servicio obtenido. </w:t>
            </w:r>
            <w:r/>
          </w:p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RELACIONES EN EL PROCESO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CLIENTES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PROVEEDORES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CONMO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5"/>
              </w:numPr>
              <w:spacing w:after="0" w:line="240" w:lineRule="auto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SELAR: Proporciona Técnicos para el mantenimiento de los equipos de comunicaciones </w:t>
            </w: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y cableado. </w:t>
            </w:r>
            <w:r/>
          </w:p>
          <w:p>
            <w:pPr>
              <w:numPr>
                <w:ilvl w:val="0"/>
                <w:numId w:val="5"/>
              </w:numPr>
              <w:spacing w:after="0" w:line="240" w:lineRule="auto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SEGIT: Proporciona a CONMO internet y técnicos para el mantenimiento de los equipos PC. </w:t>
            </w:r>
            <w:r/>
          </w:p>
          <w:p>
            <w:pPr>
              <w:numPr>
                <w:ilvl w:val="0"/>
                <w:numId w:val="5"/>
              </w:numPr>
              <w:spacing w:after="0" w:line="240" w:lineRule="auto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Comando General de la Armada</w:t>
            </w:r>
            <w:r/>
          </w:p>
          <w:p>
            <w:pPr>
              <w:numPr>
                <w:ilvl w:val="0"/>
                <w:numId w:val="5"/>
              </w:numPr>
              <w:spacing w:after="0" w:line="240" w:lineRule="auto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Bomberos</w:t>
            </w:r>
            <w:r/>
          </w:p>
          <w:p>
            <w:pPr>
              <w:numPr>
                <w:ilvl w:val="0"/>
                <w:numId w:val="5"/>
              </w:numPr>
              <w:spacing w:after="0" w:line="240" w:lineRule="auto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Departamento Contable de PREMO</w:t>
            </w:r>
            <w:r/>
          </w:p>
          <w:p>
            <w:pPr>
              <w:numPr>
                <w:ilvl w:val="0"/>
                <w:numId w:val="5"/>
              </w:numPr>
              <w:jc w:val="both"/>
              <w:spacing w:after="160" w:line="240" w:lineRule="auto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es-ES"/>
              </w:rPr>
              <w:t xml:space="preserve">Estado Mayor de la Prefectura Nacional Naval.</w:t>
            </w:r>
            <w:r/>
          </w:p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PROCESOS RELACIONADOS</w:t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Proceso Principal</w:t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Procesos Estratégicos  </w:t>
            </w:r>
            <w:r/>
          </w:p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Procesos de Medición</w:t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DOCUMENTOS APLICABLES</w:t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PR - </w:t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IT-710-20 Equipo de Comunicaciones Portátil</w:t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IT-710-21 Equipo de Comunicaciones Base</w:t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IT-710-24 Equipos PC</w:t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IT- 710-27 Equipo AIS/VMS</w:t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IT -710-28 Equipo Grabadora de comunicaciones</w:t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IT -170-41 Equipo anemómetro 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Vantage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 Pro2</w:t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IT- 710-47 Equipo comunicaciones BASE COBHAM SAILOR 3215</w:t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IT- 710-38 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Calibracion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 de anemómetro 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Vantage</w:t>
            </w: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 Pro 2</w:t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IT- 170-40 Plan de Evacuación</w:t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PR 840-0 Solicitud de Compras</w:t>
            </w:r>
            <w:r/>
          </w:p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"/>
                <w:szCs w:val="24"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sz w:val="1"/>
                <w:szCs w:val="24"/>
                <w:lang w:eastAsia="es-ES"/>
              </w:rPr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SEGUIMIENTO: </w:t>
            </w:r>
            <w:r/>
          </w:p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PR 710 30 TRAZABILIDAD DE DOCUMENTOS</w:t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INDICADORES:</w:t>
            </w:r>
            <w:r/>
          </w:p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Ver FO 910 anexo del PR 910 01 de seguimiento y medición.</w:t>
            </w:r>
            <w:r/>
          </w:p>
        </w:tc>
      </w:tr>
      <w:tr>
        <w:trPr/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REGISTROS: </w:t>
            </w:r>
            <w:r/>
          </w:p>
          <w:p>
            <w:pPr>
              <w:spacing w:after="0" w:line="0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s-ES"/>
              </w:rPr>
              <w:t xml:space="preserve">Todos los indicados en los PR e IT de referencia.</w:t>
            </w:r>
            <w:r/>
          </w:p>
        </w:tc>
      </w:tr>
    </w:tbl>
    <w:p>
      <w:r/>
      <w:r/>
    </w:p>
    <w:sectPr>
      <w:footnotePr/>
      <w:endnotePr/>
      <w:type w:val="nextPage"/>
      <w:pgSz w:w="11906" w:h="16838" w:orient="portrait"/>
      <w:pgMar w:top="1417" w:right="1701" w:bottom="1417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1"/>
    <w:next w:val="61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1"/>
    <w:next w:val="61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2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1"/>
    <w:next w:val="61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2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1"/>
    <w:next w:val="61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1"/>
    <w:next w:val="61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1"/>
    <w:next w:val="61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1"/>
    <w:next w:val="61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1"/>
    <w:next w:val="61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1"/>
    <w:next w:val="61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1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1"/>
    <w:next w:val="61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2"/>
    <w:link w:val="34"/>
    <w:uiPriority w:val="10"/>
    <w:rPr>
      <w:sz w:val="48"/>
      <w:szCs w:val="48"/>
    </w:rPr>
  </w:style>
  <w:style w:type="paragraph" w:styleId="36">
    <w:name w:val="Subtitle"/>
    <w:basedOn w:val="611"/>
    <w:next w:val="61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2"/>
    <w:link w:val="36"/>
    <w:uiPriority w:val="11"/>
    <w:rPr>
      <w:sz w:val="24"/>
      <w:szCs w:val="24"/>
    </w:rPr>
  </w:style>
  <w:style w:type="paragraph" w:styleId="38">
    <w:name w:val="Quote"/>
    <w:basedOn w:val="611"/>
    <w:next w:val="61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1"/>
    <w:next w:val="61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2"/>
    <w:link w:val="42"/>
    <w:uiPriority w:val="99"/>
  </w:style>
  <w:style w:type="paragraph" w:styleId="44">
    <w:name w:val="Footer"/>
    <w:basedOn w:val="61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2"/>
    <w:link w:val="44"/>
    <w:uiPriority w:val="99"/>
  </w:style>
  <w:style w:type="paragraph" w:styleId="46">
    <w:name w:val="Caption"/>
    <w:basedOn w:val="611"/>
    <w:next w:val="61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2"/>
    <w:uiPriority w:val="99"/>
    <w:unhideWhenUsed/>
    <w:rPr>
      <w:vertAlign w:val="superscript"/>
    </w:rPr>
  </w:style>
  <w:style w:type="paragraph" w:styleId="178">
    <w:name w:val="endnote text"/>
    <w:basedOn w:val="61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2"/>
    <w:uiPriority w:val="99"/>
    <w:semiHidden/>
    <w:unhideWhenUsed/>
    <w:rPr>
      <w:vertAlign w:val="superscript"/>
    </w:rPr>
  </w:style>
  <w:style w:type="paragraph" w:styleId="181">
    <w:name w:val="toc 1"/>
    <w:basedOn w:val="611"/>
    <w:next w:val="61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1"/>
    <w:next w:val="61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1"/>
    <w:next w:val="61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1"/>
    <w:next w:val="61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1"/>
    <w:next w:val="61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1"/>
    <w:next w:val="61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1"/>
    <w:next w:val="61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1"/>
    <w:next w:val="61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1"/>
    <w:next w:val="61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1"/>
    <w:next w:val="611"/>
    <w:uiPriority w:val="99"/>
    <w:unhideWhenUsed/>
    <w:pPr>
      <w:spacing w:after="0" w:afterAutospacing="0"/>
    </w:pPr>
  </w:style>
  <w:style w:type="paragraph" w:styleId="611" w:default="1">
    <w:name w:val="Normal"/>
    <w:qFormat/>
  </w:style>
  <w:style w:type="character" w:styleId="612" w:default="1">
    <w:name w:val="Default Paragraph Font"/>
    <w:uiPriority w:val="1"/>
    <w:semiHidden/>
    <w:unhideWhenUsed/>
  </w:style>
  <w:style w:type="table" w:styleId="613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4" w:default="1">
    <w:name w:val="No List"/>
    <w:uiPriority w:val="99"/>
    <w:semiHidden/>
    <w:unhideWhenUsed/>
  </w:style>
  <w:style w:type="paragraph" w:styleId="615">
    <w:name w:val="Normal (Web)"/>
    <w:basedOn w:val="611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616">
    <w:name w:val="Balloon Text"/>
    <w:basedOn w:val="611"/>
    <w:link w:val="61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17" w:customStyle="1">
    <w:name w:val="Texto de globo Car"/>
    <w:basedOn w:val="612"/>
    <w:link w:val="616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User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revision>4</cp:revision>
  <dcterms:created xsi:type="dcterms:W3CDTF">2023-05-24T14:38:00Z</dcterms:created>
  <dcterms:modified xsi:type="dcterms:W3CDTF">2024-10-02T15:49:41Z</dcterms:modified>
</cp:coreProperties>
</file>