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pPr w:horzAnchor="margin" w:tblpXSpec="center" w:vertAnchor="margin" w:tblpY="-675" w:leftFromText="141" w:topFromText="0" w:rightFromText="141" w:bottomFromText="0"/>
        <w:tblW w:w="10276" w:type="dxa"/>
        <w:tblLayout w:type="fixed"/>
        <w:tblLook w:val="0000" w:firstRow="0" w:lastRow="0" w:firstColumn="0" w:lastColumn="0" w:noHBand="0" w:noVBand="0"/>
      </w:tblPr>
      <w:tblGrid>
        <w:gridCol w:w="1134"/>
        <w:gridCol w:w="1985"/>
        <w:gridCol w:w="5103"/>
        <w:gridCol w:w="2054"/>
      </w:tblGrid>
      <w:tr>
        <w:trPr>
          <w:trHeight w:val="54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4" w:type="dxa"/>
            <w:vMerge w:val="restart"/>
            <w:textDirection w:val="lrTb"/>
            <w:noWrap w:val="false"/>
          </w:tcPr>
          <w:p>
            <w:pPr>
              <w:ind w:hanging="2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8"/>
                <w:szCs w:val="28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lang w:val="es-ES" w:eastAsia="es-ES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1670" cy="629285"/>
                      <wp:effectExtent l="0" t="0" r="0" b="0"/>
                      <wp:docPr id="1" name="image1.jp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jpg"/>
                              <pic:cNvPicPr/>
                              <pic:nvPr/>
                            </pic:nvPicPr>
                            <pic:blipFill>
                              <a:blip r:embed="rId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661670" cy="629285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52.1pt;height:49.5pt;mso-wrap-distance-left:0.0pt;mso-wrap-distance-top:0.0pt;mso-wrap-distance-right:0.0pt;mso-wrap-distance-bottom:0.0pt;">
                      <v:path textboxrect="0,0,0,0"/>
                      <v:imagedata r:id="rId9" o:title=""/>
                    </v:shape>
                  </w:pict>
                </mc:Fallback>
              </mc:AlternateConten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5" w:type="dxa"/>
            <w:vAlign w:val="center"/>
            <w:vMerge w:val="restart"/>
            <w:textDirection w:val="lrTb"/>
            <w:noWrap w:val="false"/>
          </w:tcPr>
          <w:p>
            <w:pPr>
              <w:ind w:left="1" w:hanging="3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8"/>
                <w:szCs w:val="28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  <w:color w:val="000000"/>
                <w:sz w:val="28"/>
                <w:szCs w:val="28"/>
              </w:rPr>
              <w:t xml:space="preserve">Centro de Control Montevideo 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03" w:type="dxa"/>
            <w:vAlign w:val="center"/>
            <w:vMerge w:val="restart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b/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  <w:color w:val="000000"/>
                <w:sz w:val="24"/>
                <w:szCs w:val="24"/>
              </w:rPr>
              <w:t xml:space="preserve">ANEXO FOXTROT</w:t>
            </w:r>
            <w:r/>
          </w:p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b/>
                <w:color w:val="000000"/>
                <w:sz w:val="24"/>
                <w:szCs w:val="24"/>
              </w:rPr>
              <w:t xml:space="preserve">FICHA DE PROCESOS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  <w:t xml:space="preserve">FO – 422 -04</w:t>
            </w:r>
            <w:r/>
          </w:p>
        </w:tc>
      </w:tr>
      <w:tr>
        <w:trPr>
          <w:trHeight w:val="50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134" w:type="dxa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85" w:type="dxa"/>
            <w:vAlign w:val="center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5103" w:type="dxa"/>
            <w:vAlign w:val="center"/>
            <w:vMerge w:val="continue"/>
            <w:textDirection w:val="lrTb"/>
            <w:noWrap w:val="false"/>
          </w:tcPr>
          <w:p>
            <w:pPr>
              <w:ind w:hanging="2"/>
              <w:widowControl w:val="off"/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054" w:type="dxa"/>
            <w:vAlign w:val="center"/>
            <w:textDirection w:val="lrTb"/>
            <w:noWrap w:val="false"/>
          </w:tcPr>
          <w:p>
            <w:pPr>
              <w:ind w:hanging="2"/>
              <w:jc w:val="center"/>
              <w:tabs>
                <w:tab w:val="center" w:pos="4252" w:leader="none"/>
                <w:tab w:val="right" w:pos="8504" w:leader="none"/>
              </w:tabs>
              <w:rPr>
                <w:color w:val="000000"/>
                <w:sz w:val="24"/>
                <w:szCs w:val="24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</w:pPr>
            <w:r>
              <w:rPr>
                <w:color w:val="000000"/>
                <w:sz w:val="24"/>
                <w:szCs w:val="24"/>
              </w:rPr>
              <w:t xml:space="preserve">Revisión: </w:t>
            </w:r>
            <w:r>
              <w:rPr>
                <w:sz w:val="24"/>
                <w:szCs w:val="24"/>
                <w:lang w:val="es-UY"/>
              </w:rPr>
              <w:t xml:space="preserve">7</w:t>
            </w:r>
            <w:r/>
          </w:p>
        </w:tc>
      </w:tr>
    </w:tbl>
    <w:p>
      <w:r/>
      <w:r/>
    </w:p>
    <w:tbl>
      <w:tblPr>
        <w:tblStyle w:val="605"/>
        <w:tblW w:w="0" w:type="auto"/>
        <w:tblLook w:val="04A0" w:firstRow="1" w:lastRow="0" w:firstColumn="1" w:lastColumn="0" w:noHBand="0" w:noVBand="1"/>
      </w:tblPr>
      <w:tblGrid>
        <w:gridCol w:w="4414"/>
        <w:gridCol w:w="2207"/>
        <w:gridCol w:w="2207"/>
      </w:tblGrid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FICHA DE PROCESOS</w:t>
            </w:r>
            <w:r/>
          </w:p>
        </w:tc>
      </w:tr>
      <w:tr>
        <w:trPr/>
        <w:tc>
          <w:tcPr>
            <w:tcW w:w="4414" w:type="dxa"/>
            <w:textDirection w:val="lrTb"/>
            <w:noWrap w:val="false"/>
          </w:tcPr>
          <w:p>
            <w:r>
              <w:t xml:space="preserve">PROCESO: </w:t>
            </w:r>
            <w:r>
              <w:t xml:space="preserve"> ESTRATÉGICO</w:t>
            </w:r>
            <w:r/>
          </w:p>
        </w:tc>
        <w:tc>
          <w:tcPr>
            <w:tcW w:w="2207" w:type="dxa"/>
            <w:textDirection w:val="lrTb"/>
            <w:noWrap w:val="false"/>
          </w:tcPr>
          <w:p>
            <w:r>
              <w:t xml:space="preserve">REVISIÓN:</w:t>
            </w:r>
            <w:r>
              <w:t xml:space="preserve"> </w:t>
            </w:r>
            <w:r>
              <w:t xml:space="preserve">4</w:t>
            </w:r>
            <w:r/>
          </w:p>
        </w:tc>
        <w:tc>
          <w:tcPr>
            <w:tcW w:w="2207" w:type="dxa"/>
            <w:textDirection w:val="lrTb"/>
            <w:noWrap w:val="false"/>
          </w:tcPr>
          <w:p>
            <w:r>
              <w:t xml:space="preserve">FECHA:</w:t>
            </w:r>
            <w:r>
              <w:t xml:space="preserve"> </w:t>
            </w:r>
            <w:r>
              <w:t xml:space="preserve">17</w:t>
            </w:r>
            <w:r>
              <w:t xml:space="preserve">/09/20</w:t>
            </w:r>
            <w:r>
              <w:t xml:space="preserve">20</w:t>
            </w:r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MISIÓN DEL PROCESO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</w:t>
            </w:r>
            <w:r>
              <w:rPr>
                <w:sz w:val="24"/>
                <w:szCs w:val="24"/>
              </w:rPr>
              <w:t xml:space="preserve">blecer lineamientos estratégicos para cumplir con la misión de la organización a través del enfoque y la satisfacción de las partes interesadas, la mejora continua del sistema de gestión implantado en CONMO y la retroalimentación de las partes interesadas.</w:t>
            </w:r>
            <w:r/>
          </w:p>
          <w:p>
            <w:r/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ACTIVIDADES QUE FORMAN EL PROCESO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Revisión por la dirección</w:t>
            </w:r>
            <w:r/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Reuniones del Grupo de Trabajo</w:t>
            </w:r>
            <w:r/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Revisión según el calendario de la calidad del sistema de gestión</w:t>
            </w:r>
            <w:r/>
          </w:p>
          <w:p>
            <w:r/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RESPONSABLES DEL PROCESO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DUEÑO: Jefe de CONMO</w:t>
            </w:r>
            <w:r/>
          </w:p>
          <w:p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PARTICIPANTES: </w:t>
            </w:r>
            <w:r>
              <w:rPr>
                <w:sz w:val="24"/>
                <w:szCs w:val="24"/>
              </w:rPr>
              <w:t xml:space="preserve">Grupo de Trabajo del SGC</w:t>
            </w:r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LIMITES DEL PROCESO</w:t>
            </w:r>
            <w:r/>
          </w:p>
        </w:tc>
      </w:tr>
      <w:tr>
        <w:trPr/>
        <w:tc>
          <w:tcPr>
            <w:tcW w:w="4414" w:type="dxa"/>
            <w:textDirection w:val="lrTb"/>
            <w:noWrap w:val="false"/>
          </w:tcPr>
          <w:p>
            <w:pPr>
              <w:jc w:val="both"/>
            </w:pPr>
            <w:r>
              <w:t xml:space="preserve">INICIO:</w:t>
            </w:r>
            <w:r>
              <w:rPr>
                <w:sz w:val="24"/>
                <w:szCs w:val="24"/>
              </w:rPr>
              <w:t xml:space="preserve"> Comienzo del año lectivo</w:t>
            </w:r>
            <w:r/>
          </w:p>
        </w:tc>
        <w:tc>
          <w:tcPr>
            <w:gridSpan w:val="2"/>
            <w:tcW w:w="4414" w:type="dxa"/>
            <w:textDirection w:val="lrTb"/>
            <w:noWrap w:val="false"/>
          </w:tcPr>
          <w:p>
            <w:r>
              <w:t xml:space="preserve">FIN: Fin del año lectivo</w:t>
            </w:r>
            <w:r/>
          </w:p>
        </w:tc>
      </w:tr>
      <w:tr>
        <w:trPr/>
        <w:tc>
          <w:tcPr>
            <w:shd w:val="clear" w:color="auto" w:fill="d9d9d9" w:themeFill="background1" w:themeFillShade="D9"/>
            <w:tcW w:w="4414" w:type="dxa"/>
            <w:textDirection w:val="lrTb"/>
            <w:noWrap w:val="false"/>
          </w:tcPr>
          <w:p>
            <w:r>
              <w:t xml:space="preserve">ENTRADAS DEL PROCESO</w:t>
            </w:r>
            <w:r/>
          </w:p>
        </w:tc>
        <w:tc>
          <w:tcPr>
            <w:gridSpan w:val="2"/>
            <w:shd w:val="clear" w:color="auto" w:fill="d9d9d9" w:themeFill="background1" w:themeFillShade="D9"/>
            <w:tcW w:w="4414" w:type="dxa"/>
            <w:textDirection w:val="lrTb"/>
            <w:noWrap w:val="false"/>
          </w:tcPr>
          <w:p>
            <w:r>
              <w:t xml:space="preserve">SALIDAS DEL PROCESO</w:t>
            </w:r>
            <w:r/>
          </w:p>
        </w:tc>
      </w:tr>
      <w:tr>
        <w:trPr/>
        <w:tc>
          <w:tcPr>
            <w:tcW w:w="44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Resultados de la Revisión por la Dirección</w:t>
            </w:r>
            <w:r/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Análisis de datos</w:t>
            </w:r>
            <w:r/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Auditorías</w:t>
            </w:r>
            <w:r/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/>
          </w:p>
        </w:tc>
        <w:tc>
          <w:tcPr>
            <w:gridSpan w:val="2"/>
            <w:tcW w:w="44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Objetivos anuales</w:t>
            </w:r>
            <w:r/>
          </w:p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Política de Calidad</w:t>
            </w:r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RELACIONES EN EL PROCESO</w:t>
            </w:r>
            <w:r/>
          </w:p>
        </w:tc>
      </w:tr>
      <w:tr>
        <w:trPr/>
        <w:tc>
          <w:tcPr>
            <w:tcW w:w="4414" w:type="dxa"/>
            <w:textDirection w:val="lrTb"/>
            <w:noWrap w:val="false"/>
          </w:tcPr>
          <w:p>
            <w:r>
              <w:t xml:space="preserve">CLIENTES</w:t>
            </w:r>
            <w:r/>
          </w:p>
        </w:tc>
        <w:tc>
          <w:tcPr>
            <w:gridSpan w:val="2"/>
            <w:tcW w:w="4414" w:type="dxa"/>
            <w:textDirection w:val="lrTb"/>
            <w:noWrap w:val="false"/>
          </w:tcPr>
          <w:p>
            <w:r>
              <w:t xml:space="preserve">PROVEEDORES</w:t>
            </w:r>
            <w:r/>
          </w:p>
        </w:tc>
      </w:tr>
      <w:tr>
        <w:trPr/>
        <w:tc>
          <w:tcPr>
            <w:tcW w:w="4414" w:type="dxa"/>
            <w:textDirection w:val="lrTb"/>
            <w:noWrap w:val="false"/>
          </w:tcPr>
          <w:p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CONMO</w:t>
            </w:r>
            <w:r/>
          </w:p>
        </w:tc>
        <w:tc>
          <w:tcPr>
            <w:gridSpan w:val="2"/>
            <w:tcW w:w="4414" w:type="dxa"/>
            <w:textDirection w:val="lrTb"/>
            <w:noWrap w:val="false"/>
          </w:tcPr>
          <w:p>
            <w:r>
              <w:t xml:space="preserve">Proceso de Seguimiento y medición</w:t>
            </w:r>
            <w:r/>
          </w:p>
          <w:p>
            <w:r>
              <w:t xml:space="preserve">Proceso Principal</w:t>
            </w:r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PROCESOS RELACIONADOS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r>
              <w:t xml:space="preserve">Procesos Estratégicos</w:t>
            </w:r>
            <w:r/>
          </w:p>
          <w:p>
            <w:r>
              <w:t xml:space="preserve">Procesos de Apoyo  </w:t>
            </w:r>
            <w:r/>
          </w:p>
          <w:p>
            <w:r>
              <w:t xml:space="preserve">Procesos de Medición</w:t>
            </w:r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DOCUMENTOS APLICABLES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r>
              <w:t xml:space="preserve">Política de Calidad</w:t>
            </w:r>
            <w:r/>
          </w:p>
          <w:p>
            <w:r>
              <w:t xml:space="preserve">PL 620 01 Plan anual de objetivos</w:t>
            </w:r>
            <w:r/>
          </w:p>
          <w:p>
            <w:r>
              <w:t xml:space="preserve">FO 422 01 </w:t>
            </w:r>
            <w:r>
              <w:t xml:space="preserve">Matríz</w:t>
            </w:r>
            <w:r>
              <w:t xml:space="preserve"> FODA</w:t>
            </w:r>
            <w:r/>
          </w:p>
          <w:p>
            <w:r>
              <w:t xml:space="preserve">FO 422 02 Estudio de las partes interesadas</w:t>
            </w:r>
            <w:r/>
          </w:p>
          <w:p>
            <w:r>
              <w:t xml:space="preserve">PR Seguimiento y medición</w:t>
            </w:r>
            <w:r/>
          </w:p>
        </w:tc>
      </w:tr>
      <w:tr>
        <w:trPr/>
        <w:tc>
          <w:tcPr>
            <w:gridSpan w:val="3"/>
            <w:shd w:val="clear" w:color="auto" w:fill="d9d9d9" w:themeFill="background1" w:themeFillShade="D9"/>
            <w:tcW w:w="8828" w:type="dxa"/>
            <w:textDirection w:val="lrTb"/>
            <w:noWrap w:val="false"/>
          </w:tcPr>
          <w:p>
            <w:pPr>
              <w:jc w:val="center"/>
            </w:pPr>
            <w:r>
              <w:t xml:space="preserve">SEGUIMIENTO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r>
              <w:t xml:space="preserve">INDICADORES</w:t>
            </w:r>
            <w:r>
              <w:t xml:space="preserve">: Ver </w:t>
            </w:r>
            <w:r>
              <w:t xml:space="preserve"> anexo d</w:t>
            </w:r>
            <w:r>
              <w:t xml:space="preserve">el PR de seguimiento y medición, PL 622 02</w:t>
            </w:r>
            <w:r/>
          </w:p>
        </w:tc>
      </w:tr>
      <w:tr>
        <w:trPr/>
        <w:tc>
          <w:tcPr>
            <w:gridSpan w:val="3"/>
            <w:tcW w:w="8828" w:type="dxa"/>
            <w:textDirection w:val="lrTb"/>
            <w:noWrap w:val="false"/>
          </w:tcPr>
          <w:p>
            <w:r>
              <w:t xml:space="preserve">REGISTROS</w:t>
            </w:r>
            <w:r>
              <w:t xml:space="preserve">: Todos los indicados en los PR e IT de referencia.</w:t>
            </w:r>
            <w:r>
              <w:t xml:space="preserve"> Actas. FO 422 01 PL 622 01</w:t>
            </w:r>
            <w:r/>
          </w:p>
        </w:tc>
      </w:tr>
    </w:tbl>
    <w:p>
      <w:r/>
      <w:r/>
    </w:p>
    <w:sectPr>
      <w:footnotePr/>
      <w:endnotePr/>
      <w:type w:val="nextPage"/>
      <w:pgSz w:w="12240" w:h="15840" w:orient="portrait"/>
      <w:pgMar w:top="1417" w:right="1701" w:bottom="1417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01"/>
    <w:next w:val="60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02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01"/>
    <w:next w:val="60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02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01"/>
    <w:next w:val="60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02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01"/>
    <w:next w:val="60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02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01"/>
    <w:next w:val="60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02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01"/>
    <w:next w:val="60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02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01"/>
    <w:next w:val="60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02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01"/>
    <w:next w:val="60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02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01"/>
    <w:next w:val="60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02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01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01"/>
    <w:next w:val="60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02"/>
    <w:link w:val="34"/>
    <w:uiPriority w:val="10"/>
    <w:rPr>
      <w:sz w:val="48"/>
      <w:szCs w:val="48"/>
    </w:rPr>
  </w:style>
  <w:style w:type="paragraph" w:styleId="36">
    <w:name w:val="Subtitle"/>
    <w:basedOn w:val="601"/>
    <w:next w:val="60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02"/>
    <w:link w:val="36"/>
    <w:uiPriority w:val="11"/>
    <w:rPr>
      <w:sz w:val="24"/>
      <w:szCs w:val="24"/>
    </w:rPr>
  </w:style>
  <w:style w:type="paragraph" w:styleId="38">
    <w:name w:val="Quote"/>
    <w:basedOn w:val="601"/>
    <w:next w:val="60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01"/>
    <w:next w:val="60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0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02"/>
    <w:link w:val="42"/>
    <w:uiPriority w:val="99"/>
  </w:style>
  <w:style w:type="paragraph" w:styleId="44">
    <w:name w:val="Footer"/>
    <w:basedOn w:val="60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02"/>
    <w:link w:val="44"/>
    <w:uiPriority w:val="99"/>
  </w:style>
  <w:style w:type="paragraph" w:styleId="46">
    <w:name w:val="Caption"/>
    <w:basedOn w:val="601"/>
    <w:next w:val="60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0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3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3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0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02"/>
    <w:uiPriority w:val="99"/>
    <w:unhideWhenUsed/>
    <w:rPr>
      <w:vertAlign w:val="superscript"/>
    </w:rPr>
  </w:style>
  <w:style w:type="paragraph" w:styleId="178">
    <w:name w:val="endnote text"/>
    <w:basedOn w:val="60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02"/>
    <w:uiPriority w:val="99"/>
    <w:semiHidden/>
    <w:unhideWhenUsed/>
    <w:rPr>
      <w:vertAlign w:val="superscript"/>
    </w:rPr>
  </w:style>
  <w:style w:type="paragraph" w:styleId="181">
    <w:name w:val="toc 1"/>
    <w:basedOn w:val="601"/>
    <w:next w:val="60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01"/>
    <w:next w:val="60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01"/>
    <w:next w:val="60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01"/>
    <w:next w:val="60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01"/>
    <w:next w:val="60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01"/>
    <w:next w:val="60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01"/>
    <w:next w:val="60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01"/>
    <w:next w:val="60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01"/>
    <w:next w:val="60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01"/>
    <w:next w:val="601"/>
    <w:uiPriority w:val="99"/>
    <w:unhideWhenUsed/>
    <w:pPr>
      <w:spacing w:after="0" w:afterAutospacing="0"/>
    </w:pPr>
  </w:style>
  <w:style w:type="paragraph" w:styleId="601" w:default="1">
    <w:name w:val="Normal"/>
    <w:qFormat/>
  </w:style>
  <w:style w:type="character" w:styleId="602" w:default="1">
    <w:name w:val="Default Paragraph Font"/>
    <w:uiPriority w:val="1"/>
    <w:semiHidden/>
    <w:unhideWhenUsed/>
  </w:style>
  <w:style w:type="table" w:styleId="603" w:default="1">
    <w:name w:val="Normal Table"/>
    <w:uiPriority w:val="99"/>
    <w:semiHidden/>
    <w:unhideWhenUsed/>
    <w:qFormat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4" w:default="1">
    <w:name w:val="No List"/>
    <w:uiPriority w:val="99"/>
    <w:semiHidden/>
    <w:unhideWhenUsed/>
  </w:style>
  <w:style w:type="table" w:styleId="605">
    <w:name w:val="Table Grid"/>
    <w:basedOn w:val="603"/>
    <w:uiPriority w:val="3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paragraph" w:styleId="606">
    <w:name w:val="Balloon Text"/>
    <w:basedOn w:val="601"/>
    <w:link w:val="60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607" w:customStyle="1">
    <w:name w:val="Texto de globo Car"/>
    <w:basedOn w:val="602"/>
    <w:link w:val="606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523930-FAE1-4982-8C67-6C404D9C61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Ceibal</dc:creator>
  <cp:keywords/>
  <dc:description/>
  <cp:revision>4</cp:revision>
  <dcterms:created xsi:type="dcterms:W3CDTF">2023-05-24T14:31:00Z</dcterms:created>
  <dcterms:modified xsi:type="dcterms:W3CDTF">2024-10-02T15:52:10Z</dcterms:modified>
</cp:coreProperties>
</file>