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10037" w:type="dxa"/>
        <w:tblInd w:w="-4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58"/>
        <w:gridCol w:w="2355"/>
        <w:gridCol w:w="4307"/>
        <w:gridCol w:w="1417"/>
      </w:tblGrid>
      <w:tr>
        <w:trPr>
          <w:cantSplit/>
          <w:trHeight w:val="693"/>
        </w:trPr>
        <w:tc>
          <w:tcPr>
            <w:tcW w:w="1958" w:type="dxa"/>
            <w:vAlign w:val="center"/>
            <w:vMerge w:val="restart"/>
            <w:textDirection w:val="lrTb"/>
            <w:noWrap w:val="false"/>
          </w:tcPr>
          <w:p>
            <w:pPr>
              <w:pStyle w:val="605"/>
              <w:ind w:left="290" w:right="1005"/>
              <w:jc w:val="center"/>
              <w:tabs>
                <w:tab w:val="left" w:pos="290" w:leader="none"/>
              </w:tabs>
            </w:pPr>
            <w:r/>
            <w:bookmarkStart w:id="0" w:name="_GoBack"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38200" cy="733425"/>
                      <wp:effectExtent l="19050" t="0" r="0" b="0"/>
                      <wp:docPr id="1" name="Imagen 3" descr="membrete ANCLAS-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 descr="membrete ANCLAS-2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38200" cy="73342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66.0pt;height:57.8pt;mso-wrap-distance-left:0.0pt;mso-wrap-distance-top:0.0pt;mso-wrap-distance-right:0.0pt;mso-wrap-distance-bottom:0.0pt;" stroked="f" strokeweight="0.75pt">
                      <v:path textboxrect="0,0,0,0"/>
                      <v:imagedata r:id="rId8" o:title=""/>
                    </v:shape>
                  </w:pict>
                </mc:Fallback>
              </mc:AlternateContent>
            </w:r>
            <w:r/>
          </w:p>
          <w:p>
            <w:pPr>
              <w:pStyle w:val="605"/>
              <w:jc w:val="center"/>
            </w:pPr>
            <w:r/>
            <w:r/>
          </w:p>
        </w:tc>
        <w:tc>
          <w:tcPr>
            <w:tcW w:w="2355" w:type="dxa"/>
            <w:vAlign w:val="center"/>
            <w:vMerge w:val="restart"/>
            <w:textDirection w:val="lrTb"/>
            <w:noWrap w:val="false"/>
          </w:tcPr>
          <w:p>
            <w:pPr>
              <w:pStyle w:val="605"/>
              <w:jc w:val="center"/>
              <w:spacing w:line="360" w:lineRule="auto"/>
              <w:rPr>
                <w:b/>
                <w:bCs/>
                <w:sz w:val="24"/>
              </w:rPr>
            </w:pPr>
            <w:r>
              <w:rPr>
                <w:b/>
                <w:bCs/>
                <w:sz w:val="28"/>
                <w:szCs w:val="28"/>
              </w:rPr>
              <w:t xml:space="preserve">Centro de Control Montevideo</w:t>
            </w:r>
            <w:r/>
          </w:p>
        </w:tc>
        <w:tc>
          <w:tcPr>
            <w:tcW w:w="4307" w:type="dxa"/>
            <w:vAlign w:val="center"/>
            <w:vMerge w:val="restart"/>
            <w:textDirection w:val="lrTb"/>
            <w:noWrap w:val="false"/>
          </w:tcPr>
          <w:p>
            <w:pPr>
              <w:pStyle w:val="605"/>
              <w:jc w:val="center"/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ANEXO BRAVO</w:t>
            </w:r>
            <w:r/>
          </w:p>
          <w:p>
            <w:pPr>
              <w:pStyle w:val="605"/>
              <w:jc w:val="center"/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Abordaje de Riesgos</w:t>
            </w:r>
            <w:r/>
          </w:p>
        </w:tc>
        <w:tc>
          <w:tcPr>
            <w:tcW w:w="1417" w:type="dxa"/>
            <w:vAlign w:val="center"/>
            <w:textDirection w:val="lrTb"/>
            <w:noWrap w:val="false"/>
          </w:tcPr>
          <w:p>
            <w:pPr>
              <w:pStyle w:val="60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FO – 611 -02</w:t>
            </w:r>
            <w:r/>
          </w:p>
        </w:tc>
      </w:tr>
      <w:tr>
        <w:trPr>
          <w:cantSplit/>
          <w:trHeight w:val="738"/>
        </w:trPr>
        <w:tc>
          <w:tcPr>
            <w:tcW w:w="1958" w:type="dxa"/>
            <w:vAlign w:val="center"/>
            <w:vMerge w:val="continue"/>
            <w:textDirection w:val="lrTb"/>
            <w:noWrap w:val="false"/>
          </w:tcPr>
          <w:p>
            <w:pPr>
              <w:pStyle w:val="605"/>
              <w:jc w:val="center"/>
            </w:pPr>
            <w:r/>
            <w:r/>
          </w:p>
        </w:tc>
        <w:tc>
          <w:tcPr>
            <w:tcW w:w="2355" w:type="dxa"/>
            <w:vAlign w:val="center"/>
            <w:vMerge w:val="continue"/>
            <w:textDirection w:val="lrTb"/>
            <w:noWrap w:val="false"/>
          </w:tcPr>
          <w:p>
            <w:pPr>
              <w:pStyle w:val="605"/>
              <w:jc w:val="center"/>
            </w:pPr>
            <w:r/>
            <w:r/>
          </w:p>
        </w:tc>
        <w:tc>
          <w:tcPr>
            <w:tcW w:w="4307" w:type="dxa"/>
            <w:vAlign w:val="center"/>
            <w:vMerge w:val="continue"/>
            <w:textDirection w:val="lrTb"/>
            <w:noWrap w:val="false"/>
          </w:tcPr>
          <w:p>
            <w:pPr>
              <w:pStyle w:val="605"/>
              <w:jc w:val="center"/>
            </w:pPr>
            <w:r/>
            <w:r/>
          </w:p>
        </w:tc>
        <w:tc>
          <w:tcPr>
            <w:tcW w:w="1417" w:type="dxa"/>
            <w:vAlign w:val="center"/>
            <w:textDirection w:val="lrTb"/>
            <w:noWrap w:val="false"/>
          </w:tcPr>
          <w:p>
            <w:pPr>
              <w:pStyle w:val="605"/>
              <w:ind w:right="-6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Revisión: </w:t>
            </w:r>
            <w:r>
              <w:rPr>
                <w:b/>
                <w:bCs/>
              </w:rPr>
              <w:t xml:space="preserve">8</w:t>
            </w:r>
            <w:r/>
          </w:p>
        </w:tc>
      </w:tr>
    </w:tbl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/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Informe realizado por el Grupo de Trabajo del mes de </w:t>
      </w:r>
      <w:r>
        <w:rPr>
          <w:rFonts w:ascii="Times New Roman" w:hAnsi="Times New Roman" w:cs="Times New Roman"/>
          <w:sz w:val="24"/>
          <w:szCs w:val="24"/>
        </w:rPr>
        <w:t xml:space="preserve">XXXXX  </w:t>
      </w:r>
      <w:r>
        <w:rPr>
          <w:rFonts w:ascii="Times New Roman" w:hAnsi="Times New Roman" w:cs="Times New Roman"/>
          <w:sz w:val="24"/>
          <w:szCs w:val="24"/>
        </w:rPr>
        <w:t xml:space="preserve"> relacionado al abordaje de los riesgos. Insumos para la revisión por la Dirección.</w:t>
      </w:r>
      <w:r/>
    </w:p>
    <w:tbl>
      <w:tblPr>
        <w:tblW w:w="9498" w:type="dxa"/>
        <w:tblInd w:w="-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3197"/>
        <w:gridCol w:w="1417"/>
        <w:gridCol w:w="3044"/>
      </w:tblGrid>
      <w:tr>
        <w:trPr>
          <w:trHeight w:val="378"/>
        </w:trPr>
        <w:tc>
          <w:tcPr>
            <w:shd w:val="clear" w:color="000000" w:fill="ffff0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RIESGO</w:t>
            </w:r>
            <w:r/>
          </w:p>
        </w:tc>
        <w:tc>
          <w:tcPr>
            <w:shd w:val="clear" w:color="000000" w:fill="ffff00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97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Abordaje</w:t>
            </w:r>
            <w:r/>
          </w:p>
        </w:tc>
        <w:tc>
          <w:tcPr>
            <w:shd w:val="clear" w:color="000000" w:fill="ffff00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7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Seguimiento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 </w:t>
            </w:r>
            <w:r/>
          </w:p>
        </w:tc>
        <w:tc>
          <w:tcPr>
            <w:shd w:val="clear" w:color="000000" w:fill="ffff00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04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2510" w:leader="none"/>
              </w:tabs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  <w:t xml:space="preserve">Evaluación de la eficacia de las acciones tomadas</w:t>
            </w:r>
            <w:r/>
          </w:p>
        </w:tc>
      </w:tr>
      <w:tr>
        <w:trPr>
          <w:trHeight w:val="15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9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044" w:type="dxa"/>
            <w:textDirection w:val="lrTb"/>
            <w:noWrap w:val="false"/>
          </w:tcPr>
          <w:p>
            <w:pPr>
              <w:spacing w:after="0" w:line="240" w:lineRule="auto"/>
              <w:tabs>
                <w:tab w:val="left" w:pos="2510" w:leader="none"/>
              </w:tabs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r>
            <w:r/>
          </w:p>
        </w:tc>
      </w:tr>
      <w:tr>
        <w:trPr>
          <w:trHeight w:val="1299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9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044" w:type="dxa"/>
            <w:textDirection w:val="lrTb"/>
            <w:noWrap w:val="false"/>
          </w:tcPr>
          <w:p>
            <w:pPr>
              <w:spacing w:after="0" w:line="240" w:lineRule="auto"/>
              <w:tabs>
                <w:tab w:val="left" w:pos="2510" w:leader="none"/>
              </w:tabs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r>
            <w:r/>
          </w:p>
        </w:tc>
      </w:tr>
      <w:tr>
        <w:trPr>
          <w:trHeight w:val="1841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97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7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04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2510" w:leader="none"/>
              </w:tabs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r>
            <w:r/>
          </w:p>
        </w:tc>
      </w:tr>
      <w:tr>
        <w:trPr>
          <w:trHeight w:val="1119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97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7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04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2510" w:leader="none"/>
              </w:tabs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s-MX"/>
              </w:rPr>
            </w:r>
            <w:bookmarkEnd w:id="0"/>
            <w:r/>
          </w:p>
        </w:tc>
      </w:tr>
    </w:tbl>
    <w:p>
      <w:r/>
      <w:r/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Grupo de Trabajo del SGC CONMO</w:t>
      </w:r>
      <w:r/>
    </w:p>
    <w:sectPr>
      <w:footnotePr/>
      <w:endnotePr/>
      <w:type w:val="nextPage"/>
      <w:pgSz w:w="12240" w:h="15840" w:orient="portrait"/>
      <w:pgMar w:top="1417" w:right="1701" w:bottom="1417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01"/>
    <w:next w:val="601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02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01"/>
    <w:next w:val="601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02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01"/>
    <w:next w:val="601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02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01"/>
    <w:next w:val="601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02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01"/>
    <w:next w:val="601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02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01"/>
    <w:next w:val="601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02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01"/>
    <w:next w:val="601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02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01"/>
    <w:next w:val="601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02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01"/>
    <w:next w:val="601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02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01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01"/>
    <w:next w:val="601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02"/>
    <w:link w:val="34"/>
    <w:uiPriority w:val="10"/>
    <w:rPr>
      <w:sz w:val="48"/>
      <w:szCs w:val="48"/>
    </w:rPr>
  </w:style>
  <w:style w:type="paragraph" w:styleId="36">
    <w:name w:val="Subtitle"/>
    <w:basedOn w:val="601"/>
    <w:next w:val="601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02"/>
    <w:link w:val="36"/>
    <w:uiPriority w:val="11"/>
    <w:rPr>
      <w:sz w:val="24"/>
      <w:szCs w:val="24"/>
    </w:rPr>
  </w:style>
  <w:style w:type="paragraph" w:styleId="38">
    <w:name w:val="Quote"/>
    <w:basedOn w:val="601"/>
    <w:next w:val="601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01"/>
    <w:next w:val="601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602"/>
    <w:link w:val="605"/>
    <w:uiPriority w:val="99"/>
  </w:style>
  <w:style w:type="paragraph" w:styleId="44">
    <w:name w:val="Footer"/>
    <w:basedOn w:val="601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02"/>
    <w:link w:val="44"/>
    <w:uiPriority w:val="99"/>
  </w:style>
  <w:style w:type="paragraph" w:styleId="46">
    <w:name w:val="Caption"/>
    <w:basedOn w:val="601"/>
    <w:next w:val="60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0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0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0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0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01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02"/>
    <w:uiPriority w:val="99"/>
    <w:unhideWhenUsed/>
    <w:rPr>
      <w:vertAlign w:val="superscript"/>
    </w:rPr>
  </w:style>
  <w:style w:type="paragraph" w:styleId="178">
    <w:name w:val="endnote text"/>
    <w:basedOn w:val="601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02"/>
    <w:uiPriority w:val="99"/>
    <w:semiHidden/>
    <w:unhideWhenUsed/>
    <w:rPr>
      <w:vertAlign w:val="superscript"/>
    </w:rPr>
  </w:style>
  <w:style w:type="paragraph" w:styleId="181">
    <w:name w:val="toc 1"/>
    <w:basedOn w:val="601"/>
    <w:next w:val="601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01"/>
    <w:next w:val="601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01"/>
    <w:next w:val="601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01"/>
    <w:next w:val="601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01"/>
    <w:next w:val="601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01"/>
    <w:next w:val="601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01"/>
    <w:next w:val="601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01"/>
    <w:next w:val="601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01"/>
    <w:next w:val="601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01"/>
    <w:next w:val="601"/>
    <w:uiPriority w:val="99"/>
    <w:unhideWhenUsed/>
    <w:pPr>
      <w:spacing w:after="0" w:afterAutospacing="0"/>
    </w:pPr>
  </w:style>
  <w:style w:type="paragraph" w:styleId="601" w:default="1">
    <w:name w:val="Normal"/>
    <w:qFormat/>
  </w:style>
  <w:style w:type="character" w:styleId="602" w:default="1">
    <w:name w:val="Default Paragraph Font"/>
    <w:uiPriority w:val="1"/>
    <w:semiHidden/>
    <w:unhideWhenUsed/>
  </w:style>
  <w:style w:type="table" w:styleId="603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4" w:default="1">
    <w:name w:val="No List"/>
    <w:uiPriority w:val="99"/>
    <w:semiHidden/>
    <w:unhideWhenUsed/>
  </w:style>
  <w:style w:type="paragraph" w:styleId="605">
    <w:name w:val="Header"/>
    <w:basedOn w:val="601"/>
    <w:link w:val="606"/>
    <w:uiPriority w:val="99"/>
    <w:pPr>
      <w:spacing w:after="0" w:line="240" w:lineRule="auto"/>
      <w:tabs>
        <w:tab w:val="center" w:pos="4419" w:leader="none"/>
        <w:tab w:val="right" w:pos="8838" w:leader="none"/>
      </w:tabs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character" w:styleId="606" w:customStyle="1">
    <w:name w:val="Encabezado Car"/>
    <w:basedOn w:val="602"/>
    <w:link w:val="605"/>
    <w:uiPriority w:val="99"/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607">
    <w:name w:val="Balloon Text"/>
    <w:basedOn w:val="601"/>
    <w:link w:val="608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608" w:customStyle="1">
    <w:name w:val="Texto de globo Car"/>
    <w:basedOn w:val="602"/>
    <w:link w:val="607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Ceibal</dc:creator>
  <cp:keywords/>
  <dc:description/>
  <cp:revision>4</cp:revision>
  <dcterms:created xsi:type="dcterms:W3CDTF">2023-10-30T13:35:00Z</dcterms:created>
  <dcterms:modified xsi:type="dcterms:W3CDTF">2024-08-30T15:00:24Z</dcterms:modified>
</cp:coreProperties>
</file>