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3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ind w:left="290" w:right="1005"/>
              <w:jc w:val="center"/>
              <w:tabs>
                <w:tab w:val="left" w:pos="290" w:leader="none"/>
              </w:tabs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1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PROCEDIMIENTO DE GESTION DE RIESGOS Y OPORTUNIDADES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 – 611 -01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spacing w:line="360" w:lineRule="auto"/>
        <w:rPr>
          <w:b/>
          <w:lang w:val="es-ES_tradnl"/>
        </w:rPr>
      </w:pPr>
      <w:r>
        <w:rPr>
          <w:b/>
          <w:lang w:val="es-ES_tradnl"/>
        </w:rPr>
      </w:r>
      <w:r/>
    </w:p>
    <w:p>
      <w:pPr>
        <w:numPr>
          <w:ilvl w:val="0"/>
          <w:numId w:val="2"/>
        </w:numPr>
        <w:spacing w:line="360" w:lineRule="auto"/>
        <w:rPr>
          <w:b/>
          <w:lang w:val="es-ES_tradnl"/>
        </w:rPr>
      </w:pPr>
      <w:r>
        <w:rPr>
          <w:b/>
          <w:lang w:val="es-ES_tradnl"/>
        </w:rPr>
        <w:t xml:space="preserve">OBJETIVO</w:t>
      </w:r>
      <w:r/>
    </w:p>
    <w:p>
      <w:pPr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Determinar los riesgos y oportunidades a fin de asegurar que el Sist</w:t>
      </w:r>
      <w:r>
        <w:rPr>
          <w:lang w:val="es-ES_tradnl"/>
        </w:rPr>
        <w:t xml:space="preserve">ema de Gestión de Calidad de CONMO </w:t>
      </w:r>
      <w:r>
        <w:rPr>
          <w:lang w:val="es-ES_tradnl"/>
        </w:rPr>
        <w:t xml:space="preserve">pueda lograr los resultados previstos, aumentar los efectos deseables, prevenir o reducir efectos no deseados y lograr la mejora</w:t>
      </w:r>
      <w:r>
        <w:rPr>
          <w:lang w:val="es-ES_tradnl"/>
        </w:rPr>
        <w:t xml:space="preserve">.</w:t>
      </w:r>
      <w:r/>
    </w:p>
    <w:p>
      <w:pPr>
        <w:numPr>
          <w:ilvl w:val="0"/>
          <w:numId w:val="2"/>
        </w:numPr>
        <w:jc w:val="both"/>
        <w:spacing w:line="360" w:lineRule="auto"/>
        <w:rPr>
          <w:b/>
          <w:lang w:val="es-ES_tradnl"/>
        </w:rPr>
      </w:pPr>
      <w:r>
        <w:rPr>
          <w:b/>
          <w:lang w:val="es-ES_tradnl"/>
        </w:rPr>
        <w:t xml:space="preserve">ALCANCE</w:t>
      </w:r>
      <w:r/>
    </w:p>
    <w:p>
      <w:pPr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Este procedimiento se aplica a todos los procesos del Sistema de Gestión de Calidad de</w:t>
      </w:r>
      <w:r>
        <w:rPr>
          <w:lang w:val="es-ES_tradnl"/>
        </w:rPr>
        <w:t xml:space="preserve"> CONMO</w:t>
      </w:r>
      <w:r>
        <w:rPr>
          <w:lang w:val="es-ES_tradnl"/>
        </w:rPr>
        <w:t xml:space="preserve">.</w:t>
      </w:r>
      <w:r/>
    </w:p>
    <w:p>
      <w:pPr>
        <w:numPr>
          <w:ilvl w:val="0"/>
          <w:numId w:val="2"/>
        </w:numPr>
        <w:jc w:val="both"/>
        <w:spacing w:line="360" w:lineRule="auto"/>
        <w:rPr>
          <w:b/>
          <w:lang w:val="es-ES_tradnl"/>
        </w:rPr>
      </w:pPr>
      <w:r>
        <w:rPr>
          <w:b/>
          <w:lang w:val="es-ES_tradnl"/>
        </w:rPr>
        <w:t xml:space="preserve">REFERENCIAS</w:t>
      </w:r>
      <w:r/>
    </w:p>
    <w:p>
      <w:pPr>
        <w:ind w:left="360"/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Norma UNIT –ISO 9001:201</w:t>
      </w:r>
      <w:r>
        <w:rPr>
          <w:lang w:val="es-ES_tradnl"/>
        </w:rPr>
        <w:t xml:space="preserve">5</w:t>
      </w:r>
      <w:r/>
    </w:p>
    <w:p>
      <w:pPr>
        <w:numPr>
          <w:ilvl w:val="0"/>
          <w:numId w:val="2"/>
        </w:numPr>
        <w:jc w:val="both"/>
        <w:spacing w:line="360" w:lineRule="auto"/>
        <w:tabs>
          <w:tab w:val="left" w:pos="360" w:leader="none"/>
        </w:tabs>
        <w:rPr>
          <w:b/>
          <w:lang w:val="es-ES_tradnl"/>
        </w:rPr>
      </w:pPr>
      <w:r>
        <w:rPr>
          <w:b/>
          <w:lang w:val="es-ES_tradnl"/>
        </w:rPr>
        <w:t xml:space="preserve">RESPONSABILIDADES</w:t>
      </w:r>
      <w:r/>
    </w:p>
    <w:p>
      <w:pPr>
        <w:numPr>
          <w:ilvl w:val="1"/>
          <w:numId w:val="8"/>
        </w:numPr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Aprobación</w:t>
      </w:r>
      <w:r>
        <w:rPr>
          <w:lang w:val="es-ES_tradnl"/>
        </w:rPr>
        <w:t xml:space="preserve">: </w:t>
      </w:r>
      <w:r>
        <w:rPr>
          <w:lang w:val="es-ES_tradnl"/>
        </w:rPr>
        <w:t xml:space="preserve">Prefecto de Puerto de Montevideo.</w:t>
      </w:r>
      <w:r/>
    </w:p>
    <w:p>
      <w:pPr>
        <w:numPr>
          <w:ilvl w:val="1"/>
          <w:numId w:val="8"/>
        </w:numPr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Revisión,</w:t>
      </w:r>
      <w:r>
        <w:rPr>
          <w:lang w:val="es-ES_tradnl"/>
        </w:rPr>
        <w:t xml:space="preserve"> Identificación y Actualización: </w:t>
      </w:r>
      <w:r>
        <w:rPr>
          <w:lang w:val="es-ES_tradnl"/>
        </w:rPr>
        <w:t xml:space="preserve">Jefe de CONMO</w:t>
      </w:r>
      <w:r/>
    </w:p>
    <w:p>
      <w:pPr>
        <w:ind w:left="360"/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4.3 Distribución</w:t>
      </w:r>
      <w:r>
        <w:rPr>
          <w:lang w:val="es-ES_tradnl"/>
        </w:rPr>
        <w:t xml:space="preserve">, Identificación de cambios y estado</w:t>
      </w:r>
      <w:r>
        <w:rPr>
          <w:lang w:val="es-ES_tradnl"/>
        </w:rPr>
        <w:t xml:space="preserve">: </w:t>
      </w:r>
      <w:r>
        <w:rPr>
          <w:lang w:val="es-ES_tradnl"/>
        </w:rPr>
        <w:t xml:space="preserve">Encargado del SGC</w:t>
      </w:r>
      <w:r/>
    </w:p>
    <w:p>
      <w:pPr>
        <w:ind w:left="360"/>
        <w:jc w:val="both"/>
        <w:spacing w:line="360" w:lineRule="auto"/>
        <w:rPr>
          <w:b/>
          <w:lang w:val="es-ES_tradnl"/>
        </w:rPr>
      </w:pPr>
      <w:r>
        <w:rPr>
          <w:lang w:val="es-ES_tradnl"/>
        </w:rPr>
        <w:t xml:space="preserve">4.4 Disponibilidad y legibilidad: Usuario</w:t>
      </w:r>
      <w:r/>
    </w:p>
    <w:p>
      <w:pPr>
        <w:numPr>
          <w:ilvl w:val="0"/>
          <w:numId w:val="2"/>
        </w:numPr>
        <w:spacing w:line="360" w:lineRule="auto"/>
        <w:rPr>
          <w:b/>
          <w:lang w:val="es-ES_tradnl"/>
        </w:rPr>
      </w:pPr>
      <w:r>
        <w:rPr>
          <w:b/>
          <w:lang w:val="es-ES_tradnl"/>
        </w:rPr>
        <w:t xml:space="preserve">DEFINICIONES,</w:t>
      </w:r>
      <w:r>
        <w:rPr>
          <w:b/>
          <w:lang w:val="es-ES_tradnl"/>
        </w:rPr>
        <w:t xml:space="preserve"> ABREVIATURAS Y SIMBOLOS</w:t>
      </w:r>
      <w:r/>
    </w:p>
    <w:p>
      <w:pPr>
        <w:numPr>
          <w:ilvl w:val="0"/>
          <w:numId w:val="10"/>
        </w:numPr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Norma UNIT –ISO 9001:20</w:t>
      </w:r>
      <w:r>
        <w:rPr>
          <w:lang w:val="es-ES_tradnl"/>
        </w:rPr>
        <w:t xml:space="preserve">1</w:t>
      </w:r>
      <w:r>
        <w:rPr>
          <w:lang w:val="es-ES_tradnl"/>
        </w:rPr>
        <w:t xml:space="preserve">5</w:t>
      </w:r>
      <w:r/>
    </w:p>
    <w:p>
      <w:pPr>
        <w:ind w:left="360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</w:r>
      <w:r/>
    </w:p>
    <w:p>
      <w:pPr>
        <w:numPr>
          <w:ilvl w:val="0"/>
          <w:numId w:val="2"/>
        </w:numPr>
        <w:ind w:right="-136"/>
        <w:jc w:val="both"/>
        <w:spacing w:line="360" w:lineRule="auto"/>
        <w:rPr>
          <w:b/>
          <w:lang w:val="es-ES_tradnl"/>
        </w:rPr>
      </w:pPr>
      <w:r>
        <w:rPr>
          <w:b/>
          <w:lang w:val="es-ES_tradnl"/>
        </w:rPr>
        <w:t xml:space="preserve">DESARROLLO</w:t>
      </w:r>
      <w:r/>
    </w:p>
    <w:p>
      <w:pPr>
        <w:ind w:left="851" w:right="-136" w:hanging="425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 xml:space="preserve">6.1 </w:t>
      </w:r>
      <w:r>
        <w:rPr>
          <w:lang w:val="es-ES_tradnl"/>
        </w:rPr>
        <w:tab/>
      </w:r>
      <w:r>
        <w:rPr>
          <w:lang w:val="es-ES_tradnl"/>
        </w:rPr>
        <w:t xml:space="preserve">El análisis de riesgo incorporado en </w:t>
      </w:r>
      <w:r>
        <w:rPr>
          <w:lang w:val="es-ES_tradnl"/>
        </w:rPr>
        <w:t xml:space="preserve">la Norma UNIT</w:t>
      </w:r>
      <w:r>
        <w:rPr>
          <w:lang w:val="es-ES_tradnl"/>
        </w:rPr>
        <w:t xml:space="preserve">_ISO 9001:201</w:t>
      </w:r>
      <w:r>
        <w:rPr>
          <w:lang w:val="es-ES_tradnl"/>
        </w:rPr>
        <w:t xml:space="preserve">5</w:t>
      </w:r>
      <w:r>
        <w:rPr>
          <w:lang w:val="es-ES_tradnl"/>
        </w:rPr>
        <w:t xml:space="preserve">, es el paso más importante para realizar la identificación de los problemas que puedan surgir en la gestión de CONMO, brindando una metodología de los problemas de cómo identificar los peligros y decidir luego </w:t>
      </w:r>
      <w:r>
        <w:rPr>
          <w:lang w:val="es-ES_tradnl"/>
        </w:rPr>
        <w:t xml:space="preserve">qué</w:t>
      </w:r>
      <w:r>
        <w:rPr>
          <w:lang w:val="es-ES_tradnl"/>
        </w:rPr>
        <w:t xml:space="preserve"> hacer frente a ellos.   </w:t>
      </w:r>
      <w:r/>
    </w:p>
    <w:p>
      <w:pPr>
        <w:ind w:left="360" w:hanging="425"/>
        <w:tabs>
          <w:tab w:val="left" w:pos="851" w:leader="none"/>
        </w:tabs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</w:r>
      <w:r/>
    </w:p>
    <w:p>
      <w:pPr>
        <w:ind w:left="708" w:right="-136" w:hanging="425"/>
        <w:jc w:val="both"/>
        <w:spacing w:line="360" w:lineRule="auto"/>
        <w:tabs>
          <w:tab w:val="left" w:pos="284" w:leader="none"/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 xml:space="preserve">6.2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 xml:space="preserve">La herramienta</w:t>
      </w:r>
      <w:r>
        <w:rPr>
          <w:lang w:val="es-ES_tradnl"/>
        </w:rPr>
        <w:t xml:space="preserve"> adoptad</w:t>
      </w:r>
      <w:r>
        <w:rPr>
          <w:lang w:val="es-ES_tradnl"/>
        </w:rPr>
        <w:t xml:space="preserve">a</w:t>
      </w:r>
      <w:r>
        <w:rPr>
          <w:lang w:val="es-ES_tradnl"/>
        </w:rPr>
        <w:t xml:space="preserve"> por CONMO </w:t>
      </w:r>
      <w:r>
        <w:rPr>
          <w:lang w:val="es-ES_tradnl"/>
        </w:rPr>
        <w:t xml:space="preserve">para </w:t>
      </w:r>
      <w:r>
        <w:rPr>
          <w:lang w:val="es-ES_tradnl"/>
        </w:rPr>
        <w:t xml:space="preserve">la evaluación</w:t>
      </w:r>
      <w:r>
        <w:rPr>
          <w:lang w:val="es-ES_tradnl"/>
        </w:rPr>
        <w:t xml:space="preserve"> es el FO 611 – 01 junto con la matriz de Consecuencia – Probabilidad.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Con esta herramienta se</w:t>
      </w:r>
      <w:r>
        <w:rPr>
          <w:lang w:val="es-ES_tradnl"/>
        </w:rPr>
        <w:t xml:space="preserve"> identifica</w:t>
      </w:r>
      <w:r>
        <w:rPr>
          <w:lang w:val="es-ES_tradnl"/>
        </w:rPr>
        <w:t xml:space="preserve">n</w:t>
      </w:r>
      <w:r>
        <w:rPr>
          <w:lang w:val="es-ES_tradnl"/>
        </w:rPr>
        <w:t xml:space="preserve"> todos los problemas que pueden surgir en la prest</w:t>
      </w:r>
      <w:r>
        <w:rPr>
          <w:lang w:val="es-ES_tradnl"/>
        </w:rPr>
        <w:t xml:space="preserve">ación del servicio de comunicaciones</w:t>
      </w:r>
      <w:r>
        <w:rPr>
          <w:lang w:val="es-ES_tradnl"/>
        </w:rPr>
        <w:t xml:space="preserve"> y demás procesos clave</w:t>
      </w:r>
      <w:r>
        <w:rPr>
          <w:lang w:val="es-ES_tradnl"/>
        </w:rPr>
        <w:t xml:space="preserve">s</w:t>
      </w:r>
      <w:r>
        <w:rPr>
          <w:lang w:val="es-ES_tradnl"/>
        </w:rPr>
        <w:t xml:space="preserve">, identificando la criticidad global de riesgo y decidir qué hacer al respecto.</w:t>
      </w:r>
      <w:r/>
    </w:p>
    <w:p>
      <w:pPr>
        <w:ind w:left="1276" w:right="-136" w:hanging="992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 xml:space="preserve">6.3</w:t>
      </w:r>
      <w:r>
        <w:rPr>
          <w:lang w:val="es-ES_tradnl"/>
        </w:rPr>
        <w:t xml:space="preserve"> Existen cuatro pasos básicos para realizar </w:t>
      </w:r>
      <w:r>
        <w:rPr>
          <w:lang w:val="es-ES_tradnl"/>
        </w:rPr>
        <w:t xml:space="preserve">dicho proceso</w:t>
      </w:r>
      <w:r>
        <w:rPr>
          <w:b/>
          <w:lang w:val="es-ES_tradnl"/>
        </w:rPr>
        <w:t xml:space="preserve">, </w:t>
      </w:r>
      <w:r>
        <w:rPr>
          <w:lang w:val="es-ES_tradnl"/>
        </w:rPr>
        <w:t xml:space="preserve">los cuales son: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</w:r>
      <w:r/>
    </w:p>
    <w:tbl>
      <w:tblPr>
        <w:tblW w:w="10108" w:type="dxa"/>
        <w:tblInd w:w="-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763"/>
        <w:gridCol w:w="3685"/>
        <w:gridCol w:w="1533"/>
      </w:tblGrid>
      <w:tr>
        <w:trPr>
          <w:cantSplit/>
        </w:trPr>
        <w:tc>
          <w:tcPr>
            <w:tcW w:w="2127" w:type="dxa"/>
            <w:vAlign w:val="center"/>
            <w:vMerge w:val="restart"/>
            <w:textDirection w:val="lrTb"/>
            <w:noWrap w:val="false"/>
          </w:tcPr>
          <w:p>
            <w:pPr>
              <w:keepNext/>
              <w:spacing w:line="360" w:lineRule="auto"/>
              <w:widowControl w:val="off"/>
              <w:rPr>
                <w:b/>
                <w:lang w:val="es-ES_tradnl"/>
              </w:rPr>
              <w:outlineLvl w:val="0"/>
            </w:pPr>
            <w:r>
              <w:rPr>
                <w:b/>
                <w:lang w:val="es-ES_tradnl"/>
              </w:rPr>
              <w:t xml:space="preserve">APROBADO POR</w:t>
            </w:r>
            <w:r/>
          </w:p>
        </w:tc>
        <w:tc>
          <w:tcPr>
            <w:tcW w:w="2763" w:type="dxa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CARGO</w:t>
            </w:r>
            <w:r/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FIRMA</w:t>
            </w:r>
            <w:r/>
          </w:p>
        </w:tc>
        <w:tc>
          <w:tcPr>
            <w:tcW w:w="1533" w:type="dxa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FECHA</w:t>
            </w:r>
            <w:r/>
          </w:p>
        </w:tc>
      </w:tr>
      <w:tr>
        <w:trPr>
          <w:cantSplit/>
        </w:trPr>
        <w:tc>
          <w:tcPr>
            <w:tcW w:w="2127" w:type="dxa"/>
            <w:vAlign w:val="center"/>
            <w:vMerge w:val="continue"/>
            <w:textDirection w:val="lrTb"/>
            <w:noWrap w:val="false"/>
          </w:tcPr>
          <w:p>
            <w:pPr>
              <w:ind w:left="-540" w:firstLine="540"/>
              <w:jc w:val="center"/>
            </w:pPr>
            <w:r/>
            <w:r/>
          </w:p>
        </w:tc>
        <w:tc>
          <w:tcPr>
            <w:tcW w:w="2763" w:type="dxa"/>
            <w:vAlign w:val="center"/>
            <w:textDirection w:val="lrTb"/>
            <w:noWrap w:val="false"/>
          </w:tcPr>
          <w:p>
            <w:pPr>
              <w:ind w:left="-540" w:firstLine="470"/>
              <w:jc w:val="center"/>
            </w:pPr>
            <w:r>
              <w:t xml:space="preserve">Prefecto del Puerto de Montevideo</w:t>
            </w:r>
            <w:r/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ind w:left="-540" w:firstLine="540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 xml:space="preserve">CN</w:t>
            </w:r>
            <w:r>
              <w:rPr>
                <w:sz w:val="16"/>
                <w:szCs w:val="16"/>
                <w:lang w:val="es-MX"/>
              </w:rPr>
              <w:t xml:space="preserve"> (CP) </w:t>
            </w:r>
            <w:r>
              <w:rPr>
                <w:sz w:val="16"/>
                <w:szCs w:val="16"/>
                <w:lang w:val="es-MX"/>
              </w:rPr>
              <w:t xml:space="preserve">Néstor LEMOS</w:t>
            </w:r>
            <w:r>
              <w:rPr>
                <w:sz w:val="16"/>
                <w:szCs w:val="16"/>
                <w:lang w:val="es-MX"/>
              </w:rPr>
              <w:t xml:space="preserve"> </w:t>
            </w:r>
            <w:r/>
          </w:p>
        </w:tc>
        <w:tc>
          <w:tcPr>
            <w:tcW w:w="1533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rPr>
                <w:lang w:val="es-UY"/>
              </w:rPr>
              <w:t xml:space="preserve">06</w:t>
            </w:r>
            <w:r>
              <w:t xml:space="preserve">/</w:t>
            </w:r>
            <w:r>
              <w:rPr>
                <w:lang w:val="es-UY"/>
              </w:rPr>
              <w:t xml:space="preserve">11</w:t>
            </w:r>
            <w:r>
              <w:t xml:space="preserve">/20</w:t>
            </w:r>
            <w:r>
              <w:t xml:space="preserve">2</w:t>
            </w:r>
            <w:r>
              <w:rPr>
                <w:lang w:val="es-UY"/>
              </w:rPr>
              <w:t xml:space="preserve">3</w:t>
            </w:r>
            <w:r/>
          </w:p>
        </w:tc>
      </w:tr>
      <w:tr>
        <w:trPr>
          <w:cantSplit/>
        </w:trPr>
        <w:tc>
          <w:tcPr>
            <w:tcW w:w="2127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REVISADO POR</w:t>
            </w:r>
            <w:r/>
          </w:p>
        </w:tc>
        <w:tc>
          <w:tcPr>
            <w:tcW w:w="2763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Jefe de CONMO</w:t>
            </w:r>
            <w:r/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ind w:left="-540" w:firstLine="540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 xml:space="preserve">C</w:t>
            </w:r>
            <w:r>
              <w:rPr>
                <w:sz w:val="16"/>
                <w:szCs w:val="16"/>
                <w:lang w:val="es-MX"/>
              </w:rPr>
              <w:t xml:space="preserve">F</w:t>
            </w:r>
            <w:r>
              <w:rPr>
                <w:sz w:val="16"/>
                <w:szCs w:val="16"/>
                <w:lang w:val="es-MX"/>
              </w:rPr>
              <w:t xml:space="preserve"> </w:t>
            </w:r>
            <w:r>
              <w:rPr>
                <w:sz w:val="16"/>
                <w:szCs w:val="16"/>
                <w:lang w:val="es-MX"/>
              </w:rPr>
              <w:t xml:space="preserve">(</w:t>
            </w:r>
            <w:r>
              <w:rPr>
                <w:sz w:val="16"/>
                <w:szCs w:val="16"/>
                <w:lang w:val="es-MX"/>
              </w:rPr>
              <w:t xml:space="preserve">C</w:t>
            </w:r>
            <w:r>
              <w:rPr>
                <w:sz w:val="16"/>
                <w:szCs w:val="16"/>
                <w:lang w:val="es-MX"/>
              </w:rPr>
              <w:t xml:space="preserve">P) </w:t>
            </w:r>
            <w:r>
              <w:rPr>
                <w:sz w:val="16"/>
                <w:szCs w:val="16"/>
                <w:lang w:val="es-UY"/>
              </w:rPr>
              <w:t xml:space="preserve">Diego DEL RÍO</w:t>
            </w:r>
            <w:r/>
          </w:p>
        </w:tc>
        <w:tc>
          <w:tcPr>
            <w:tcW w:w="1533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val="es-MX"/>
              </w:rPr>
            </w:pPr>
            <w:r>
              <w:rPr>
                <w:lang w:val="es-UY"/>
              </w:rPr>
              <w:t xml:space="preserve">06</w:t>
            </w:r>
            <w:r>
              <w:t xml:space="preserve">/</w:t>
            </w:r>
            <w:r>
              <w:rPr>
                <w:lang w:val="es-UY"/>
              </w:rPr>
              <w:t xml:space="preserve">11</w:t>
            </w:r>
            <w:r>
              <w:t xml:space="preserve">/20</w:t>
            </w:r>
            <w:r>
              <w:t xml:space="preserve">2</w:t>
            </w:r>
            <w:r>
              <w:rPr>
                <w:lang w:val="es-UY"/>
              </w:rPr>
              <w:t xml:space="preserve">3</w:t>
            </w:r>
            <w:r/>
          </w:p>
        </w:tc>
      </w:tr>
      <w:tr>
        <w:trPr>
          <w:cantSplit/>
        </w:trPr>
        <w:tc>
          <w:tcPr>
            <w:tcW w:w="2127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</w:pPr>
            <w:r>
              <w:t xml:space="preserve">DOCUMENTO</w:t>
            </w:r>
            <w:r/>
          </w:p>
        </w:tc>
        <w:tc>
          <w:tcPr>
            <w:gridSpan w:val="3"/>
            <w:tcW w:w="7981" w:type="dxa"/>
            <w:vAlign w:val="center"/>
            <w:textDirection w:val="lrTb"/>
            <w:noWrap w:val="false"/>
          </w:tcPr>
          <w:p>
            <w:pPr>
              <w:ind w:left="-540" w:firstLine="540"/>
              <w:jc w:val="center"/>
              <w:rPr>
                <w:lang w:val="es-MX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41275</wp:posOffset>
                      </wp:positionV>
                      <wp:extent cx="114300" cy="114300"/>
                      <wp:effectExtent l="10795" t="5080" r="28575" b="26670"/>
                      <wp:wrapNone/>
                      <wp:docPr id="2" name="_x0000_s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1" type="#_x0000_t1" style="position:absolute;z-index:251660288;o:allowoverlap:true;o:allowincell:true;mso-position-horizontal-relative:text;margin-left:92.8pt;mso-position-horizontal:absolute;mso-position-vertical-relative:text;margin-top:3.2pt;mso-position-vertical:absolute;width:9.0pt;height:9.0pt;mso-wrap-distance-left:9.0pt;mso-wrap-distance-top:0.0pt;mso-wrap-distance-right:9.0pt;mso-wrap-distance-bottom:0.0pt;visibility:visible;" fillcolor="#9BBB59" strokecolor="#F2F2F2" strokeweight="3.00pt"/>
                  </w:pict>
                </mc:Fallback>
              </mc:AlternateContent>
            </w:r>
            <w:r>
              <w:rPr>
                <w:lang w:val="es-MX"/>
              </w:rPr>
              <w:t xml:space="preserve">Original              Copia Controlada              Copia No Controlada </w:t>
            </w:r>
            <w:r/>
          </w:p>
        </w:tc>
      </w:tr>
    </w:tbl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MX"/>
        </w:rPr>
      </w:pPr>
      <w:r>
        <w:rPr>
          <w:lang w:val="es-MX"/>
        </w:rPr>
      </w:r>
      <w:r/>
    </w:p>
    <w:tbl>
      <w:tblPr>
        <w:tblW w:w="1003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ind w:left="290" w:right="1005"/>
              <w:jc w:val="center"/>
              <w:tabs>
                <w:tab w:val="left" w:pos="290" w:leader="none"/>
              </w:tabs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3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PROCEDIMIENTO DE GESTION DE RIESGOS Y OPORTUNIDADES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 – 611 -01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b/>
          <w:lang w:val="es-ES_tradnl"/>
        </w:rPr>
      </w:pPr>
      <w:r>
        <w:rPr>
          <w:lang w:val="es-ES_tradnl"/>
        </w:rPr>
        <w:t xml:space="preserve">6.</w:t>
      </w:r>
      <w:r>
        <w:rPr>
          <w:lang w:val="es-ES_tradnl"/>
        </w:rPr>
        <w:t xml:space="preserve">3</w:t>
      </w:r>
      <w:r>
        <w:rPr>
          <w:lang w:val="es-ES_tradnl"/>
        </w:rPr>
        <w:t xml:space="preserve">.1</w:t>
      </w:r>
      <w:r>
        <w:rPr>
          <w:b/>
          <w:lang w:val="es-ES_tradnl"/>
        </w:rPr>
        <w:t xml:space="preserve"> Identificar los riesgos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 xml:space="preserve">Durante este paso, </w:t>
      </w:r>
      <w:r>
        <w:rPr>
          <w:lang w:val="es-ES_tradnl"/>
        </w:rPr>
        <w:t xml:space="preserve">se enumeran todas las posibles causas</w:t>
      </w:r>
      <w:r>
        <w:rPr>
          <w:lang w:val="es-ES_tradnl"/>
        </w:rPr>
        <w:t xml:space="preserve"> que puedan </w:t>
      </w:r>
      <w:r>
        <w:rPr>
          <w:lang w:val="es-ES_tradnl"/>
        </w:rPr>
        <w:t xml:space="preserve">afectar</w:t>
      </w:r>
      <w:r>
        <w:rPr>
          <w:lang w:val="es-ES_tradnl"/>
        </w:rPr>
        <w:t xml:space="preserve"> la </w:t>
      </w:r>
      <w:r>
        <w:rPr>
          <w:lang w:val="es-ES_tradnl"/>
        </w:rPr>
        <w:t xml:space="preserve">prestación del servicio y/o utilización de un proceso.</w:t>
      </w:r>
      <w:r>
        <w:rPr>
          <w:lang w:val="es-ES_tradnl"/>
        </w:rPr>
        <w:t xml:space="preserve"> Los mismos son identificados por: reuniones con el grupo de trabajo, sugerencias del personal y revisión por la dirección, siendo el Jefe de CONMO en conjunto con el encargado del SGC quienes determinar la pertinencia de incluir ese riesgo al FO 611 – 01.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El registro de estas reuniones es asentado en actas.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 xml:space="preserve">6.3</w:t>
      </w:r>
      <w:r>
        <w:rPr>
          <w:lang w:val="es-ES_tradnl"/>
        </w:rPr>
        <w:t xml:space="preserve">.2</w:t>
      </w:r>
      <w:r>
        <w:rPr>
          <w:b/>
          <w:lang w:val="es-ES_tradnl"/>
        </w:rPr>
        <w:t xml:space="preserve"> Determinar lo importante de cada </w:t>
      </w:r>
      <w:r>
        <w:rPr>
          <w:b/>
          <w:lang w:val="es-ES_tradnl"/>
        </w:rPr>
        <w:t xml:space="preserve">riesgo</w:t>
      </w:r>
      <w:r>
        <w:rPr>
          <w:b/>
          <w:lang w:val="es-ES_tradnl"/>
        </w:rPr>
        <w:tab/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 xml:space="preserve">Esto se </w:t>
      </w:r>
      <w:r>
        <w:rPr>
          <w:lang w:val="es-ES_tradnl"/>
        </w:rPr>
        <w:t xml:space="preserve">realiza</w:t>
      </w:r>
      <w:r>
        <w:rPr>
          <w:lang w:val="es-ES_tradnl"/>
        </w:rPr>
        <w:t xml:space="preserve"> mediante la cuantificación de riesgos</w:t>
      </w:r>
      <w:r>
        <w:rPr>
          <w:lang w:val="es-ES_tradnl"/>
        </w:rPr>
        <w:t xml:space="preserve"> realizada según el Formulario de Identificación y Evaluación Integral de Riesgos y Oportunidades FO</w:t>
      </w:r>
      <w:r>
        <w:rPr>
          <w:lang w:val="es-ES_tradnl"/>
        </w:rPr>
        <w:t xml:space="preserve"> 611-01</w:t>
      </w:r>
      <w:r>
        <w:rPr>
          <w:lang w:val="es-ES_tradnl"/>
        </w:rPr>
        <w:t xml:space="preserve">. Esto implica la realización del análisis frente a un conj</w:t>
      </w:r>
      <w:r>
        <w:rPr>
          <w:lang w:val="es-ES_tradnl"/>
        </w:rPr>
        <w:t xml:space="preserve">unto de factores, realizando una lista por orden de prioridad </w:t>
      </w:r>
      <w:r>
        <w:rPr>
          <w:lang w:val="es-ES_tradnl"/>
        </w:rPr>
        <w:t xml:space="preserve">de los mismo</w:t>
      </w:r>
      <w:r>
        <w:rPr>
          <w:lang w:val="es-ES_tradnl"/>
        </w:rPr>
        <w:t xml:space="preserve">s. </w:t>
      </w:r>
      <w:r>
        <w:rPr>
          <w:lang w:val="es-ES_tradnl"/>
        </w:rPr>
        <w:t xml:space="preserve">L</w:t>
      </w:r>
      <w:r>
        <w:rPr>
          <w:lang w:val="es-ES_tradnl"/>
        </w:rPr>
        <w:t xml:space="preserve">os factores </w:t>
      </w:r>
      <w:r>
        <w:rPr>
          <w:lang w:val="es-ES_tradnl"/>
        </w:rPr>
        <w:t xml:space="preserve">que </w:t>
      </w:r>
      <w:r>
        <w:rPr>
          <w:lang w:val="es-ES_tradnl"/>
        </w:rPr>
        <w:t xml:space="preserve">se cuantifican </w:t>
      </w:r>
      <w:r>
        <w:rPr>
          <w:lang w:val="es-ES_tradnl"/>
        </w:rPr>
        <w:t xml:space="preserve">son </w:t>
      </w:r>
      <w:r>
        <w:rPr>
          <w:lang w:val="es-ES_tradnl"/>
        </w:rPr>
        <w:t xml:space="preserve">la probabilidad de que ocurra, la severidad y la oportunidad de la detecci</w:t>
      </w:r>
      <w:r>
        <w:rPr>
          <w:lang w:val="es-ES_tradnl"/>
        </w:rPr>
        <w:t xml:space="preserve">ón.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b/>
          <w:lang w:val="es-ES_tradnl"/>
        </w:rPr>
      </w:pPr>
      <w:r>
        <w:rPr>
          <w:lang w:val="es-ES_tradnl"/>
        </w:rPr>
        <w:t xml:space="preserve">6.3</w:t>
      </w:r>
      <w:r>
        <w:rPr>
          <w:lang w:val="es-ES_tradnl"/>
        </w:rPr>
        <w:t xml:space="preserve">.3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ab/>
      </w:r>
      <w:r>
        <w:rPr>
          <w:b/>
          <w:lang w:val="es-ES_tradnl"/>
        </w:rPr>
        <w:t xml:space="preserve">Clasificar los riesgos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 xml:space="preserve">Los riesgos se clarifican para decidir cuáles pueden ser aceptados y cuáles no.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 valora la probabilidad, consecuencia y exposición para obtener un valor de riesgo.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b/>
          <w:lang w:val="es-ES_tradnl"/>
        </w:rPr>
      </w:pPr>
      <w:r>
        <w:rPr>
          <w:lang w:val="es-ES_tradnl"/>
        </w:rPr>
        <w:t xml:space="preserve">6.3</w:t>
      </w:r>
      <w:r>
        <w:rPr>
          <w:lang w:val="es-ES_tradnl"/>
        </w:rPr>
        <w:t xml:space="preserve">.4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ab/>
        <w:t xml:space="preserve">Determinar acciones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 xml:space="preserve">Cuando se conocen todos los riesgos se pueden determinar lo que se debe hacer.</w:t>
      </w:r>
      <w:r/>
    </w:p>
    <w:p>
      <w:pPr>
        <w:ind w:left="1276" w:right="-136" w:hanging="567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 xml:space="preserve">Las acciones irán desde medidas para eliminar el </w:t>
      </w:r>
      <w:r>
        <w:rPr>
          <w:lang w:val="es-ES_tradnl"/>
        </w:rPr>
        <w:t xml:space="preserve">riesgo</w:t>
      </w:r>
      <w:r>
        <w:rPr>
          <w:lang w:val="es-ES_tradnl"/>
        </w:rPr>
        <w:t xml:space="preserve">, realizar modificaciones de ingeniería, mejorar controles, uso de elementos de protección personal</w:t>
      </w:r>
      <w:r>
        <w:rPr>
          <w:lang w:val="es-ES_tradnl"/>
        </w:rPr>
        <w:t xml:space="preserve">, </w:t>
      </w:r>
      <w:r>
        <w:rPr>
          <w:lang w:val="es-ES_tradnl"/>
        </w:rPr>
        <w:t xml:space="preserve">o incluso asumir dicho riesgo y sin dejar de tomar las acciones necesarias en caso de que ocurra.</w:t>
      </w:r>
      <w:r/>
    </w:p>
    <w:p>
      <w:pPr>
        <w:ind w:left="708" w:right="-136" w:hanging="425"/>
        <w:jc w:val="both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425"/>
        <w:jc w:val="both"/>
        <w:spacing w:line="360" w:lineRule="auto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 xml:space="preserve">6.</w:t>
      </w:r>
      <w:r>
        <w:rPr>
          <w:lang w:val="es-ES_tradnl"/>
        </w:rPr>
        <w:t xml:space="preserve">4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 xml:space="preserve">El Formulario de Identificación y Evaluación Integral de Riesgos y O</w:t>
      </w:r>
      <w:r>
        <w:rPr>
          <w:lang w:val="es-ES_tradnl"/>
        </w:rPr>
        <w:t xml:space="preserve">portunidades FO 611-01</w:t>
      </w:r>
      <w:r>
        <w:rPr>
          <w:lang w:val="es-ES_tradnl"/>
        </w:rPr>
        <w:t xml:space="preserve"> se actualiza </w:t>
      </w:r>
      <w:r>
        <w:rPr>
          <w:lang w:val="es-ES_tradnl"/>
        </w:rPr>
        <w:t xml:space="preserve">a </w:t>
      </w:r>
      <w:r>
        <w:rPr>
          <w:lang w:val="es-ES_tradnl"/>
        </w:rPr>
        <w:t xml:space="preserve">requerimiento.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Ante cambios en el Sistema de Gestión de Calidad</w:t>
      </w:r>
      <w:r>
        <w:rPr>
          <w:lang w:val="es-ES_tradnl"/>
        </w:rPr>
        <w:t xml:space="preserve"> o identificación de nuevos riesgos </w:t>
      </w:r>
      <w:r>
        <w:rPr>
          <w:lang w:val="es-ES_tradnl"/>
        </w:rPr>
        <w:t xml:space="preserve">se</w:t>
      </w:r>
      <w:r>
        <w:rPr>
          <w:lang w:val="es-ES_tradnl"/>
        </w:rPr>
        <w:t xml:space="preserve"> actualizará en forma inmediata.</w:t>
      </w:r>
      <w:r/>
    </w:p>
    <w:p>
      <w:pPr>
        <w:ind w:left="1068" w:right="-136" w:hanging="425"/>
        <w:jc w:val="both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425"/>
        <w:jc w:val="both"/>
        <w:tabs>
          <w:tab w:val="left" w:pos="851" w:leader="none"/>
        </w:tabs>
        <w:rPr>
          <w:lang w:val="es-ES_tradnl"/>
        </w:rPr>
      </w:pPr>
      <w:r>
        <w:rPr>
          <w:lang w:val="es-ES_tradnl"/>
        </w:rPr>
        <w:t xml:space="preserve">6.</w:t>
      </w:r>
      <w:r>
        <w:rPr>
          <w:lang w:val="es-ES_tradnl"/>
        </w:rPr>
        <w:t xml:space="preserve">5</w:t>
      </w:r>
      <w:r>
        <w:rPr>
          <w:lang w:val="es-ES_tradnl"/>
        </w:rPr>
        <w:t xml:space="preserve"> Las referencias para </w:t>
      </w:r>
      <w:r>
        <w:rPr>
          <w:lang w:val="es-ES_tradnl"/>
        </w:rPr>
        <w:t xml:space="preserve">la Identificación</w:t>
      </w:r>
      <w:r>
        <w:rPr>
          <w:lang w:val="es-ES_tradnl"/>
        </w:rPr>
        <w:t xml:space="preserve"> y Evaluación Integral de Riesgo y Oportunidades FO 611-01, están establecidas de la siguiente manera:</w:t>
      </w:r>
      <w:r/>
    </w:p>
    <w:p>
      <w:pPr>
        <w:rPr>
          <w:lang w:val="es-ES_tradnl"/>
        </w:rPr>
      </w:pPr>
      <w:r>
        <w:rPr>
          <w:lang w:val="es-ES_tradnl"/>
        </w:rPr>
        <w:br w:type="page" w:clear="all"/>
      </w:r>
      <w:r/>
    </w:p>
    <w:tbl>
      <w:tblPr>
        <w:tblW w:w="1003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ind w:left="290" w:right="1005"/>
              <w:jc w:val="center"/>
              <w:tabs>
                <w:tab w:val="left" w:pos="290" w:leader="none"/>
              </w:tabs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4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PROCEDIMIENTO DE GESTION DE RIESGOS Y OPORTUNIDADES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 – 611 -01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ind w:right="-136"/>
        <w:jc w:val="both"/>
        <w:rPr>
          <w:lang w:val="es-ES_tradnl"/>
        </w:rPr>
      </w:pPr>
      <w:r>
        <w:rPr>
          <w:lang w:val="es-ES_tradnl"/>
        </w:rPr>
      </w:r>
      <w:r/>
    </w:p>
    <w:tbl>
      <w:tblPr>
        <w:tblpPr w:horzAnchor="margin" w:tblpXSpec="left" w:vertAnchor="text" w:tblpY="158" w:leftFromText="141" w:topFromText="0" w:rightFromText="141" w:bottomFromText="0"/>
        <w:tblW w:w="96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5"/>
        <w:gridCol w:w="1826"/>
        <w:gridCol w:w="2006"/>
        <w:gridCol w:w="2007"/>
        <w:gridCol w:w="2006"/>
      </w:tblGrid>
      <w:tr>
        <w:trPr>
          <w:gridBefore w:val="1"/>
          <w:trHeight w:val="398"/>
        </w:trPr>
        <w:tc>
          <w:tcPr>
            <w:gridSpan w:val="3"/>
            <w:shd w:val="clear" w:color="auto" w:fill="auto"/>
            <w:tcW w:w="5839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PROBABILIDAD</w:t>
            </w:r>
            <w:r/>
          </w:p>
        </w:tc>
        <w:tc>
          <w:tcPr>
            <w:shd w:val="clear" w:color="auto" w:fill="auto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398"/>
        </w:trPr>
        <w:tc>
          <w:tcPr>
            <w:shd w:val="clear" w:color="auto" w:fill="auto"/>
            <w:tcW w:w="1825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IMPACTO</w:t>
            </w:r>
            <w:r/>
          </w:p>
        </w:tc>
        <w:tc>
          <w:tcPr>
            <w:shd w:val="clear" w:color="auto" w:fill="auto"/>
            <w:tcW w:w="182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</w:t>
            </w:r>
            <w:r/>
          </w:p>
        </w:tc>
        <w:tc>
          <w:tcPr>
            <w:shd w:val="clear" w:color="auto" w:fill="auto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</w:t>
            </w:r>
            <w:r/>
          </w:p>
        </w:tc>
        <w:tc>
          <w:tcPr>
            <w:shd w:val="clear" w:color="auto" w:fill="auto"/>
            <w:tcW w:w="2007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</w:t>
            </w:r>
            <w:r/>
          </w:p>
        </w:tc>
        <w:tc>
          <w:tcPr>
            <w:shd w:val="clear" w:color="auto" w:fill="auto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</w:t>
            </w:r>
            <w:r/>
          </w:p>
        </w:tc>
      </w:tr>
      <w:tr>
        <w:trPr>
          <w:trHeight w:val="398"/>
        </w:trPr>
        <w:tc>
          <w:tcPr>
            <w:shd w:val="clear" w:color="auto" w:fill="auto"/>
            <w:tcW w:w="1825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</w:t>
            </w:r>
            <w:r/>
          </w:p>
        </w:tc>
        <w:tc>
          <w:tcPr>
            <w:shd w:val="clear" w:color="auto" w:fill="92d050"/>
            <w:tcW w:w="182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BAJO</w:t>
            </w:r>
            <w:r/>
          </w:p>
        </w:tc>
        <w:tc>
          <w:tcPr>
            <w:shd w:val="clear" w:color="auto" w:fill="92d05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BAJO</w:t>
            </w:r>
            <w:r/>
          </w:p>
        </w:tc>
        <w:tc>
          <w:tcPr>
            <w:shd w:val="clear" w:color="auto" w:fill="92d050"/>
            <w:tcW w:w="2007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BAJO</w:t>
            </w:r>
            <w:r/>
          </w:p>
        </w:tc>
        <w:tc>
          <w:tcPr>
            <w:shd w:val="clear" w:color="auto" w:fill="ffff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</w:tr>
      <w:tr>
        <w:trPr>
          <w:trHeight w:val="398"/>
        </w:trPr>
        <w:tc>
          <w:tcPr>
            <w:shd w:val="clear" w:color="auto" w:fill="auto"/>
            <w:tcW w:w="1825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</w:t>
            </w:r>
            <w:r/>
          </w:p>
        </w:tc>
        <w:tc>
          <w:tcPr>
            <w:shd w:val="clear" w:color="auto" w:fill="92d050"/>
            <w:tcW w:w="182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BAJO</w:t>
            </w:r>
            <w:r/>
          </w:p>
        </w:tc>
        <w:tc>
          <w:tcPr>
            <w:shd w:val="clear" w:color="auto" w:fill="ffff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  <w:tc>
          <w:tcPr>
            <w:shd w:val="clear" w:color="auto" w:fill="ffff00"/>
            <w:tcW w:w="2007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  <w:tc>
          <w:tcPr>
            <w:shd w:val="clear" w:color="auto" w:fill="ffff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</w:tr>
      <w:tr>
        <w:trPr>
          <w:trHeight w:val="398"/>
        </w:trPr>
        <w:tc>
          <w:tcPr>
            <w:shd w:val="clear" w:color="auto" w:fill="auto"/>
            <w:tcW w:w="1825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</w:t>
            </w:r>
            <w:r/>
          </w:p>
        </w:tc>
        <w:tc>
          <w:tcPr>
            <w:shd w:val="clear" w:color="auto" w:fill="ffff00"/>
            <w:tcW w:w="182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  <w:tc>
          <w:tcPr>
            <w:shd w:val="clear" w:color="auto" w:fill="ffff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  <w:tc>
          <w:tcPr>
            <w:shd w:val="clear" w:color="auto" w:fill="ff0000"/>
            <w:tcW w:w="2007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  <w:tc>
          <w:tcPr>
            <w:shd w:val="clear" w:color="auto" w:fill="ff00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</w:tr>
      <w:tr>
        <w:trPr>
          <w:trHeight w:val="398"/>
        </w:trPr>
        <w:tc>
          <w:tcPr>
            <w:shd w:val="clear" w:color="auto" w:fill="auto"/>
            <w:tcW w:w="1825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</w:t>
            </w:r>
            <w:r/>
          </w:p>
        </w:tc>
        <w:tc>
          <w:tcPr>
            <w:shd w:val="clear" w:color="auto" w:fill="ff0000"/>
            <w:tcW w:w="182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  <w:tc>
          <w:tcPr>
            <w:shd w:val="clear" w:color="auto" w:fill="ff00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  <w:tc>
          <w:tcPr>
            <w:shd w:val="clear" w:color="auto" w:fill="ff0000"/>
            <w:tcW w:w="2007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  <w:tc>
          <w:tcPr>
            <w:shd w:val="clear" w:color="auto" w:fill="ff0000"/>
            <w:tcW w:w="2006" w:type="dxa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</w:tr>
    </w:tbl>
    <w:p>
      <w:pPr>
        <w:ind w:left="1068" w:right="-136" w:hanging="2061"/>
        <w:jc w:val="both"/>
        <w:rPr>
          <w:lang w:val="es-ES_tradnl"/>
        </w:rPr>
      </w:pPr>
      <w:r>
        <w:rPr>
          <w:lang w:val="es-ES_tradnl"/>
        </w:rPr>
        <w:t xml:space="preserve"> </w:t>
      </w:r>
      <w:r/>
    </w:p>
    <w:p>
      <w:pPr>
        <w:rPr>
          <w:sz w:val="18"/>
          <w:szCs w:val="18"/>
        </w:rPr>
      </w:pPr>
      <w:r>
        <w:rPr>
          <w:sz w:val="18"/>
          <w:szCs w:val="18"/>
        </w:rPr>
      </w:r>
      <w:r/>
    </w:p>
    <w:p>
      <w:pPr>
        <w:rPr>
          <w:b/>
        </w:rPr>
      </w:pPr>
      <w:r>
        <w:rPr>
          <w:b/>
        </w:rPr>
        <w:t xml:space="preserve">IMPACTO </w:t>
      </w:r>
      <w:r/>
    </w:p>
    <w:p>
      <w:r>
        <w:t xml:space="preserve">I = </w:t>
      </w:r>
      <w:r>
        <w:t xml:space="preserve">Su impacto puede afectar levemente </w:t>
      </w:r>
      <w:r>
        <w:t xml:space="preserve">al cliente</w:t>
      </w:r>
      <w:r/>
    </w:p>
    <w:p>
      <w:r>
        <w:t xml:space="preserve">II</w:t>
      </w:r>
      <w:r>
        <w:t xml:space="preserve"> = </w:t>
      </w:r>
      <w:r>
        <w:t xml:space="preserve">Sus consecuencias afectan </w:t>
      </w:r>
      <w:r>
        <w:t xml:space="preserve">parcialmente </w:t>
      </w:r>
      <w:r>
        <w:t xml:space="preserve">al cliente</w:t>
      </w:r>
      <w:r/>
    </w:p>
    <w:p>
      <w:r>
        <w:t xml:space="preserve">III = Sus consecuencias afectan el control en la prestación del servicio, pero se cumple con el cliente; Ej.: Retraso en las comunicaciones/información</w:t>
      </w:r>
      <w:r/>
    </w:p>
    <w:p>
      <w:r>
        <w:t xml:space="preserve">IV</w:t>
      </w:r>
      <w:r>
        <w:t xml:space="preserve"> </w:t>
      </w:r>
      <w:r>
        <w:t xml:space="preserve">= </w:t>
      </w:r>
      <w:r>
        <w:t xml:space="preserve">Se compromete </w:t>
      </w:r>
      <w:r>
        <w:t xml:space="preserve">el control en</w:t>
      </w:r>
      <w:r>
        <w:t xml:space="preserve"> la prestación del servicio y/o no pudiendo cumplir con el </w:t>
      </w:r>
      <w:r>
        <w:t xml:space="preserve">cliente</w:t>
      </w:r>
      <w:r>
        <w:t xml:space="preserve">.</w:t>
      </w:r>
      <w:r/>
    </w:p>
    <w:p>
      <w:r/>
      <w:r/>
    </w:p>
    <w:p>
      <w:pPr>
        <w:rPr>
          <w:b/>
        </w:rPr>
      </w:pPr>
      <w:r>
        <w:rPr>
          <w:b/>
        </w:rPr>
        <w:t xml:space="preserve">PROBABILIDAD</w:t>
      </w:r>
      <w:r/>
    </w:p>
    <w:p>
      <w:r>
        <w:t xml:space="preserve">A = </w:t>
      </w:r>
      <w:r>
        <w:t xml:space="preserve">Rara vez ocurre (ocurrió alguna vez  y/o ocurre una vez cada tres años o no ocurrió)</w:t>
      </w:r>
      <w:r/>
    </w:p>
    <w:p>
      <w:r>
        <w:t xml:space="preserve">B = </w:t>
      </w:r>
      <w:r>
        <w:t xml:space="preserve">Ocurre algunas veces (a veces ocurre pero una vez en el año)</w:t>
      </w:r>
      <w:r/>
    </w:p>
    <w:p>
      <w:r>
        <w:t xml:space="preserve">C = </w:t>
      </w:r>
      <w:r>
        <w:t xml:space="preserve">Ocurre a menudo (ocurre una vez en el semestre)</w:t>
      </w:r>
      <w:r/>
    </w:p>
    <w:p>
      <w:r>
        <w:t xml:space="preserve">D = Ocurre </w:t>
      </w:r>
      <w:r>
        <w:t xml:space="preserve">frecuentemente (más de dos veces en el semestre)</w:t>
      </w:r>
      <w:r/>
    </w:p>
    <w:p>
      <w:r>
        <w:t xml:space="preserve"> </w:t>
      </w:r>
      <w:r/>
    </w:p>
    <w:p>
      <w:pPr>
        <w:ind w:right="-136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426" w:right="-136" w:hanging="426"/>
        <w:jc w:val="both"/>
        <w:rPr>
          <w:lang w:val="es-ES_tradnl"/>
        </w:rPr>
      </w:pPr>
      <w:r>
        <w:rPr>
          <w:lang w:val="es-ES_tradnl"/>
        </w:rPr>
        <w:t xml:space="preserve">6.6 Luego de realizada la identificación, ponderación y clasificación de los riesgos, se determinan las acciones a seguir para mitigar los mismos. </w:t>
      </w:r>
      <w:r/>
    </w:p>
    <w:p>
      <w:pPr>
        <w:ind w:right="-136"/>
        <w:jc w:val="both"/>
        <w:rPr>
          <w:lang w:val="es-ES_tradnl"/>
        </w:rPr>
      </w:pPr>
      <w:r>
        <w:rPr>
          <w:lang w:val="es-ES_tradnl"/>
        </w:rPr>
        <w:tab/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  <w:t xml:space="preserve">6.6.1 El seguimiento de dichas acciones es determinando por el Riesgo Inherente con el                cual fue ponderado en la i</w:t>
      </w:r>
      <w:r>
        <w:rPr>
          <w:lang w:val="es-ES_tradnl"/>
        </w:rPr>
        <w:t xml:space="preserve">dentificación de dichos riesgos.</w:t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tbl>
      <w:tblPr>
        <w:tblpPr w:horzAnchor="margin" w:tblpXSpec="left" w:vertAnchor="text" w:tblpY="102" w:leftFromText="141" w:topFromText="0" w:rightFromText="141" w:bottomFromText="0"/>
        <w:tblW w:w="10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89"/>
        <w:gridCol w:w="7221"/>
      </w:tblGrid>
      <w:tr>
        <w:trPr>
          <w:trHeight w:val="341"/>
        </w:trPr>
        <w:tc>
          <w:tcPr>
            <w:shd w:val="clear" w:color="auto" w:fill="auto"/>
            <w:tcW w:w="3089" w:type="dxa"/>
            <w:textDirection w:val="lrTb"/>
            <w:noWrap w:val="false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RIESGO INHERENTE </w:t>
            </w:r>
            <w:r/>
          </w:p>
        </w:tc>
        <w:tc>
          <w:tcPr>
            <w:shd w:val="clear" w:color="auto" w:fill="auto"/>
            <w:tcW w:w="7221" w:type="dxa"/>
            <w:textDirection w:val="lrTb"/>
            <w:noWrap w:val="false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ACCIONES A SEGUIR</w:t>
            </w:r>
            <w:r/>
          </w:p>
        </w:tc>
      </w:tr>
      <w:tr>
        <w:trPr>
          <w:trHeight w:val="341"/>
        </w:trPr>
        <w:tc>
          <w:tcPr>
            <w:shd w:val="clear" w:color="auto" w:fill="auto"/>
            <w:tcW w:w="3089" w:type="dxa"/>
            <w:textDirection w:val="lrTb"/>
            <w:noWrap w:val="false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BAJO</w:t>
            </w:r>
            <w:r/>
          </w:p>
        </w:tc>
        <w:tc>
          <w:tcPr>
            <w:shd w:val="clear" w:color="auto" w:fill="auto"/>
            <w:tcW w:w="722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realiza el control por parte del equipo de SGC de CONMO semestralmente, quienes deben reajustar c</w:t>
            </w:r>
            <w:r>
              <w:rPr>
                <w:sz w:val="22"/>
                <w:szCs w:val="22"/>
              </w:rPr>
              <w:t xml:space="preserve">ontroles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evitar el evento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asumir el riesgo</w:t>
            </w:r>
            <w:r>
              <w:rPr>
                <w:sz w:val="22"/>
                <w:szCs w:val="22"/>
              </w:rPr>
              <w:t xml:space="preserve">, compartir el riesgo, cambiar la probabilidad o el impacto aplicando acciones de abordaje.</w:t>
            </w:r>
            <w:r/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seguimiento se realizará según lo establecido en el Calendario de la Calidad y el registro de dicho seguimiento será mediante actas mensuales. </w:t>
            </w:r>
            <w:r/>
          </w:p>
        </w:tc>
      </w:tr>
      <w:tr>
        <w:trPr>
          <w:trHeight w:val="341"/>
        </w:trPr>
        <w:tc>
          <w:tcPr>
            <w:shd w:val="clear" w:color="auto" w:fill="auto"/>
            <w:tcW w:w="3089" w:type="dxa"/>
            <w:textDirection w:val="lrTb"/>
            <w:noWrap w:val="false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MODERADO</w:t>
            </w:r>
            <w:r/>
          </w:p>
        </w:tc>
        <w:tc>
          <w:tcPr>
            <w:shd w:val="clear" w:color="auto" w:fill="auto"/>
            <w:tcW w:w="7221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Los mismos deben ser analizados conjuntamente con la Dirección realizándose el seguimiento trimestralmente y el registro de dicho seguimiento será mediante actas mensuales.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Los</w:t>
            </w:r>
            <w:r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 xml:space="preserve">ontroles son: evitar el evento, asumir el riesgo, compartir el riesgo, cambiar la probabilidad o el impacto aplicando acciones de abordaje.</w:t>
            </w:r>
            <w:r/>
          </w:p>
        </w:tc>
      </w:tr>
      <w:tr>
        <w:trPr>
          <w:trHeight w:val="341"/>
        </w:trPr>
        <w:tc>
          <w:tcPr>
            <w:shd w:val="clear" w:color="auto" w:fill="auto"/>
            <w:tcW w:w="3089" w:type="dxa"/>
            <w:textDirection w:val="lrTb"/>
            <w:noWrap w:val="false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GRAVE</w:t>
            </w:r>
            <w:r/>
          </w:p>
        </w:tc>
        <w:tc>
          <w:tcPr>
            <w:shd w:val="clear" w:color="auto" w:fill="auto"/>
            <w:tcW w:w="722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Dirección debe tomar acciones inminentes para mitigar el riesgo inherente.  El seguimiento será mensualmente y el registro de dicho seguimiento será mediante actas mensuales.</w:t>
            </w:r>
            <w:r/>
          </w:p>
        </w:tc>
      </w:tr>
    </w:tbl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rPr>
          <w:lang w:val="es-ES_tradnl"/>
        </w:rPr>
      </w:pPr>
      <w:r>
        <w:rPr>
          <w:lang w:val="es-ES_tradnl"/>
        </w:rPr>
        <w:br w:type="page" w:clear="all"/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tbl>
      <w:tblPr>
        <w:tblpPr w:horzAnchor="margin" w:tblpXSpec="left" w:vertAnchor="text" w:tblpY="166" w:leftFromText="141" w:topFromText="0" w:rightFromText="141" w:bottomFromText="0"/>
        <w:tblW w:w="100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ind w:left="290" w:right="1005"/>
              <w:jc w:val="center"/>
              <w:tabs>
                <w:tab w:val="left" w:pos="290" w:leader="none"/>
              </w:tabs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5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867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PROCEDIMIENTO DE GESTION DE RIESGOS Y OPORTUNIDADES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 – 611 -01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867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67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425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709"/>
        <w:jc w:val="both"/>
        <w:rPr>
          <w:lang w:val="es-ES_tradnl"/>
        </w:rPr>
      </w:pPr>
      <w:r>
        <w:rPr>
          <w:lang w:val="es-ES_tradnl"/>
        </w:rPr>
        <w:t xml:space="preserve">6.6.2 </w:t>
      </w:r>
      <w:r>
        <w:rPr>
          <w:lang w:val="es-ES_tradnl"/>
        </w:rPr>
        <w:tab/>
      </w:r>
      <w:r>
        <w:rPr>
          <w:lang w:val="es-ES_tradnl"/>
        </w:rPr>
        <w:t xml:space="preserve">Una vez estableci</w:t>
      </w:r>
      <w:r>
        <w:rPr>
          <w:lang w:val="es-ES_tradnl"/>
        </w:rPr>
        <w:t xml:space="preserve">das dichas acciones se evalúa subjetivamente el Riesgo nuevamente. De esta forma se determina si las acciones tomadas fueron eficaces a la hora de mitigar dichos riesgos, ya sea en su impacto en la prestación del servicio y/o la probabilidad de que ocurra.</w:t>
      </w:r>
      <w:r>
        <w:rPr>
          <w:lang w:val="es-ES_tradnl"/>
        </w:rPr>
        <w:t xml:space="preserve"> </w:t>
      </w:r>
      <w:r/>
    </w:p>
    <w:p>
      <w:pPr>
        <w:ind w:left="851" w:right="-136" w:hanging="709"/>
        <w:jc w:val="both"/>
        <w:rPr>
          <w:lang w:val="es-ES_tradnl"/>
        </w:rPr>
      </w:pPr>
      <w:r>
        <w:rPr>
          <w:lang w:val="es-ES_tradnl"/>
        </w:rPr>
        <w:t xml:space="preserve">6.6.3 </w:t>
      </w:r>
      <w:r>
        <w:rPr>
          <w:lang w:val="es-ES_tradnl"/>
        </w:rPr>
        <w:tab/>
        <w:t xml:space="preserve">Esta evaluación se registra en el FO 611 02, en la misma tabla del abordaje.</w:t>
      </w:r>
      <w:r>
        <w:rPr>
          <w:lang w:val="es-ES_tradnl"/>
        </w:rPr>
        <w:t xml:space="preserve"> El riesgo </w:t>
      </w:r>
      <w:r/>
    </w:p>
    <w:p>
      <w:pPr>
        <w:ind w:left="851" w:right="-136" w:hanging="709"/>
        <w:jc w:val="both"/>
        <w:rPr>
          <w:lang w:val="es-ES_tradnl"/>
        </w:rPr>
      </w:pPr>
      <w:r>
        <w:rPr>
          <w:lang w:val="es-ES_tradnl"/>
        </w:rPr>
      </w:r>
      <w:r/>
    </w:p>
    <w:p>
      <w:pPr>
        <w:ind w:left="851" w:right="-136" w:hanging="709"/>
        <w:jc w:val="both"/>
        <w:rPr>
          <w:lang w:val="es-ES_tradnl"/>
        </w:rPr>
      </w:pPr>
      <w:r>
        <w:rPr>
          <w:lang w:val="es-ES_tradnl"/>
        </w:rPr>
        <w:t xml:space="preserve">6.6.4 Para el seguimiento de Oportunidades CONMO plantea un enfoque basado en la identificación y registro de la misma,</w:t>
      </w:r>
      <w:r>
        <w:rPr>
          <w:lang w:val="es-ES_tradnl"/>
        </w:rPr>
        <w:t xml:space="preserve"> se prioriza </w:t>
      </w:r>
      <w:r>
        <w:rPr>
          <w:lang w:val="es-ES_tradnl"/>
        </w:rPr>
        <w:t xml:space="preserve">según su importancia y urgencia</w:t>
      </w:r>
      <w:r>
        <w:rPr>
          <w:lang w:val="es-ES_tradnl"/>
        </w:rPr>
        <w:t xml:space="preserve">, estas</w:t>
      </w:r>
      <w:r>
        <w:rPr>
          <w:lang w:val="es-ES_tradnl"/>
        </w:rPr>
        <w:t xml:space="preserve"> se identifican atr</w:t>
      </w:r>
      <w:r>
        <w:rPr>
          <w:lang w:val="es-UY"/>
        </w:rPr>
        <w:t xml:space="preserve">a</w:t>
      </w:r>
      <w:r>
        <w:rPr>
          <w:lang w:val="es-ES_tradnl"/>
        </w:rPr>
        <w:t xml:space="preserve">ves de </w:t>
      </w:r>
      <w:r>
        <w:rPr>
          <w:lang w:val="es-ES_tradnl"/>
        </w:rPr>
        <w:t xml:space="preserve">la MATRIZ FODA.</w:t>
      </w:r>
      <w:r/>
    </w:p>
    <w:p>
      <w:pPr>
        <w:ind w:left="851" w:right="-136" w:hanging="709"/>
        <w:jc w:val="both"/>
        <w:rPr>
          <w:lang w:val="es-ES_tradnl"/>
        </w:rPr>
      </w:pPr>
      <w:r>
        <w:rPr>
          <w:lang w:val="es-ES_tradnl"/>
        </w:rPr>
        <w:t xml:space="preserve">6.6.5   Luego de realizar la identificación y registro </w:t>
      </w:r>
      <w:r>
        <w:rPr>
          <w:lang w:val="es-ES_tradnl"/>
        </w:rPr>
        <w:t xml:space="preserve"> de las mismas, se detalla en el FO 611-03 </w:t>
      </w:r>
      <w:r>
        <w:rPr>
          <w:lang w:val="es-ES_tradnl"/>
        </w:rPr>
        <w:t xml:space="preserve">el </w:t>
      </w:r>
      <w:r>
        <w:rPr>
          <w:lang w:val="es-ES_tradnl"/>
        </w:rPr>
        <w:t xml:space="preserve">seguimiento</w:t>
      </w:r>
      <w:r>
        <w:rPr>
          <w:lang w:val="es-ES_tradnl"/>
        </w:rPr>
        <w:t xml:space="preserve">, planificación de las acciones y evaluación de los resultados</w:t>
      </w:r>
      <w:r>
        <w:rPr>
          <w:lang w:val="es-ES_tradnl"/>
        </w:rPr>
        <w:t xml:space="preserve">.</w:t>
      </w:r>
      <w:r/>
    </w:p>
    <w:p>
      <w:pPr>
        <w:ind w:left="1068" w:right="-136"/>
        <w:jc w:val="both"/>
        <w:rPr>
          <w:lang w:val="es-ES_tradnl"/>
        </w:rPr>
      </w:pPr>
      <w:r>
        <w:rPr>
          <w:lang w:val="es-ES_tradnl"/>
        </w:rPr>
        <w:t xml:space="preserve"> </w:t>
      </w:r>
      <w:r/>
    </w:p>
    <w:p>
      <w:pPr>
        <w:numPr>
          <w:ilvl w:val="0"/>
          <w:numId w:val="2"/>
        </w:numPr>
        <w:ind w:right="-136"/>
        <w:jc w:val="both"/>
        <w:spacing w:line="360" w:lineRule="auto"/>
        <w:rPr>
          <w:lang w:val="es-ES_tradnl"/>
        </w:rPr>
      </w:pPr>
      <w:r>
        <w:rPr>
          <w:b/>
          <w:lang w:val="es-ES_tradnl"/>
        </w:rPr>
        <w:t xml:space="preserve">ANEXOS</w:t>
      </w:r>
      <w:r>
        <w:rPr>
          <w:b/>
          <w:lang w:val="es-ES_tradnl"/>
        </w:rPr>
        <w:t xml:space="preserve">:</w:t>
      </w:r>
      <w:r>
        <w:rPr>
          <w:b/>
          <w:lang w:val="es-ES_tradnl"/>
        </w:rPr>
        <w:t xml:space="preserve"> </w:t>
      </w:r>
      <w:r/>
    </w:p>
    <w:p>
      <w:pPr>
        <w:ind w:left="360" w:right="-136"/>
        <w:jc w:val="both"/>
        <w:spacing w:line="360" w:lineRule="auto"/>
        <w:rPr>
          <w:lang w:val="es-ES_tradnl"/>
        </w:rPr>
      </w:pPr>
      <w:r>
        <w:rPr>
          <w:b/>
          <w:lang w:val="es-ES_tradnl"/>
        </w:rPr>
        <w:t xml:space="preserve">“</w:t>
      </w:r>
      <w:r>
        <w:rPr>
          <w:b/>
          <w:lang w:val="es-ES_tradnl"/>
        </w:rPr>
        <w:t xml:space="preserve">ALFA” </w:t>
      </w:r>
      <w:r>
        <w:rPr>
          <w:lang w:val="es-ES_tradnl"/>
        </w:rPr>
        <w:t xml:space="preserve">Formulario FO 611-01 Identificación y Evaluación Integra</w:t>
      </w:r>
      <w:r>
        <w:rPr>
          <w:lang w:val="es-ES_tradnl"/>
        </w:rPr>
        <w:t xml:space="preserve">l</w:t>
      </w:r>
      <w:r>
        <w:rPr>
          <w:lang w:val="es-ES_tradnl"/>
        </w:rPr>
        <w:t xml:space="preserve"> de Riesgos y </w:t>
      </w:r>
      <w:r>
        <w:rPr>
          <w:lang w:val="es-ES_tradnl"/>
        </w:rPr>
        <w:t xml:space="preserve">     </w:t>
      </w:r>
      <w:r>
        <w:rPr>
          <w:lang w:val="es-ES_tradnl"/>
        </w:rPr>
        <w:t xml:space="preserve">Oportunidades.</w:t>
      </w:r>
      <w:r>
        <w:rPr>
          <w:lang w:val="es-ES_tradnl"/>
        </w:rPr>
        <w:t xml:space="preserve">    </w:t>
      </w:r>
      <w:r/>
    </w:p>
    <w:p>
      <w:pPr>
        <w:ind w:left="360" w:right="-136"/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“</w:t>
      </w:r>
      <w:r>
        <w:rPr>
          <w:b/>
          <w:lang w:val="es-ES_tradnl"/>
        </w:rPr>
        <w:t xml:space="preserve">BRAVO”</w:t>
      </w:r>
      <w:r>
        <w:rPr>
          <w:lang w:val="es-ES_tradnl"/>
        </w:rPr>
        <w:t xml:space="preserve"> Formulario FO 611 02 Abordaje de riesgos </w:t>
      </w:r>
      <w:r/>
    </w:p>
    <w:p>
      <w:pPr>
        <w:ind w:left="360" w:right="-136"/>
        <w:jc w:val="both"/>
        <w:spacing w:line="360" w:lineRule="auto"/>
        <w:rPr>
          <w:lang w:val="es-ES_tradnl"/>
        </w:rPr>
      </w:pPr>
      <w:r>
        <w:rPr>
          <w:lang w:val="es-ES_tradnl"/>
        </w:rPr>
        <w:t xml:space="preserve">“</w:t>
      </w:r>
      <w:r>
        <w:rPr>
          <w:b/>
          <w:lang w:val="es-ES_tradnl"/>
        </w:rPr>
        <w:t xml:space="preserve">CHARLIE</w:t>
      </w:r>
      <w:r>
        <w:rPr>
          <w:lang w:val="es-ES_tradnl"/>
        </w:rPr>
        <w:t xml:space="preserve">” Formulario FO 611-03 Seguimiento de Oportunidades de Mejora</w:t>
      </w:r>
      <w:r/>
    </w:p>
    <w:p>
      <w:pPr>
        <w:numPr>
          <w:ilvl w:val="0"/>
          <w:numId w:val="2"/>
        </w:numPr>
        <w:ind w:right="-136"/>
        <w:jc w:val="both"/>
        <w:rPr>
          <w:b/>
          <w:lang w:val="es-ES_tradnl"/>
        </w:rPr>
      </w:pPr>
      <w:r>
        <w:rPr>
          <w:b/>
          <w:lang w:val="es-ES_tradnl"/>
        </w:rPr>
        <w:t xml:space="preserve">REGISTROS</w:t>
      </w:r>
      <w:r/>
    </w:p>
    <w:p>
      <w:pPr>
        <w:ind w:left="360" w:right="-136"/>
        <w:jc w:val="both"/>
        <w:rPr>
          <w:lang w:val="es-ES_tradnl"/>
        </w:rPr>
      </w:pPr>
      <w:r>
        <w:rPr>
          <w:lang w:val="es-ES_tradnl"/>
        </w:rPr>
        <w:t xml:space="preserve">Se omite</w:t>
      </w:r>
      <w:r/>
    </w:p>
    <w:p>
      <w:pPr>
        <w:ind w:right="-136"/>
        <w:jc w:val="both"/>
        <w:rPr>
          <w:lang w:val="es-ES_tradnl"/>
        </w:rPr>
      </w:pPr>
      <w:r>
        <w:rPr>
          <w:lang w:val="es-ES_tradnl"/>
        </w:rPr>
      </w:r>
      <w:r/>
    </w:p>
    <w:tbl>
      <w:tblPr>
        <w:tblW w:w="9714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709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REVISIÓN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FECHA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MODIFICACIONES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04/02/2019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r>
              <w:t xml:space="preserve">Se modifica punto 6.</w:t>
            </w:r>
            <w:r>
              <w:t xml:space="preserve">8</w:t>
            </w:r>
            <w:r>
              <w:t xml:space="preserve"> </w:t>
            </w:r>
            <w:r>
              <w:t xml:space="preserve">(</w:t>
            </w:r>
            <w:r>
              <w:t xml:space="preserve">Matriz con valores de Pr</w:t>
            </w:r>
            <w:r>
              <w:t xml:space="preserve">obabilidad e Impacto de Riesgos).</w:t>
            </w:r>
            <w: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01/10/2019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modifica redacción adecuando la numeración.</w:t>
            </w:r>
            <w:r/>
          </w:p>
          <w:p>
            <w:pPr>
              <w:jc w:val="both"/>
            </w:pPr>
            <w:r>
              <w:t xml:space="preserve">Se modifica punto 6.5</w:t>
            </w:r>
            <w:r>
              <w:t xml:space="preserve"> (Matriz con valores de Probabilidad e Impacto de Riesgos).</w:t>
            </w:r>
            <w:r>
              <w:br/>
              <w:t xml:space="preserve">Se agrega Anexo “BRAVO” Acciones para abordar riesgos y oportunidades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21/10/2019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agrega punto 6.6 Estableciendo </w:t>
            </w:r>
            <w:r>
              <w:t xml:space="preserve">la metodología para el seguimiento y evaluación de las acciones tomadas por CONMO para mitigar los Riesgos identificados.</w:t>
            </w:r>
            <w:r/>
          </w:p>
          <w:p>
            <w:pPr>
              <w:jc w:val="both"/>
            </w:pPr>
            <w:r>
              <w:t xml:space="preserve">Se modifica redacción en las definiciones de Impacto y Probabilidad. </w:t>
            </w:r>
            <w:r/>
          </w:p>
          <w:p>
            <w:pPr>
              <w:jc w:val="both"/>
            </w:pPr>
            <w:r>
              <w:t xml:space="preserve">Se elimina anexo “BRAVO” unificando Identificación de Riesgos y Acciones para abordarlos en una misma tabla (FO 611 – 01)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21/10/2020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incorpora nuevamente el anexo BRAVO por AC Nº 02/20 de la auditoría interna.</w:t>
            </w:r>
            <w:r/>
          </w:p>
        </w:tc>
      </w:tr>
      <w:tr>
        <w:trPr>
          <w:trHeight w:val="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21/12/2020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modifica punto 6.5 tabla de probabilidad de ocurrencia </w:t>
            </w:r>
            <w:r/>
          </w:p>
        </w:tc>
      </w:tr>
      <w:tr>
        <w:trPr>
          <w:trHeight w:val="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23/08/2022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modifica el Anexo Bravo agregándose evaluación de la eficacia del abordaje.</w:t>
            </w:r>
            <w:r/>
          </w:p>
        </w:tc>
      </w:tr>
      <w:tr>
        <w:trPr>
          <w:trHeight w:val="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4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06/11/2023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2" w:type="dxa"/>
            <w:vAlign w:val="center"/>
            <w:textDirection w:val="lrTb"/>
            <w:noWrap w:val="false"/>
          </w:tcPr>
          <w:p>
            <w:pPr>
              <w:jc w:val="both"/>
            </w:pPr>
            <w:r>
              <w:t xml:space="preserve">Se </w:t>
            </w:r>
            <w:r>
              <w:t xml:space="preserve">agregan los </w:t>
            </w:r>
            <w:r>
              <w:t xml:space="preserve">punto 6.6.4</w:t>
            </w:r>
            <w:r>
              <w:t xml:space="preserve">, 6.6.5</w:t>
            </w:r>
            <w:r>
              <w:t xml:space="preserve"> estableciendo el registro y seguimiento de la Oportunidad de Mejora.</w:t>
            </w:r>
            <w:r/>
          </w:p>
          <w:p>
            <w:pPr>
              <w:jc w:val="both"/>
            </w:pPr>
            <w:r>
              <w:t xml:space="preserve">Se agrega FO 611-03 Seguimiento de Oportunidad de </w:t>
            </w:r>
            <w:r>
              <w:t xml:space="preserve">M</w:t>
            </w:r>
            <w:r>
              <w:t xml:space="preserve">ejora </w:t>
            </w:r>
            <w:r/>
          </w:p>
        </w:tc>
      </w:tr>
    </w:tbl>
    <w:p>
      <w:pPr>
        <w:tabs>
          <w:tab w:val="left" w:pos="1635" w:leader="none"/>
        </w:tabs>
      </w:pPr>
      <w:r/>
      <w:r/>
    </w:p>
    <w:sectPr>
      <w:footerReference w:type="default" r:id="rId9"/>
      <w:footnotePr/>
      <w:endnotePr/>
      <w:type w:val="nextPage"/>
      <w:pgSz w:w="11906" w:h="16838" w:orient="portrait"/>
      <w:pgMar w:top="360" w:right="1274" w:bottom="360" w:left="1276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33928249"/>
      <w:docPartObj>
        <w:docPartGallery w:val="Page Numbers (Bottom of Page)"/>
        <w:docPartUnique w:val="true"/>
      </w:docPartObj>
      <w:rPr/>
    </w:sdtPr>
    <w:sdtContent>
      <w:p>
        <w:pPr>
          <w:pStyle w:val="868"/>
          <w:jc w:val="center"/>
          <w:rPr>
            <w:sz w:val="20"/>
          </w:rPr>
        </w:pPr>
        <w:r>
          <w:rPr>
            <w:sz w:val="20"/>
          </w:rPr>
          <w:t xml:space="preserve">Pág.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PAGE   \* MERGEFORMAT </w:instrText>
        </w:r>
        <w:r>
          <w:rPr>
            <w:sz w:val="20"/>
          </w:rPr>
          <w:fldChar w:fldCharType="separate"/>
        </w:r>
        <w:r>
          <w:rPr>
            <w:sz w:val="20"/>
          </w:rPr>
          <w:t xml:space="preserve">4</w:t>
        </w:r>
        <w:r>
          <w:rPr>
            <w:sz w:val="20"/>
          </w:rPr>
          <w:fldChar w:fldCharType="end"/>
        </w:r>
        <w:r>
          <w:rPr>
            <w:sz w:val="20"/>
          </w:rPr>
          <w:t xml:space="preserve"> de 4</w:t>
        </w:r>
        <w:r/>
      </w:p>
    </w:sdtContent>
  </w:sdt>
  <w:p>
    <w:pPr>
      <w:pStyle w:val="868"/>
      <w:jc w:val="center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660" w:hanging="660"/>
        <w:tabs>
          <w:tab w:val="num" w:pos="660" w:leader="none"/>
        </w:tabs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1020" w:hanging="660"/>
        <w:tabs>
          <w:tab w:val="num" w:pos="1020" w:leader="none"/>
        </w:tabs>
      </w:pPr>
      <w:rPr>
        <w:rFonts w:hint="default"/>
      </w:rPr>
    </w:lvl>
    <w:lvl w:ilvl="2">
      <w:start w:val="5"/>
      <w:numFmt w:val="decimal"/>
      <w:isLgl w:val="false"/>
      <w:suff w:val="tab"/>
      <w:lvlText w:val="%1.%2.%3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3">
      <w:start w:val="2"/>
      <w:numFmt w:val="decimal"/>
      <w:isLgl w:val="false"/>
      <w:suff w:val="tab"/>
      <w:lvlText w:val="%1.%2.%3.%4"/>
      <w:lvlJc w:val="left"/>
      <w:pPr>
        <w:ind w:left="1800" w:hanging="72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  <w:tabs>
          <w:tab w:val="num" w:pos="4680" w:leader="none"/>
        </w:tabs>
      </w:pPr>
      <w:rPr>
        <w:rFonts w:hint="default"/>
      </w:rPr>
    </w:lvl>
  </w:abstractNum>
  <w:abstractNum w:abstractNumId="2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660" w:hanging="660"/>
        <w:tabs>
          <w:tab w:val="num" w:pos="660" w:leader="none"/>
        </w:tabs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1020" w:hanging="660"/>
        <w:tabs>
          <w:tab w:val="num" w:pos="1020" w:leader="none"/>
        </w:tabs>
      </w:pPr>
      <w:rPr>
        <w:rFonts w:hint="default"/>
      </w:rPr>
    </w:lvl>
    <w:lvl w:ilvl="2">
      <w:start w:val="5"/>
      <w:numFmt w:val="decimal"/>
      <w:isLgl w:val="false"/>
      <w:suff w:val="tab"/>
      <w:lvlText w:val="%1.%2.%3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3">
      <w:start w:val="2"/>
      <w:numFmt w:val="decimal"/>
      <w:isLgl w:val="false"/>
      <w:suff w:val="tab"/>
      <w:lvlText w:val="%1.%2.%3.%4"/>
      <w:lvlJc w:val="left"/>
      <w:pPr>
        <w:ind w:left="1800" w:hanging="72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  <w:tabs>
          <w:tab w:val="num" w:pos="4680" w:leader="none"/>
        </w:tabs>
      </w:pPr>
      <w:rPr>
        <w:rFonts w:hint="default"/>
      </w:r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216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288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360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432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504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57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648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7200" w:leader="none"/>
        </w:tabs>
      </w:pPr>
    </w:lvl>
  </w:abstractNum>
  <w:abstractNum w:abstractNumId="4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660" w:hanging="660"/>
        <w:tabs>
          <w:tab w:val="num" w:pos="660" w:leader="none"/>
        </w:tabs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1020" w:hanging="660"/>
        <w:tabs>
          <w:tab w:val="num" w:pos="1020" w:leader="none"/>
        </w:tabs>
      </w:pPr>
      <w:rPr>
        <w:rFonts w:hint="default"/>
      </w:rPr>
    </w:lvl>
    <w:lvl w:ilvl="2">
      <w:start w:val="5"/>
      <w:numFmt w:val="decimal"/>
      <w:isLgl w:val="false"/>
      <w:suff w:val="tab"/>
      <w:lvlText w:val="%1.%2.%3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3">
      <w:start w:val="2"/>
      <w:numFmt w:val="decimal"/>
      <w:isLgl w:val="false"/>
      <w:suff w:val="tab"/>
      <w:lvlText w:val="%1.%2.%3.%4"/>
      <w:lvlJc w:val="left"/>
      <w:pPr>
        <w:ind w:left="1800" w:hanging="72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  <w:tabs>
          <w:tab w:val="num" w:pos="4680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80" w:hanging="360"/>
        <w:tabs>
          <w:tab w:val="num" w:pos="780" w:leader="none"/>
        </w:tabs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  <w:tabs>
          <w:tab w:val="num" w:pos="150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  <w:tabs>
          <w:tab w:val="num" w:pos="222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  <w:tabs>
          <w:tab w:val="num" w:pos="294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  <w:tabs>
          <w:tab w:val="num" w:pos="366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  <w:tabs>
          <w:tab w:val="num" w:pos="438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  <w:tabs>
          <w:tab w:val="num" w:pos="510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  <w:tabs>
          <w:tab w:val="num" w:pos="582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  <w:tabs>
          <w:tab w:val="num" w:pos="6540" w:leader="none"/>
        </w:tabs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6"/>
      <w:numFmt w:val="bullet"/>
      <w:isLgl w:val="false"/>
      <w:suff w:val="tab"/>
      <w:lvlText w:val="-"/>
      <w:lvlJc w:val="left"/>
      <w:pPr>
        <w:ind w:left="2493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321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93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65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7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9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81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53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253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10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8">
    <w:name w:val="Heading 1"/>
    <w:basedOn w:val="863"/>
    <w:next w:val="863"/>
    <w:link w:val="68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9">
    <w:name w:val="Heading 1 Char"/>
    <w:basedOn w:val="864"/>
    <w:link w:val="688"/>
    <w:uiPriority w:val="9"/>
    <w:rPr>
      <w:rFonts w:ascii="Arial" w:hAnsi="Arial" w:eastAsia="Arial" w:cs="Arial"/>
      <w:sz w:val="40"/>
      <w:szCs w:val="40"/>
    </w:rPr>
  </w:style>
  <w:style w:type="paragraph" w:styleId="690">
    <w:name w:val="Heading 2"/>
    <w:basedOn w:val="863"/>
    <w:next w:val="863"/>
    <w:link w:val="69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1">
    <w:name w:val="Heading 2 Char"/>
    <w:basedOn w:val="864"/>
    <w:link w:val="690"/>
    <w:uiPriority w:val="9"/>
    <w:rPr>
      <w:rFonts w:ascii="Arial" w:hAnsi="Arial" w:eastAsia="Arial" w:cs="Arial"/>
      <w:sz w:val="34"/>
    </w:rPr>
  </w:style>
  <w:style w:type="paragraph" w:styleId="692">
    <w:name w:val="Heading 3"/>
    <w:basedOn w:val="863"/>
    <w:next w:val="863"/>
    <w:link w:val="69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3">
    <w:name w:val="Heading 3 Char"/>
    <w:basedOn w:val="864"/>
    <w:link w:val="692"/>
    <w:uiPriority w:val="9"/>
    <w:rPr>
      <w:rFonts w:ascii="Arial" w:hAnsi="Arial" w:eastAsia="Arial" w:cs="Arial"/>
      <w:sz w:val="30"/>
      <w:szCs w:val="30"/>
    </w:rPr>
  </w:style>
  <w:style w:type="paragraph" w:styleId="694">
    <w:name w:val="Heading 4"/>
    <w:basedOn w:val="863"/>
    <w:next w:val="863"/>
    <w:link w:val="69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5">
    <w:name w:val="Heading 4 Char"/>
    <w:basedOn w:val="864"/>
    <w:link w:val="694"/>
    <w:uiPriority w:val="9"/>
    <w:rPr>
      <w:rFonts w:ascii="Arial" w:hAnsi="Arial" w:eastAsia="Arial" w:cs="Arial"/>
      <w:b/>
      <w:bCs/>
      <w:sz w:val="26"/>
      <w:szCs w:val="26"/>
    </w:rPr>
  </w:style>
  <w:style w:type="paragraph" w:styleId="696">
    <w:name w:val="Heading 5"/>
    <w:basedOn w:val="863"/>
    <w:next w:val="863"/>
    <w:link w:val="69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7">
    <w:name w:val="Heading 5 Char"/>
    <w:basedOn w:val="864"/>
    <w:link w:val="696"/>
    <w:uiPriority w:val="9"/>
    <w:rPr>
      <w:rFonts w:ascii="Arial" w:hAnsi="Arial" w:eastAsia="Arial" w:cs="Arial"/>
      <w:b/>
      <w:bCs/>
      <w:sz w:val="24"/>
      <w:szCs w:val="24"/>
    </w:rPr>
  </w:style>
  <w:style w:type="paragraph" w:styleId="698">
    <w:name w:val="Heading 6"/>
    <w:basedOn w:val="863"/>
    <w:next w:val="863"/>
    <w:link w:val="69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9">
    <w:name w:val="Heading 6 Char"/>
    <w:basedOn w:val="864"/>
    <w:link w:val="698"/>
    <w:uiPriority w:val="9"/>
    <w:rPr>
      <w:rFonts w:ascii="Arial" w:hAnsi="Arial" w:eastAsia="Arial" w:cs="Arial"/>
      <w:b/>
      <w:bCs/>
      <w:sz w:val="22"/>
      <w:szCs w:val="22"/>
    </w:rPr>
  </w:style>
  <w:style w:type="paragraph" w:styleId="700">
    <w:name w:val="Heading 7"/>
    <w:basedOn w:val="863"/>
    <w:next w:val="863"/>
    <w:link w:val="70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1">
    <w:name w:val="Heading 7 Char"/>
    <w:basedOn w:val="864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863"/>
    <w:next w:val="863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3">
    <w:name w:val="Heading 8 Char"/>
    <w:basedOn w:val="86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paragraph" w:styleId="704">
    <w:name w:val="Heading 9"/>
    <w:basedOn w:val="863"/>
    <w:next w:val="863"/>
    <w:link w:val="70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5">
    <w:name w:val="Heading 9 Char"/>
    <w:basedOn w:val="864"/>
    <w:link w:val="704"/>
    <w:uiPriority w:val="9"/>
    <w:rPr>
      <w:rFonts w:ascii="Arial" w:hAnsi="Arial" w:eastAsia="Arial" w:cs="Arial"/>
      <w:i/>
      <w:iCs/>
      <w:sz w:val="21"/>
      <w:szCs w:val="21"/>
    </w:rPr>
  </w:style>
  <w:style w:type="paragraph" w:styleId="706">
    <w:name w:val="List Paragraph"/>
    <w:basedOn w:val="863"/>
    <w:uiPriority w:val="34"/>
    <w:qFormat/>
    <w:pPr>
      <w:contextualSpacing/>
      <w:ind w:left="720"/>
    </w:pPr>
  </w:style>
  <w:style w:type="paragraph" w:styleId="707">
    <w:name w:val="No Spacing"/>
    <w:uiPriority w:val="1"/>
    <w:qFormat/>
    <w:pPr>
      <w:spacing w:before="0" w:after="0" w:line="240" w:lineRule="auto"/>
    </w:pPr>
  </w:style>
  <w:style w:type="paragraph" w:styleId="708">
    <w:name w:val="Title"/>
    <w:basedOn w:val="863"/>
    <w:next w:val="863"/>
    <w:link w:val="70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9">
    <w:name w:val="Title Char"/>
    <w:basedOn w:val="864"/>
    <w:link w:val="708"/>
    <w:uiPriority w:val="10"/>
    <w:rPr>
      <w:sz w:val="48"/>
      <w:szCs w:val="48"/>
    </w:rPr>
  </w:style>
  <w:style w:type="paragraph" w:styleId="710">
    <w:name w:val="Subtitle"/>
    <w:basedOn w:val="863"/>
    <w:next w:val="863"/>
    <w:link w:val="711"/>
    <w:uiPriority w:val="11"/>
    <w:qFormat/>
    <w:pPr>
      <w:spacing w:before="200" w:after="200"/>
    </w:pPr>
    <w:rPr>
      <w:sz w:val="24"/>
      <w:szCs w:val="24"/>
    </w:rPr>
  </w:style>
  <w:style w:type="character" w:styleId="711">
    <w:name w:val="Subtitle Char"/>
    <w:basedOn w:val="864"/>
    <w:link w:val="710"/>
    <w:uiPriority w:val="11"/>
    <w:rPr>
      <w:sz w:val="24"/>
      <w:szCs w:val="24"/>
    </w:rPr>
  </w:style>
  <w:style w:type="paragraph" w:styleId="712">
    <w:name w:val="Quote"/>
    <w:basedOn w:val="863"/>
    <w:next w:val="863"/>
    <w:link w:val="713"/>
    <w:uiPriority w:val="29"/>
    <w:qFormat/>
    <w:pPr>
      <w:ind w:left="720" w:right="720"/>
    </w:pPr>
    <w:rPr>
      <w:i/>
    </w:r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3"/>
    <w:next w:val="863"/>
    <w:link w:val="71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>
    <w:name w:val="Intense Quote Char"/>
    <w:link w:val="714"/>
    <w:uiPriority w:val="30"/>
    <w:rPr>
      <w:i/>
    </w:rPr>
  </w:style>
  <w:style w:type="character" w:styleId="716">
    <w:name w:val="Header Char"/>
    <w:basedOn w:val="864"/>
    <w:link w:val="867"/>
    <w:uiPriority w:val="99"/>
  </w:style>
  <w:style w:type="character" w:styleId="717">
    <w:name w:val="Footer Char"/>
    <w:basedOn w:val="864"/>
    <w:link w:val="868"/>
    <w:uiPriority w:val="99"/>
  </w:style>
  <w:style w:type="paragraph" w:styleId="718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9">
    <w:name w:val="Caption Char"/>
    <w:basedOn w:val="718"/>
    <w:link w:val="868"/>
    <w:uiPriority w:val="99"/>
  </w:style>
  <w:style w:type="table" w:styleId="720">
    <w:name w:val="Table Grid Light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Plain Table 1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2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4">
    <w:name w:val="Plain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Plain Table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6">
    <w:name w:val="Grid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8">
    <w:name w:val="Grid Table 4 - Accent 1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9">
    <w:name w:val="Grid Table 4 - Accent 2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0">
    <w:name w:val="Grid Table 4 - Accent 3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1">
    <w:name w:val="Grid Table 4 - Accent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2">
    <w:name w:val="Grid Table 4 - Accent 5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3">
    <w:name w:val="Grid Table 4 - Accent 6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4">
    <w:name w:val="Grid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1">
    <w:name w:val="Grid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2">
    <w:name w:val="Grid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3">
    <w:name w:val="Grid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4">
    <w:name w:val="Grid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5">
    <w:name w:val="Grid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6">
    <w:name w:val="Grid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3">
    <w:name w:val="List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4">
    <w:name w:val="List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5">
    <w:name w:val="List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6">
    <w:name w:val="List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7">
    <w:name w:val="List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8">
    <w:name w:val="List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9">
    <w:name w:val="List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1">
    <w:name w:val="List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2">
    <w:name w:val="List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List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4">
    <w:name w:val="List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List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6">
    <w:name w:val="List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7">
    <w:name w:val="List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8">
    <w:name w:val="List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9">
    <w:name w:val="List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0">
    <w:name w:val="List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1">
    <w:name w:val="List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2">
    <w:name w:val="List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3">
    <w:name w:val="List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4">
    <w:name w:val="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6">
    <w:name w:val="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7">
    <w:name w:val="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8">
    <w:name w:val="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9">
    <w:name w:val="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0">
    <w:name w:val="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1">
    <w:name w:val="Bordered &amp; 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2">
    <w:name w:val="Bordered &amp; 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3">
    <w:name w:val="Bordered &amp; 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4">
    <w:name w:val="Bordered &amp; 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5">
    <w:name w:val="Bordered &amp; 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6">
    <w:name w:val="Bordered &amp; 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7">
    <w:name w:val="Bordered &amp; 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8">
    <w:name w:val="Bordered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9">
    <w:name w:val="Bordered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0">
    <w:name w:val="Bordered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1">
    <w:name w:val="Bordered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2">
    <w:name w:val="Bordered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3">
    <w:name w:val="Bordered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4">
    <w:name w:val="Bordered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5">
    <w:name w:val="Hyperlink"/>
    <w:uiPriority w:val="99"/>
    <w:unhideWhenUsed/>
    <w:rPr>
      <w:color w:val="0000ff" w:themeColor="hyperlink"/>
      <w:u w:val="single"/>
    </w:rPr>
  </w:style>
  <w:style w:type="paragraph" w:styleId="846">
    <w:name w:val="footnote text"/>
    <w:basedOn w:val="863"/>
    <w:link w:val="847"/>
    <w:uiPriority w:val="99"/>
    <w:semiHidden/>
    <w:unhideWhenUsed/>
    <w:pPr>
      <w:spacing w:after="40" w:line="240" w:lineRule="auto"/>
    </w:pPr>
    <w:rPr>
      <w:sz w:val="18"/>
    </w:rPr>
  </w:style>
  <w:style w:type="character" w:styleId="847">
    <w:name w:val="Footnote Text Char"/>
    <w:link w:val="846"/>
    <w:uiPriority w:val="99"/>
    <w:rPr>
      <w:sz w:val="18"/>
    </w:rPr>
  </w:style>
  <w:style w:type="character" w:styleId="848">
    <w:name w:val="footnote reference"/>
    <w:basedOn w:val="864"/>
    <w:uiPriority w:val="99"/>
    <w:unhideWhenUsed/>
    <w:rPr>
      <w:vertAlign w:val="superscript"/>
    </w:rPr>
  </w:style>
  <w:style w:type="paragraph" w:styleId="849">
    <w:name w:val="endnote text"/>
    <w:basedOn w:val="863"/>
    <w:link w:val="850"/>
    <w:uiPriority w:val="99"/>
    <w:semiHidden/>
    <w:unhideWhenUsed/>
    <w:pPr>
      <w:spacing w:after="0" w:line="240" w:lineRule="auto"/>
    </w:pPr>
    <w:rPr>
      <w:sz w:val="20"/>
    </w:rPr>
  </w:style>
  <w:style w:type="character" w:styleId="850">
    <w:name w:val="Endnote Text Char"/>
    <w:link w:val="849"/>
    <w:uiPriority w:val="99"/>
    <w:rPr>
      <w:sz w:val="20"/>
    </w:rPr>
  </w:style>
  <w:style w:type="character" w:styleId="851">
    <w:name w:val="endnote reference"/>
    <w:basedOn w:val="864"/>
    <w:uiPriority w:val="99"/>
    <w:semiHidden/>
    <w:unhideWhenUsed/>
    <w:rPr>
      <w:vertAlign w:val="superscript"/>
    </w:rPr>
  </w:style>
  <w:style w:type="paragraph" w:styleId="852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853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854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855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856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857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858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859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860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861">
    <w:name w:val="TOC Heading"/>
    <w:uiPriority w:val="39"/>
    <w:unhideWhenUsed/>
  </w:style>
  <w:style w:type="paragraph" w:styleId="862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qFormat/>
    <w:rPr>
      <w:sz w:val="24"/>
      <w:szCs w:val="24"/>
    </w:rPr>
  </w:style>
  <w:style w:type="character" w:styleId="864" w:default="1">
    <w:name w:val="Default Paragraph Font"/>
    <w:uiPriority w:val="1"/>
    <w:semiHidden/>
    <w:unhideWhenUsed/>
  </w:style>
  <w:style w:type="table" w:styleId="865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6" w:default="1">
    <w:name w:val="No List"/>
    <w:uiPriority w:val="99"/>
    <w:semiHidden/>
    <w:unhideWhenUsed/>
  </w:style>
  <w:style w:type="paragraph" w:styleId="867">
    <w:name w:val="Header"/>
    <w:basedOn w:val="863"/>
    <w:link w:val="872"/>
    <w:uiPriority w:val="99"/>
    <w:pPr>
      <w:tabs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868">
    <w:name w:val="Footer"/>
    <w:basedOn w:val="863"/>
    <w:link w:val="869"/>
    <w:uiPriority w:val="99"/>
    <w:pPr>
      <w:tabs>
        <w:tab w:val="center" w:pos="4252" w:leader="none"/>
        <w:tab w:val="right" w:pos="8504" w:leader="none"/>
      </w:tabs>
    </w:pPr>
  </w:style>
  <w:style w:type="character" w:styleId="869" w:customStyle="1">
    <w:name w:val="Pie de página Car"/>
    <w:link w:val="868"/>
    <w:uiPriority w:val="99"/>
    <w:rPr>
      <w:sz w:val="24"/>
      <w:szCs w:val="24"/>
    </w:rPr>
  </w:style>
  <w:style w:type="paragraph" w:styleId="870">
    <w:name w:val="Balloon Text"/>
    <w:basedOn w:val="863"/>
    <w:link w:val="871"/>
    <w:rPr>
      <w:rFonts w:ascii="Tahoma" w:hAnsi="Tahoma"/>
      <w:sz w:val="16"/>
      <w:szCs w:val="16"/>
    </w:rPr>
  </w:style>
  <w:style w:type="character" w:styleId="871" w:customStyle="1">
    <w:name w:val="Texto de globo Car"/>
    <w:link w:val="870"/>
    <w:rPr>
      <w:rFonts w:ascii="Tahoma" w:hAnsi="Tahoma" w:cs="Tahoma"/>
      <w:sz w:val="16"/>
      <w:szCs w:val="16"/>
    </w:rPr>
  </w:style>
  <w:style w:type="character" w:styleId="872" w:customStyle="1">
    <w:name w:val="Encabezado Car"/>
    <w:link w:val="867"/>
    <w:uiPriority w:val="99"/>
    <w:rPr>
      <w:lang w:val="es-ES" w:eastAsia="es-ES"/>
    </w:rPr>
  </w:style>
  <w:style w:type="character" w:styleId="873">
    <w:name w:val="page number"/>
    <w:basedOn w:val="864"/>
  </w:style>
  <w:style w:type="table" w:styleId="874">
    <w:name w:val="Table Grid"/>
    <w:basedOn w:val="86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746ED-AD5E-4257-881A-B334423A2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ARMADA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CONMO_SECRE</dc:creator>
  <cp:keywords/>
  <dc:description/>
  <cp:revision>12</cp:revision>
  <dcterms:created xsi:type="dcterms:W3CDTF">2023-10-30T13:33:00Z</dcterms:created>
  <dcterms:modified xsi:type="dcterms:W3CDTF">2024-09-03T15:02:36Z</dcterms:modified>
</cp:coreProperties>
</file>