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10037" w:type="dxa"/>
        <w:tblInd w:w="-4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58"/>
        <w:gridCol w:w="2355"/>
        <w:gridCol w:w="4307"/>
        <w:gridCol w:w="1417"/>
      </w:tblGrid>
      <w:tr>
        <w:trPr>
          <w:cantSplit/>
          <w:trHeight w:val="693"/>
        </w:trPr>
        <w:tc>
          <w:tcPr>
            <w:tcW w:w="1958" w:type="dxa"/>
            <w:vAlign w:val="center"/>
            <w:vMerge w:val="restart"/>
            <w:textDirection w:val="lrTb"/>
            <w:noWrap w:val="false"/>
          </w:tcPr>
          <w:p>
            <w:pPr>
              <w:pStyle w:val="823"/>
              <w:ind w:left="290" w:right="1005"/>
              <w:jc w:val="center"/>
              <w:tabs>
                <w:tab w:val="left" w:pos="290" w:leader="none"/>
              </w:tabs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38200" cy="733425"/>
                      <wp:effectExtent l="19050" t="0" r="0" b="0"/>
                      <wp:docPr id="1" name="Imagen 3" descr="membrete ANCLAS-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 descr="membrete ANCLAS-2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38200" cy="73342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66.0pt;height:57.8pt;mso-wrap-distance-left:0.0pt;mso-wrap-distance-top:0.0pt;mso-wrap-distance-right:0.0pt;mso-wrap-distance-bottom:0.0pt;" stroked="f" strokeweight="0.75pt">
                      <v:path textboxrect="0,0,0,0"/>
                      <v:imagedata r:id="rId9" o:title=""/>
                    </v:shape>
                  </w:pict>
                </mc:Fallback>
              </mc:AlternateContent>
            </w:r>
            <w:r/>
          </w:p>
          <w:p>
            <w:pPr>
              <w:pStyle w:val="823"/>
              <w:jc w:val="center"/>
            </w:pPr>
            <w:r/>
            <w:r/>
          </w:p>
        </w:tc>
        <w:tc>
          <w:tcPr>
            <w:tcW w:w="2355" w:type="dxa"/>
            <w:vAlign w:val="center"/>
            <w:vMerge w:val="restart"/>
            <w:textDirection w:val="lrTb"/>
            <w:noWrap w:val="false"/>
          </w:tcPr>
          <w:p>
            <w:pPr>
              <w:pStyle w:val="823"/>
              <w:jc w:val="center"/>
              <w:spacing w:line="360" w:lineRule="auto"/>
              <w:rPr>
                <w:b/>
                <w:bCs/>
                <w:sz w:val="24"/>
              </w:rPr>
            </w:pPr>
            <w:r>
              <w:rPr>
                <w:b/>
                <w:bCs/>
                <w:sz w:val="28"/>
                <w:szCs w:val="28"/>
              </w:rPr>
              <w:t xml:space="preserve">Centro de Control Montevideo</w:t>
            </w:r>
            <w:r/>
          </w:p>
        </w:tc>
        <w:tc>
          <w:tcPr>
            <w:tcW w:w="4307" w:type="dxa"/>
            <w:vAlign w:val="center"/>
            <w:vMerge w:val="restart"/>
            <w:textDirection w:val="lrTb"/>
            <w:noWrap w:val="false"/>
          </w:tcPr>
          <w:p>
            <w:pPr>
              <w:pStyle w:val="823"/>
              <w:jc w:val="center"/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ANEXO CHARLIE </w:t>
            </w:r>
            <w:r/>
          </w:p>
          <w:p>
            <w:pPr>
              <w:pStyle w:val="823"/>
              <w:jc w:val="center"/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Seguimiento de oportunidad de Mejora </w:t>
            </w:r>
            <w:r/>
          </w:p>
        </w:tc>
        <w:tc>
          <w:tcPr>
            <w:tcW w:w="1417" w:type="dxa"/>
            <w:vAlign w:val="center"/>
            <w:textDirection w:val="lrTb"/>
            <w:noWrap w:val="false"/>
          </w:tcPr>
          <w:p>
            <w:pPr>
              <w:pStyle w:val="82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FO – 611 -0</w:t>
            </w:r>
            <w:r>
              <w:rPr>
                <w:b/>
                <w:bCs/>
              </w:rPr>
              <w:t xml:space="preserve">3</w:t>
            </w:r>
            <w:r/>
          </w:p>
        </w:tc>
      </w:tr>
      <w:tr>
        <w:trPr>
          <w:cantSplit/>
          <w:trHeight w:val="738"/>
        </w:trPr>
        <w:tc>
          <w:tcPr>
            <w:tcW w:w="1958" w:type="dxa"/>
            <w:vAlign w:val="center"/>
            <w:vMerge w:val="continue"/>
            <w:textDirection w:val="lrTb"/>
            <w:noWrap w:val="false"/>
          </w:tcPr>
          <w:p>
            <w:pPr>
              <w:pStyle w:val="823"/>
              <w:jc w:val="center"/>
            </w:pPr>
            <w:r/>
            <w:r/>
          </w:p>
        </w:tc>
        <w:tc>
          <w:tcPr>
            <w:tcW w:w="2355" w:type="dxa"/>
            <w:vAlign w:val="center"/>
            <w:vMerge w:val="continue"/>
            <w:textDirection w:val="lrTb"/>
            <w:noWrap w:val="false"/>
          </w:tcPr>
          <w:p>
            <w:pPr>
              <w:pStyle w:val="823"/>
              <w:jc w:val="center"/>
            </w:pPr>
            <w:r/>
            <w:r/>
          </w:p>
        </w:tc>
        <w:tc>
          <w:tcPr>
            <w:tcW w:w="4307" w:type="dxa"/>
            <w:vAlign w:val="center"/>
            <w:vMerge w:val="continue"/>
            <w:textDirection w:val="lrTb"/>
            <w:noWrap w:val="false"/>
          </w:tcPr>
          <w:p>
            <w:pPr>
              <w:pStyle w:val="823"/>
              <w:jc w:val="center"/>
            </w:pPr>
            <w:r/>
            <w:r/>
          </w:p>
        </w:tc>
        <w:tc>
          <w:tcPr>
            <w:tcW w:w="1417" w:type="dxa"/>
            <w:vAlign w:val="center"/>
            <w:textDirection w:val="lrTb"/>
            <w:noWrap w:val="false"/>
          </w:tcPr>
          <w:p>
            <w:pPr>
              <w:pStyle w:val="823"/>
              <w:ind w:right="-6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Revisión: </w:t>
            </w:r>
            <w:r>
              <w:rPr>
                <w:b/>
                <w:bCs/>
              </w:rPr>
              <w:t xml:space="preserve">8</w:t>
            </w:r>
            <w:r/>
          </w:p>
        </w:tc>
      </w:tr>
    </w:tbl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Informe realizado por el Grupo de Tra</w:t>
      </w:r>
      <w:r>
        <w:rPr>
          <w:rFonts w:ascii="Times New Roman" w:hAnsi="Times New Roman" w:cs="Times New Roman"/>
          <w:sz w:val="24"/>
          <w:szCs w:val="24"/>
        </w:rPr>
        <w:t xml:space="preserve">ba</w:t>
      </w:r>
      <w:r>
        <w:rPr>
          <w:rFonts w:ascii="Times New Roman" w:hAnsi="Times New Roman" w:cs="Times New Roman"/>
          <w:sz w:val="24"/>
          <w:szCs w:val="24"/>
        </w:rPr>
        <w:t xml:space="preserve">jo del mes de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Abril </w:t>
      </w:r>
      <w:r>
        <w:rPr>
          <w:rFonts w:ascii="Times New Roman" w:hAnsi="Times New Roman" w:cs="Times New Roman"/>
          <w:sz w:val="24"/>
          <w:szCs w:val="24"/>
        </w:rPr>
        <w:t xml:space="preserve">del 202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6</w:t>
      </w:r>
      <w:r>
        <w:rPr>
          <w:rFonts w:ascii="Times New Roman" w:hAnsi="Times New Roman" w:cs="Times New Roman"/>
          <w:sz w:val="24"/>
          <w:szCs w:val="24"/>
        </w:rPr>
        <w:t xml:space="preserve"> relacionado al abordaje de </w:t>
      </w:r>
      <w:r>
        <w:rPr>
          <w:rFonts w:ascii="Times New Roman" w:hAnsi="Times New Roman" w:cs="Times New Roman"/>
          <w:sz w:val="24"/>
          <w:szCs w:val="24"/>
          <w:lang w:val="es-UY"/>
        </w:rPr>
        <w:t xml:space="preserve">Oportunidad de Mejora </w:t>
      </w:r>
      <w:r>
        <w:rPr>
          <w:rFonts w:ascii="Times New Roman" w:hAnsi="Times New Roman" w:cs="Times New Roman"/>
          <w:sz w:val="24"/>
          <w:szCs w:val="24"/>
        </w:rPr>
        <w:t xml:space="preserve">. Insumos para la revisión por la Dirección.</w:t>
      </w:r>
      <w:r>
        <w:rPr>
          <w:rFonts w:ascii="Times New Roman" w:hAnsi="Times New Roman" w:cs="Times New Roman"/>
          <w:sz w:val="24"/>
          <w:szCs w:val="24"/>
        </w:rPr>
      </w:r>
      <w:r/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tbl>
      <w:tblPr>
        <w:tblW w:w="10774" w:type="dxa"/>
        <w:tblInd w:w="-6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75"/>
        <w:gridCol w:w="3812"/>
        <w:gridCol w:w="2544"/>
        <w:gridCol w:w="2543"/>
      </w:tblGrid>
      <w:tr>
        <w:trPr>
          <w:trHeight w:val="378"/>
        </w:trPr>
        <w:tc>
          <w:tcPr>
            <w:shd w:val="clear" w:color="000000" w:fill="ffff0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7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OPORTUNIDAD DE MEJORA </w:t>
            </w:r>
            <w:r/>
          </w:p>
        </w:tc>
        <w:tc>
          <w:tcPr>
            <w:shd w:val="clear" w:color="000000" w:fill="ffff00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812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Acciones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Abordaje</w:t>
            </w:r>
            <w:r/>
          </w:p>
        </w:tc>
        <w:tc>
          <w:tcPr>
            <w:shd w:val="clear" w:color="000000" w:fill="ffff00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4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Seguimiento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 </w:t>
            </w:r>
            <w:r/>
          </w:p>
        </w:tc>
        <w:tc>
          <w:tcPr>
            <w:shd w:val="clear" w:color="000000" w:fill="ffff00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43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Evaluación de la eficacia de las acciones tomadas</w:t>
            </w:r>
            <w:r/>
          </w:p>
        </w:tc>
      </w:tr>
      <w:tr>
        <w:trPr>
          <w:trHeight w:val="15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7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Compensación económica para los Radios  Operadores  de Centro de Control </w:t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812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Para el pago de esta compensación se requiere que el Radio Operador cumpla con los Requisitos estipulados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 por la Orden Interna PRENA 10030.1/17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 </w:t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44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Se elabora el IT 712-01, el cual especifica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 los  requisitos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 para remitir el listado requerido en la Orden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.</w:t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Este listado se envía hasta los dos primeros días hábiles del mes a Empre.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43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ES"/>
              </w:rPr>
              <w:t xml:space="preserve">Las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UY"/>
              </w:rPr>
              <w:t xml:space="preserve"> acciones tomadas ante Empre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E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Se mantiene dentro de los parámetros de seguimiento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UY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ES"/>
              </w:rPr>
              <w:t xml:space="preserve">Se evalúa como positiva las acciones tomadas.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r>
            <w:r/>
          </w:p>
        </w:tc>
      </w:tr>
      <w:tr>
        <w:trPr>
          <w:trHeight w:val="1299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7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Acenso del Personal. El personal de la Armada cuanta con un sistema de capacitación acenso que le permite aumentar sus ingreso y la responsabilidad en los  cargo que ocupa </w:t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812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Se efectúa la solicitud mediante la vía del mando a los efectos de que se recomiende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para las capacitación  y  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 competir por acenso </w:t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4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El Jefe de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 CONMO o en su defecto el Jefe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Operaciones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 se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encarga de calificar el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Personal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 las cuales son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 Anuales. </w:t>
            </w:r>
            <w:r/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Mediante la cual también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previa solicitud del interesado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 se recomienda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para la capacitación de acenso. 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43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es-MX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ES"/>
              </w:rPr>
              <w:t xml:space="preserve">Los cupos solicitados fueron otorgados en su totalidad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, evaluándose la eficacia de las acciones tomadas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es-MX"/>
              </w:rPr>
            </w:r>
            <w:r/>
          </w:p>
        </w:tc>
      </w:tr>
      <w:tr>
        <w:trPr>
          <w:trHeight w:val="1841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7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Incorporación de nuevos Equipos PC y recambio de ya existentes </w:t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812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Se solicito mediante Nota a ANP el recambio de Equipos PC ya existentes a préstamo por dicha entidad</w:t>
            </w:r>
            <w:r/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Se solicito a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ES"/>
              </w:rPr>
              <w:t xml:space="preserve">EMCOM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 recambio de Equipo PC para Puesto Zonal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ES"/>
              </w:rPr>
              <w:t xml:space="preserve">, Superviso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 y un Equipo nuevo completo para Gestiòn2</w:t>
            </w:r>
            <w:r>
              <w:t xml:space="preserve">  </w:t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44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Se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ES"/>
              </w:rPr>
              <w:t xml:space="preserve"> incorporan los Equipos en Secretaria-Gestión- Supervisor y Puesto de Jefe de Operaciones de CONMO.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ES"/>
              </w:rPr>
              <w:t xml:space="preserve">-Quedando pendiente recambio de Puesto Zonal.  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43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Se mantiene bajo control, dentro de los parámetros de seguimiento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.</w:t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UY"/>
              </w:rPr>
              <w:t xml:space="preserve"> </w:t>
            </w:r>
            <w:r/>
          </w:p>
        </w:tc>
      </w:tr>
      <w:tr>
        <w:trPr>
          <w:trHeight w:val="1841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5" w:type="dxa"/>
            <w:vMerge w:val="restart"/>
            <w:textDirection w:val="lrTb"/>
            <w:noWrap w:val="false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lang w:val="es-UY"/>
              </w:rPr>
              <w:t xml:space="preserve">Planificación del proyecto de la </w:t>
            </w:r>
            <w:r/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lang w:val="es-ES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lang w:val="es-UY"/>
              </w:rPr>
              <w:t xml:space="preserve">eubicacion de CONMO,mejora de Infractructura y tecnologia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lang w:val="es-E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lang w:val="es-UY"/>
              </w:rPr>
              <w:t xml:space="preserve"> </w:t>
            </w:r>
            <w:r>
              <w:rPr>
                <w:highlight w:val="white"/>
              </w:rPr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812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lang w:val="es-UY"/>
              </w:rPr>
              <w:t xml:space="preserve">Se solicita presupuesto a Empre  para reubicacion de la  Torre de Control </w:t>
            </w:r>
            <w:r>
              <w:rPr>
                <w:highlight w:val="white"/>
              </w:rPr>
            </w:r>
            <w:r/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lang w:val="es-UY"/>
              </w:rPr>
              <w:t xml:space="preserve">Se solicita mediante la via del mando al SCRA- CUGAR-SELAR- DATA presupuestar e informar el tralado de CONMO a la Camara.</w:t>
            </w:r>
            <w:r>
              <w:rPr>
                <w:highlight w:val="white"/>
              </w:rPr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544" w:type="dxa"/>
            <w:vMerge w:val="restart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U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UY"/>
              </w:rPr>
              <w:t xml:space="preserve">Se relizan Cartas de Servicios para las solicitudes, ante SCRA-CUGAR-SELAR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UY"/>
              </w:rPr>
              <w:t xml:space="preserve">Se mantine contacto telefoniaco por la via del mando con las Unidades para el seguimiento de la viabilidad de traslado de Conmo 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543" w:type="dxa"/>
            <w:vMerge w:val="restart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E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Se mantiene bajo control la acción tomada,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ES"/>
              </w:rPr>
              <w:t xml:space="preserve">quedando a la espera de que se otorgue  rubros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ES"/>
              </w:rPr>
            </w:r>
            <w:r/>
          </w:p>
        </w:tc>
      </w:tr>
      <w:tr>
        <w:trPr>
          <w:trHeight w:val="1841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5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lang w:val="es-UY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lang w:val="es-UY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lang w:val="es-UY"/>
              </w:rPr>
              <w:t xml:space="preserve">Compensación económica para el tripulante que ocupan tareas de control fronterizo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lang w:val="es-ES"/>
              </w:rPr>
              <w:t xml:space="preserve">, nocturnidad y años bonificados para su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lang w:val="es-ES"/>
              </w:rPr>
              <w:t xml:space="preserve">retiro  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lang w:val="es-UY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lang w:val="es-UY"/>
                <w14:ligatures w14:val="none"/>
              </w:rPr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812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U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ES"/>
              </w:rPr>
              <w:t xml:space="preserve">-Para el pago de control Fronterizo   se requiere que los tripulantes realicen tareas de vigilancias en apoyo a los Organismo con jurisdicción y competencia en la franja del territorio Nacional.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lang w:val="es-UY"/>
              </w:rPr>
              <w:t xml:space="preserve">Dec. 46/021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lang w:val="es-UY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lang w:val="es-UY"/>
              </w:rPr>
            </w:r>
            <w:r/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E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ES"/>
              </w:rPr>
              <w:t xml:space="preserve">-Para el pago de nocturnidad se requiere que los tripulantes trabajen mas de 5 horas consecutivas y en un lapso de 2200 a 0600.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ES"/>
              </w:rPr>
              <w:t xml:space="preserve">Dec 92/023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UY"/>
              </w:rPr>
            </w:r>
            <w:r/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lang w:val="es-U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ES"/>
              </w:rPr>
              <w:t xml:space="preserve">Los años bonificados es un beneficio para los Radios Operador-Telegrafista que cumplen funciones y están expuestos a emisión de ondas electromagnéticas en diversas frecuencias. Orden COMAR 1500.1/23 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UY"/>
              </w:rPr>
            </w:r>
            <w:r/>
          </w:p>
          <w:p>
            <w:p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E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ES"/>
              </w:rPr>
            </w:r>
            <w:r/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lang w:val="es-U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lang w:val="es-UY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lang w:val="es-UY"/>
              </w:rPr>
            </w:r>
            <w:r/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lang w:val="es-U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UY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UY"/>
              </w:rPr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544" w:type="dxa"/>
            <w:vMerge w:val="restart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E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ES"/>
              </w:rPr>
              <w:t xml:space="preserve">Se realiza actualización de estado de Personal de CONMO al Departamento de Personal de PREMO a requerimiento.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UY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E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ES"/>
              </w:rPr>
              <w:t xml:space="preserve">Donde se emite todos los meses los listados para el cobro de dichas compensaciones.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ES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E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ES"/>
              </w:rPr>
              <w:t xml:space="preserve">- Para que el beneficio de los años bonificados una vez este en procesos el retiro cada  tripulante recaba  la información documentada ante Libreta y EMCON. Se presenta ante RECUR 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E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ES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U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UY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UY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543" w:type="dxa"/>
            <w:vMerge w:val="restart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E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Se mantiene bajo control, dentro de los parámetros de seguimiento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E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E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UY"/>
              </w:rPr>
              <w:t xml:space="preserve">Se evalua como positiva las acciones tomadas ante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ES"/>
              </w:rPr>
              <w:t xml:space="preserve">PREMO.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ES"/>
              </w:rPr>
            </w:r>
            <w:r/>
          </w:p>
        </w:tc>
      </w:tr>
    </w:tbl>
    <w:p>
      <w:r/>
      <w:r/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Grupo de Trabajo del SGC CONMO</w:t>
      </w:r>
      <w:r/>
    </w:p>
    <w:sectPr>
      <w:footnotePr/>
      <w:endnotePr/>
      <w:type w:val="nextPage"/>
      <w:pgSz w:w="12240" w:h="15840" w:orient="portrait"/>
      <w:pgMar w:top="1417" w:right="1701" w:bottom="1417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42">
    <w:name w:val="Heading 1"/>
    <w:basedOn w:val="819"/>
    <w:next w:val="819"/>
    <w:link w:val="643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43">
    <w:name w:val="Heading 1 Char"/>
    <w:basedOn w:val="820"/>
    <w:link w:val="642"/>
    <w:uiPriority w:val="9"/>
    <w:rPr>
      <w:rFonts w:ascii="Arial" w:hAnsi="Arial" w:eastAsia="Arial" w:cs="Arial"/>
      <w:sz w:val="40"/>
      <w:szCs w:val="40"/>
    </w:rPr>
  </w:style>
  <w:style w:type="paragraph" w:styleId="644">
    <w:name w:val="Heading 2"/>
    <w:basedOn w:val="819"/>
    <w:next w:val="819"/>
    <w:link w:val="645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45">
    <w:name w:val="Heading 2 Char"/>
    <w:basedOn w:val="820"/>
    <w:link w:val="644"/>
    <w:uiPriority w:val="9"/>
    <w:rPr>
      <w:rFonts w:ascii="Arial" w:hAnsi="Arial" w:eastAsia="Arial" w:cs="Arial"/>
      <w:sz w:val="34"/>
    </w:rPr>
  </w:style>
  <w:style w:type="paragraph" w:styleId="646">
    <w:name w:val="Heading 3"/>
    <w:basedOn w:val="819"/>
    <w:next w:val="819"/>
    <w:link w:val="647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47">
    <w:name w:val="Heading 3 Char"/>
    <w:basedOn w:val="820"/>
    <w:link w:val="646"/>
    <w:uiPriority w:val="9"/>
    <w:rPr>
      <w:rFonts w:ascii="Arial" w:hAnsi="Arial" w:eastAsia="Arial" w:cs="Arial"/>
      <w:sz w:val="30"/>
      <w:szCs w:val="30"/>
    </w:rPr>
  </w:style>
  <w:style w:type="paragraph" w:styleId="648">
    <w:name w:val="Heading 4"/>
    <w:basedOn w:val="819"/>
    <w:next w:val="819"/>
    <w:link w:val="6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49">
    <w:name w:val="Heading 4 Char"/>
    <w:basedOn w:val="820"/>
    <w:link w:val="648"/>
    <w:uiPriority w:val="9"/>
    <w:rPr>
      <w:rFonts w:ascii="Arial" w:hAnsi="Arial" w:eastAsia="Arial" w:cs="Arial"/>
      <w:b/>
      <w:bCs/>
      <w:sz w:val="26"/>
      <w:szCs w:val="26"/>
    </w:rPr>
  </w:style>
  <w:style w:type="paragraph" w:styleId="650">
    <w:name w:val="Heading 5"/>
    <w:basedOn w:val="819"/>
    <w:next w:val="819"/>
    <w:link w:val="65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51">
    <w:name w:val="Heading 5 Char"/>
    <w:basedOn w:val="820"/>
    <w:link w:val="650"/>
    <w:uiPriority w:val="9"/>
    <w:rPr>
      <w:rFonts w:ascii="Arial" w:hAnsi="Arial" w:eastAsia="Arial" w:cs="Arial"/>
      <w:b/>
      <w:bCs/>
      <w:sz w:val="24"/>
      <w:szCs w:val="24"/>
    </w:rPr>
  </w:style>
  <w:style w:type="paragraph" w:styleId="652">
    <w:name w:val="Heading 6"/>
    <w:basedOn w:val="819"/>
    <w:next w:val="819"/>
    <w:link w:val="65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53">
    <w:name w:val="Heading 6 Char"/>
    <w:basedOn w:val="820"/>
    <w:link w:val="652"/>
    <w:uiPriority w:val="9"/>
    <w:rPr>
      <w:rFonts w:ascii="Arial" w:hAnsi="Arial" w:eastAsia="Arial" w:cs="Arial"/>
      <w:b/>
      <w:bCs/>
      <w:sz w:val="22"/>
      <w:szCs w:val="22"/>
    </w:rPr>
  </w:style>
  <w:style w:type="paragraph" w:styleId="654">
    <w:name w:val="Heading 7"/>
    <w:basedOn w:val="819"/>
    <w:next w:val="819"/>
    <w:link w:val="65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55">
    <w:name w:val="Heading 7 Char"/>
    <w:basedOn w:val="820"/>
    <w:link w:val="65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56">
    <w:name w:val="Heading 8"/>
    <w:basedOn w:val="819"/>
    <w:next w:val="819"/>
    <w:link w:val="65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57">
    <w:name w:val="Heading 8 Char"/>
    <w:basedOn w:val="820"/>
    <w:link w:val="656"/>
    <w:uiPriority w:val="9"/>
    <w:rPr>
      <w:rFonts w:ascii="Arial" w:hAnsi="Arial" w:eastAsia="Arial" w:cs="Arial"/>
      <w:i/>
      <w:iCs/>
      <w:sz w:val="22"/>
      <w:szCs w:val="22"/>
    </w:rPr>
  </w:style>
  <w:style w:type="paragraph" w:styleId="658">
    <w:name w:val="Heading 9"/>
    <w:basedOn w:val="819"/>
    <w:next w:val="819"/>
    <w:link w:val="65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59">
    <w:name w:val="Heading 9 Char"/>
    <w:basedOn w:val="820"/>
    <w:link w:val="658"/>
    <w:uiPriority w:val="9"/>
    <w:rPr>
      <w:rFonts w:ascii="Arial" w:hAnsi="Arial" w:eastAsia="Arial" w:cs="Arial"/>
      <w:i/>
      <w:iCs/>
      <w:sz w:val="21"/>
      <w:szCs w:val="21"/>
    </w:rPr>
  </w:style>
  <w:style w:type="paragraph" w:styleId="660">
    <w:name w:val="List Paragraph"/>
    <w:basedOn w:val="819"/>
    <w:uiPriority w:val="34"/>
    <w:qFormat/>
    <w:pPr>
      <w:contextualSpacing/>
      <w:ind w:left="720"/>
    </w:pPr>
  </w:style>
  <w:style w:type="paragraph" w:styleId="661">
    <w:name w:val="No Spacing"/>
    <w:uiPriority w:val="1"/>
    <w:qFormat/>
    <w:pPr>
      <w:spacing w:before="0" w:after="0" w:line="240" w:lineRule="auto"/>
    </w:pPr>
  </w:style>
  <w:style w:type="paragraph" w:styleId="662">
    <w:name w:val="Title"/>
    <w:basedOn w:val="819"/>
    <w:next w:val="819"/>
    <w:link w:val="66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63">
    <w:name w:val="Title Char"/>
    <w:basedOn w:val="820"/>
    <w:link w:val="662"/>
    <w:uiPriority w:val="10"/>
    <w:rPr>
      <w:sz w:val="48"/>
      <w:szCs w:val="48"/>
    </w:rPr>
  </w:style>
  <w:style w:type="paragraph" w:styleId="664">
    <w:name w:val="Subtitle"/>
    <w:basedOn w:val="819"/>
    <w:next w:val="819"/>
    <w:link w:val="665"/>
    <w:uiPriority w:val="11"/>
    <w:qFormat/>
    <w:pPr>
      <w:spacing w:before="200" w:after="200"/>
    </w:pPr>
    <w:rPr>
      <w:sz w:val="24"/>
      <w:szCs w:val="24"/>
    </w:rPr>
  </w:style>
  <w:style w:type="character" w:styleId="665">
    <w:name w:val="Subtitle Char"/>
    <w:basedOn w:val="820"/>
    <w:link w:val="664"/>
    <w:uiPriority w:val="11"/>
    <w:rPr>
      <w:sz w:val="24"/>
      <w:szCs w:val="24"/>
    </w:rPr>
  </w:style>
  <w:style w:type="paragraph" w:styleId="666">
    <w:name w:val="Quote"/>
    <w:basedOn w:val="819"/>
    <w:next w:val="819"/>
    <w:link w:val="667"/>
    <w:uiPriority w:val="29"/>
    <w:qFormat/>
    <w:pPr>
      <w:ind w:left="720" w:right="720"/>
    </w:pPr>
    <w:rPr>
      <w:i/>
    </w:rPr>
  </w:style>
  <w:style w:type="character" w:styleId="667">
    <w:name w:val="Quote Char"/>
    <w:link w:val="666"/>
    <w:uiPriority w:val="29"/>
    <w:rPr>
      <w:i/>
    </w:rPr>
  </w:style>
  <w:style w:type="paragraph" w:styleId="668">
    <w:name w:val="Intense Quote"/>
    <w:basedOn w:val="819"/>
    <w:next w:val="819"/>
    <w:link w:val="66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69">
    <w:name w:val="Intense Quote Char"/>
    <w:link w:val="668"/>
    <w:uiPriority w:val="30"/>
    <w:rPr>
      <w:i/>
    </w:rPr>
  </w:style>
  <w:style w:type="character" w:styleId="670">
    <w:name w:val="Header Char"/>
    <w:basedOn w:val="820"/>
    <w:link w:val="823"/>
    <w:uiPriority w:val="99"/>
  </w:style>
  <w:style w:type="paragraph" w:styleId="671">
    <w:name w:val="Footer"/>
    <w:basedOn w:val="819"/>
    <w:link w:val="67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72">
    <w:name w:val="Footer Char"/>
    <w:basedOn w:val="820"/>
    <w:link w:val="671"/>
    <w:uiPriority w:val="99"/>
  </w:style>
  <w:style w:type="paragraph" w:styleId="673">
    <w:name w:val="Caption"/>
    <w:basedOn w:val="819"/>
    <w:next w:val="81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74">
    <w:name w:val="Caption Char"/>
    <w:basedOn w:val="673"/>
    <w:link w:val="671"/>
    <w:uiPriority w:val="99"/>
  </w:style>
  <w:style w:type="table" w:styleId="675">
    <w:name w:val="Table Grid"/>
    <w:basedOn w:val="82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76">
    <w:name w:val="Table Grid Light"/>
    <w:basedOn w:val="82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77">
    <w:name w:val="Plain Table 1"/>
    <w:basedOn w:val="82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8">
    <w:name w:val="Plain Table 2"/>
    <w:basedOn w:val="82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9">
    <w:name w:val="Plain Table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80">
    <w:name w:val="Plain Table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1">
    <w:name w:val="Plain Table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82">
    <w:name w:val="Grid Table 1 Light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3">
    <w:name w:val="Grid Table 1 Light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4">
    <w:name w:val="Grid Table 1 Light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5">
    <w:name w:val="Grid Table 1 Light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6">
    <w:name w:val="Grid Table 1 Light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7">
    <w:name w:val="Grid Table 1 Light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8">
    <w:name w:val="Grid Table 1 Light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9">
    <w:name w:val="Grid Table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0">
    <w:name w:val="Grid Table 2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1">
    <w:name w:val="Grid Table 2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2">
    <w:name w:val="Grid Table 2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3">
    <w:name w:val="Grid Table 2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4">
    <w:name w:val="Grid Table 2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5">
    <w:name w:val="Grid Table 2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6">
    <w:name w:val="Grid Table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7">
    <w:name w:val="Grid Table 3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8">
    <w:name w:val="Grid Table 3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9">
    <w:name w:val="Grid Table 3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0">
    <w:name w:val="Grid Table 3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3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3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4"/>
    <w:basedOn w:val="8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04">
    <w:name w:val="Grid Table 4 - Accent 1"/>
    <w:basedOn w:val="8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05">
    <w:name w:val="Grid Table 4 - Accent 2"/>
    <w:basedOn w:val="8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06">
    <w:name w:val="Grid Table 4 - Accent 3"/>
    <w:basedOn w:val="8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07">
    <w:name w:val="Grid Table 4 - Accent 4"/>
    <w:basedOn w:val="8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08">
    <w:name w:val="Grid Table 4 - Accent 5"/>
    <w:basedOn w:val="8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09">
    <w:name w:val="Grid Table 4 - Accent 6"/>
    <w:basedOn w:val="8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10">
    <w:name w:val="Grid Table 5 Dark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11">
    <w:name w:val="Grid Table 5 Dark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12">
    <w:name w:val="Grid Table 5 Dark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13">
    <w:name w:val="Grid Table 5 Dark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14">
    <w:name w:val="Grid Table 5 Dark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15">
    <w:name w:val="Grid Table 5 Dark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16">
    <w:name w:val="Grid Table 5 Dark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17">
    <w:name w:val="Grid Table 6 Colorful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18">
    <w:name w:val="Grid Table 6 Colorful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19">
    <w:name w:val="Grid Table 6 Colorful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20">
    <w:name w:val="Grid Table 6 Colorful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21">
    <w:name w:val="Grid Table 6 Colorful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22">
    <w:name w:val="Grid Table 6 Colorful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23">
    <w:name w:val="Grid Table 6 Colorful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24">
    <w:name w:val="Grid Table 7 Colorful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7 Colorful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7 Colorful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7 Colorful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7 Colorful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7 Colorful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7 Colorful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List Table 1 Light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List Table 1 Light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List Table 1 Light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List Table 1 Light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List Table 1 Light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List Table 1 Light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List Table 1 Light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List Table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39">
    <w:name w:val="List Table 2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40">
    <w:name w:val="List Table 2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41">
    <w:name w:val="List Table 2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42">
    <w:name w:val="List Table 2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43">
    <w:name w:val="List Table 2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44">
    <w:name w:val="List Table 2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45">
    <w:name w:val="List Table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List Table 3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List Table 3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List Table 3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List Table 3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List Table 3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List Table 3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List Table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List Table 4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List Table 4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>
    <w:name w:val="List Table 4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List Table 4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4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4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5 Dark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0">
    <w:name w:val="List Table 5 Dark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1">
    <w:name w:val="List Table 5 Dark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2">
    <w:name w:val="List Table 5 Dark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3">
    <w:name w:val="List Table 5 Dark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4">
    <w:name w:val="List Table 5 Dark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5">
    <w:name w:val="List Table 5 Dark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6">
    <w:name w:val="List Table 6 Colorful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67">
    <w:name w:val="List Table 6 Colorful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68">
    <w:name w:val="List Table 6 Colorful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69">
    <w:name w:val="List Table 6 Colorful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70">
    <w:name w:val="List Table 6 Colorful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71">
    <w:name w:val="List Table 6 Colorful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72">
    <w:name w:val="List Table 6 Colorful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73">
    <w:name w:val="List Table 7 Colorful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74">
    <w:name w:val="List Table 7 Colorful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75">
    <w:name w:val="List Table 7 Colorful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76">
    <w:name w:val="List Table 7 Colorful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77">
    <w:name w:val="List Table 7 Colorful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78">
    <w:name w:val="List Table 7 Colorful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79">
    <w:name w:val="List Table 7 Colorful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80">
    <w:name w:val="Lined - Accent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1">
    <w:name w:val="Lined - Accent 1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82">
    <w:name w:val="Lined - Accent 2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83">
    <w:name w:val="Lined - Accent 3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84">
    <w:name w:val="Lined - Accent 4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85">
    <w:name w:val="Lined - Accent 5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86">
    <w:name w:val="Lined - Accent 6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87">
    <w:name w:val="Bordered &amp; Lined - Accent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8">
    <w:name w:val="Bordered &amp; Lined - Accent 1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89">
    <w:name w:val="Bordered &amp; Lined - Accent 2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0">
    <w:name w:val="Bordered &amp; Lined - Accent 3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1">
    <w:name w:val="Bordered &amp; Lined - Accent 4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2">
    <w:name w:val="Bordered &amp; Lined - Accent 5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3">
    <w:name w:val="Bordered &amp; Lined - Accent 6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4">
    <w:name w:val="Bordered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795">
    <w:name w:val="Bordered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796">
    <w:name w:val="Bordered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797">
    <w:name w:val="Bordered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798">
    <w:name w:val="Bordered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799">
    <w:name w:val="Bordered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00">
    <w:name w:val="Bordered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01">
    <w:name w:val="Hyperlink"/>
    <w:uiPriority w:val="99"/>
    <w:unhideWhenUsed/>
    <w:rPr>
      <w:color w:val="0000ff" w:themeColor="hyperlink"/>
      <w:u w:val="single"/>
    </w:rPr>
  </w:style>
  <w:style w:type="paragraph" w:styleId="802">
    <w:name w:val="footnote text"/>
    <w:basedOn w:val="819"/>
    <w:link w:val="803"/>
    <w:uiPriority w:val="99"/>
    <w:semiHidden/>
    <w:unhideWhenUsed/>
    <w:pPr>
      <w:spacing w:after="40" w:line="240" w:lineRule="auto"/>
    </w:pPr>
    <w:rPr>
      <w:sz w:val="18"/>
    </w:rPr>
  </w:style>
  <w:style w:type="character" w:styleId="803">
    <w:name w:val="Footnote Text Char"/>
    <w:link w:val="802"/>
    <w:uiPriority w:val="99"/>
    <w:rPr>
      <w:sz w:val="18"/>
    </w:rPr>
  </w:style>
  <w:style w:type="character" w:styleId="804">
    <w:name w:val="footnote reference"/>
    <w:basedOn w:val="820"/>
    <w:uiPriority w:val="99"/>
    <w:unhideWhenUsed/>
    <w:rPr>
      <w:vertAlign w:val="superscript"/>
    </w:rPr>
  </w:style>
  <w:style w:type="paragraph" w:styleId="805">
    <w:name w:val="endnote text"/>
    <w:basedOn w:val="819"/>
    <w:link w:val="806"/>
    <w:uiPriority w:val="99"/>
    <w:semiHidden/>
    <w:unhideWhenUsed/>
    <w:pPr>
      <w:spacing w:after="0" w:line="240" w:lineRule="auto"/>
    </w:pPr>
    <w:rPr>
      <w:sz w:val="20"/>
    </w:rPr>
  </w:style>
  <w:style w:type="character" w:styleId="806">
    <w:name w:val="Endnote Text Char"/>
    <w:link w:val="805"/>
    <w:uiPriority w:val="99"/>
    <w:rPr>
      <w:sz w:val="20"/>
    </w:rPr>
  </w:style>
  <w:style w:type="character" w:styleId="807">
    <w:name w:val="endnote reference"/>
    <w:basedOn w:val="820"/>
    <w:uiPriority w:val="99"/>
    <w:semiHidden/>
    <w:unhideWhenUsed/>
    <w:rPr>
      <w:vertAlign w:val="superscript"/>
    </w:rPr>
  </w:style>
  <w:style w:type="paragraph" w:styleId="808">
    <w:name w:val="toc 1"/>
    <w:basedOn w:val="819"/>
    <w:next w:val="819"/>
    <w:uiPriority w:val="39"/>
    <w:unhideWhenUsed/>
    <w:pPr>
      <w:ind w:left="0" w:right="0" w:firstLine="0"/>
      <w:spacing w:after="57"/>
    </w:pPr>
  </w:style>
  <w:style w:type="paragraph" w:styleId="809">
    <w:name w:val="toc 2"/>
    <w:basedOn w:val="819"/>
    <w:next w:val="819"/>
    <w:uiPriority w:val="39"/>
    <w:unhideWhenUsed/>
    <w:pPr>
      <w:ind w:left="283" w:right="0" w:firstLine="0"/>
      <w:spacing w:after="57"/>
    </w:pPr>
  </w:style>
  <w:style w:type="paragraph" w:styleId="810">
    <w:name w:val="toc 3"/>
    <w:basedOn w:val="819"/>
    <w:next w:val="819"/>
    <w:uiPriority w:val="39"/>
    <w:unhideWhenUsed/>
    <w:pPr>
      <w:ind w:left="567" w:right="0" w:firstLine="0"/>
      <w:spacing w:after="57"/>
    </w:pPr>
  </w:style>
  <w:style w:type="paragraph" w:styleId="811">
    <w:name w:val="toc 4"/>
    <w:basedOn w:val="819"/>
    <w:next w:val="819"/>
    <w:uiPriority w:val="39"/>
    <w:unhideWhenUsed/>
    <w:pPr>
      <w:ind w:left="850" w:right="0" w:firstLine="0"/>
      <w:spacing w:after="57"/>
    </w:pPr>
  </w:style>
  <w:style w:type="paragraph" w:styleId="812">
    <w:name w:val="toc 5"/>
    <w:basedOn w:val="819"/>
    <w:next w:val="819"/>
    <w:uiPriority w:val="39"/>
    <w:unhideWhenUsed/>
    <w:pPr>
      <w:ind w:left="1134" w:right="0" w:firstLine="0"/>
      <w:spacing w:after="57"/>
    </w:pPr>
  </w:style>
  <w:style w:type="paragraph" w:styleId="813">
    <w:name w:val="toc 6"/>
    <w:basedOn w:val="819"/>
    <w:next w:val="819"/>
    <w:uiPriority w:val="39"/>
    <w:unhideWhenUsed/>
    <w:pPr>
      <w:ind w:left="1417" w:right="0" w:firstLine="0"/>
      <w:spacing w:after="57"/>
    </w:pPr>
  </w:style>
  <w:style w:type="paragraph" w:styleId="814">
    <w:name w:val="toc 7"/>
    <w:basedOn w:val="819"/>
    <w:next w:val="819"/>
    <w:uiPriority w:val="39"/>
    <w:unhideWhenUsed/>
    <w:pPr>
      <w:ind w:left="1701" w:right="0" w:firstLine="0"/>
      <w:spacing w:after="57"/>
    </w:pPr>
  </w:style>
  <w:style w:type="paragraph" w:styleId="815">
    <w:name w:val="toc 8"/>
    <w:basedOn w:val="819"/>
    <w:next w:val="819"/>
    <w:uiPriority w:val="39"/>
    <w:unhideWhenUsed/>
    <w:pPr>
      <w:ind w:left="1984" w:right="0" w:firstLine="0"/>
      <w:spacing w:after="57"/>
    </w:pPr>
  </w:style>
  <w:style w:type="paragraph" w:styleId="816">
    <w:name w:val="toc 9"/>
    <w:basedOn w:val="819"/>
    <w:next w:val="819"/>
    <w:uiPriority w:val="39"/>
    <w:unhideWhenUsed/>
    <w:pPr>
      <w:ind w:left="2268" w:right="0" w:firstLine="0"/>
      <w:spacing w:after="57"/>
    </w:pPr>
  </w:style>
  <w:style w:type="paragraph" w:styleId="817">
    <w:name w:val="TOC Heading"/>
    <w:uiPriority w:val="39"/>
    <w:unhideWhenUsed/>
  </w:style>
  <w:style w:type="paragraph" w:styleId="818">
    <w:name w:val="table of figures"/>
    <w:basedOn w:val="819"/>
    <w:next w:val="819"/>
    <w:uiPriority w:val="99"/>
    <w:unhideWhenUsed/>
    <w:pPr>
      <w:spacing w:after="0" w:afterAutospacing="0"/>
    </w:pPr>
  </w:style>
  <w:style w:type="paragraph" w:styleId="819" w:default="1">
    <w:name w:val="Normal"/>
    <w:qFormat/>
  </w:style>
  <w:style w:type="character" w:styleId="820" w:default="1">
    <w:name w:val="Default Paragraph Font"/>
    <w:uiPriority w:val="1"/>
    <w:semiHidden/>
    <w:unhideWhenUsed/>
  </w:style>
  <w:style w:type="table" w:styleId="821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22" w:default="1">
    <w:name w:val="No List"/>
    <w:uiPriority w:val="99"/>
    <w:semiHidden/>
    <w:unhideWhenUsed/>
  </w:style>
  <w:style w:type="paragraph" w:styleId="823">
    <w:name w:val="Header"/>
    <w:basedOn w:val="819"/>
    <w:link w:val="824"/>
    <w:uiPriority w:val="99"/>
    <w:pPr>
      <w:spacing w:after="0" w:line="240" w:lineRule="auto"/>
      <w:tabs>
        <w:tab w:val="center" w:pos="4419" w:leader="none"/>
        <w:tab w:val="right" w:pos="8838" w:leader="none"/>
      </w:tabs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character" w:styleId="824" w:customStyle="1">
    <w:name w:val="Encabezado Car"/>
    <w:basedOn w:val="820"/>
    <w:link w:val="823"/>
    <w:uiPriority w:val="99"/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825">
    <w:name w:val="Balloon Text"/>
    <w:basedOn w:val="819"/>
    <w:link w:val="826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826" w:customStyle="1">
    <w:name w:val="Texto de globo Car"/>
    <w:basedOn w:val="820"/>
    <w:link w:val="825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Ceibal</dc:creator>
  <cp:keywords/>
  <dc:description/>
  <cp:revision>13</cp:revision>
  <dcterms:created xsi:type="dcterms:W3CDTF">2023-10-30T14:00:00Z</dcterms:created>
  <dcterms:modified xsi:type="dcterms:W3CDTF">2026-03-27T14:49:11Z</dcterms:modified>
</cp:coreProperties>
</file>