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 OBJETIVO</w:t>
      </w:r>
      <w:r/>
    </w:p>
    <w:p>
      <w:pPr>
        <w:pStyle w:val="1058"/>
        <w:jc w:val="both"/>
        <w:spacing w:line="360" w:lineRule="auto"/>
        <w:rPr>
          <w:szCs w:val="24"/>
        </w:rPr>
      </w:pPr>
      <w:r>
        <w:t xml:space="preserve">El objetivo de este instructivo es para establecer la trazabilidad de los expedientes, C/S, oficios, etc que ingresan y egresan a la Secretaría del Centro de Control e Información del Movimiento Marítimo del Puerto de Montevideo desde PREMO</w:t>
      </w:r>
      <w:r>
        <w:rPr>
          <w:szCs w:val="24"/>
        </w:rPr>
        <w:t xml:space="preserve">.</w:t>
      </w:r>
      <w:r/>
    </w:p>
    <w:p>
      <w:pPr>
        <w:pStyle w:val="1058"/>
        <w:jc w:val="both"/>
        <w:spacing w:line="360" w:lineRule="auto"/>
        <w:rPr>
          <w:szCs w:val="24"/>
        </w:rPr>
      </w:pPr>
      <w:r>
        <w:rPr>
          <w:szCs w:val="24"/>
        </w:rPr>
      </w:r>
      <w:r/>
    </w:p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 ALCANCE</w:t>
      </w:r>
      <w:r/>
    </w:p>
    <w:p>
      <w:pPr>
        <w:pStyle w:val="1058"/>
        <w:jc w:val="both"/>
        <w:spacing w:line="360" w:lineRule="auto"/>
      </w:pPr>
      <w:r>
        <w:t xml:space="preserve">Este instructivo se aplica a los expedientes, C/S, oficio, etc que ingresan y egresan de CONMO. </w:t>
      </w:r>
      <w:r/>
    </w:p>
    <w:p>
      <w:pPr>
        <w:pStyle w:val="1058"/>
        <w:jc w:val="both"/>
        <w:spacing w:line="360" w:lineRule="auto"/>
      </w:pPr>
      <w:r/>
      <w:r/>
    </w:p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 REFERENCIAS</w:t>
      </w:r>
      <w:r/>
    </w:p>
    <w:p>
      <w:pPr>
        <w:pStyle w:val="1058"/>
        <w:jc w:val="both"/>
        <w:spacing w:line="360" w:lineRule="auto"/>
      </w:pPr>
      <w:r>
        <w:t xml:space="preserve">     MC – 422 – 02</w:t>
      </w:r>
      <w:r/>
    </w:p>
    <w:p>
      <w:pPr>
        <w:pStyle w:val="1058"/>
        <w:ind w:firstLine="283"/>
        <w:jc w:val="both"/>
        <w:spacing w:line="360" w:lineRule="auto"/>
      </w:pPr>
      <w:r>
        <w:t xml:space="preserve">CR 10 C</w:t>
      </w:r>
      <w:r/>
    </w:p>
    <w:p>
      <w:pPr>
        <w:pStyle w:val="1058"/>
        <w:ind w:firstLine="283"/>
        <w:jc w:val="both"/>
        <w:spacing w:line="360" w:lineRule="auto"/>
      </w:pPr>
      <w:r/>
      <w:r/>
    </w:p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RESPONSABILIDADES</w:t>
      </w:r>
      <w:r/>
    </w:p>
    <w:p>
      <w:pPr>
        <w:pStyle w:val="1058"/>
        <w:numPr>
          <w:ilvl w:val="1"/>
          <w:numId w:val="2"/>
        </w:numPr>
        <w:jc w:val="both"/>
        <w:spacing w:line="360" w:lineRule="auto"/>
        <w:tabs>
          <w:tab w:val="left" w:pos="6003" w:leader="none"/>
        </w:tabs>
      </w:pPr>
      <w:r>
        <w:t xml:space="preserve">Aprobación: Prefecto del Puerto de Montevideo.</w:t>
      </w:r>
      <w:r/>
    </w:p>
    <w:p>
      <w:pPr>
        <w:pStyle w:val="1058"/>
        <w:numPr>
          <w:ilvl w:val="1"/>
          <w:numId w:val="2"/>
        </w:numPr>
        <w:jc w:val="both"/>
        <w:spacing w:line="360" w:lineRule="auto"/>
        <w:tabs>
          <w:tab w:val="left" w:pos="6003" w:leader="none"/>
        </w:tabs>
      </w:pPr>
      <w:r>
        <w:t xml:space="preserve">Revisión, Identificación y Actualización: Jefe de CONMO.</w:t>
      </w:r>
      <w:r/>
    </w:p>
    <w:p>
      <w:pPr>
        <w:pStyle w:val="1058"/>
        <w:numPr>
          <w:ilvl w:val="1"/>
          <w:numId w:val="2"/>
        </w:numPr>
        <w:jc w:val="both"/>
        <w:spacing w:line="360" w:lineRule="auto"/>
        <w:tabs>
          <w:tab w:val="left" w:pos="6003" w:leader="none"/>
        </w:tabs>
      </w:pPr>
      <w:r>
        <w:t xml:space="preserve">Distribución, Identificación de cambios y estado: Jefe de Control Montevideo.</w:t>
      </w:r>
      <w:r/>
    </w:p>
    <w:p>
      <w:pPr>
        <w:pStyle w:val="1058"/>
        <w:numPr>
          <w:ilvl w:val="1"/>
          <w:numId w:val="2"/>
        </w:numPr>
        <w:jc w:val="both"/>
        <w:spacing w:line="360" w:lineRule="auto"/>
        <w:tabs>
          <w:tab w:val="left" w:pos="6003" w:leader="none"/>
        </w:tabs>
      </w:pPr>
      <w:r>
        <w:t xml:space="preserve">Disponibilidad y legibilidad: Jefe de Control Montevideo.</w:t>
      </w:r>
      <w:r/>
    </w:p>
    <w:p>
      <w:pPr>
        <w:pStyle w:val="1058"/>
        <w:numPr>
          <w:ilvl w:val="1"/>
          <w:numId w:val="2"/>
        </w:numPr>
        <w:jc w:val="both"/>
        <w:spacing w:line="360" w:lineRule="auto"/>
        <w:tabs>
          <w:tab w:val="left" w:pos="6003" w:leader="none"/>
        </w:tabs>
      </w:pPr>
      <w:r>
        <w:t xml:space="preserve">Control de los Registros: Encargados de áreas en que se utilizan los diferentes formatos de registro.</w:t>
      </w:r>
      <w:r/>
    </w:p>
    <w:p>
      <w:pPr>
        <w:pStyle w:val="1058"/>
        <w:ind w:left="644"/>
        <w:jc w:val="both"/>
        <w:spacing w:line="360" w:lineRule="auto"/>
        <w:tabs>
          <w:tab w:val="left" w:pos="6003" w:leader="none"/>
        </w:tabs>
      </w:pPr>
      <w:r/>
      <w:r/>
    </w:p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 DEFINICIONES, ABREVIATURAS Y SÍMBOLOS</w:t>
      </w:r>
      <w:r/>
    </w:p>
    <w:p>
      <w:pPr>
        <w:pStyle w:val="1058"/>
        <w:ind w:left="426"/>
        <w:jc w:val="both"/>
        <w:spacing w:line="360" w:lineRule="auto"/>
        <w:tabs>
          <w:tab w:val="left" w:pos="4684" w:leader="none"/>
        </w:tabs>
        <w:rPr>
          <w:lang w:val="es-ES"/>
        </w:rPr>
      </w:pPr>
      <w:r>
        <w:t xml:space="preserve">MC – 422 - 02</w:t>
      </w:r>
      <w:r>
        <w:rPr>
          <w:lang w:val="es-ES"/>
        </w:rPr>
        <w:t xml:space="preserve">.</w:t>
      </w:r>
      <w:r/>
    </w:p>
    <w:p>
      <w:pPr>
        <w:pStyle w:val="1058"/>
        <w:ind w:left="426"/>
        <w:jc w:val="both"/>
        <w:spacing w:line="360" w:lineRule="auto"/>
        <w:tabs>
          <w:tab w:val="left" w:pos="4684" w:leader="none"/>
        </w:tabs>
        <w:rPr>
          <w:lang w:val="es-ES"/>
        </w:rPr>
      </w:pPr>
      <w:r>
        <w:rPr>
          <w:lang w:val="es-ES"/>
        </w:rPr>
      </w:r>
      <w:r/>
    </w:p>
    <w:p>
      <w:pPr>
        <w:pStyle w:val="1058"/>
        <w:numPr>
          <w:ilvl w:val="0"/>
          <w:numId w:val="1"/>
        </w:numPr>
        <w:jc w:val="both"/>
        <w:spacing w:line="360" w:lineRule="auto"/>
      </w:pPr>
      <w:r>
        <w:rPr>
          <w:b/>
          <w:sz w:val="28"/>
        </w:rPr>
        <w:t xml:space="preserve"> DESARROLLO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 xml:space="preserve">6.1 </w:t>
        <w:tab/>
        <w:t xml:space="preserve">Los expedientes, C/S, oficio, etc que se reciben en la Secretaría de CONMO son para conocimiento, cumplimiento o para informar a PREMO. 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 xml:space="preserve">6.2 CONMO también puede generar expedientes, como ser Cartas de Servicio, Informes, Memorandum o Notas. Las mismas son emitidas con destino PREMO, para su firma y posterior distribución.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 xml:space="preserve">6.3</w:t>
        <w:tab/>
        <w:t xml:space="preserve">A continuación se desarrolla el proceso de cómo ingresan y egresan esos expedientes de CONMO: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6.3.1. Todos los expedientes que entren para CONMO deben ser Identificados. Pueden poseer un sello con la siguiente información: </w:t>
        <w:tab/>
        <w:t xml:space="preserve">a) Nro de expediente de entrada</w:t>
        <w:tab/>
        <w:tab/>
        <w:tab/>
        <w:tab/>
        <w:tab/>
        <w:tab/>
        <w:tab/>
        <w:tab/>
        <w:t xml:space="preserve">b) Fecha de ingresado el expediente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ab/>
        <w:tab/>
        <w:tab/>
        <w:tab/>
        <w:tab/>
        <w:tab/>
        <w:tab/>
        <w:t xml:space="preserve">c) Hora de entrada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ab/>
        <w:tab/>
        <w:tab/>
        <w:tab/>
        <w:tab/>
        <w:tab/>
        <w:tab/>
        <w:t xml:space="preserve">d) Iniciales y firma de quién recibe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o en caso de no poseer sello con los datos anteriores, si es una orden o comunicación interna de la Armada, se le colocará el número que posea. Por ejemplo OI N°1300.1/15  o CS N°102/10/V/2014.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6.3.2. El expediente proveniente de PREMO puede tener una “Hoja de Trámite”, de acuerdo al Anexo “ALFA”. Esa hoja es firmada por el Sr. PREMO, SUMO o Secretario, la misma dictamina lo que se debe hacer con el expediente.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6.3.</w:t>
      </w:r>
      <w:r>
        <w:t xml:space="preserve">3</w:t>
        <w:tab/>
        <w:t xml:space="preserve">Los expedientes son recibidos en la Secretaría de CONMO y son registrados en un cuaderno de “entrada y salida” donde se detallará: IDENTIDAD, FECHA DE ENTRADA, FECHA DE SALIDA, PROCEDENCIA, DESTINO, ASUNTO, FIRMA, ACLARACIÓN Y LEGAJO. (ver Anexo “BRAVO”)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6.3.4. El Jefe de CONMO evalúa el expediente y da trámite a lo solicitado. 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6.3.5. Si corresponde emitir un informe, se adjunta al expediente y se entrega a PREMO registrando todo en el cuaderno de Registro de Ingreso y Egreso de Expedientes.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 xml:space="preserve">6.4 En los casos que CONMO emita CS solicitando recursos, se le dará seguimiento mediante el registro en FO 710 – 30 – 03 Hoja de seguimiento de solicitudes. </w:t>
      </w:r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>
        <w:tab/>
        <w:t xml:space="preserve">6.4.1 Dicho seguimiento se realizara a los tres días de emitida la carta al destinatario, y se realizara de esta manera hasta la obtención del servicio.</w:t>
      </w:r>
      <w:r/>
    </w:p>
    <w:p>
      <w:pPr>
        <w:pStyle w:val="1149"/>
        <w:jc w:val="both"/>
        <w:spacing w:after="0" w:line="360" w:lineRule="auto"/>
        <w:tabs>
          <w:tab w:val="left" w:pos="709" w:leader="none"/>
        </w:tabs>
      </w:pPr>
      <w:r/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/>
      <w:r/>
    </w:p>
    <w:p>
      <w:pPr>
        <w:pStyle w:val="1149"/>
        <w:ind w:left="709" w:hanging="425"/>
        <w:jc w:val="both"/>
        <w:spacing w:after="0" w:line="360" w:lineRule="auto"/>
        <w:tabs>
          <w:tab w:val="left" w:pos="709" w:leader="none"/>
        </w:tabs>
      </w:pPr>
      <w:r/>
      <w:r/>
    </w:p>
    <w:p>
      <w:pPr>
        <w:pStyle w:val="1149"/>
        <w:jc w:val="both"/>
        <w:spacing w:after="0" w:line="360" w:lineRule="auto"/>
        <w:tabs>
          <w:tab w:val="left" w:pos="709" w:leader="none"/>
        </w:tabs>
      </w:pPr>
      <w:r/>
      <w:r/>
    </w:p>
    <w:p>
      <w:pPr>
        <w:pStyle w:val="1149"/>
        <w:jc w:val="both"/>
        <w:spacing w:after="0" w:line="360" w:lineRule="auto"/>
        <w:tabs>
          <w:tab w:val="left" w:pos="709" w:leader="none"/>
        </w:tabs>
      </w:pPr>
      <w:r/>
      <w:r/>
    </w:p>
    <w:p>
      <w:pPr>
        <w:pStyle w:val="1058"/>
        <w:numPr>
          <w:ilvl w:val="0"/>
          <w:numId w:val="1"/>
        </w:numPr>
        <w:ind w:right="15"/>
        <w:jc w:val="both"/>
        <w:spacing w:line="360" w:lineRule="auto"/>
        <w:tabs>
          <w:tab w:val="center" w:pos="2984" w:leader="none"/>
        </w:tabs>
        <w:rPr>
          <w:szCs w:val="24"/>
        </w:rPr>
      </w:pPr>
      <w:r>
        <w:rPr>
          <w:b/>
          <w:sz w:val="28"/>
        </w:rPr>
        <w:t xml:space="preserve"> ANEXOS </w:t>
      </w:r>
      <w:r>
        <w:rPr>
          <w:szCs w:val="24"/>
        </w:rPr>
      </w:r>
      <w:r/>
    </w:p>
    <w:p>
      <w:pPr>
        <w:pStyle w:val="1058"/>
        <w:ind w:right="15"/>
        <w:jc w:val="both"/>
        <w:spacing w:line="360" w:lineRule="auto"/>
        <w:tabs>
          <w:tab w:val="center" w:pos="720" w:leader="none"/>
        </w:tabs>
        <w:rPr>
          <w:szCs w:val="24"/>
        </w:rPr>
      </w:pPr>
      <w:r>
        <w:rPr>
          <w:szCs w:val="24"/>
        </w:rPr>
        <w:t xml:space="preserve">FO – 710 – 30 - 01 “ALFA” – </w:t>
      </w:r>
      <w:r>
        <w:rPr>
          <w:szCs w:val="24"/>
          <w:lang w:val="es-MX"/>
        </w:rPr>
        <w:t xml:space="preserve">Hoja de Trámite Interno de Expedientes.</w:t>
      </w:r>
      <w:r>
        <w:rPr>
          <w:szCs w:val="24"/>
        </w:rPr>
      </w:r>
      <w:r/>
    </w:p>
    <w:p>
      <w:pPr>
        <w:pStyle w:val="1058"/>
        <w:ind w:right="15"/>
        <w:jc w:val="both"/>
        <w:spacing w:line="360" w:lineRule="auto"/>
        <w:tabs>
          <w:tab w:val="center" w:pos="720" w:leader="none"/>
        </w:tabs>
        <w:rPr>
          <w:szCs w:val="24"/>
          <w:lang w:val="es-MX"/>
        </w:rPr>
      </w:pPr>
      <w:r>
        <w:rPr>
          <w:szCs w:val="24"/>
        </w:rPr>
        <w:t xml:space="preserve">FO – 710 – 30 - 02 “BRAVO”</w:t>
      </w:r>
      <w:r>
        <w:rPr>
          <w:szCs w:val="24"/>
          <w:lang w:val="es-MX"/>
        </w:rPr>
        <w:t xml:space="preserve"> – Registro de Ingreso y Egreso de Expedientes.</w:t>
      </w:r>
      <w:r/>
    </w:p>
    <w:p>
      <w:pPr>
        <w:pStyle w:val="1058"/>
        <w:ind w:right="15"/>
        <w:jc w:val="both"/>
        <w:spacing w:line="360" w:lineRule="auto"/>
        <w:tabs>
          <w:tab w:val="center" w:pos="720" w:leader="none"/>
        </w:tabs>
        <w:rPr>
          <w:szCs w:val="24"/>
          <w:lang w:val="es-MX"/>
        </w:rPr>
      </w:pPr>
      <w:r>
        <w:rPr>
          <w:szCs w:val="24"/>
          <w:lang w:val="es-MX"/>
        </w:rPr>
        <w:t xml:space="preserve">FO – 710 – 30 -  03 “CHARLIE” – Hoja de Seguimiento de Solicitudes. </w:t>
      </w:r>
      <w:r/>
    </w:p>
    <w:p>
      <w:pPr>
        <w:pStyle w:val="1058"/>
        <w:ind w:right="15"/>
        <w:jc w:val="both"/>
        <w:spacing w:line="360" w:lineRule="auto"/>
        <w:tabs>
          <w:tab w:val="center" w:pos="720" w:leader="none"/>
        </w:tabs>
        <w:rPr>
          <w:szCs w:val="24"/>
          <w:lang w:val="es-MX"/>
        </w:rPr>
      </w:pPr>
      <w:r>
        <w:rPr>
          <w:szCs w:val="24"/>
          <w:lang w:val="es-MX"/>
        </w:rPr>
      </w:r>
      <w:r/>
    </w:p>
    <w:p>
      <w:pPr>
        <w:pStyle w:val="1058"/>
        <w:ind w:right="15"/>
        <w:jc w:val="both"/>
        <w:spacing w:line="360" w:lineRule="auto"/>
        <w:tabs>
          <w:tab w:val="center" w:pos="720" w:leader="none"/>
        </w:tabs>
        <w:rPr>
          <w:szCs w:val="24"/>
          <w:lang w:val="es-MX"/>
        </w:rPr>
      </w:pPr>
      <w:r>
        <w:rPr>
          <w:szCs w:val="24"/>
          <w:lang w:val="es-MX"/>
        </w:rPr>
      </w:r>
      <w:r/>
    </w:p>
    <w:p>
      <w:pPr>
        <w:pStyle w:val="1058"/>
        <w:ind w:right="15"/>
        <w:jc w:val="right"/>
        <w:spacing w:line="360" w:lineRule="auto"/>
        <w:tabs>
          <w:tab w:val="center" w:pos="720" w:leader="none"/>
        </w:tabs>
        <w:rPr>
          <w:szCs w:val="24"/>
          <w:lang w:val="es-MX"/>
        </w:rPr>
      </w:pPr>
      <w:r>
        <w:rPr>
          <w:szCs w:val="24"/>
          <w:lang w:val="es-MX"/>
        </w:rPr>
      </w:r>
      <w:r/>
    </w:p>
    <w:p>
      <w:pPr>
        <w:pStyle w:val="1161"/>
        <w:numPr>
          <w:ilvl w:val="0"/>
          <w:numId w:val="1"/>
        </w:numPr>
        <w:ind w:right="15"/>
        <w:jc w:val="both"/>
        <w:spacing w:line="360" w:lineRule="auto"/>
        <w:tabs>
          <w:tab w:val="center" w:pos="720" w:leader="none"/>
        </w:tabs>
        <w:rPr>
          <w:szCs w:val="24"/>
        </w:rPr>
      </w:pPr>
      <w:r>
        <w:rPr>
          <w:b/>
          <w:sz w:val="28"/>
        </w:rPr>
        <w:t xml:space="preserve"> REGISTROS</w:t>
      </w:r>
      <w:r>
        <w:rPr>
          <w:szCs w:val="24"/>
        </w:rPr>
      </w:r>
      <w:r/>
    </w:p>
    <w:p>
      <w:pPr>
        <w:pStyle w:val="1058"/>
        <w:jc w:val="both"/>
        <w:spacing w:line="360" w:lineRule="auto"/>
        <w:rPr>
          <w:b/>
          <w:sz w:val="28"/>
        </w:rPr>
      </w:pPr>
      <w:r>
        <w:rPr>
          <w:szCs w:val="24"/>
        </w:rPr>
        <w:t xml:space="preserve">Los registros de datos permanecen archivados en el PC correspondiente, siendo respaldados en soporte informático según el PR – 753– 02 en vigencia. </w:t>
      </w:r>
      <w:r>
        <w:rPr>
          <w:b/>
          <w:sz w:val="28"/>
        </w:rPr>
      </w:r>
      <w:r/>
    </w:p>
    <w:p>
      <w:pPr>
        <w:pStyle w:val="1058"/>
        <w:jc w:val="both"/>
        <w:spacing w:line="360" w:lineRule="auto"/>
        <w:rPr>
          <w:b/>
          <w:sz w:val="28"/>
        </w:rPr>
      </w:pPr>
      <w:r>
        <w:rPr>
          <w:b/>
          <w:sz w:val="28"/>
        </w:rPr>
      </w:r>
      <w:r/>
    </w:p>
    <w:tbl>
      <w:tblPr>
        <w:tblW w:w="0" w:type="auto"/>
        <w:tblInd w:w="2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417"/>
        <w:gridCol w:w="1559"/>
        <w:gridCol w:w="7015"/>
      </w:tblGrid>
      <w:tr>
        <w:trPr>
          <w:tblHeader/>
        </w:trPr>
        <w:tc>
          <w:tcPr>
            <w:tcBorders>
              <w:top w:val="single" w:color="000001" w:sz="1" w:space="0"/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50"/>
              <w:spacing w:after="0" w:line="360" w:lineRule="auto"/>
            </w:pPr>
            <w:r>
              <w:rPr>
                <w:i w:val="0"/>
                <w:iCs/>
              </w:rPr>
              <w:t xml:space="preserve">REVISION</w:t>
            </w:r>
            <w:r/>
          </w:p>
        </w:tc>
        <w:tc>
          <w:tcPr>
            <w:tcBorders>
              <w:top w:val="single" w:color="000001" w:sz="1" w:space="0"/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50"/>
              <w:spacing w:after="0" w:line="360" w:lineRule="auto"/>
            </w:pPr>
            <w:r>
              <w:rPr>
                <w:i w:val="0"/>
                <w:iCs/>
              </w:rPr>
              <w:t xml:space="preserve">FECHA</w:t>
            </w:r>
            <w:r/>
          </w:p>
        </w:tc>
        <w:tc>
          <w:tcPr>
            <w:tcBorders>
              <w:top w:val="single" w:color="000001" w:sz="1" w:space="0"/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50"/>
              <w:spacing w:after="0" w:line="360" w:lineRule="auto"/>
            </w:pPr>
            <w:r>
              <w:rPr>
                <w:i w:val="0"/>
                <w:iCs/>
              </w:rPr>
              <w:t xml:space="preserve">MODIFICACIONES</w:t>
            </w:r>
            <w:r/>
          </w:p>
        </w:tc>
      </w:tr>
      <w:tr>
        <w:trPr/>
        <w:tc>
          <w:tcPr>
            <w:tcBorders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>
              <w:rPr>
                <w:szCs w:val="24"/>
              </w:rPr>
              <w:t xml:space="preserve">2</w:t>
            </w:r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>
              <w:rPr>
                <w:szCs w:val="24"/>
              </w:rPr>
              <w:t xml:space="preserve">19/09/2019</w:t>
            </w:r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49"/>
              <w:spacing w:after="0"/>
            </w:pPr>
            <w:r>
              <w:rPr>
                <w:szCs w:val="24"/>
              </w:rPr>
              <w:t xml:space="preserve">Se agrega punto 6.4 el cual hace referencia al seguimiento ante una solicitud hecho por CONMO para la obtención de recursos. </w:t>
            </w:r>
            <w:r/>
          </w:p>
        </w:tc>
      </w:tr>
      <w:tr>
        <w:trPr/>
        <w:tc>
          <w:tcPr>
            <w:tcBorders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>
              <w:rPr>
                <w:szCs w:val="24"/>
              </w:rPr>
              <w:t xml:space="preserve">3</w:t>
            </w:r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>
              <w:rPr>
                <w:szCs w:val="24"/>
              </w:rPr>
              <w:t xml:space="preserve">03/10/2019</w:t>
            </w:r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49"/>
              <w:spacing w:after="0" w:line="360" w:lineRule="auto"/>
              <w:rPr>
                <w:szCs w:val="24"/>
              </w:rPr>
            </w:pPr>
            <w:r>
              <w:rPr>
                <w:szCs w:val="24"/>
              </w:rPr>
              <w:t xml:space="preserve">Se agrega Anexo CHARLIE Hoja de Seguimiento de Solicitudes (FO 710 – 30 – 03).</w:t>
            </w:r>
            <w:r/>
          </w:p>
          <w:p>
            <w:pPr>
              <w:pStyle w:val="1149"/>
              <w:spacing w:after="0" w:line="360" w:lineRule="auto"/>
            </w:pPr>
            <w:r>
              <w:rPr>
                <w:szCs w:val="24"/>
              </w:rPr>
              <w:t xml:space="preserve">Se modifica punto 6.4 estableciendo metodología de seguimiento para las C/S emitidas por CONMO, dándole seguimiento en el FO 710 – 30 – 03.</w:t>
            </w:r>
            <w:r/>
          </w:p>
        </w:tc>
      </w:tr>
      <w:tr>
        <w:trPr/>
        <w:tc>
          <w:tcPr>
            <w:tcBorders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49"/>
              <w:jc w:val="both"/>
              <w:spacing w:after="0" w:line="360" w:lineRule="auto"/>
            </w:pPr>
            <w:r/>
            <w:r/>
          </w:p>
        </w:tc>
      </w:tr>
      <w:tr>
        <w:trPr/>
        <w:tc>
          <w:tcPr>
            <w:tcBorders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49"/>
              <w:jc w:val="both"/>
              <w:spacing w:after="0" w:line="360" w:lineRule="auto"/>
            </w:pPr>
            <w:r/>
            <w:r/>
          </w:p>
        </w:tc>
      </w:tr>
      <w:tr>
        <w:trPr/>
        <w:tc>
          <w:tcPr>
            <w:tcBorders>
              <w:left w:val="single" w:color="000001" w:sz="1" w:space="0"/>
              <w:bottom w:val="single" w:color="000001" w:sz="1" w:space="0"/>
            </w:tcBorders>
            <w:tcW w:w="1417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49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1" w:sz="1" w:space="0"/>
              <w:bottom w:val="single" w:color="000001" w:sz="1" w:space="0"/>
              <w:right w:val="single" w:color="000001" w:sz="1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1149"/>
              <w:jc w:val="both"/>
              <w:spacing w:after="0" w:line="360" w:lineRule="auto"/>
            </w:pPr>
            <w:r/>
            <w:r/>
          </w:p>
        </w:tc>
      </w:tr>
    </w:tbl>
    <w:p>
      <w:pPr>
        <w:pStyle w:val="1058"/>
        <w:spacing w:line="360" w:lineRule="auto"/>
      </w:pP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6" w:h="16838" w:orient="portrait"/>
      <w:pgMar w:top="2835" w:right="1128" w:bottom="992" w:left="1134" w:header="1134" w:footer="21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Arial Narrow">
    <w:panose1 w:val="020B0604020202020204"/>
  </w:font>
  <w:font w:name="Microsoft YaHei">
    <w:panose1 w:val="020B0503020204020204"/>
  </w:font>
  <w:font w:name="StarBats">
    <w:panose1 w:val="02000603000000000000"/>
  </w:font>
  <w:font w:name="Times New Roman">
    <w:panose1 w:val="02020603050405020304"/>
  </w:font>
  <w:font w:name="Liberation Sans">
    <w:panose1 w:val="020B0604020202020204"/>
  </w:font>
  <w:font w:name="Wingdings">
    <w:panose1 w:val="05000000000000000000"/>
  </w:font>
  <w:font w:name="Symbol">
    <w:panose1 w:val="05050102010706020507"/>
  </w:font>
  <w:font w:name="Mangal">
    <w:panose1 w:val="02040503050406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1"/>
      <w:jc w:val="center"/>
    </w:pPr>
    <w:r>
      <w:t xml:space="preserve">         Página </w:t>
    </w:r>
    <w:r>
      <w:rPr>
        <w:rStyle w:val="1136"/>
      </w:rPr>
      <w:fldChar w:fldCharType="begin"/>
    </w:r>
    <w:r>
      <w:rPr>
        <w:rStyle w:val="1136"/>
      </w:rPr>
      <w:instrText xml:space="preserve"> PAGE </w:instrText>
    </w:r>
    <w:r>
      <w:rPr>
        <w:rStyle w:val="1136"/>
      </w:rPr>
      <w:fldChar w:fldCharType="separate"/>
    </w:r>
    <w:r>
      <w:rPr>
        <w:rStyle w:val="1136"/>
      </w:rPr>
      <w:t xml:space="preserve">3</w:t>
    </w:r>
    <w:r>
      <w:rPr>
        <w:rStyle w:val="1136"/>
      </w:rPr>
      <w:fldChar w:fldCharType="end"/>
    </w:r>
    <w:r>
      <w:rPr>
        <w:rStyle w:val="1136"/>
      </w:rPr>
      <w:t xml:space="preserve"> de 3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1"/>
      <w:jc w:val="center"/>
    </w:pPr>
    <w:r/>
    <w:r/>
  </w:p>
  <w:p>
    <w:pPr>
      <w:pStyle w:val="1058"/>
      <w:jc w:val="both"/>
      <w:spacing w:line="320" w:lineRule="exact"/>
      <w:rPr>
        <w:b/>
        <w:lang w:eastAsia="es-ES"/>
      </w:rPr>
    </w:pPr>
    <w:r>
      <w:t xml:space="preserve">ELABORADO POR: Grupo de Trabajo</w:t>
    </w:r>
    <w:r>
      <w:rPr>
        <w:b/>
        <w:lang w:eastAsia="es-ES"/>
      </w:rPr>
    </w:r>
    <w:r/>
  </w:p>
  <w:tbl>
    <w:tblPr>
      <w:tblW w:w="10322" w:type="dxa"/>
      <w:tblInd w:w="-72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2127"/>
      <w:gridCol w:w="4111"/>
      <w:gridCol w:w="2551"/>
      <w:gridCol w:w="1533"/>
    </w:tblGrid>
    <w:tr>
      <w:trPr>
        <w:cantSplit/>
      </w:trPr>
      <w:tc>
        <w:tcPr>
          <w:tcW w:w="2127" w:type="dxa"/>
          <w:vAlign w:val="center"/>
          <w:vMerge w:val="restart"/>
          <w:textDirection w:val="lrTb"/>
          <w:noWrap w:val="false"/>
        </w:tcPr>
        <w:p>
          <w:pPr>
            <w:pStyle w:val="1058"/>
            <w:keepNext/>
            <w:spacing w:line="360" w:lineRule="auto"/>
            <w:rPr>
              <w:b/>
              <w:lang w:val="es-ES_tradnl" w:eastAsia="es-ES"/>
            </w:rPr>
            <w:outlineLvl w:val="0"/>
          </w:pPr>
          <w:r>
            <w:rPr>
              <w:b/>
              <w:lang w:val="es-ES_tradnl" w:eastAsia="es-ES"/>
            </w:rPr>
            <w:t xml:space="preserve">APROBADO POR</w:t>
          </w:r>
          <w:r/>
        </w:p>
      </w:tc>
      <w:tc>
        <w:tcPr>
          <w:tcW w:w="4111" w:type="dxa"/>
          <w:vAlign w:val="top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CARGO</w:t>
          </w:r>
          <w:r/>
        </w:p>
      </w:tc>
      <w:tc>
        <w:tcPr>
          <w:tcW w:w="2551" w:type="dxa"/>
          <w:vAlign w:val="top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FIRMA</w:t>
          </w:r>
          <w:r/>
        </w:p>
      </w:tc>
      <w:tc>
        <w:tcPr>
          <w:tcW w:w="1533" w:type="dxa"/>
          <w:vAlign w:val="top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FECHA</w:t>
          </w:r>
          <w:r/>
        </w:p>
      </w:tc>
    </w:tr>
    <w:tr>
      <w:trPr>
        <w:cantSplit/>
      </w:trPr>
      <w:tc>
        <w:tcPr>
          <w:tcW w:w="2127" w:type="dxa"/>
          <w:vAlign w:val="center"/>
          <w:vMerge w:val="continue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058"/>
            <w:ind w:left="-540" w:firstLine="47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Prefecto del Puerto de Montevideo</w:t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C</w:t>
          </w:r>
          <w:r>
            <w:rPr>
              <w:sz w:val="16"/>
              <w:szCs w:val="16"/>
              <w:lang w:val="es-MX" w:eastAsia="es-ES"/>
            </w:rPr>
            <w:t xml:space="preserve">N</w:t>
          </w:r>
          <w:r>
            <w:rPr>
              <w:sz w:val="16"/>
              <w:szCs w:val="16"/>
              <w:lang w:val="es-MX" w:eastAsia="es-ES"/>
            </w:rPr>
            <w:t xml:space="preserve"> (CP) </w:t>
          </w:r>
          <w:r>
            <w:rPr>
              <w:sz w:val="16"/>
              <w:szCs w:val="16"/>
              <w:lang w:val="es-MX" w:eastAsia="es-ES"/>
            </w:rPr>
            <w:t xml:space="preserve">Marcos PAOLINI </w:t>
          </w:r>
          <w:r>
            <w:rPr>
              <w:sz w:val="16"/>
              <w:szCs w:val="16"/>
              <w:lang w:val="es-MX" w:eastAsia="es-ES"/>
            </w:rPr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03/10/2019</w:t>
          </w:r>
          <w:r>
            <w:rPr>
              <w:szCs w:val="24"/>
              <w:lang w:eastAsia="es-ES"/>
            </w:rPr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REVISADO POR</w:t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Encargada SGC</w:t>
          </w:r>
          <w:r>
            <w:rPr>
              <w:szCs w:val="24"/>
              <w:lang w:eastAsia="es-ES"/>
            </w:rPr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SOP (PM) Susana LEE</w:t>
          </w:r>
          <w:r>
            <w:rPr>
              <w:sz w:val="16"/>
              <w:szCs w:val="16"/>
              <w:lang w:val="es-MX" w:eastAsia="es-ES"/>
            </w:rPr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val="es-MX" w:eastAsia="es-ES"/>
            </w:rPr>
          </w:pPr>
          <w:r>
            <w:rPr>
              <w:szCs w:val="24"/>
              <w:lang w:val="es-MX" w:eastAsia="es-ES"/>
            </w:rPr>
            <w:t xml:space="preserve">03/10/2019</w:t>
          </w:r>
          <w:r>
            <w:rPr>
              <w:szCs w:val="24"/>
              <w:lang w:val="es-MX" w:eastAsia="es-ES"/>
            </w:rPr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DOCUMENTO</w:t>
          </w:r>
          <w:r/>
        </w:p>
      </w:tc>
      <w:tc>
        <w:tcPr>
          <w:gridSpan w:val="3"/>
          <w:tcW w:w="8195" w:type="dxa"/>
          <w:vAlign w:val="center"/>
          <w:textDirection w:val="lrTb"/>
          <w:noWrap w:val="false"/>
        </w:tcPr>
        <w:p>
          <w:pPr>
            <w:pStyle w:val="1058"/>
            <w:ind w:left="-540" w:firstLine="540"/>
            <w:jc w:val="center"/>
            <w:rPr>
              <w:szCs w:val="24"/>
              <w:lang w:val="es-MX" w:eastAsia="es-ES"/>
            </w:rPr>
          </w:pPr>
          <w:r>
            <w:rPr>
              <w:szCs w:val="24"/>
              <w:lang w:eastAsia="es-E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<wp:simplePos x="0" y="0"/>
                    <wp:positionH relativeFrom="column">
                      <wp:posOffset>1170940</wp:posOffset>
                    </wp:positionH>
                    <wp:positionV relativeFrom="paragraph">
                      <wp:posOffset>41910</wp:posOffset>
                    </wp:positionV>
                    <wp:extent cx="130175" cy="116205"/>
                    <wp:effectExtent l="0" t="0" r="0" b="0"/>
                    <wp:wrapNone/>
                    <wp:docPr id="3" name="_x0000_s10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175" cy="11620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524288;o:allowoverlap:true;o:allowincell:true;mso-position-horizontal-relative:text;margin-left:92.2pt;mso-position-horizontal:absolute;mso-position-vertical-relative:text;margin-top:3.3pt;mso-position-vertical:absolute;width:10.2pt;height:9.2pt;mso-wrap-distance-left:9.0pt;mso-wrap-distance-top:0.0pt;mso-wrap-distance-right:9.0pt;mso-wrap-distance-bottom:0.0pt;visibility:visible;" fillcolor="#66FF33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0" t="0" r="0" b="0"/>
                    <wp:wrapNone/>
                    <wp:docPr id="4" name="_x0000_s10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251658241;o:allowoverlap:true;o:allowincell:true;mso-position-horizontal-relative:text;margin-left:365.5pt;mso-position-horizontal:absolute;mso-position-vertical-relative:text;margin-top:2.9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5" name="_x0000_s10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251658242;o:allowoverlap:true;o:allowincell:true;mso-position-horizontal-relative:text;margin-left:217.1pt;mso-position-horizontal:absolute;mso-position-vertical-relative:text;margin-top:3.4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</w:r>
          <w:r>
            <w:rPr>
              <w:szCs w:val="24"/>
              <w:lang w:val="es-MX" w:eastAsia="es-ES"/>
            </w:rPr>
            <w:t xml:space="preserve">Original              Copia Controlada              Copia No Controlad</w:t>
          </w:r>
          <w:r>
            <w:rPr>
              <w:szCs w:val="24"/>
              <w:lang w:val="es-MX" w:eastAsia="es-ES"/>
            </w:rPr>
            <w:t xml:space="preserve">a</w:t>
          </w:r>
          <w:r>
            <w:rPr>
              <w:szCs w:val="24"/>
              <w:lang w:val="es-MX" w:eastAsia="es-ES"/>
            </w:rPr>
            <w:t xml:space="preserve"> </w:t>
          </w:r>
          <w:r/>
        </w:p>
      </w:tc>
    </w:tr>
  </w:tbl>
  <w:p>
    <w:pPr>
      <w:pStyle w:val="1151"/>
      <w:rPr>
        <w:lang w:val="es-MX"/>
      </w:rPr>
    </w:pPr>
    <w:r>
      <w:rPr>
        <w:lang w:val="es-MX"/>
      </w:rPr>
    </w:r>
    <w:r/>
  </w:p>
  <w:p>
    <w:pPr>
      <w:pStyle w:val="1151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>
      <w:rPr>
        <w:lang w:val="es-MX"/>
      </w:rPr>
      <w:t xml:space="preserve"> de 3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461"/>
      <w:gridCol w:w="2581"/>
      <w:gridCol w:w="3780"/>
      <w:gridCol w:w="1896"/>
    </w:tblGrid>
    <w:tr>
      <w:trPr>
        <w:cantSplit/>
        <w:trHeight w:val="693"/>
      </w:trPr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1461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  <w:rPr>
              <w:b/>
              <w:bCs/>
              <w:sz w:val="28"/>
              <w:szCs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7816" cy="733875"/>
                    <wp:effectExtent l="0" t="0" r="0" b="0"/>
                    <wp:docPr id="1" name="_x0000_i2050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7816" cy="73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2581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3780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  <w:spacing w:line="360" w:lineRule="auto"/>
          </w:pPr>
          <w:r>
            <w:rPr>
              <w:b/>
              <w:bCs/>
              <w:szCs w:val="24"/>
            </w:rPr>
            <w:t xml:space="preserve">TRAZABILIDAD DE LOS </w:t>
          </w:r>
          <w:r>
            <w:rPr>
              <w:b/>
              <w:bCs/>
              <w:szCs w:val="24"/>
            </w:rPr>
            <w:t xml:space="preserve">DOCUMENTOS</w:t>
          </w:r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152"/>
            <w:jc w:val="center"/>
            <w:spacing w:line="360" w:lineRule="auto"/>
          </w:pPr>
          <w:r>
            <w:rPr>
              <w:b/>
              <w:bCs/>
            </w:rPr>
            <w:t xml:space="preserve">IT – 710-30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1461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2581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3780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152"/>
            <w:jc w:val="center"/>
            <w:spacing w:line="360" w:lineRule="auto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Revision: 3</w:t>
          </w:r>
          <w:r>
            <w:rPr>
              <w:b/>
              <w:bCs/>
              <w:lang w:val="en-US"/>
            </w:rPr>
          </w:r>
          <w:r/>
        </w:p>
      </w:tc>
    </w:tr>
  </w:tbl>
  <w:p>
    <w:pPr>
      <w:pStyle w:val="115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461"/>
      <w:gridCol w:w="2580"/>
      <w:gridCol w:w="3917"/>
      <w:gridCol w:w="1760"/>
    </w:tblGrid>
    <w:tr>
      <w:trPr>
        <w:cantSplit/>
        <w:trHeight w:val="693"/>
      </w:trPr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1461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  <w:rPr>
              <w:b/>
              <w:bCs/>
              <w:sz w:val="28"/>
              <w:szCs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7816" cy="733875"/>
                    <wp:effectExtent l="0" t="0" r="0" b="0"/>
                    <wp:docPr id="2" name="_x0000_i2051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7816" cy="73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66.0pt;height:57.8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2580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3917" w:type="dxa"/>
          <w:vAlign w:val="center"/>
          <w:vMerge w:val="restart"/>
          <w:textDirection w:val="lrTb"/>
          <w:noWrap w:val="false"/>
        </w:tcPr>
        <w:p>
          <w:pPr>
            <w:pStyle w:val="1152"/>
            <w:jc w:val="center"/>
            <w:spacing w:line="360" w:lineRule="auto"/>
            <w:tabs>
              <w:tab w:val="left" w:pos="2932" w:leader="none"/>
              <w:tab w:val="clear" w:pos="4987" w:leader="none"/>
              <w:tab w:val="clear" w:pos="9975" w:leader="none"/>
            </w:tabs>
            <w:rPr>
              <w:b/>
              <w:bCs/>
              <w14:ligatures w14:val="none"/>
            </w:rPr>
          </w:pPr>
          <w:r>
            <w:rPr>
              <w:b/>
              <w:bCs/>
              <w:szCs w:val="24"/>
            </w:rPr>
            <w:t xml:space="preserve">TRAZABILIDAD DE LOS</w:t>
          </w:r>
          <w:r>
            <w:rPr>
              <w:lang w:val="es-ES"/>
            </w:rPr>
            <w:t xml:space="preserve"> </w:t>
          </w:r>
          <w:r>
            <w:rPr>
              <w:b/>
              <w:bCs/>
              <w:lang w:val="es-ES"/>
            </w:rPr>
            <w:t xml:space="preserve">DOCUMENTOS </w:t>
          </w:r>
          <w:r>
            <w:rPr>
              <w:b/>
              <w:bCs/>
            </w:rPr>
          </w:r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</w:tcBorders>
          <w:tcW w:w="1760" w:type="dxa"/>
          <w:vAlign w:val="center"/>
          <w:textDirection w:val="lrTb"/>
          <w:noWrap w:val="false"/>
        </w:tcPr>
        <w:p>
          <w:pPr>
            <w:pStyle w:val="1152"/>
            <w:jc w:val="center"/>
            <w:spacing w:line="360" w:lineRule="auto"/>
          </w:pPr>
          <w:r>
            <w:rPr>
              <w:b/>
              <w:bCs/>
            </w:rPr>
            <w:t xml:space="preserve">IT – 710-30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1461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2580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</w:tcBorders>
          <w:tcW w:w="3917" w:type="dxa"/>
          <w:vAlign w:val="center"/>
          <w:vMerge w:val="continue"/>
          <w:textDirection w:val="lrTb"/>
          <w:noWrap w:val="false"/>
        </w:tcPr>
        <w:p>
          <w:pPr>
            <w:pStyle w:val="1058"/>
          </w:pPr>
          <w:r/>
          <w:r/>
        </w:p>
      </w:tc>
      <w:tc>
        <w:tcPr>
          <w:tc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</w:tcBorders>
          <w:tcW w:w="1760" w:type="dxa"/>
          <w:vAlign w:val="center"/>
          <w:textDirection w:val="lrTb"/>
          <w:noWrap w:val="false"/>
        </w:tcPr>
        <w:p>
          <w:pPr>
            <w:pStyle w:val="1152"/>
            <w:jc w:val="center"/>
            <w:spacing w:line="360" w:lineRule="auto"/>
          </w:pPr>
          <w:r>
            <w:rPr>
              <w:b/>
              <w:bCs/>
              <w:lang w:val="en-US"/>
            </w:rPr>
            <w:t xml:space="preserve">Revision: 3</w:t>
          </w:r>
          <w:r/>
        </w:p>
      </w:tc>
    </w:tr>
  </w:tbl>
  <w:p>
    <w:pPr>
      <w:pStyle w:val="1152"/>
    </w:pPr>
    <w:r/>
    <w:r/>
  </w:p>
  <w:p>
    <w:pPr>
      <w:pStyle w:val="1152"/>
      <w:rPr>
        <w:lang w:val="en-US"/>
      </w:rPr>
    </w:pPr>
    <w:r>
      <w:rPr>
        <w:lang w:val="en-US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nothing"/>
      <w:lvlText w:val="%1."/>
      <w:lvlJc w:val="left"/>
      <w:pPr>
        <w:pStyle w:val="1058"/>
        <w:ind w:left="283" w:hanging="283"/>
        <w:tabs>
          <w:tab w:val="num" w:pos="0" w:leader="none"/>
        </w:tabs>
      </w:pPr>
    </w:lvl>
    <w:lvl w:ilvl="1">
      <w:start w:val="1"/>
      <w:numFmt w:val="decimal"/>
      <w:isLgl w:val="false"/>
      <w:suff w:val="nothing"/>
      <w:lvlText w:val="%2."/>
      <w:lvlJc w:val="left"/>
      <w:pPr>
        <w:pStyle w:val="1058"/>
        <w:ind w:left="566" w:hanging="283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%3."/>
      <w:lvlJc w:val="left"/>
      <w:pPr>
        <w:pStyle w:val="1058"/>
        <w:ind w:left="849" w:hanging="283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%4."/>
      <w:lvlJc w:val="left"/>
      <w:pPr>
        <w:pStyle w:val="1058"/>
        <w:ind w:left="1132" w:hanging="283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%5."/>
      <w:lvlJc w:val="left"/>
      <w:pPr>
        <w:pStyle w:val="1058"/>
        <w:ind w:left="1415" w:hanging="283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%6."/>
      <w:lvlJc w:val="left"/>
      <w:pPr>
        <w:pStyle w:val="1058"/>
        <w:ind w:left="1698" w:hanging="283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%7."/>
      <w:lvlJc w:val="left"/>
      <w:pPr>
        <w:pStyle w:val="1058"/>
        <w:ind w:left="1981" w:hanging="283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%8."/>
      <w:lvlJc w:val="left"/>
      <w:pPr>
        <w:pStyle w:val="1058"/>
        <w:ind w:left="2264" w:hanging="283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%9."/>
      <w:lvlJc w:val="left"/>
      <w:pPr>
        <w:pStyle w:val="1058"/>
        <w:ind w:left="2547" w:hanging="283"/>
        <w:tabs>
          <w:tab w:val="num" w:pos="0" w:leader="none"/>
        </w:tabs>
      </w:pPr>
    </w:lvl>
  </w:abstractNum>
  <w:abstractNum w:abstractNumId="1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pStyle w:val="1058"/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pStyle w:val="1058"/>
        <w:ind w:left="644" w:hanging="360"/>
        <w:tabs>
          <w:tab w:val="num" w:pos="644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pStyle w:val="1058"/>
        <w:ind w:left="1288" w:hanging="720"/>
        <w:tabs>
          <w:tab w:val="num" w:pos="1288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058"/>
        <w:ind w:left="1572" w:hanging="720"/>
        <w:tabs>
          <w:tab w:val="num" w:pos="1572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058"/>
        <w:ind w:left="1856" w:hanging="720"/>
        <w:tabs>
          <w:tab w:val="num" w:pos="1856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058"/>
        <w:ind w:left="2500" w:hanging="1080"/>
        <w:tabs>
          <w:tab w:val="num" w:pos="250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058"/>
        <w:ind w:left="2784" w:hanging="1080"/>
        <w:tabs>
          <w:tab w:val="num" w:pos="2784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058"/>
        <w:ind w:left="3428" w:hanging="1440"/>
        <w:tabs>
          <w:tab w:val="num" w:pos="3428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058"/>
        <w:ind w:left="3712" w:hanging="1440"/>
        <w:tabs>
          <w:tab w:val="num" w:pos="3712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nothing"/>
      <w:lvlText w:val=""/>
      <w:lvlJc w:val="left"/>
      <w:pPr>
        <w:pStyle w:val="1058"/>
        <w:ind w:left="432" w:hanging="432"/>
        <w:tabs>
          <w:tab w:val="num" w:pos="432" w:leader="none"/>
        </w:tabs>
      </w:pPr>
    </w:lvl>
    <w:lvl w:ilvl="1">
      <w:start w:val="1"/>
      <w:numFmt w:val="decimal"/>
      <w:isLgl w:val="false"/>
      <w:suff w:val="nothing"/>
      <w:lvlText w:val=""/>
      <w:lvlJc w:val="left"/>
      <w:pPr>
        <w:pStyle w:val="1058"/>
        <w:ind w:left="576" w:hanging="576"/>
        <w:tabs>
          <w:tab w:val="num" w:pos="576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pStyle w:val="1058"/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pStyle w:val="1058"/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pStyle w:val="1058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pStyle w:val="1058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1058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1058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1058"/>
        <w:ind w:left="1584" w:hanging="1584"/>
        <w:tabs>
          <w:tab w:val="num" w:pos="1584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1058"/>
    <w:next w:val="1058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06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58"/>
    <w:next w:val="1058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06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58"/>
    <w:next w:val="105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06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58"/>
    <w:next w:val="105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06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58"/>
    <w:next w:val="105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06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58"/>
    <w:next w:val="105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06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58"/>
    <w:next w:val="105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06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58"/>
    <w:next w:val="105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06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58"/>
    <w:next w:val="105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06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58"/>
    <w:next w:val="105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066"/>
    <w:link w:val="34"/>
    <w:uiPriority w:val="10"/>
    <w:rPr>
      <w:sz w:val="48"/>
      <w:szCs w:val="48"/>
    </w:rPr>
  </w:style>
  <w:style w:type="paragraph" w:styleId="36">
    <w:name w:val="Subtitle"/>
    <w:basedOn w:val="1058"/>
    <w:next w:val="105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066"/>
    <w:link w:val="36"/>
    <w:uiPriority w:val="11"/>
    <w:rPr>
      <w:sz w:val="24"/>
      <w:szCs w:val="24"/>
    </w:rPr>
  </w:style>
  <w:style w:type="paragraph" w:styleId="38">
    <w:name w:val="Quote"/>
    <w:basedOn w:val="1058"/>
    <w:next w:val="105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58"/>
    <w:next w:val="105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5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066"/>
    <w:link w:val="42"/>
    <w:uiPriority w:val="99"/>
  </w:style>
  <w:style w:type="paragraph" w:styleId="44">
    <w:name w:val="Footer"/>
    <w:basedOn w:val="1058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066"/>
    <w:link w:val="44"/>
    <w:uiPriority w:val="99"/>
  </w:style>
  <w:style w:type="paragraph" w:styleId="46">
    <w:name w:val="Caption"/>
    <w:basedOn w:val="1058"/>
    <w:next w:val="10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5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066"/>
    <w:uiPriority w:val="99"/>
    <w:unhideWhenUsed/>
    <w:rPr>
      <w:vertAlign w:val="superscript"/>
    </w:rPr>
  </w:style>
  <w:style w:type="paragraph" w:styleId="178">
    <w:name w:val="endnote text"/>
    <w:basedOn w:val="105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066"/>
    <w:uiPriority w:val="99"/>
    <w:semiHidden/>
    <w:unhideWhenUsed/>
    <w:rPr>
      <w:vertAlign w:val="superscript"/>
    </w:rPr>
  </w:style>
  <w:style w:type="paragraph" w:styleId="181">
    <w:name w:val="toc 1"/>
    <w:basedOn w:val="1058"/>
    <w:next w:val="105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58"/>
    <w:next w:val="105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58"/>
    <w:next w:val="105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58"/>
    <w:next w:val="105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58"/>
    <w:next w:val="105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58"/>
    <w:next w:val="105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58"/>
    <w:next w:val="105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58"/>
    <w:next w:val="105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58"/>
    <w:next w:val="105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58"/>
    <w:next w:val="1058"/>
    <w:uiPriority w:val="99"/>
    <w:unhideWhenUsed/>
    <w:pPr>
      <w:spacing w:after="0" w:afterAutospacing="0"/>
    </w:pPr>
  </w:style>
  <w:style w:type="paragraph" w:styleId="1058" w:default="1">
    <w:name w:val="Normal"/>
    <w:next w:val="1058"/>
    <w:link w:val="1058"/>
    <w:qFormat/>
    <w:pPr>
      <w:widowControl w:val="off"/>
    </w:pPr>
    <w:rPr>
      <w:sz w:val="24"/>
      <w:lang w:val="en-US" w:eastAsia="ar-SA" w:bidi="ar-SA"/>
    </w:rPr>
  </w:style>
  <w:style w:type="paragraph" w:styleId="1059">
    <w:name w:val="Título 1"/>
    <w:basedOn w:val="1058"/>
    <w:next w:val="1058"/>
    <w:link w:val="1058"/>
    <w:qFormat/>
    <w:pPr>
      <w:ind w:left="432" w:right="0" w:hanging="432"/>
      <w:jc w:val="both"/>
      <w:keepNext/>
      <w:widowControl/>
      <w:tabs>
        <w:tab w:val="left" w:pos="432" w:leader="none"/>
      </w:tabs>
    </w:pPr>
    <w:rPr>
      <w:lang w:val="es-ES"/>
    </w:rPr>
  </w:style>
  <w:style w:type="paragraph" w:styleId="1060">
    <w:name w:val="Título 2"/>
    <w:basedOn w:val="1058"/>
    <w:next w:val="1058"/>
    <w:link w:val="1058"/>
    <w:qFormat/>
    <w:pPr>
      <w:ind w:left="576" w:right="0" w:hanging="576"/>
      <w:jc w:val="both"/>
      <w:keepNext/>
      <w:spacing w:line="360" w:lineRule="auto"/>
      <w:tabs>
        <w:tab w:val="left" w:pos="576" w:leader="none"/>
      </w:tabs>
    </w:pPr>
    <w:rPr>
      <w:b/>
      <w:bCs/>
      <w:u w:val="single"/>
    </w:rPr>
  </w:style>
  <w:style w:type="paragraph" w:styleId="1061">
    <w:name w:val="Título 3"/>
    <w:basedOn w:val="1058"/>
    <w:next w:val="1058"/>
    <w:link w:val="1058"/>
    <w:qFormat/>
    <w:pPr>
      <w:ind w:left="720" w:right="0" w:hanging="720"/>
      <w:keepNext/>
      <w:spacing w:before="240" w:after="60"/>
      <w:tabs>
        <w:tab w:val="left" w:pos="720" w:leader="none"/>
      </w:tabs>
    </w:pPr>
    <w:rPr>
      <w:rFonts w:ascii="Arial" w:hAnsi="Arial" w:cs="Arial"/>
      <w:b/>
      <w:bCs/>
      <w:sz w:val="26"/>
      <w:szCs w:val="26"/>
    </w:rPr>
  </w:style>
  <w:style w:type="paragraph" w:styleId="1062">
    <w:name w:val="Título 4"/>
    <w:basedOn w:val="1058"/>
    <w:next w:val="1058"/>
    <w:link w:val="1058"/>
    <w:qFormat/>
    <w:pPr>
      <w:ind w:left="480" w:right="0" w:hanging="480"/>
      <w:jc w:val="both"/>
      <w:keepNext/>
      <w:spacing w:line="360" w:lineRule="auto"/>
      <w:tabs>
        <w:tab w:val="left" w:pos="864" w:leader="none"/>
        <w:tab w:val="left" w:pos="4320" w:leader="none"/>
      </w:tabs>
    </w:pPr>
    <w:rPr>
      <w:b/>
      <w:bCs/>
      <w:u w:val="single"/>
    </w:rPr>
  </w:style>
  <w:style w:type="character" w:styleId="1063">
    <w:name w:val="Fuente de párrafo predeter."/>
    <w:next w:val="1063"/>
    <w:link w:val="1058"/>
    <w:semiHidden/>
  </w:style>
  <w:style w:type="table" w:styleId="1064">
    <w:name w:val="Tabla normal"/>
    <w:next w:val="1064"/>
    <w:link w:val="1058"/>
    <w:semiHidden/>
    <w:tblPr/>
  </w:style>
  <w:style w:type="numbering" w:styleId="1065">
    <w:name w:val="Sin lista"/>
    <w:next w:val="1065"/>
    <w:link w:val="1058"/>
    <w:semiHidden/>
  </w:style>
  <w:style w:type="character" w:styleId="1066" w:default="1">
    <w:name w:val="Default Paragraph Font"/>
    <w:next w:val="1066"/>
    <w:link w:val="1058"/>
  </w:style>
  <w:style w:type="character" w:styleId="1067">
    <w:name w:val="WW8Num3z0"/>
    <w:next w:val="1067"/>
    <w:link w:val="1058"/>
    <w:rPr>
      <w:b w:val="0"/>
      <w:u w:val="none"/>
    </w:rPr>
  </w:style>
  <w:style w:type="character" w:styleId="1068">
    <w:name w:val="WW8Num5z0"/>
    <w:next w:val="1068"/>
    <w:link w:val="1058"/>
    <w:rPr>
      <w:b w:val="0"/>
      <w:u w:val="none"/>
    </w:rPr>
  </w:style>
  <w:style w:type="character" w:styleId="1069">
    <w:name w:val="WW8Num5z1"/>
    <w:next w:val="1069"/>
    <w:link w:val="1058"/>
    <w:rPr>
      <w:b w:val="0"/>
      <w:i w:val="0"/>
      <w:u w:val="none"/>
    </w:rPr>
  </w:style>
  <w:style w:type="character" w:styleId="1070">
    <w:name w:val="Absatz-Standardschriftart"/>
    <w:next w:val="1070"/>
    <w:link w:val="1058"/>
  </w:style>
  <w:style w:type="character" w:styleId="1071">
    <w:name w:val="WW-Absatz-Standardschriftart"/>
    <w:next w:val="1071"/>
    <w:link w:val="1058"/>
  </w:style>
  <w:style w:type="character" w:styleId="1072">
    <w:name w:val="WW-Absatz-Standardschriftart1"/>
    <w:next w:val="1072"/>
    <w:link w:val="1058"/>
  </w:style>
  <w:style w:type="character" w:styleId="1073">
    <w:name w:val="WW-Absatz-Standardschriftart11"/>
    <w:next w:val="1073"/>
    <w:link w:val="1058"/>
  </w:style>
  <w:style w:type="character" w:styleId="1074">
    <w:name w:val="WW-Absatz-Standardschriftart111"/>
    <w:next w:val="1074"/>
    <w:link w:val="1058"/>
  </w:style>
  <w:style w:type="character" w:styleId="1075">
    <w:name w:val="WW8Num4z1"/>
    <w:next w:val="1075"/>
    <w:link w:val="1058"/>
    <w:rPr>
      <w:b w:val="0"/>
      <w:i w:val="0"/>
    </w:rPr>
  </w:style>
  <w:style w:type="character" w:styleId="1076">
    <w:name w:val="WW8Num6z1"/>
    <w:next w:val="1076"/>
    <w:link w:val="1058"/>
    <w:rPr>
      <w:b w:val="0"/>
      <w:i w:val="0"/>
    </w:rPr>
  </w:style>
  <w:style w:type="character" w:styleId="1077">
    <w:name w:val="WW8Num7z1"/>
    <w:next w:val="1077"/>
    <w:link w:val="1058"/>
    <w:rPr>
      <w:b w:val="0"/>
      <w:i w:val="0"/>
    </w:rPr>
  </w:style>
  <w:style w:type="character" w:styleId="1078">
    <w:name w:val="WW8Num10z0"/>
    <w:next w:val="1078"/>
    <w:link w:val="1058"/>
    <w:rPr>
      <w:b/>
      <w:u w:val="none"/>
    </w:rPr>
  </w:style>
  <w:style w:type="character" w:styleId="1079">
    <w:name w:val="WW8Num10z1"/>
    <w:next w:val="1079"/>
    <w:link w:val="1058"/>
    <w:rPr>
      <w:b w:val="0"/>
      <w:i w:val="0"/>
      <w:u w:val="none"/>
    </w:rPr>
  </w:style>
  <w:style w:type="character" w:styleId="1080">
    <w:name w:val="WW8Num11z1"/>
    <w:next w:val="1080"/>
    <w:link w:val="1058"/>
    <w:rPr>
      <w:rFonts w:ascii="Courier New" w:hAnsi="Courier New"/>
    </w:rPr>
  </w:style>
  <w:style w:type="character" w:styleId="1081">
    <w:name w:val="Fuente de párrafo predeter.2"/>
    <w:next w:val="1081"/>
    <w:link w:val="1058"/>
  </w:style>
  <w:style w:type="character" w:styleId="1082">
    <w:name w:val="WW8Num6z0"/>
    <w:next w:val="1082"/>
    <w:link w:val="1058"/>
    <w:rPr>
      <w:b w:val="0"/>
      <w:u w:val="none"/>
    </w:rPr>
  </w:style>
  <w:style w:type="character" w:styleId="1083">
    <w:name w:val="WW8Num8z1"/>
    <w:next w:val="1083"/>
    <w:link w:val="1058"/>
    <w:rPr>
      <w:b w:val="0"/>
      <w:i w:val="0"/>
    </w:rPr>
  </w:style>
  <w:style w:type="character" w:styleId="1084">
    <w:name w:val="WW8Num9z1"/>
    <w:next w:val="1084"/>
    <w:link w:val="1058"/>
    <w:rPr>
      <w:b w:val="0"/>
    </w:rPr>
  </w:style>
  <w:style w:type="character" w:styleId="1085">
    <w:name w:val="WW8Num12z0"/>
    <w:next w:val="1085"/>
    <w:link w:val="1058"/>
    <w:rPr>
      <w:b/>
      <w:u w:val="none"/>
    </w:rPr>
  </w:style>
  <w:style w:type="character" w:styleId="1086">
    <w:name w:val="WW8Num12z1"/>
    <w:next w:val="1086"/>
    <w:link w:val="1058"/>
    <w:rPr>
      <w:b w:val="0"/>
      <w:i w:val="0"/>
      <w:u w:val="none"/>
    </w:rPr>
  </w:style>
  <w:style w:type="character" w:styleId="1087">
    <w:name w:val="WW8Num13z1"/>
    <w:next w:val="1087"/>
    <w:link w:val="1058"/>
    <w:rPr>
      <w:b w:val="0"/>
      <w:i w:val="0"/>
    </w:rPr>
  </w:style>
  <w:style w:type="character" w:styleId="1088">
    <w:name w:val="WW-Absatz-Standardschriftart1111"/>
    <w:next w:val="1088"/>
    <w:link w:val="1058"/>
  </w:style>
  <w:style w:type="character" w:styleId="1089">
    <w:name w:val="WW8Num9z0"/>
    <w:next w:val="1089"/>
    <w:link w:val="1058"/>
    <w:rPr>
      <w:b w:val="0"/>
      <w:u w:val="none"/>
    </w:rPr>
  </w:style>
  <w:style w:type="character" w:styleId="1090">
    <w:name w:val="WW8Num11z0"/>
    <w:next w:val="1090"/>
    <w:link w:val="1058"/>
    <w:rPr>
      <w:rFonts w:ascii="Symbol" w:hAnsi="Symbol"/>
    </w:rPr>
  </w:style>
  <w:style w:type="character" w:styleId="1091">
    <w:name w:val="WW8Num11z2"/>
    <w:next w:val="1091"/>
    <w:link w:val="1058"/>
    <w:rPr>
      <w:rFonts w:ascii="Wingdings" w:hAnsi="Wingdings"/>
    </w:rPr>
  </w:style>
  <w:style w:type="character" w:styleId="1092">
    <w:name w:val="WW8Num15z1"/>
    <w:next w:val="1092"/>
    <w:link w:val="1058"/>
    <w:rPr>
      <w:b w:val="0"/>
      <w:i w:val="0"/>
    </w:rPr>
  </w:style>
  <w:style w:type="character" w:styleId="1093">
    <w:name w:val="WW8Num16z0"/>
    <w:next w:val="1093"/>
    <w:link w:val="1058"/>
    <w:rPr>
      <w:rFonts w:ascii="Wingdings" w:hAnsi="Wingdings"/>
    </w:rPr>
  </w:style>
  <w:style w:type="character" w:styleId="1094">
    <w:name w:val="WW8Num16z1"/>
    <w:next w:val="1094"/>
    <w:link w:val="1058"/>
    <w:rPr>
      <w:rFonts w:ascii="Courier New" w:hAnsi="Courier New"/>
    </w:rPr>
  </w:style>
  <w:style w:type="character" w:styleId="1095">
    <w:name w:val="WW8Num16z3"/>
    <w:next w:val="1095"/>
    <w:link w:val="1058"/>
    <w:rPr>
      <w:rFonts w:ascii="Symbol" w:hAnsi="Symbol"/>
    </w:rPr>
  </w:style>
  <w:style w:type="character" w:styleId="1096">
    <w:name w:val="WW8Num17z0"/>
    <w:next w:val="1096"/>
    <w:link w:val="1058"/>
    <w:rPr>
      <w:rFonts w:ascii="Symbol" w:hAnsi="Symbol"/>
      <w:sz w:val="18"/>
    </w:rPr>
  </w:style>
  <w:style w:type="character" w:styleId="1097">
    <w:name w:val="WW8Num17z1"/>
    <w:next w:val="1097"/>
    <w:link w:val="1058"/>
    <w:rPr>
      <w:rFonts w:ascii="Courier New" w:hAnsi="Courier New"/>
    </w:rPr>
  </w:style>
  <w:style w:type="character" w:styleId="1098">
    <w:name w:val="WW8Num17z2"/>
    <w:next w:val="1098"/>
    <w:link w:val="1058"/>
    <w:rPr>
      <w:rFonts w:ascii="Wingdings" w:hAnsi="Wingdings"/>
    </w:rPr>
  </w:style>
  <w:style w:type="character" w:styleId="1099">
    <w:name w:val="WW8Num17z3"/>
    <w:next w:val="1099"/>
    <w:link w:val="1058"/>
    <w:rPr>
      <w:rFonts w:ascii="Symbol" w:hAnsi="Symbol"/>
    </w:rPr>
  </w:style>
  <w:style w:type="character" w:styleId="1100">
    <w:name w:val="WW8Num18z0"/>
    <w:next w:val="1100"/>
    <w:link w:val="1058"/>
    <w:rPr>
      <w:rFonts w:ascii="Times New Roman" w:hAnsi="Times New Roman" w:eastAsia="Times New Roman" w:cs="Times New Roman"/>
    </w:rPr>
  </w:style>
  <w:style w:type="character" w:styleId="1101">
    <w:name w:val="WW8Num18z1"/>
    <w:next w:val="1101"/>
    <w:link w:val="1058"/>
    <w:rPr>
      <w:rFonts w:ascii="Courier New" w:hAnsi="Courier New"/>
    </w:rPr>
  </w:style>
  <w:style w:type="character" w:styleId="1102">
    <w:name w:val="WW8Num18z2"/>
    <w:next w:val="1102"/>
    <w:link w:val="1058"/>
    <w:rPr>
      <w:rFonts w:ascii="Wingdings" w:hAnsi="Wingdings"/>
    </w:rPr>
  </w:style>
  <w:style w:type="character" w:styleId="1103">
    <w:name w:val="WW8Num18z3"/>
    <w:next w:val="1103"/>
    <w:link w:val="1058"/>
    <w:rPr>
      <w:rFonts w:ascii="Symbol" w:hAnsi="Symbol"/>
    </w:rPr>
  </w:style>
  <w:style w:type="character" w:styleId="1104">
    <w:name w:val="WW8Num19z1"/>
    <w:next w:val="1104"/>
    <w:link w:val="1058"/>
    <w:rPr>
      <w:b w:val="0"/>
    </w:rPr>
  </w:style>
  <w:style w:type="character" w:styleId="1105">
    <w:name w:val="WW8Num20z0"/>
    <w:next w:val="1105"/>
    <w:link w:val="1058"/>
    <w:rPr>
      <w:rFonts w:ascii="Symbol" w:hAnsi="Symbol"/>
    </w:rPr>
  </w:style>
  <w:style w:type="character" w:styleId="1106">
    <w:name w:val="WW8Num21z0"/>
    <w:next w:val="1106"/>
    <w:link w:val="1058"/>
    <w:rPr>
      <w:rFonts w:ascii="Wingdings" w:hAnsi="Wingdings"/>
    </w:rPr>
  </w:style>
  <w:style w:type="character" w:styleId="1107">
    <w:name w:val="WW8Num21z1"/>
    <w:next w:val="1107"/>
    <w:link w:val="1058"/>
    <w:rPr>
      <w:rFonts w:ascii="Courier New" w:hAnsi="Courier New"/>
    </w:rPr>
  </w:style>
  <w:style w:type="character" w:styleId="1108">
    <w:name w:val="WW8Num21z3"/>
    <w:next w:val="1108"/>
    <w:link w:val="1058"/>
    <w:rPr>
      <w:rFonts w:ascii="Symbol" w:hAnsi="Symbol"/>
    </w:rPr>
  </w:style>
  <w:style w:type="character" w:styleId="1109">
    <w:name w:val="WW8Num25z0"/>
    <w:next w:val="1109"/>
    <w:link w:val="1058"/>
    <w:rPr>
      <w:b w:val="0"/>
      <w:u w:val="none"/>
    </w:rPr>
  </w:style>
  <w:style w:type="character" w:styleId="1110">
    <w:name w:val="WW8Num26z0"/>
    <w:next w:val="1110"/>
    <w:link w:val="1058"/>
    <w:rPr>
      <w:b/>
      <w:u w:val="none"/>
    </w:rPr>
  </w:style>
  <w:style w:type="character" w:styleId="1111">
    <w:name w:val="WW8Num26z1"/>
    <w:next w:val="1111"/>
    <w:link w:val="1058"/>
    <w:rPr>
      <w:b w:val="0"/>
      <w:i w:val="0"/>
      <w:u w:val="none"/>
    </w:rPr>
  </w:style>
  <w:style w:type="character" w:styleId="1112">
    <w:name w:val="WW8Num28z0"/>
    <w:next w:val="1112"/>
    <w:link w:val="1058"/>
    <w:rPr>
      <w:rFonts w:ascii="Symbol" w:hAnsi="Symbol"/>
    </w:rPr>
  </w:style>
  <w:style w:type="character" w:styleId="1113">
    <w:name w:val="WW8Num28z1"/>
    <w:next w:val="1113"/>
    <w:link w:val="1058"/>
    <w:rPr>
      <w:rFonts w:ascii="Courier New" w:hAnsi="Courier New"/>
    </w:rPr>
  </w:style>
  <w:style w:type="character" w:styleId="1114">
    <w:name w:val="WW8Num28z2"/>
    <w:next w:val="1114"/>
    <w:link w:val="1058"/>
    <w:rPr>
      <w:rFonts w:ascii="Wingdings" w:hAnsi="Wingdings"/>
    </w:rPr>
  </w:style>
  <w:style w:type="character" w:styleId="1115">
    <w:name w:val="WW8Num29z1"/>
    <w:next w:val="1115"/>
    <w:link w:val="1058"/>
    <w:rPr>
      <w:rFonts w:ascii="Courier New" w:hAnsi="Courier New"/>
    </w:rPr>
  </w:style>
  <w:style w:type="character" w:styleId="1116">
    <w:name w:val="WW8Num29z2"/>
    <w:next w:val="1116"/>
    <w:link w:val="1058"/>
    <w:rPr>
      <w:rFonts w:ascii="Wingdings" w:hAnsi="Wingdings"/>
    </w:rPr>
  </w:style>
  <w:style w:type="character" w:styleId="1117">
    <w:name w:val="WW8Num29z3"/>
    <w:next w:val="1117"/>
    <w:link w:val="1058"/>
    <w:rPr>
      <w:rFonts w:ascii="Symbol" w:hAnsi="Symbol"/>
    </w:rPr>
  </w:style>
  <w:style w:type="character" w:styleId="1118">
    <w:name w:val="WW8Num30z0"/>
    <w:next w:val="1118"/>
    <w:link w:val="1058"/>
    <w:rPr>
      <w:b w:val="0"/>
      <w:u w:val="none"/>
    </w:rPr>
  </w:style>
  <w:style w:type="character" w:styleId="1119">
    <w:name w:val="WW8Num31z0"/>
    <w:next w:val="1119"/>
    <w:link w:val="1058"/>
    <w:rPr>
      <w:rFonts w:ascii="Wingdings" w:hAnsi="Wingdings"/>
    </w:rPr>
  </w:style>
  <w:style w:type="character" w:styleId="1120">
    <w:name w:val="WW8Num31z1"/>
    <w:next w:val="1120"/>
    <w:link w:val="1058"/>
    <w:rPr>
      <w:rFonts w:ascii="Courier New" w:hAnsi="Courier New"/>
    </w:rPr>
  </w:style>
  <w:style w:type="character" w:styleId="1121">
    <w:name w:val="WW8Num31z3"/>
    <w:next w:val="1121"/>
    <w:link w:val="1058"/>
    <w:rPr>
      <w:rFonts w:ascii="Symbol" w:hAnsi="Symbol"/>
    </w:rPr>
  </w:style>
  <w:style w:type="character" w:styleId="1122">
    <w:name w:val="WW8Num33z0"/>
    <w:next w:val="1122"/>
    <w:link w:val="1058"/>
    <w:rPr>
      <w:rFonts w:ascii="Wingdings" w:hAnsi="Wingdings"/>
      <w:color w:val="0000ff"/>
      <w:sz w:val="24"/>
    </w:rPr>
  </w:style>
  <w:style w:type="character" w:styleId="1123">
    <w:name w:val="WW8Num33z1"/>
    <w:next w:val="1123"/>
    <w:link w:val="1058"/>
    <w:rPr>
      <w:rFonts w:ascii="Courier New" w:hAnsi="Courier New"/>
    </w:rPr>
  </w:style>
  <w:style w:type="character" w:styleId="1124">
    <w:name w:val="WW8Num33z2"/>
    <w:next w:val="1124"/>
    <w:link w:val="1058"/>
    <w:rPr>
      <w:rFonts w:ascii="Wingdings" w:hAnsi="Wingdings"/>
    </w:rPr>
  </w:style>
  <w:style w:type="character" w:styleId="1125">
    <w:name w:val="WW8Num33z3"/>
    <w:next w:val="1125"/>
    <w:link w:val="1058"/>
    <w:rPr>
      <w:rFonts w:ascii="Symbol" w:hAnsi="Symbol"/>
    </w:rPr>
  </w:style>
  <w:style w:type="character" w:styleId="1126">
    <w:name w:val="WW8Num35z1"/>
    <w:next w:val="1126"/>
    <w:link w:val="1058"/>
    <w:rPr>
      <w:b w:val="0"/>
      <w:i w:val="0"/>
    </w:rPr>
  </w:style>
  <w:style w:type="character" w:styleId="1127">
    <w:name w:val="WW8Num37z0"/>
    <w:next w:val="1127"/>
    <w:link w:val="1058"/>
    <w:rPr>
      <w:rFonts w:ascii="Wingdings" w:hAnsi="Wingdings"/>
    </w:rPr>
  </w:style>
  <w:style w:type="character" w:styleId="1128">
    <w:name w:val="WW8Num37z1"/>
    <w:next w:val="1128"/>
    <w:link w:val="1058"/>
    <w:rPr>
      <w:rFonts w:ascii="Courier New" w:hAnsi="Courier New"/>
    </w:rPr>
  </w:style>
  <w:style w:type="character" w:styleId="1129">
    <w:name w:val="WW8Num37z3"/>
    <w:next w:val="1129"/>
    <w:link w:val="1058"/>
    <w:rPr>
      <w:rFonts w:ascii="Symbol" w:hAnsi="Symbol"/>
    </w:rPr>
  </w:style>
  <w:style w:type="character" w:styleId="1130">
    <w:name w:val="Fuente de párrafo predeter.1"/>
    <w:next w:val="1130"/>
    <w:link w:val="1058"/>
  </w:style>
  <w:style w:type="character" w:styleId="1131">
    <w:name w:val="WW-Absatz-Standardschriftart11111"/>
    <w:next w:val="1131"/>
    <w:link w:val="1058"/>
  </w:style>
  <w:style w:type="character" w:styleId="1132">
    <w:name w:val="Viñetas"/>
    <w:next w:val="1132"/>
    <w:link w:val="1058"/>
    <w:rPr>
      <w:rFonts w:ascii="StarBats" w:hAnsi="StarBats"/>
      <w:sz w:val="18"/>
    </w:rPr>
  </w:style>
  <w:style w:type="character" w:styleId="1133">
    <w:name w:val="WW-Viñetas"/>
    <w:next w:val="1133"/>
    <w:link w:val="1058"/>
    <w:rPr>
      <w:rFonts w:ascii="StarBats" w:hAnsi="StarBats"/>
      <w:sz w:val="18"/>
    </w:rPr>
  </w:style>
  <w:style w:type="character" w:styleId="1134">
    <w:name w:val="Carácter de numeración"/>
    <w:next w:val="1134"/>
    <w:link w:val="1058"/>
  </w:style>
  <w:style w:type="character" w:styleId="1135">
    <w:name w:val="WW-Carácter de numeración"/>
    <w:next w:val="1135"/>
    <w:link w:val="1058"/>
  </w:style>
  <w:style w:type="character" w:styleId="1136">
    <w:name w:val="page number"/>
    <w:basedOn w:val="1130"/>
    <w:next w:val="1136"/>
    <w:link w:val="1058"/>
  </w:style>
  <w:style w:type="character" w:styleId="1137">
    <w:name w:val="Texto de globo Car"/>
    <w:basedOn w:val="1066"/>
    <w:next w:val="1137"/>
    <w:link w:val="1058"/>
    <w:rPr>
      <w:rFonts w:ascii="Tahoma" w:hAnsi="Tahoma" w:cs="Tahoma"/>
      <w:sz w:val="16"/>
      <w:szCs w:val="16"/>
      <w:lang w:val="en-US" w:eastAsia="ar-SA"/>
    </w:rPr>
  </w:style>
  <w:style w:type="character" w:styleId="1138">
    <w:name w:val="ListLabel 1"/>
    <w:next w:val="1138"/>
    <w:link w:val="1058"/>
    <w:rPr>
      <w:b w:val="0"/>
      <w:u w:val="none"/>
    </w:rPr>
  </w:style>
  <w:style w:type="character" w:styleId="1139">
    <w:name w:val="ListLabel 2"/>
    <w:next w:val="1139"/>
    <w:link w:val="1058"/>
    <w:rPr>
      <w:b w:val="0"/>
      <w:i w:val="0"/>
      <w:u w:val="none"/>
    </w:rPr>
  </w:style>
  <w:style w:type="character" w:styleId="1140">
    <w:name w:val="ListLabel 3"/>
    <w:next w:val="1140"/>
    <w:link w:val="1058"/>
    <w:rPr>
      <w:b w:val="0"/>
    </w:rPr>
  </w:style>
  <w:style w:type="paragraph" w:styleId="1141">
    <w:name w:val="Encabezado3"/>
    <w:basedOn w:val="1058"/>
    <w:next w:val="1142"/>
    <w:link w:val="1058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142">
    <w:name w:val="Texto independiente"/>
    <w:basedOn w:val="1058"/>
    <w:next w:val="1142"/>
    <w:link w:val="1058"/>
    <w:pPr>
      <w:spacing w:before="0" w:after="120"/>
    </w:pPr>
  </w:style>
  <w:style w:type="paragraph" w:styleId="1143">
    <w:name w:val="Lista"/>
    <w:basedOn w:val="1142"/>
    <w:next w:val="1143"/>
    <w:link w:val="1058"/>
    <w:rPr>
      <w:rFonts w:cs="Tahoma"/>
    </w:rPr>
  </w:style>
  <w:style w:type="paragraph" w:styleId="1144">
    <w:name w:val="Epígrafe"/>
    <w:basedOn w:val="1058"/>
    <w:next w:val="1144"/>
    <w:link w:val="1058"/>
    <w:qFormat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1145">
    <w:name w:val="Índice"/>
    <w:basedOn w:val="1058"/>
    <w:next w:val="1145"/>
    <w:link w:val="1058"/>
    <w:pPr>
      <w:suppressLineNumbers/>
    </w:pPr>
    <w:rPr>
      <w:rFonts w:cs="Tahoma"/>
    </w:rPr>
  </w:style>
  <w:style w:type="paragraph" w:styleId="1146">
    <w:name w:val="Encabezado2"/>
    <w:basedOn w:val="1058"/>
    <w:next w:val="1146"/>
    <w:link w:val="1058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47">
    <w:name w:val="Etiqueta"/>
    <w:basedOn w:val="1058"/>
    <w:next w:val="1147"/>
    <w:link w:val="1058"/>
    <w:pPr>
      <w:spacing w:before="120" w:after="120"/>
      <w:suppressLineNumbers/>
    </w:pPr>
    <w:rPr>
      <w:rFonts w:cs="Tahoma"/>
      <w:i/>
      <w:iCs/>
      <w:szCs w:val="24"/>
    </w:rPr>
  </w:style>
  <w:style w:type="paragraph" w:styleId="1148">
    <w:name w:val="Encabezado1"/>
    <w:basedOn w:val="1058"/>
    <w:next w:val="1148"/>
    <w:link w:val="1058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49">
    <w:name w:val="Contenido de la tabla"/>
    <w:basedOn w:val="1142"/>
    <w:next w:val="1149"/>
    <w:link w:val="1058"/>
  </w:style>
  <w:style w:type="paragraph" w:styleId="1150">
    <w:name w:val="Encabezado de la tabla"/>
    <w:basedOn w:val="1149"/>
    <w:next w:val="1150"/>
    <w:link w:val="1058"/>
    <w:pPr>
      <w:jc w:val="center"/>
    </w:pPr>
    <w:rPr>
      <w:b/>
      <w:i/>
    </w:rPr>
  </w:style>
  <w:style w:type="paragraph" w:styleId="1151">
    <w:name w:val="Pie de página"/>
    <w:basedOn w:val="1058"/>
    <w:next w:val="1151"/>
    <w:link w:val="1058"/>
    <w:pPr>
      <w:tabs>
        <w:tab w:val="center" w:pos="4986" w:leader="none"/>
        <w:tab w:val="right" w:pos="9972" w:leader="none"/>
      </w:tabs>
    </w:pPr>
  </w:style>
  <w:style w:type="paragraph" w:styleId="1152">
    <w:name w:val="Encabezado"/>
    <w:basedOn w:val="1058"/>
    <w:next w:val="1152"/>
    <w:link w:val="1058"/>
    <w:pPr>
      <w:tabs>
        <w:tab w:val="center" w:pos="4987" w:leader="none"/>
        <w:tab w:val="right" w:pos="9975" w:leader="none"/>
      </w:tabs>
    </w:pPr>
  </w:style>
  <w:style w:type="paragraph" w:styleId="1153">
    <w:name w:val="Sangría de texto normal"/>
    <w:basedOn w:val="1058"/>
    <w:next w:val="1153"/>
    <w:link w:val="1058"/>
    <w:pPr>
      <w:ind w:left="709" w:right="0" w:hanging="425"/>
      <w:jc w:val="both"/>
      <w:spacing w:line="360" w:lineRule="auto"/>
      <w:tabs>
        <w:tab w:val="center" w:pos="6452" w:leader="none"/>
      </w:tabs>
    </w:pPr>
  </w:style>
  <w:style w:type="paragraph" w:styleId="1154">
    <w:name w:val="Sangría 2 de t. independiente1"/>
    <w:basedOn w:val="1058"/>
    <w:next w:val="1154"/>
    <w:link w:val="1058"/>
    <w:pPr>
      <w:ind w:left="709" w:right="0" w:hanging="426"/>
      <w:jc w:val="both"/>
      <w:spacing w:line="360" w:lineRule="auto"/>
      <w:tabs>
        <w:tab w:val="center" w:pos="6452" w:leader="none"/>
      </w:tabs>
    </w:pPr>
  </w:style>
  <w:style w:type="paragraph" w:styleId="1155">
    <w:name w:val="Sangría 3 de t. independiente1"/>
    <w:basedOn w:val="1058"/>
    <w:next w:val="1155"/>
    <w:link w:val="1058"/>
    <w:pPr>
      <w:ind w:left="851" w:right="0" w:hanging="567"/>
      <w:jc w:val="both"/>
      <w:spacing w:line="360" w:lineRule="auto"/>
      <w:tabs>
        <w:tab w:val="center" w:pos="7659" w:leader="none"/>
      </w:tabs>
    </w:pPr>
  </w:style>
  <w:style w:type="paragraph" w:styleId="1156">
    <w:name w:val="Texto independiente 21"/>
    <w:basedOn w:val="1058"/>
    <w:next w:val="1156"/>
    <w:link w:val="1058"/>
    <w:pPr>
      <w:jc w:val="both"/>
      <w:widowControl/>
    </w:pPr>
    <w:rPr>
      <w:rFonts w:ascii="Arial" w:hAnsi="Arial" w:cs="Arial"/>
      <w:b/>
      <w:bCs/>
      <w:szCs w:val="24"/>
      <w:lang w:val="es-ES"/>
    </w:rPr>
  </w:style>
  <w:style w:type="paragraph" w:styleId="1157">
    <w:name w:val="Texto independiente 31"/>
    <w:basedOn w:val="1058"/>
    <w:next w:val="1157"/>
    <w:link w:val="1058"/>
    <w:pPr>
      <w:widowControl/>
    </w:pPr>
    <w:rPr>
      <w:rFonts w:ascii="Arial Narrow" w:hAnsi="Arial Narrow"/>
      <w:b/>
      <w:bCs/>
      <w:szCs w:val="24"/>
      <w:lang w:val="es-ES"/>
    </w:rPr>
  </w:style>
  <w:style w:type="paragraph" w:styleId="1158">
    <w:name w:val="Título"/>
    <w:basedOn w:val="1058"/>
    <w:next w:val="1158"/>
    <w:link w:val="1058"/>
    <w:qFormat/>
    <w:pPr>
      <w:jc w:val="center"/>
      <w:widowControl/>
    </w:pPr>
    <w:rPr>
      <w:b/>
      <w:bCs/>
      <w:lang w:val="es-ES"/>
    </w:rPr>
  </w:style>
  <w:style w:type="paragraph" w:styleId="1159">
    <w:name w:val="Subtítulo"/>
    <w:basedOn w:val="1058"/>
    <w:next w:val="1159"/>
    <w:link w:val="1058"/>
    <w:qFormat/>
    <w:pPr>
      <w:jc w:val="both"/>
      <w:widowControl/>
    </w:pPr>
    <w:rPr>
      <w:lang w:val="es-ES"/>
    </w:rPr>
  </w:style>
  <w:style w:type="paragraph" w:styleId="1160">
    <w:name w:val="Balloon Text"/>
    <w:basedOn w:val="1058"/>
    <w:next w:val="1160"/>
    <w:link w:val="1058"/>
    <w:rPr>
      <w:rFonts w:ascii="Tahoma" w:hAnsi="Tahoma" w:cs="Tahoma"/>
      <w:sz w:val="16"/>
      <w:szCs w:val="16"/>
    </w:rPr>
  </w:style>
  <w:style w:type="paragraph" w:styleId="1161">
    <w:name w:val="List Paragraph"/>
    <w:basedOn w:val="1058"/>
    <w:next w:val="1161"/>
    <w:link w:val="1058"/>
    <w:pPr>
      <w:contextualSpacing/>
      <w:ind w:left="720" w:right="0" w:firstLine="0"/>
      <w:spacing w:before="0" w:after="0"/>
    </w:pPr>
  </w:style>
  <w:style w:type="paragraph" w:styleId="1162">
    <w:name w:val="Cita"/>
    <w:basedOn w:val="1058"/>
    <w:next w:val="1162"/>
    <w:link w:val="1058"/>
    <w:qFormat/>
  </w:style>
  <w:style w:type="numbering" w:styleId="1562" w:default="1">
    <w:name w:val="No List"/>
    <w:uiPriority w:val="99"/>
    <w:semiHidden/>
    <w:unhideWhenUsed/>
  </w:style>
  <w:style w:type="table" w:styleId="156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por la Dirección</dc:title>
  <dc:creator>C/C (CG) Yamandú Bértola</dc:creator>
  <cp:revision>4</cp:revision>
  <dcterms:created xsi:type="dcterms:W3CDTF">2020-10-20T17:37:00Z</dcterms:created>
  <dcterms:modified xsi:type="dcterms:W3CDTF">2025-06-24T16:19:18Z</dcterms:modified>
  <cp:version>786432</cp:version>
</cp:coreProperties>
</file>