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footer3.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footer2.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ackground w:color="FFFFFF">
    <v:background id="_x0000_s1025" fillcolor="#FFFFFF"/>
  </w:background>
  <w:body>
    <w:p>
      <w:pPr>
        <w:pStyle w:val="Normal"/>
        <w:rPr>
          <w:lang w:val="es-ES_tradnl"/>
        </w:rPr>
      </w:pPr>
      <w:r>
        <w:rPr>
          <w:lang w:val="es-ES_tradnl"/>
        </w:rPr>
      </w:r>
    </w:p>
    <w:p>
      <w:pPr>
        <w:pStyle w:val="Normal"/>
        <w:numPr>
          <w:numId w:val="2"/>
          <w:ilvl w:val="0"/>
        </w:numPr>
        <w:rPr>
          <w:sz w:val="24"/>
          <w:lang w:val="es-ES_tradnl"/>
        </w:rPr>
      </w:pPr>
      <w:r>
        <w:rPr>
          <w:sz w:val="24"/>
          <w:lang w:val="es-ES_tradnl"/>
        </w:rPr>
        <w:t xml:space="preserve">El Jefe de CONMO  Subprefecto del Puerto de Montevideo constituido en la Torre de CONMO, en coordinación con Tráfico de ANP procederá a dar la orden de: </w:t>
      </w:r>
      <w:r>
        <w:rPr>
          <w:sz w:val="24"/>
          <w:lang w:val="es-ES_tradnl"/>
        </w:rPr>
      </w:r>
    </w:p>
    <w:p>
      <w:pPr>
        <w:pStyle w:val="Normal"/>
        <w:ind w:left="709" w:right="0" w:hanging="709"/>
        <w:rPr>
          <w:sz w:val="24"/>
          <w:lang w:val="es-ES_tradnl"/>
        </w:rPr>
      </w:pPr>
      <w:r>
        <w:rPr>
          <w:sz w:val="24"/>
          <w:lang w:val="es-ES_tradnl"/>
        </w:rPr>
        <w:t xml:space="preserve">            </w:t>
      </w:r>
      <w:r>
        <w:rPr>
          <w:sz w:val="24"/>
          <w:lang w:val="es-ES_tradnl"/>
        </w:rPr>
        <w:t xml:space="preserve">Suspender los movimientos previstos o iniciados desde o hacia la zona afectada por el                    incidente.</w:t>
      </w:r>
      <w:r>
        <w:rPr>
          <w:sz w:val="24"/>
          <w:lang w:val="es-ES_tradnl"/>
        </w:rPr>
      </w:r>
    </w:p>
    <w:p>
      <w:pPr>
        <w:pStyle w:val="Normal"/>
        <w:numPr>
          <w:numId w:val="2"/>
          <w:ilvl w:val="0"/>
        </w:numPr>
        <w:rPr>
          <w:sz w:val="24"/>
          <w:lang w:val="es-ES_tradnl"/>
        </w:rPr>
      </w:pPr>
      <w:r>
        <w:rPr>
          <w:sz w:val="24"/>
          <w:lang w:val="es-ES_tradnl"/>
        </w:rPr>
        <w:t xml:space="preserve">Se coordinara  con la empresa de remolcadores que operan en Puerto la presencia de los remolcadores necesarios con capacidad de combate al fuego y eventual traslado mediante remolque al área de seguridad designada la cual se encuentra en antepuerto. </w:t>
      </w:r>
      <w:r>
        <w:rPr>
          <w:sz w:val="24"/>
          <w:lang w:val="es-ES_tradnl"/>
        </w:rPr>
      </w:r>
    </w:p>
    <w:p>
      <w:pPr>
        <w:pStyle w:val="Normal"/>
        <w:numPr>
          <w:numId w:val="2"/>
          <w:ilvl w:val="0"/>
        </w:numPr>
        <w:rPr>
          <w:sz w:val="24"/>
          <w:lang w:val="es-ES_tradnl"/>
        </w:rPr>
      </w:pPr>
      <w:r>
        <w:rPr>
          <w:sz w:val="24"/>
          <w:lang w:val="es-ES_tradnl"/>
        </w:rPr>
        <w:t xml:space="preserve">Solicitará (a instancia del Prefecto del Puerto) la presencia en el lugar del Práctico de Seguridad Portuaria a fin de: Luego de la primera hora de combate del incendio, si no fue controlada la situación se analiza el   traslado  del Buque hacia zona segura lejos de las posibles afectaciones por escape de gases, humo o explosión que puedan suceder.</w:t>
      </w:r>
      <w:r>
        <w:rPr>
          <w:sz w:val="24"/>
          <w:lang w:val="es-ES_tradnl"/>
        </w:rPr>
      </w:r>
    </w:p>
    <w:p>
      <w:pPr>
        <w:pStyle w:val="Normal"/>
        <w:rPr>
          <w:sz w:val="24"/>
          <w:lang w:val="es-ES_tradnl"/>
        </w:rPr>
      </w:pPr>
      <w:r>
        <w:rPr>
          <w:sz w:val="24"/>
          <w:lang w:val="es-ES_tradnl"/>
        </w:rPr>
        <w:t xml:space="preserve">            </w:t>
      </w:r>
      <w:r>
        <w:rPr>
          <w:sz w:val="24"/>
          <w:lang w:val="es-ES_tradnl"/>
        </w:rPr>
        <w:t xml:space="preserve">Evaluar el retiro de Buques que puedan llegar a ser alcanzados por los efectos del incendio                 </w:t>
      </w:r>
      <w:r>
        <w:rPr>
          <w:sz w:val="24"/>
          <w:lang w:val="es-ES_tradnl"/>
        </w:rPr>
      </w:r>
    </w:p>
    <w:p>
      <w:pPr>
        <w:pStyle w:val="Normal"/>
        <w:rPr>
          <w:sz w:val="24"/>
          <w:lang w:val="es-ES_tradnl"/>
        </w:rPr>
      </w:pPr>
      <w:r>
        <w:rPr>
          <w:sz w:val="24"/>
          <w:lang w:val="es-ES_tradnl"/>
        </w:rPr>
        <w:t xml:space="preserve">            </w:t>
      </w:r>
      <w:r>
        <w:rPr>
          <w:sz w:val="24"/>
          <w:lang w:val="es-ES_tradnl"/>
        </w:rPr>
        <w:t xml:space="preserve">(por Ejemplo: Columna de humo).</w:t>
      </w:r>
      <w:r>
        <w:rPr>
          <w:sz w:val="24"/>
          <w:lang w:val="es-ES_tradnl"/>
        </w:rPr>
      </w:r>
    </w:p>
    <w:p>
      <w:pPr>
        <w:pStyle w:val="Normal"/>
        <w:numPr>
          <w:numId w:val="2"/>
          <w:ilvl w:val="0"/>
        </w:numPr>
        <w:rPr>
          <w:sz w:val="24"/>
          <w:lang w:val="es-ES_tradnl"/>
        </w:rPr>
      </w:pPr>
      <w:r>
        <w:rPr>
          <w:sz w:val="24"/>
          <w:lang w:val="es-ES_tradnl"/>
        </w:rPr>
        <w:t xml:space="preserve">En caso de que el Buque siniestrado se hallare fondeado en área de Jurisdicción de CONMO (Eje: ZFS, ZA, ZEFO) procederá acorde los procedimientos y responsabilidades enunciadas anteriormente y de la siguiente manera:</w:t>
      </w:r>
      <w:r>
        <w:rPr>
          <w:sz w:val="24"/>
          <w:lang w:val="es-ES_tradnl"/>
        </w:rPr>
      </w:r>
    </w:p>
    <w:p>
      <w:pPr>
        <w:pStyle w:val="Normal"/>
        <w:numPr>
          <w:numId w:val="4"/>
          <w:ilvl w:val="0"/>
        </w:numPr>
        <w:rPr>
          <w:sz w:val="24"/>
          <w:lang w:val="es-ES_tradnl"/>
        </w:rPr>
      </w:pPr>
      <w:r>
        <w:rPr>
          <w:sz w:val="24"/>
          <w:lang w:val="es-ES_tradnl"/>
        </w:rPr>
        <w:t xml:space="preserve">Se coordinara la evacuación inmediata  de la tripulación, coordinada por OCG y MRCC con asistencia médica en muelle.</w:t>
      </w:r>
      <w:r>
        <w:rPr>
          <w:sz w:val="24"/>
          <w:lang w:val="es-ES_tradnl"/>
        </w:rPr>
      </w:r>
    </w:p>
    <w:p>
      <w:pPr>
        <w:pStyle w:val="Normal"/>
        <w:numPr>
          <w:numId w:val="4"/>
          <w:ilvl w:val="0"/>
        </w:numPr>
        <w:rPr>
          <w:sz w:val="24"/>
          <w:lang w:val="es-ES_tradnl"/>
        </w:rPr>
      </w:pPr>
      <w:r>
        <w:rPr>
          <w:sz w:val="24"/>
          <w:lang w:val="es-ES_tradnl"/>
        </w:rPr>
        <w:t xml:space="preserve">Se designa  una empresa OSRO, con capacidad de despliegue de barreras de contención y demás equipamiento de control de derrame, en caso de considerarse su empleo.</w:t>
      </w:r>
      <w:r>
        <w:rPr>
          <w:sz w:val="24"/>
          <w:lang w:val="es-ES_tradnl"/>
        </w:rPr>
      </w:r>
    </w:p>
    <w:p>
      <w:pPr>
        <w:pStyle w:val="Normal"/>
        <w:ind w:left="709" w:right="0" w:hanging="709"/>
        <w:rPr>
          <w:sz w:val="24"/>
          <w:lang w:val="es-ES_tradnl"/>
        </w:rPr>
      </w:pPr>
      <w:r>
        <w:rPr>
          <w:sz w:val="24"/>
          <w:lang w:val="es-ES_tradnl"/>
        </w:rPr>
        <w:t xml:space="preserve">            </w:t>
      </w:r>
      <w:r>
        <w:rPr>
          <w:sz w:val="24"/>
          <w:lang w:val="es-ES_tradnl"/>
        </w:rPr>
        <w:t xml:space="preserve">CONMO coordinará el o los remolcadores disponibles y con capacidad de retirar el Buque cuando haya otros que puedan resultar afectados por el incendio, previendo  remolcadores con calado suficiente y capacidad de lucha contra incendio, destinados a combatir.</w:t>
      </w:r>
      <w:r>
        <w:rPr>
          <w:sz w:val="24"/>
          <w:lang w:val="es-ES_tradnl"/>
        </w:rPr>
      </w:r>
    </w:p>
    <w:p>
      <w:pPr>
        <w:pStyle w:val="Normal"/>
        <w:numPr>
          <w:numId w:val="3"/>
          <w:ilvl w:val="0"/>
        </w:numPr>
        <w:rPr>
          <w:sz w:val="24"/>
          <w:lang w:val="es-ES_tradnl"/>
        </w:rPr>
      </w:pPr>
      <w:r>
        <w:rPr>
          <w:sz w:val="24"/>
          <w:lang w:val="es-ES_tradnl"/>
        </w:rPr>
        <w:t xml:space="preserve">En coordinación con el Práctico de Seguridad Portuaria, el Comandante en escena dispondrá el traslado del Buque afectado hacia una zona donde el daño sea el mínimo esperable, evitando afectación sobre canales de navegación internos. </w:t>
      </w:r>
      <w:r>
        <w:rPr>
          <w:sz w:val="24"/>
          <w:lang w:val="es-ES_tradnl"/>
        </w:rPr>
      </w:r>
    </w:p>
    <w:p>
      <w:pPr>
        <w:pStyle w:val="Normal"/>
        <w:rPr>
          <w:sz w:val="24"/>
          <w:lang w:val="es-ES_tradnl"/>
        </w:rPr>
      </w:pPr>
      <w:r>
        <w:rPr>
          <w:sz w:val="24"/>
          <w:lang w:val="es-ES_tradnl"/>
        </w:rPr>
        <w:t xml:space="preserve">           </w:t>
      </w:r>
      <w:r>
        <w:rPr>
          <w:sz w:val="24"/>
          <w:lang w:val="es-ES_tradnl"/>
        </w:rPr>
      </w:r>
    </w:p>
    <w:p>
      <w:pPr>
        <w:pStyle w:val="Normal"/>
        <w:rPr>
          <w:sz w:val="24"/>
          <w:lang w:val="es-ES_tradnl"/>
        </w:rPr>
      </w:pPr>
      <w:r>
        <w:rPr>
          <w:sz w:val="24"/>
          <w:lang w:val="es-ES_tradnl"/>
        </w:rPr>
      </w:r>
    </w:p>
    <w:p>
      <w:pPr>
        <w:pStyle w:val="Normal"/>
        <w:rPr>
          <w:sz w:val="24"/>
          <w:lang w:val="es-ES_tradnl"/>
        </w:rPr>
      </w:pPr>
      <w:r>
        <w:rPr>
          <w:sz w:val="24"/>
          <w:lang w:val="es-ES_tradnl"/>
        </w:rPr>
        <w:t xml:space="preserve"> </w:t>
      </w:r>
      <w:r>
        <w:rPr>
          <w:sz w:val="24"/>
          <w:lang w:val="es-ES_tradnl"/>
        </w:rPr>
      </w:r>
    </w:p>
    <w:p>
      <w:pPr>
        <w:pStyle w:val="Normal"/>
        <w:numPr>
          <w:numId w:val="3"/>
          <w:ilvl w:val="0"/>
        </w:numPr>
        <w:rPr>
          <w:sz w:val="24"/>
          <w:lang w:val="es-ES_tradnl"/>
        </w:rPr>
      </w:pPr>
      <w:r>
        <w:rPr>
          <w:sz w:val="24"/>
          <w:lang w:val="es-ES_tradnl"/>
        </w:rPr>
        <w:t xml:space="preserve">PUNTOS DE CONTACTOS:</w:t>
      </w:r>
      <w:r>
        <w:rPr>
          <w:sz w:val="24"/>
          <w:lang w:val="es-ES_tradnl"/>
        </w:rPr>
      </w:r>
    </w:p>
    <w:p>
      <w:pPr>
        <w:pStyle w:val="Normal"/>
        <w:ind w:left="720" w:right="0" w:firstLine="0"/>
        <w:rPr>
          <w:sz w:val="24"/>
          <w:lang w:val="es-ES_tradnl"/>
        </w:rPr>
      </w:pPr>
      <w:r>
        <w:rPr>
          <w:sz w:val="24"/>
          <w:lang w:val="es-ES_tradnl"/>
        </w:rPr>
      </w:r>
    </w:p>
    <w:p>
      <w:pPr>
        <w:pStyle w:val="Normal"/>
        <w:numPr>
          <w:numId w:val="5"/>
          <w:ilvl w:val="0"/>
        </w:numPr>
        <w:jc w:val="both"/>
        <w:rPr>
          <w:sz w:val="24"/>
          <w:lang w:val="es-ES_tradnl"/>
        </w:rPr>
      </w:pPr>
      <w:r>
        <w:rPr>
          <w:sz w:val="24"/>
          <w:lang w:val="es-ES_tradnl"/>
        </w:rPr>
        <w:t xml:space="preserve">ANP- Centro de Control de Monitoreo: 19012826</w:t>
      </w:r>
      <w:r>
        <w:rPr>
          <w:sz w:val="24"/>
          <w:lang w:val="es-ES_tradnl"/>
        </w:rPr>
      </w:r>
    </w:p>
    <w:p>
      <w:pPr>
        <w:pStyle w:val="Normal"/>
        <w:numPr>
          <w:numId w:val="5"/>
          <w:ilvl w:val="0"/>
        </w:numPr>
        <w:jc w:val="both"/>
        <w:rPr>
          <w:sz w:val="24"/>
          <w:lang w:val="es-ES_tradnl"/>
        </w:rPr>
      </w:pPr>
      <w:r>
        <w:rPr>
          <w:sz w:val="24"/>
          <w:lang w:val="es-ES_tradnl"/>
        </w:rPr>
        <w:t xml:space="preserve">ANP- Mesa Coordinadora Operaciones: 19012733</w:t>
      </w:r>
      <w:r>
        <w:rPr>
          <w:sz w:val="24"/>
          <w:lang w:val="es-ES_tradnl"/>
        </w:rPr>
      </w:r>
    </w:p>
    <w:p>
      <w:pPr>
        <w:pStyle w:val="Normal"/>
        <w:numPr>
          <w:numId w:val="5"/>
          <w:ilvl w:val="0"/>
        </w:numPr>
        <w:jc w:val="both"/>
        <w:rPr>
          <w:sz w:val="24"/>
          <w:lang w:val="es-ES_tradnl"/>
        </w:rPr>
      </w:pPr>
      <w:r>
        <w:rPr>
          <w:sz w:val="24"/>
          <w:lang w:val="es-ES_tradnl"/>
        </w:rPr>
        <w:t xml:space="preserve">ANP- Sanidad: 1901 Interno 00</w:t>
      </w:r>
      <w:r>
        <w:rPr>
          <w:sz w:val="24"/>
          <w:lang w:val="es-ES_tradnl"/>
        </w:rPr>
      </w:r>
    </w:p>
    <w:p>
      <w:pPr>
        <w:pStyle w:val="Normal"/>
        <w:numPr>
          <w:numId w:val="5"/>
          <w:ilvl w:val="0"/>
        </w:numPr>
        <w:jc w:val="both"/>
        <w:rPr>
          <w:sz w:val="24"/>
          <w:lang w:val="es-ES_tradnl"/>
        </w:rPr>
      </w:pPr>
      <w:r>
        <w:rPr>
          <w:sz w:val="24"/>
          <w:lang w:val="es-ES_tradnl"/>
        </w:rPr>
        <w:t xml:space="preserve">Destacamento de Bomberos del Puerto: 29159313</w:t>
      </w:r>
      <w:r>
        <w:rPr>
          <w:sz w:val="24"/>
          <w:lang w:val="es-ES_tradnl"/>
        </w:rPr>
      </w:r>
    </w:p>
    <w:p>
      <w:pPr>
        <w:pStyle w:val="Normal"/>
        <w:numPr>
          <w:numId w:val="5"/>
          <w:ilvl w:val="0"/>
        </w:numPr>
        <w:jc w:val="both"/>
        <w:rPr>
          <w:sz w:val="24"/>
          <w:lang w:val="es-ES_tradnl"/>
        </w:rPr>
      </w:pPr>
      <w:r>
        <w:rPr>
          <w:sz w:val="24"/>
          <w:lang w:val="es-ES_tradnl"/>
        </w:rPr>
        <w:t xml:space="preserve">Prefectura de Montevideo (Oficial de Guardia): 091016150 </w:t>
      </w:r>
      <w:r>
        <w:rPr>
          <w:sz w:val="24"/>
          <w:lang w:val="es-ES_tradnl"/>
        </w:rPr>
      </w:r>
    </w:p>
    <w:p>
      <w:pPr>
        <w:pStyle w:val="Normal"/>
        <w:numPr>
          <w:numId w:val="5"/>
          <w:ilvl w:val="0"/>
        </w:numPr>
        <w:jc w:val="both"/>
        <w:rPr>
          <w:sz w:val="24"/>
          <w:lang w:val="es-ES_tradnl"/>
        </w:rPr>
      </w:pPr>
      <w:r>
        <w:rPr>
          <w:sz w:val="24"/>
          <w:lang w:val="es-ES_tradnl"/>
        </w:rPr>
        <w:t xml:space="preserve">Prefectura de Montevideo Central: 099678149</w:t>
      </w:r>
      <w:r>
        <w:rPr>
          <w:sz w:val="24"/>
          <w:lang w:val="es-ES_tradnl"/>
        </w:rPr>
      </w:r>
    </w:p>
    <w:p>
      <w:pPr>
        <w:pStyle w:val="Normal"/>
        <w:numPr>
          <w:numId w:val="5"/>
          <w:ilvl w:val="0"/>
        </w:numPr>
        <w:jc w:val="both"/>
        <w:rPr>
          <w:sz w:val="24"/>
          <w:lang w:val="es-ES_tradnl"/>
        </w:rPr>
      </w:pPr>
      <w:r>
        <w:rPr>
          <w:sz w:val="24"/>
          <w:lang w:val="es-ES_tradnl"/>
        </w:rPr>
        <w:t xml:space="preserve">Centro de Control e información del Tráfico Marítimo: 099678987- 29160842-783</w:t>
      </w:r>
      <w:r>
        <w:rPr>
          <w:sz w:val="24"/>
          <w:lang w:val="es-ES_tradnl"/>
        </w:rPr>
      </w:r>
    </w:p>
    <w:p>
      <w:pPr>
        <w:pStyle w:val="Normal"/>
        <w:numPr>
          <w:numId w:val="5"/>
          <w:ilvl w:val="0"/>
        </w:numPr>
        <w:jc w:val="both"/>
        <w:rPr>
          <w:sz w:val="24"/>
          <w:lang w:val="es-ES_tradnl"/>
        </w:rPr>
      </w:pPr>
      <w:r>
        <w:rPr>
          <w:sz w:val="24"/>
          <w:lang w:val="es-ES_tradnl"/>
        </w:rPr>
        <w:t xml:space="preserve">Grupo de Buceo de la Armada: 099678863 </w:t>
      </w:r>
      <w:r>
        <w:rPr>
          <w:sz w:val="24"/>
          <w:lang w:val="es-ES_tradnl"/>
        </w:rPr>
      </w:r>
    </w:p>
    <w:sectPr>
      <w:headerReference w:type="default" r:id="rId7"/>
      <w:headerReference w:type="first" r:id="rId8"/>
      <w:footerReference w:type="even" r:id="rId9"/>
      <w:footerReference w:type="default" r:id="rId10"/>
      <w:footerReference w:type="first" r:id="rId11"/>
      <w:type w:val="nextPage"/>
      <w:pgSz w:w="11906" w:h="16838"/>
      <w:pgMar w:top="2268" w:right="992" w:bottom="1559" w:left="851" w:header="720" w:footer="720"/>
      <w:pgNumType w:start="1"/>
      <w:cols w:space="708"/>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ucida Sans Unicode">
    <w:panose1 w:val="020B0602030504020204"/>
  </w:font>
  <w:font w:name="Arial">
    <w:panose1 w:val="020B0604020202020204"/>
  </w:font>
  <w:font w:name="Tahoma">
    <w:panose1 w:val="020B0604030504040204"/>
  </w:font>
  <w:font w:name="Wingdings">
    <w:panose1 w:val="05000000000000000000"/>
  </w:font>
  <w:font w:name="Courier New">
    <w:panose1 w:val="02070309020205020404"/>
  </w:font>
  <w:font w:name="Symbol">
    <w:panose1 w:val="05050102010706020507"/>
  </w:font>
  <w:font w:name="Microsoft YaHei">
    <w:panose1 w:val="020B0503020204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Normal"/>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Footer"/>
      <w:jc w:val="center"/>
    </w:pPr>
    <w:r>
      <w:rPr>
        <w:lang w:val="es-MX"/>
      </w:rPr>
      <w:t xml:space="preserve">Página </w:t>
    </w:r>
    <w:r>
      <w:rPr>
        <w:lang w:val="es-MX"/>
      </w:rPr>
      <w:fldChar w:fldCharType="begin"/>
    </w:r>
    <w:r>
      <w:rPr>
        <w:lang w:val="es-MX"/>
      </w:rPr>
      <w:instrText xml:space="preserve"> PAGE </w:instrText>
    </w:r>
    <w:r>
      <w:rPr>
        <w:lang w:val="es-MX"/>
      </w:rPr>
      <w:fldChar w:fldCharType="separate"/>
    </w:r>
    <w:r>
      <w:rPr>
        <w:lang w:val="es-MX"/>
      </w:rPr>
      <w:fldChar w:fldCharType="end"/>
    </w:r>
    <w:r>
      <w:rPr>
        <w:lang w:val="es-MX"/>
      </w:rPr>
      <w:t xml:space="preserve"> de </w:t>
    </w:r>
    <w:r>
      <w:rPr>
        <w:lang w:val="es-MX"/>
      </w:rPr>
      <w:fldChar w:fldCharType="begin"/>
    </w:r>
    <w:r>
      <w:rPr>
        <w:lang w:val="es-MX"/>
      </w:rPr>
      <w:instrText xml:space="preserve"> NUMPAGES \*Arabic </w:instrText>
    </w:r>
    <w:r>
      <w:rPr>
        <w:lang w:val="es-MX"/>
      </w:rPr>
      <w:fldChar w:fldCharType="separate"/>
    </w:r>
    <w:r>
      <w:rPr>
        <w:lang w:val="es-MX"/>
      </w:rPr>
      <w:t xml:space="preserve">1</w:t>
    </w:r>
    <w:r>
      <w:rPr>
        <w:lang w:val="es-MX"/>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Footer"/>
      <w:jc w:val="center"/>
      <w:rPr>
        <w:lang w:val="es-MX"/>
      </w:rPr>
    </w:pPr>
    <w:r>
      <w:rPr>
        <w:lang w:val="es-MX"/>
      </w:rPr>
      <w:t xml:space="preserve">Página 1 de 1</w:t>
    </w:r>
    <w:r>
      <w:rPr>
        <w:lang w:val="es-MX"/>
      </w:rPr>
    </w:r>
  </w:p>
  <w:p>
    <w:pPr>
      <w:pStyle w:val="Footer"/>
      <w:rPr>
        <w:lang w:val="es-MX"/>
      </w:rPr>
    </w:pPr>
    <w:r>
      <w:rPr>
        <w:lang w:val="es-MX"/>
      </w:rPr>
    </w:r>
  </w:p>
  <w:p>
    <w:pPr>
      <w:pStyle w:val="Footer"/>
      <w:rPr>
        <w:lang w:val="es-MX"/>
      </w:rPr>
    </w:pPr>
    <w:r>
      <w:rPr>
        <w:lang w:val="es-MX"/>
      </w:rPr>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0" w:type="auto"/>
      <w:tblInd w:w="0" w:type="dxa"/>
      <w:tblLayout w:type="fixed"/>
      <w:tblCellMar>
        <w:left w:w="70" w:type="dxa"/>
        <w:top w:w="0" w:type="dxa"/>
        <w:right w:w="70" w:type="dxa"/>
        <w:bottom w:w="0" w:type="dxa"/>
      </w:tblCellMar>
    </w:tblPr>
    <w:tblGrid>
      <w:gridCol w:w="1560"/>
      <w:gridCol w:w="3118"/>
      <w:gridCol w:w="3827"/>
      <w:gridCol w:w="1904"/>
    </w:tblGrid>
    <w:tr>
      <w:trPr>
        <w:cantSplit/>
        <w:trHeight w:val="693"/>
      </w:trPr>
      <w:tc>
        <w:tcPr>
          <w:tcW w:w="1560" w:type="dxa"/>
          <w:vMerge w:val="restart"/>
          <w:tcBorders>
            <w:top w:val="single" w:color="000000" w:sz="4" w:space="0"/>
            <w:left w:val="single" w:color="000000" w:sz="4" w:space="0"/>
            <w:bottom w:val="single" w:color="000000" w:sz="4" w:space="0"/>
            <w:right w:val="none" w:color="000000" w:sz="0" w:space="0"/>
          </w:tcBorders>
          <w:textDirection w:val="lrTb"/>
          <w:vAlign w:val="center"/>
        </w:tcPr>
        <w:p>
          <w:pPr>
            <w:pStyle w:val="Header"/>
            <w:rPr>
              <w:b/>
              <w:bCs/>
              <w:sz w:val="28"/>
            </w:rPr>
          </w:pPr>
          <w:r>
            <mc:AlternateContent>
              <mc:Choice Requires="wpg">
                <w:drawing>
                  <wp:inline xmlns:wp="http://schemas.openxmlformats.org/drawingml/2006/wordprocessingDrawing" distT="0" distB="0" distL="0" distR="0">
                    <wp:extent cx="752475" cy="638175"/>
                    <wp:effectExtent l="0" t="0" r="0" b="0"/>
                    <wp:docPr id="1" name="_x0000_i1026"/>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1"/>
                            <a:stretch/>
                          </pic:blipFill>
                          <pic:spPr>
                            <a:xfrm>
                              <a:off x="0" y="0"/>
                              <a:ext cx="752475" cy="63817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59.2pt;height:50.2pt;mso-wrap-distance-left:0.0pt;mso-wrap-distance-top:0.0pt;mso-wrap-distance-right:0.0pt;mso-wrap-distance-bottom:0.0pt;" stroked="f">
                    <v:path textboxrect="0,0,0,0"/>
                    <v:imagedata r:id="rId1" o:title=""/>
                  </v:shape>
                </w:pict>
              </mc:Fallback>
            </mc:AlternateContent>
          </w:r>
          <w:r>
            <w:rPr>
              <w:b/>
              <w:bCs/>
              <w:sz w:val="28"/>
            </w:rPr>
          </w:r>
        </w:p>
      </w:tc>
      <w:tc>
        <w:tcPr>
          <w:tcW w:w="3118" w:type="dxa"/>
          <w:vMerge w:val="restart"/>
          <w:tcBorders>
            <w:top w:val="single" w:color="000000" w:sz="4" w:space="0"/>
            <w:left w:val="single" w:color="000000" w:sz="4" w:space="0"/>
            <w:bottom w:val="single" w:color="000000" w:sz="4" w:space="0"/>
            <w:right w:val="none" w:color="000000" w:sz="0" w:space="0"/>
          </w:tcBorders>
          <w:textDirection w:val="lrTb"/>
          <w:vAlign w:val="center"/>
        </w:tcPr>
        <w:p>
          <w:pPr>
            <w:pStyle w:val="Header"/>
            <w:jc w:val="center"/>
            <w:rPr>
              <w:b/>
              <w:bCs/>
              <w:sz w:val="28"/>
            </w:rPr>
          </w:pPr>
          <w:r>
            <w:rPr>
              <w:b/>
              <w:bCs/>
              <w:sz w:val="28"/>
            </w:rPr>
            <w:t xml:space="preserve">PREFECTURA NACIONAL NAVAL (Control Montevideo)</w:t>
          </w:r>
          <w:r>
            <w:rPr>
              <w:b/>
              <w:bCs/>
              <w:sz w:val="28"/>
            </w:rPr>
          </w:r>
        </w:p>
      </w:tc>
      <w:tc>
        <w:tcPr>
          <w:tcW w:w="3827" w:type="dxa"/>
          <w:vMerge w:val="restart"/>
          <w:tcBorders>
            <w:top w:val="single" w:color="000000" w:sz="4" w:space="0"/>
            <w:left w:val="single" w:color="000000" w:sz="4" w:space="0"/>
            <w:bottom w:val="single" w:color="000000" w:sz="4" w:space="0"/>
            <w:right w:val="none" w:color="000000" w:sz="0" w:space="0"/>
          </w:tcBorders>
          <w:textDirection w:val="lrTb"/>
          <w:vAlign w:val="center"/>
        </w:tcPr>
        <w:p>
          <w:pPr>
            <w:pStyle w:val="Header"/>
            <w:jc w:val="center"/>
            <w:rPr>
              <w:b/>
              <w:bCs/>
            </w:rPr>
          </w:pPr>
          <w:r>
            <w:rPr>
              <w:b/>
              <w:bCs/>
              <w:sz w:val="28"/>
            </w:rPr>
            <w:t xml:space="preserve">ANEXO ALFA                 “OBSERVACIONES SEGÙN INCIDENTE”</w:t>
          </w:r>
          <w:r>
            <w:rPr>
              <w:b/>
              <w:bCs/>
            </w:rPr>
          </w:r>
        </w:p>
      </w:tc>
      <w:tc>
        <w:tcPr>
          <w:tcW w:w="1904" w:type="dxa"/>
          <w:tcBorders>
            <w:top w:val="single" w:color="000000" w:sz="4" w:space="0"/>
            <w:left w:val="single" w:color="000000" w:sz="4" w:space="0"/>
            <w:bottom w:val="single" w:color="000000" w:sz="4" w:space="0"/>
            <w:right w:val="single" w:color="000000" w:sz="4" w:space="0"/>
          </w:tcBorders>
          <w:textDirection w:val="lrTb"/>
          <w:vAlign w:val="center"/>
        </w:tcPr>
        <w:p>
          <w:pPr>
            <w:pStyle w:val="Header"/>
            <w:jc w:val="center"/>
          </w:pPr>
          <w:r>
            <w:rPr>
              <w:b/>
              <w:bCs/>
            </w:rPr>
            <w:t xml:space="preserve">FO – 810 – 03-01</w:t>
          </w:r>
        </w:p>
      </w:tc>
    </w:tr>
    <w:tr>
      <w:trPr>
        <w:cantSplit/>
        <w:trHeight w:val="738"/>
      </w:trPr>
      <w:tc>
        <w:tcPr>
          <w:tcW w:w="1560" w:type="dxa"/>
          <w:vMerge w:val="continue"/>
          <w:tcBorders>
            <w:top w:val="single" w:color="000000" w:sz="4" w:space="0"/>
            <w:left w:val="single" w:color="000000" w:sz="4" w:space="0"/>
            <w:bottom w:val="single" w:color="000000" w:sz="4" w:space="0"/>
            <w:right w:val="none" w:color="000000" w:sz="0" w:space="0"/>
          </w:tcBorders>
          <w:textDirection w:val="lrTb"/>
          <w:vAlign w:val="center"/>
        </w:tcPr>
        <w:p>
          <w:pPr>
            <w:pStyle w:val="Normal"/>
          </w:pPr>
        </w:p>
      </w:tc>
      <w:tc>
        <w:tcPr>
          <w:tcW w:w="3118" w:type="dxa"/>
          <w:vMerge w:val="continue"/>
          <w:tcBorders>
            <w:top w:val="single" w:color="000000" w:sz="4" w:space="0"/>
            <w:left w:val="single" w:color="000000" w:sz="4" w:space="0"/>
            <w:bottom w:val="single" w:color="000000" w:sz="4" w:space="0"/>
            <w:right w:val="none" w:color="000000" w:sz="0" w:space="0"/>
          </w:tcBorders>
          <w:textDirection w:val="lrTb"/>
          <w:vAlign w:val="center"/>
        </w:tcPr>
        <w:p>
          <w:pPr>
            <w:pStyle w:val="Normal"/>
          </w:pPr>
        </w:p>
      </w:tc>
      <w:tc>
        <w:tcPr>
          <w:tcW w:w="3827" w:type="dxa"/>
          <w:vMerge w:val="continue"/>
          <w:tcBorders>
            <w:top w:val="single" w:color="000000" w:sz="4" w:space="0"/>
            <w:left w:val="single" w:color="000000" w:sz="4" w:space="0"/>
            <w:bottom w:val="single" w:color="000000" w:sz="4" w:space="0"/>
            <w:right w:val="none" w:color="000000" w:sz="0" w:space="0"/>
          </w:tcBorders>
          <w:textDirection w:val="lrTb"/>
          <w:vAlign w:val="center"/>
        </w:tcPr>
        <w:p>
          <w:pPr>
            <w:pStyle w:val="Normal"/>
          </w:pPr>
        </w:p>
      </w:tc>
      <w:tc>
        <w:tcPr>
          <w:tcW w:w="1904" w:type="dxa"/>
          <w:tcBorders>
            <w:top w:val="single" w:color="000000" w:sz="4" w:space="0"/>
            <w:left w:val="single" w:color="000000" w:sz="4" w:space="0"/>
            <w:bottom w:val="single" w:color="000000" w:sz="4" w:space="0"/>
            <w:right w:val="single" w:color="000000" w:sz="4" w:space="0"/>
          </w:tcBorders>
          <w:textDirection w:val="lrTb"/>
          <w:vAlign w:val="center"/>
        </w:tcPr>
        <w:p>
          <w:pPr>
            <w:pStyle w:val="Header"/>
            <w:jc w:val="center"/>
          </w:pPr>
          <w:r>
            <w:rPr>
              <w:b/>
              <w:bCs/>
            </w:rPr>
            <w:t xml:space="preserve">Revisión: 4</w:t>
          </w:r>
        </w:p>
      </w:tc>
    </w:tr>
  </w:tbl>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0" w:type="auto"/>
      <w:tblInd w:w="0" w:type="dxa"/>
      <w:tblLayout w:type="fixed"/>
      <w:tblCellMar>
        <w:left w:w="70" w:type="dxa"/>
        <w:top w:w="0" w:type="dxa"/>
        <w:right w:w="70" w:type="dxa"/>
        <w:bottom w:w="0" w:type="dxa"/>
      </w:tblCellMar>
    </w:tblPr>
    <w:tblGrid>
      <w:gridCol w:w="1560"/>
      <w:gridCol w:w="2905"/>
      <w:gridCol w:w="4050"/>
      <w:gridCol w:w="1894"/>
    </w:tblGrid>
    <w:tr>
      <w:trPr>
        <w:cantSplit/>
        <w:trHeight w:val="693"/>
      </w:trPr>
      <w:tc>
        <w:tcPr>
          <w:tcW w:w="1560" w:type="dxa"/>
          <w:vMerge w:val="restart"/>
          <w:tcBorders>
            <w:top w:val="single" w:color="000000" w:sz="4" w:space="0"/>
            <w:left w:val="single" w:color="000000" w:sz="4" w:space="0"/>
            <w:bottom w:val="single" w:color="000000" w:sz="4" w:space="0"/>
            <w:right w:val="none" w:color="000000" w:sz="0" w:space="0"/>
          </w:tcBorders>
          <w:textDirection w:val="lrTb"/>
          <w:vAlign w:val="center"/>
        </w:tcPr>
        <w:p>
          <w:pPr>
            <w:pStyle w:val="Header"/>
            <w:rPr>
              <w:b/>
              <w:bCs/>
              <w:sz w:val="28"/>
            </w:rPr>
          </w:pPr>
          <w:r>
            <mc:AlternateContent>
              <mc:Choice Requires="wpg">
                <w:drawing>
                  <wp:inline xmlns:wp="http://schemas.openxmlformats.org/drawingml/2006/wordprocessingDrawing" distT="0" distB="0" distL="0" distR="0">
                    <wp:extent cx="752475" cy="638175"/>
                    <wp:effectExtent l="0" t="0" r="0" b="0"/>
                    <wp:docPr id="2" name="_x0000_i1027"/>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1"/>
                            <a:stretch/>
                          </pic:blipFill>
                          <pic:spPr>
                            <a:xfrm>
                              <a:off x="0" y="0"/>
                              <a:ext cx="752475" cy="63817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59.2pt;height:50.2pt;mso-wrap-distance-left:0.0pt;mso-wrap-distance-top:0.0pt;mso-wrap-distance-right:0.0pt;mso-wrap-distance-bottom:0.0pt;" stroked="f">
                    <v:path textboxrect="0,0,0,0"/>
                    <v:imagedata r:id="rId1" o:title=""/>
                  </v:shape>
                </w:pict>
              </mc:Fallback>
            </mc:AlternateContent>
          </w:r>
          <w:r>
            <w:rPr>
              <w:b/>
              <w:bCs/>
              <w:sz w:val="28"/>
            </w:rPr>
          </w:r>
        </w:p>
      </w:tc>
      <w:tc>
        <w:tcPr>
          <w:tcW w:w="2905" w:type="dxa"/>
          <w:vMerge w:val="restart"/>
          <w:tcBorders>
            <w:top w:val="single" w:color="000000" w:sz="4" w:space="0"/>
            <w:left w:val="single" w:color="000000" w:sz="4" w:space="0"/>
            <w:bottom w:val="single" w:color="000000" w:sz="4" w:space="0"/>
            <w:right w:val="none" w:color="000000" w:sz="0" w:space="0"/>
          </w:tcBorders>
          <w:textDirection w:val="lrTb"/>
          <w:vAlign w:val="center"/>
        </w:tcPr>
        <w:p>
          <w:pPr>
            <w:pStyle w:val="Header"/>
            <w:jc w:val="center"/>
            <w:rPr>
              <w:sz w:val="24"/>
              <w:szCs w:val="24"/>
            </w:rPr>
          </w:pPr>
          <w:r>
            <w:rPr>
              <w:b/>
              <w:bCs/>
              <w:sz w:val="28"/>
            </w:rPr>
            <w:t xml:space="preserve">Centro de Control Montevideo</w:t>
          </w:r>
          <w:r>
            <w:rPr>
              <w:sz w:val="24"/>
              <w:szCs w:val="24"/>
            </w:rPr>
          </w:r>
        </w:p>
      </w:tc>
      <w:tc>
        <w:tcPr>
          <w:tcW w:w="4050" w:type="dxa"/>
          <w:vMerge w:val="restart"/>
          <w:tcBorders>
            <w:top w:val="single" w:color="000000" w:sz="4" w:space="0"/>
            <w:left w:val="single" w:color="000000" w:sz="4" w:space="0"/>
            <w:bottom w:val="single" w:color="000000" w:sz="4" w:space="0"/>
            <w:right w:val="none" w:color="000000" w:sz="0" w:space="0"/>
          </w:tcBorders>
          <w:textDirection w:val="lrTb"/>
          <w:vAlign w:val="center"/>
        </w:tcPr>
        <w:p>
          <w:pPr>
            <w:pStyle w:val="Header"/>
            <w:jc w:val="center"/>
            <w:rPr>
              <w:sz w:val="24"/>
              <w:szCs w:val="24"/>
            </w:rPr>
          </w:pPr>
          <w:r>
            <w:rPr>
              <w:sz w:val="24"/>
              <w:szCs w:val="24"/>
            </w:rPr>
            <w:t xml:space="preserve">ANEXO BRAVO </w:t>
          </w:r>
          <w:r>
            <w:rPr>
              <w:sz w:val="24"/>
              <w:szCs w:val="24"/>
            </w:rPr>
          </w:r>
        </w:p>
        <w:p>
          <w:pPr>
            <w:pStyle w:val="Header"/>
            <w:jc w:val="center"/>
            <w:rPr>
              <w:b/>
              <w:bCs/>
            </w:rPr>
          </w:pPr>
          <w:r>
            <w:rPr>
              <w:sz w:val="24"/>
              <w:szCs w:val="24"/>
            </w:rPr>
            <w:t xml:space="preserve">PROTOCOLO POR INCENDIO EN BUQUES EN EL PUERTO DE MONTEVIDEO Y SU AREA DE JURISDICCION</w:t>
          </w:r>
          <w:r>
            <w:rPr>
              <w:b/>
              <w:bCs/>
            </w:rPr>
          </w:r>
        </w:p>
      </w:tc>
      <w:tc>
        <w:tcPr>
          <w:tcW w:w="1894" w:type="dxa"/>
          <w:tcBorders>
            <w:top w:val="single" w:color="000000" w:sz="4" w:space="0"/>
            <w:left w:val="single" w:color="000000" w:sz="4" w:space="0"/>
            <w:bottom w:val="single" w:color="000000" w:sz="4" w:space="0"/>
            <w:right w:val="single" w:color="000000" w:sz="4" w:space="0"/>
          </w:tcBorders>
          <w:textDirection w:val="lrTb"/>
          <w:vAlign w:val="center"/>
        </w:tcPr>
        <w:p>
          <w:pPr>
            <w:pStyle w:val="Header"/>
            <w:jc w:val="center"/>
          </w:pPr>
          <w:r>
            <w:rPr>
              <w:b/>
              <w:bCs/>
            </w:rPr>
            <w:t xml:space="preserve">FO – 810 – 03-02</w:t>
          </w:r>
        </w:p>
      </w:tc>
    </w:tr>
    <w:tr>
      <w:trPr>
        <w:cantSplit/>
        <w:trHeight w:val="702"/>
      </w:trPr>
      <w:tc>
        <w:tcPr>
          <w:tcW w:w="1560" w:type="dxa"/>
          <w:vMerge w:val="continue"/>
          <w:tcBorders>
            <w:top w:val="single" w:color="000000" w:sz="4" w:space="0"/>
            <w:left w:val="single" w:color="000000" w:sz="4" w:space="0"/>
            <w:bottom w:val="single" w:color="000000" w:sz="4" w:space="0"/>
            <w:right w:val="none" w:color="000000" w:sz="0" w:space="0"/>
          </w:tcBorders>
          <w:textDirection w:val="lrTb"/>
          <w:vAlign w:val="center"/>
        </w:tcPr>
        <w:p>
          <w:pPr>
            <w:pStyle w:val="Normal"/>
          </w:pPr>
        </w:p>
      </w:tc>
      <w:tc>
        <w:tcPr>
          <w:tcW w:w="2905" w:type="dxa"/>
          <w:vMerge w:val="continue"/>
          <w:tcBorders>
            <w:top w:val="single" w:color="000000" w:sz="4" w:space="0"/>
            <w:left w:val="single" w:color="000000" w:sz="4" w:space="0"/>
            <w:bottom w:val="single" w:color="000000" w:sz="4" w:space="0"/>
            <w:right w:val="none" w:color="000000" w:sz="0" w:space="0"/>
          </w:tcBorders>
          <w:textDirection w:val="lrTb"/>
          <w:vAlign w:val="center"/>
        </w:tcPr>
        <w:p>
          <w:pPr>
            <w:pStyle w:val="Normal"/>
          </w:pPr>
        </w:p>
      </w:tc>
      <w:tc>
        <w:tcPr>
          <w:tcW w:w="4050" w:type="dxa"/>
          <w:vMerge w:val="continue"/>
          <w:tcBorders>
            <w:top w:val="single" w:color="000000" w:sz="4" w:space="0"/>
            <w:left w:val="single" w:color="000000" w:sz="4" w:space="0"/>
            <w:bottom w:val="single" w:color="000000" w:sz="4" w:space="0"/>
            <w:right w:val="none" w:color="000000" w:sz="0" w:space="0"/>
          </w:tcBorders>
          <w:textDirection w:val="lrTb"/>
          <w:vAlign w:val="center"/>
        </w:tcPr>
        <w:p>
          <w:pPr>
            <w:pStyle w:val="Normal"/>
          </w:pPr>
        </w:p>
      </w:tc>
      <w:tc>
        <w:tcPr>
          <w:tcW w:w="1894" w:type="dxa"/>
          <w:tcBorders>
            <w:top w:val="single" w:color="000000" w:sz="4" w:space="0"/>
            <w:left w:val="single" w:color="000000" w:sz="4" w:space="0"/>
            <w:bottom w:val="single" w:color="000000" w:sz="4" w:space="0"/>
            <w:right w:val="single" w:color="000000" w:sz="4" w:space="0"/>
          </w:tcBorders>
          <w:textDirection w:val="lrTb"/>
          <w:vAlign w:val="center"/>
        </w:tcPr>
        <w:p>
          <w:pPr>
            <w:pStyle w:val="Header"/>
            <w:jc w:val="center"/>
          </w:pPr>
          <w:r>
            <w:rPr>
              <w:b/>
              <w:bCs/>
            </w:rPr>
            <w:t xml:space="preserve">Revisión: 4</w:t>
          </w:r>
        </w:p>
      </w:tc>
    </w:tr>
  </w:tbl>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suff w:val="nothing"/>
      <w:lvlText w:val=""/>
      <w:lvlJc w:val="left"/>
      <w:pPr>
        <w:pStyle w:val="Normal"/>
        <w:tabs>
          <w:tab w:val="num" w:pos="0" w:leader="none"/>
        </w:tabs>
        <w:ind w:left="432" w:hanging="432"/>
      </w:pPr>
    </w:lvl>
    <w:lvl w:ilvl="1">
      <w:start w:val="1"/>
      <w:numFmt w:val="decimal"/>
      <w:suff w:val="nothing"/>
      <w:lvlText w:val=""/>
      <w:lvlJc w:val="left"/>
      <w:pPr>
        <w:pStyle w:val="Normal"/>
        <w:tabs>
          <w:tab w:val="num" w:pos="0" w:leader="none"/>
        </w:tabs>
        <w:ind w:left="576" w:hanging="576"/>
      </w:pPr>
    </w:lvl>
    <w:lvl w:ilvl="2">
      <w:start w:val="1"/>
      <w:numFmt w:val="decimal"/>
      <w:suff w:val="nothing"/>
      <w:lvlText w:val=""/>
      <w:lvlJc w:val="left"/>
      <w:pPr>
        <w:pStyle w:val="Normal"/>
        <w:tabs>
          <w:tab w:val="num" w:pos="0" w:leader="none"/>
        </w:tabs>
        <w:ind w:left="720" w:hanging="720"/>
      </w:pPr>
    </w:lvl>
    <w:lvl w:ilvl="3">
      <w:start w:val="1"/>
      <w:numFmt w:val="decimal"/>
      <w:suff w:val="nothing"/>
      <w:lvlText w:val=""/>
      <w:lvlJc w:val="left"/>
      <w:pPr>
        <w:pStyle w:val="Normal"/>
        <w:tabs>
          <w:tab w:val="num" w:pos="0" w:leader="none"/>
        </w:tabs>
        <w:ind w:left="864" w:hanging="864"/>
      </w:pPr>
    </w:lvl>
    <w:lvl w:ilvl="4">
      <w:start w:val="1"/>
      <w:numFmt w:val="decimal"/>
      <w:suff w:val="nothing"/>
      <w:lvlText w:val=""/>
      <w:lvlJc w:val="left"/>
      <w:pPr>
        <w:pStyle w:val="Normal"/>
        <w:tabs>
          <w:tab w:val="num" w:pos="0" w:leader="none"/>
        </w:tabs>
        <w:ind w:left="1008" w:hanging="1008"/>
      </w:pPr>
    </w:lvl>
    <w:lvl w:ilvl="5">
      <w:start w:val="1"/>
      <w:numFmt w:val="decimal"/>
      <w:suff w:val="nothing"/>
      <w:lvlText w:val=""/>
      <w:lvlJc w:val="left"/>
      <w:pPr>
        <w:pStyle w:val="Normal"/>
        <w:tabs>
          <w:tab w:val="num" w:pos="1152" w:leader="none"/>
        </w:tabs>
        <w:ind w:left="1152" w:hanging="1152"/>
      </w:pPr>
    </w:lvl>
    <w:lvl w:ilvl="6">
      <w:start w:val="1"/>
      <w:numFmt w:val="decimal"/>
      <w:suff w:val="nothing"/>
      <w:lvlText w:val=""/>
      <w:lvlJc w:val="left"/>
      <w:pPr>
        <w:pStyle w:val="Normal"/>
        <w:tabs>
          <w:tab w:val="num" w:pos="1296" w:leader="none"/>
        </w:tabs>
        <w:ind w:left="1296" w:hanging="1296"/>
      </w:pPr>
    </w:lvl>
    <w:lvl w:ilvl="7">
      <w:start w:val="1"/>
      <w:numFmt w:val="decimal"/>
      <w:suff w:val="nothing"/>
      <w:lvlText w:val=""/>
      <w:lvlJc w:val="left"/>
      <w:pPr>
        <w:pStyle w:val="Normal"/>
        <w:tabs>
          <w:tab w:val="num" w:pos="1440" w:leader="none"/>
        </w:tabs>
        <w:ind w:left="1440" w:hanging="1440"/>
      </w:pPr>
    </w:lvl>
    <w:lvl w:ilvl="8">
      <w:start w:val="1"/>
      <w:numFmt w:val="decimal"/>
      <w:suff w:val="nothing"/>
      <w:lvlText w:val=""/>
      <w:lvlJc w:val="left"/>
      <w:pPr>
        <w:pStyle w:val="Normal"/>
        <w:tabs>
          <w:tab w:val="num" w:pos="1584" w:leader="none"/>
        </w:tabs>
        <w:ind w:left="1584" w:hanging="1584"/>
      </w:pPr>
    </w:lvl>
  </w:abstractNum>
  <w:abstractNum w:abstractNumId="1">
    <w:multiLevelType w:val="hybridMultilevel"/>
    <w:lvl w:ilvl="0">
      <w:start w:val="1"/>
      <w:numFmt w:val="bullet"/>
      <w:suff w:val="tab"/>
      <w:lvlText w:val=""/>
      <w:lvlJc w:val="left"/>
      <w:pPr>
        <w:pStyle w:val="Normal"/>
        <w:tabs>
          <w:tab w:val="num" w:pos="0" w:leader="none"/>
        </w:tabs>
        <w:ind w:left="720" w:hanging="360"/>
      </w:pPr>
      <w:rPr>
        <w:rFonts w:ascii="Symbol" w:hAnsi="Symbol"/>
      </w:rPr>
    </w:lvl>
  </w:abstractNum>
  <w:abstractNum w:abstractNumId="2">
    <w:multiLevelType w:val="hybridMultilevel"/>
    <w:lvl w:ilvl="0">
      <w:start w:val="1"/>
      <w:numFmt w:val="bullet"/>
      <w:suff w:val="tab"/>
      <w:lvlText w:val=""/>
      <w:lvlJc w:val="left"/>
      <w:pPr>
        <w:pStyle w:val="Normal"/>
        <w:tabs>
          <w:tab w:val="num" w:pos="0" w:leader="none"/>
        </w:tabs>
        <w:ind w:left="720" w:hanging="360"/>
      </w:pPr>
      <w:rPr>
        <w:rFonts w:ascii="Symbol" w:hAnsi="Symbol"/>
      </w:rPr>
    </w:lvl>
  </w:abstractNum>
  <w:abstractNum w:abstractNumId="3">
    <w:multiLevelType w:val="hybridMultilevel"/>
    <w:lvl w:ilvl="0">
      <w:start w:val="1"/>
      <w:numFmt w:val="bullet"/>
      <w:suff w:val="tab"/>
      <w:lvlText w:val=""/>
      <w:lvlJc w:val="left"/>
      <w:pPr>
        <w:pStyle w:val="Normal"/>
        <w:tabs>
          <w:tab w:val="num" w:pos="0" w:leader="none"/>
        </w:tabs>
        <w:ind w:left="720" w:hanging="360"/>
      </w:pPr>
      <w:rPr>
        <w:rFonts w:ascii="Symbol" w:hAnsi="Symbol" w:cs="Symbol"/>
        <w:sz w:val="24"/>
        <w:lang w:val="es-ES_tradnl"/>
      </w:rPr>
    </w:lvl>
  </w:abstractNum>
  <w:abstractNum w:abstractNumId="4">
    <w:multiLevelType w:val="hybridMultilevel"/>
    <w:lvl w:ilvl="0">
      <w:start w:val="1"/>
      <w:numFmt w:val="bullet"/>
      <w:suff w:val="tab"/>
      <w:lvlText w:val=""/>
      <w:lvlJc w:val="left"/>
      <w:pPr>
        <w:pStyle w:val="Normal"/>
        <w:tabs>
          <w:tab w:val="num" w:pos="0" w:leader="none"/>
        </w:tabs>
        <w:ind w:left="13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val="true"/>
  <w:defaultTabStop w:val="708"/>
  <w:characterSpacingControl w:val="doNotCompress"/>
  <w:footnotePr/>
  <w:compat>
    <w:spaceForUL w:val="true"/>
    <w:footnoteLayoutLikeWW8 w:val="true"/>
    <w:shapeLayoutLikeWW8 w:val="true"/>
    <w:alignTablesRowByRow w:val="true"/>
    <w:forgetLastTabAlignment w:val="true"/>
    <w:doNotUseHTMLParagraphAutoSpacing w:val="true"/>
    <w:layoutRawTableWidth w:val="true"/>
    <w:layoutTableRowsApart w:val="true"/>
    <w:useWord97LineBreakRules w:val="true"/>
    <w:doNotBreakWrappedTables w:val="true"/>
    <w:doNotSnapToGridInCell w:val="true"/>
    <w:selectFldWithFirstOrLastChar w:val="true"/>
    <w:doNotWrapTextWithPunct w:val="true"/>
    <w:doNotUseEastAsianBreakRules w:val="true"/>
    <w:useWord2002TableStyleRules w:val="true"/>
    <w:growAutofit w:val="true"/>
    <w:useNormalStyleForList w:val="true"/>
    <w:doNotUseIndentAsNumberingTabStop w:val="true"/>
    <w:useAltKinsokuLineBreakRules w:val="true"/>
    <w:allowSpaceOfSameStyleInTable w:val="true"/>
    <w:doNotSuppressIndentation w:val="true"/>
    <w:doNotAutofitConstrainedTables w:val="true"/>
    <w:autofitToFirstFixedWidthCell w:val="true"/>
    <w:underlineTabInNumList w:val="true"/>
    <w:displayHangulFixedWidth w:val="true"/>
    <w:splitPgBreakAndParaMark w:val="true"/>
    <w:doNotVertAlignCellWithSp w:val="true"/>
    <w:doNotBreakConstrainedForcedTable w:val="true"/>
    <w:doNotVertAlignInTxbx w:val="true"/>
    <w:useAnsiKerningPairs w:val="true"/>
    <w:compatSetting w:name="compatibilityMode" w:uri="http://schemas.microsoft.com/office/word" w:val="11"/>
  </w:compat>
  <w:themeFontLang w:val="en-US" w:eastAsia="zh-CN"/>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lang w:val="en-US"/>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TableNormal" w:default="1">
    <w:name w:val="Normal Table"/>
    <w:uiPriority w:val="99"/>
    <w:semiHidden/>
    <w:unhideWhenUsed/>
    <w:qFormat/>
    <w:tblPr>
      <w:tblInd w:w="0" w:type="dxa"/>
      <w:tblCellMar>
        <w:left w:w="108" w:type="dxa"/>
        <w:top w:w="0" w:type="dxa"/>
        <w:right w:w="108" w:type="dxa"/>
        <w:bottom w:w="0" w:type="dxa"/>
      </w:tblCellMar>
    </w:tblPr>
  </w:style>
  <w:style w:type="paragraph" w:styleId="Normal">
    <w:name w:val="Normal"/>
    <w:aliases w:val="Predeterminado"/>
    <w:next w:val="Normal"/>
    <w:link w:val="Normal"/>
    <w:pPr>
      <w:widowControl/>
    </w:pPr>
    <w:rPr>
      <w:rFonts w:ascii="Times New Roman" w:hAnsi="Times New Roman" w:eastAsia="Times New Roman" w:cs="Times New Roman"/>
      <w:color w:val="auto"/>
      <w:sz w:val="20"/>
      <w:szCs w:val="20"/>
      <w:lang w:val="es-ES" w:eastAsia="zh-CN" w:bidi="ar-SA"/>
    </w:rPr>
  </w:style>
  <w:style w:type="paragraph" w:styleId="Heading1">
    <w:name w:val="Encabezado 1"/>
    <w:basedOn w:val="Normal"/>
    <w:next w:val="Normal"/>
    <w:link w:val="Normal"/>
    <w:pPr>
      <w:keepNext/>
      <w:numPr>
        <w:numId w:val="1"/>
        <w:ilvl w:val="0"/>
      </w:numPr>
      <w:jc w:val="center"/>
      <w:outlineLvl w:val="0"/>
    </w:pPr>
    <w:rPr>
      <w:sz w:val="24"/>
    </w:rPr>
  </w:style>
  <w:style w:type="paragraph" w:styleId="Heading2">
    <w:name w:val="Encabezado 2"/>
    <w:basedOn w:val="Normal"/>
    <w:next w:val="Normal"/>
    <w:link w:val="Normal"/>
    <w:pPr>
      <w:keepNext/>
      <w:numPr>
        <w:numId w:val="1"/>
        <w:ilvl w:val="1"/>
      </w:numPr>
      <w:spacing w:line="320" w:lineRule="exact"/>
      <w:jc w:val="both"/>
      <w:outlineLvl w:val="1"/>
    </w:pPr>
    <w:rPr>
      <w:sz w:val="24"/>
    </w:rPr>
  </w:style>
  <w:style w:type="paragraph" w:styleId="Heading3">
    <w:name w:val="Encabezado 3"/>
    <w:basedOn w:val="Normal"/>
    <w:next w:val="Normal"/>
    <w:link w:val="Normal"/>
    <w:pPr>
      <w:keepNext/>
      <w:numPr>
        <w:numId w:val="1"/>
        <w:ilvl w:val="2"/>
      </w:numPr>
      <w:spacing w:before="0" w:after="120"/>
      <w:ind w:left="284" w:right="0" w:firstLine="0"/>
      <w:jc w:val="both"/>
      <w:outlineLvl w:val="2"/>
    </w:pPr>
    <w:rPr>
      <w:sz w:val="24"/>
    </w:rPr>
  </w:style>
  <w:style w:type="paragraph" w:styleId="Heading4">
    <w:name w:val="Encabezado 4"/>
    <w:basedOn w:val="Normal"/>
    <w:next w:val="Normal"/>
    <w:link w:val="Normal"/>
    <w:pPr>
      <w:keepNext/>
      <w:numPr>
        <w:numId w:val="1"/>
        <w:ilvl w:val="3"/>
      </w:numPr>
      <w:spacing w:line="340" w:lineRule="exact"/>
      <w:ind w:left="357" w:right="0" w:firstLine="0"/>
      <w:jc w:val="both"/>
      <w:outlineLvl w:val="3"/>
    </w:pPr>
    <w:rPr>
      <w:sz w:val="24"/>
    </w:rPr>
  </w:style>
  <w:style w:type="paragraph" w:styleId="Heading5">
    <w:name w:val="Encabezado 5"/>
    <w:basedOn w:val="Normal"/>
    <w:next w:val="Normal"/>
    <w:link w:val="Normal"/>
    <w:pPr>
      <w:keepNext/>
      <w:numPr>
        <w:numId w:val="1"/>
        <w:ilvl w:val="4"/>
      </w:numPr>
      <w:ind w:left="0" w:right="0" w:firstLine="357"/>
      <w:jc w:val="both"/>
      <w:outlineLvl w:val="4"/>
    </w:pPr>
    <w:rPr>
      <w:sz w:val="24"/>
    </w:rPr>
  </w:style>
  <w:style w:type="character" w:styleId="UserStyle_0">
    <w:name w:val="WW8Num1z0"/>
    <w:next w:val="UserStyle_0"/>
    <w:link w:val="Normal"/>
  </w:style>
  <w:style w:type="character" w:styleId="UserStyle_1">
    <w:name w:val="WW8Num1z1"/>
    <w:next w:val="UserStyle_1"/>
    <w:link w:val="Normal"/>
  </w:style>
  <w:style w:type="character" w:styleId="UserStyle_2">
    <w:name w:val="WW8Num1z2"/>
    <w:next w:val="UserStyle_2"/>
    <w:link w:val="Normal"/>
  </w:style>
  <w:style w:type="character" w:styleId="UserStyle_3">
    <w:name w:val="WW8Num1z3"/>
    <w:next w:val="UserStyle_3"/>
    <w:link w:val="Normal"/>
  </w:style>
  <w:style w:type="character" w:styleId="UserStyle_4">
    <w:name w:val="WW8Num1z4"/>
    <w:next w:val="UserStyle_4"/>
    <w:link w:val="Normal"/>
  </w:style>
  <w:style w:type="character" w:styleId="UserStyle_5">
    <w:name w:val="WW8Num1z5"/>
    <w:next w:val="UserStyle_5"/>
    <w:link w:val="Normal"/>
  </w:style>
  <w:style w:type="character" w:styleId="UserStyle_6">
    <w:name w:val="WW8Num1z6"/>
    <w:next w:val="UserStyle_6"/>
    <w:link w:val="Normal"/>
  </w:style>
  <w:style w:type="character" w:styleId="UserStyle_7">
    <w:name w:val="WW8Num1z7"/>
    <w:next w:val="UserStyle_7"/>
    <w:link w:val="Normal"/>
  </w:style>
  <w:style w:type="character" w:styleId="UserStyle_8">
    <w:name w:val="WW8Num1z8"/>
    <w:next w:val="UserStyle_8"/>
    <w:link w:val="Normal"/>
  </w:style>
  <w:style w:type="character" w:styleId="UserStyle_9">
    <w:name w:val="WW8Num2z0"/>
    <w:next w:val="UserStyle_9"/>
  </w:style>
  <w:style w:type="character" w:styleId="UserStyle_10">
    <w:name w:val="WW8Num3z0"/>
    <w:next w:val="UserStyle_10"/>
    <w:link w:val="Normal"/>
  </w:style>
  <w:style w:type="character" w:styleId="UserStyle_11">
    <w:name w:val="WW8Num4z0"/>
    <w:next w:val="UserStyle_11"/>
    <w:link w:val="Normal"/>
    <w:rPr>
      <w:rFonts w:ascii="Symbol" w:hAnsi="Symbol" w:cs="Symbol"/>
      <w:sz w:val="24"/>
      <w:lang w:val="es-ES_tradnl"/>
    </w:rPr>
  </w:style>
  <w:style w:type="character" w:styleId="UserStyle_12">
    <w:name w:val="WW8Num5z0"/>
    <w:next w:val="UserStyle_12"/>
    <w:link w:val="Normal"/>
  </w:style>
  <w:style w:type="character" w:styleId="UserStyle_13">
    <w:name w:val="WW8Num4z1"/>
    <w:next w:val="UserStyle_13"/>
    <w:link w:val="Normal"/>
    <w:rPr>
      <w:rFonts w:ascii="Courier New" w:hAnsi="Courier New" w:cs="Courier New"/>
    </w:rPr>
  </w:style>
  <w:style w:type="character" w:styleId="UserStyle_14">
    <w:name w:val="WW8Num4z2"/>
    <w:next w:val="UserStyle_14"/>
    <w:link w:val="Normal"/>
    <w:rPr>
      <w:rFonts w:ascii="Wingdings" w:hAnsi="Wingdings" w:cs="Wingdings"/>
    </w:rPr>
  </w:style>
  <w:style w:type="character" w:styleId="UserStyle_15">
    <w:name w:val="WW8Num6z0"/>
    <w:next w:val="UserStyle_15"/>
    <w:link w:val="Normal"/>
  </w:style>
  <w:style w:type="character" w:styleId="UserStyle_16">
    <w:name w:val="WW8Num7z0"/>
    <w:next w:val="UserStyle_16"/>
    <w:link w:val="Normal"/>
    <w:rPr>
      <w:b w:val="0"/>
      <w:sz w:val="20"/>
    </w:rPr>
  </w:style>
  <w:style w:type="character" w:styleId="UserStyle_17">
    <w:name w:val="WW8Num8z0"/>
    <w:next w:val="UserStyle_17"/>
    <w:link w:val="Normal"/>
    <w:rPr>
      <w:rFonts w:ascii="Symbol" w:hAnsi="Symbol" w:cs="Symbol"/>
      <w:sz w:val="24"/>
      <w:lang w:val="es-ES_tradnl"/>
    </w:rPr>
  </w:style>
  <w:style w:type="character" w:styleId="UserStyle_18">
    <w:name w:val="WW8Num8z1"/>
    <w:next w:val="UserStyle_18"/>
    <w:link w:val="Normal"/>
    <w:rPr>
      <w:rFonts w:ascii="Courier New" w:hAnsi="Courier New" w:cs="Courier New"/>
    </w:rPr>
  </w:style>
  <w:style w:type="character" w:styleId="UserStyle_19">
    <w:name w:val="WW8Num8z2"/>
    <w:next w:val="UserStyle_19"/>
    <w:link w:val="Normal"/>
    <w:rPr>
      <w:rFonts w:ascii="Wingdings" w:hAnsi="Wingdings" w:cs="Wingdings"/>
    </w:rPr>
  </w:style>
  <w:style w:type="character" w:styleId="UserStyle_20">
    <w:name w:val="WW8Num9z0"/>
    <w:next w:val="UserStyle_20"/>
    <w:link w:val="Normal"/>
    <w:rPr>
      <w:rFonts w:ascii="Wingdings" w:hAnsi="Wingdings" w:cs="Wingdings"/>
    </w:rPr>
  </w:style>
  <w:style w:type="character" w:styleId="UserStyle_21">
    <w:name w:val="WW8Num10z0"/>
    <w:next w:val="UserStyle_21"/>
    <w:link w:val="Normal"/>
    <w:rPr>
      <w:rFonts w:ascii="Symbol" w:hAnsi="Symbol" w:cs="Symbol"/>
      <w:sz w:val="24"/>
      <w:lang w:val="es-ES_tradnl"/>
    </w:rPr>
  </w:style>
  <w:style w:type="character" w:styleId="UserStyle_22">
    <w:name w:val="WW8Num10z1"/>
    <w:next w:val="UserStyle_22"/>
    <w:link w:val="Normal"/>
    <w:rPr>
      <w:rFonts w:ascii="Courier New" w:hAnsi="Courier New" w:cs="Courier New"/>
    </w:rPr>
  </w:style>
  <w:style w:type="character" w:styleId="UserStyle_23">
    <w:name w:val="WW8Num10z2"/>
    <w:next w:val="UserStyle_23"/>
    <w:link w:val="Normal"/>
    <w:rPr>
      <w:rFonts w:ascii="Wingdings" w:hAnsi="Wingdings" w:cs="Wingdings"/>
    </w:rPr>
  </w:style>
  <w:style w:type="character" w:styleId="UserStyle_24">
    <w:name w:val="WW8Num11z0"/>
    <w:next w:val="UserStyle_24"/>
    <w:link w:val="Normal"/>
  </w:style>
  <w:style w:type="character" w:styleId="UserStyle_25">
    <w:name w:val="WW8Num12z0"/>
    <w:next w:val="UserStyle_25"/>
    <w:link w:val="Normal"/>
    <w:rPr>
      <w:rFonts w:ascii="Wingdings" w:hAnsi="Wingdings" w:cs="Wingdings"/>
    </w:rPr>
  </w:style>
  <w:style w:type="character" w:styleId="UserStyle_26">
    <w:name w:val="WW8Num12z1"/>
    <w:next w:val="UserStyle_26"/>
    <w:link w:val="Normal"/>
    <w:rPr>
      <w:rFonts w:ascii="Courier New" w:hAnsi="Courier New" w:cs="Courier New"/>
    </w:rPr>
  </w:style>
  <w:style w:type="character" w:styleId="UserStyle_27">
    <w:name w:val="WW8Num12z3"/>
    <w:next w:val="UserStyle_27"/>
    <w:link w:val="Normal"/>
    <w:rPr>
      <w:rFonts w:ascii="Symbol" w:hAnsi="Symbol" w:cs="Symbol"/>
    </w:rPr>
  </w:style>
  <w:style w:type="character" w:styleId="UserStyle_28">
    <w:name w:val="WW8Num13z0"/>
    <w:next w:val="UserStyle_28"/>
    <w:link w:val="Normal"/>
  </w:style>
  <w:style w:type="character" w:styleId="UserStyle_29">
    <w:name w:val="Fuente de párrafo predeter."/>
    <w:next w:val="UserStyle_29"/>
    <w:link w:val="Normal"/>
  </w:style>
  <w:style w:type="character" w:styleId="UserStyle_30">
    <w:name w:val="Absatz-Standardschriftart"/>
    <w:next w:val="UserStyle_30"/>
    <w:link w:val="Normal"/>
  </w:style>
  <w:style w:type="character" w:styleId="UserStyle_31">
    <w:name w:val="WW-Absatz-Standardschriftart"/>
    <w:next w:val="UserStyle_31"/>
    <w:link w:val="Normal"/>
  </w:style>
  <w:style w:type="character" w:styleId="UserStyle_32">
    <w:name w:val="WW-Absatz-Standardschriftart1"/>
    <w:next w:val="UserStyle_32"/>
    <w:link w:val="Normal"/>
  </w:style>
  <w:style w:type="character" w:styleId="UserStyle_33">
    <w:name w:val="Fuente de párrafo predeter.1"/>
    <w:next w:val="UserStyle_33"/>
  </w:style>
  <w:style w:type="character" w:styleId="PageNumber">
    <w:name w:val="Número de página"/>
    <w:basedOn w:val="UserStyle_33"/>
    <w:next w:val="PageNumber"/>
    <w:link w:val="Normal"/>
  </w:style>
  <w:style w:type="character" w:styleId="UserStyle_34">
    <w:name w:val="Texto de globo Car"/>
    <w:next w:val="UserStyle_34"/>
    <w:link w:val="Normal"/>
    <w:rPr>
      <w:rFonts w:ascii="Tahoma" w:hAnsi="Tahoma" w:cs="Tahoma"/>
      <w:sz w:val="16"/>
      <w:szCs w:val="16"/>
    </w:rPr>
  </w:style>
  <w:style w:type="paragraph" w:styleId="UserStyle_35">
    <w:name w:val="Encabezado"/>
    <w:basedOn w:val="Normal"/>
    <w:next w:val="BodyText"/>
    <w:link w:val="Normal"/>
    <w:pPr>
      <w:keepNext/>
      <w:spacing w:before="240" w:after="120"/>
    </w:pPr>
    <w:rPr>
      <w:rFonts w:ascii="Arial" w:hAnsi="Arial" w:eastAsia="Microsoft YaHei" w:cs="Arial"/>
      <w:sz w:val="28"/>
      <w:szCs w:val="28"/>
    </w:rPr>
  </w:style>
  <w:style w:type="paragraph" w:styleId="BodyText">
    <w:name w:val="Cuerpo de texto"/>
    <w:basedOn w:val="Normal"/>
    <w:next w:val="BodyText"/>
    <w:link w:val="Normal"/>
    <w:pPr>
      <w:spacing w:before="0" w:after="120"/>
    </w:pPr>
  </w:style>
  <w:style w:type="paragraph" w:styleId="List">
    <w:name w:val="Lista"/>
    <w:basedOn w:val="BodyText"/>
    <w:next w:val="List"/>
    <w:link w:val="Normal"/>
    <w:rPr>
      <w:rFonts w:cs="Tahoma"/>
    </w:rPr>
  </w:style>
  <w:style w:type="paragraph" w:styleId="UserStyle_36">
    <w:name w:val="Etiqueta"/>
    <w:basedOn w:val="Normal"/>
    <w:next w:val="UserStyle_36"/>
    <w:link w:val="Normal"/>
    <w:pPr>
      <w:suppressLineNumbers/>
      <w:spacing w:before="120" w:after="120"/>
    </w:pPr>
    <w:rPr>
      <w:rFonts w:cs="Tahoma"/>
      <w:i/>
      <w:iCs/>
      <w:sz w:val="24"/>
      <w:szCs w:val="24"/>
    </w:rPr>
  </w:style>
  <w:style w:type="paragraph" w:styleId="UserStyle_37">
    <w:name w:val="Índice"/>
    <w:basedOn w:val="Normal"/>
    <w:next w:val="UserStyle_37"/>
    <w:link w:val="Normal"/>
    <w:pPr>
      <w:suppressLineNumbers/>
    </w:pPr>
    <w:rPr>
      <w:rFonts w:cs="Tahoma"/>
    </w:rPr>
  </w:style>
  <w:style w:type="paragraph" w:styleId="UserStyle_38">
    <w:name w:val="Encabezado1"/>
    <w:basedOn w:val="Normal"/>
    <w:next w:val="BodyText"/>
    <w:link w:val="Normal"/>
    <w:pPr>
      <w:keepNext/>
      <w:spacing w:before="240" w:after="120"/>
    </w:pPr>
    <w:rPr>
      <w:rFonts w:ascii="Arial" w:hAnsi="Arial" w:eastAsia="Lucida Sans Unicode" w:cs="Tahoma"/>
      <w:sz w:val="28"/>
      <w:szCs w:val="28"/>
    </w:rPr>
  </w:style>
  <w:style w:type="paragraph" w:styleId="Header">
    <w:name w:val="Encabezamiento"/>
    <w:basedOn w:val="Normal"/>
    <w:next w:val="Header"/>
    <w:link w:val="Normal"/>
    <w:pPr>
      <w:tabs>
        <w:tab w:val="center" w:pos="4419" w:leader="none"/>
        <w:tab w:val="right" w:pos="8838" w:leader="none"/>
      </w:tabs>
    </w:pPr>
  </w:style>
  <w:style w:type="paragraph" w:styleId="Footer">
    <w:name w:val="Pie de página"/>
    <w:basedOn w:val="Normal"/>
    <w:next w:val="Footer"/>
    <w:link w:val="Normal"/>
    <w:pPr>
      <w:tabs>
        <w:tab w:val="center" w:pos="4419" w:leader="none"/>
        <w:tab w:val="right" w:pos="8838" w:leader="none"/>
      </w:tabs>
    </w:pPr>
  </w:style>
  <w:style w:type="paragraph" w:styleId="UserStyle_39">
    <w:name w:val="Texto independiente 31"/>
    <w:basedOn w:val="Normal"/>
    <w:next w:val="UserStyle_39"/>
    <w:link w:val="Normal"/>
    <w:pPr>
      <w:widowControl w:val="off"/>
      <w:jc w:val="both"/>
    </w:pPr>
    <w:rPr>
      <w:sz w:val="24"/>
      <w:lang w:val="es-ES_tradnl"/>
    </w:rPr>
  </w:style>
  <w:style w:type="paragraph" w:styleId="UserStyle_40">
    <w:name w:val="Texto independiente 21"/>
    <w:basedOn w:val="Normal"/>
    <w:next w:val="UserStyle_40"/>
    <w:link w:val="Normal"/>
    <w:pPr>
      <w:spacing w:before="0" w:after="120" w:line="480" w:lineRule="auto"/>
    </w:pPr>
  </w:style>
  <w:style w:type="paragraph" w:styleId="UserStyle_41">
    <w:name w:val="Sangría 3 de t. independiente1"/>
    <w:basedOn w:val="Normal"/>
    <w:next w:val="UserStyle_41"/>
    <w:link w:val="Normal"/>
    <w:pPr>
      <w:spacing w:before="0" w:after="120"/>
      <w:ind w:left="283" w:right="0" w:firstLine="0"/>
    </w:pPr>
    <w:rPr>
      <w:sz w:val="16"/>
      <w:szCs w:val="16"/>
    </w:rPr>
  </w:style>
  <w:style w:type="paragraph" w:styleId="UserStyle_42">
    <w:name w:val="Contenido de la tabla"/>
    <w:basedOn w:val="BodyText"/>
    <w:next w:val="UserStyle_42"/>
    <w:link w:val="Normal"/>
    <w:pPr>
      <w:widowControl w:val="off"/>
    </w:pPr>
    <w:rPr>
      <w:sz w:val="24"/>
      <w:lang w:val="es-ES_tradnl"/>
    </w:rPr>
  </w:style>
  <w:style w:type="paragraph" w:styleId="UserStyle_43">
    <w:name w:val="Encabezado de la tabla"/>
    <w:basedOn w:val="UserStyle_42"/>
    <w:next w:val="UserStyle_43"/>
    <w:link w:val="Normal"/>
    <w:pPr>
      <w:jc w:val="center"/>
    </w:pPr>
    <w:rPr>
      <w:b/>
      <w:i/>
    </w:rPr>
  </w:style>
  <w:style w:type="paragraph" w:styleId="UserStyle_44">
    <w:name w:val="Texto de globo"/>
    <w:basedOn w:val="Normal"/>
    <w:next w:val="UserStyle_44"/>
    <w:link w:val="Normal"/>
    <w:rPr>
      <w:rFonts w:ascii="Tahoma" w:hAnsi="Tahoma" w:cs="Tahoma"/>
      <w:sz w:val="16"/>
      <w:szCs w:val="16"/>
      <w:lang w:val="en-US"/>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header" Target="header1.xml" /><Relationship Id="rId8" Type="http://schemas.openxmlformats.org/officeDocument/2006/relationships/header" Target="header2.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footer" Target="footer3.xml" /></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_rels/header2.xml.rels><?xml version="1.0" encoding="UTF-8" standalone="yes"?><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ONLYOFFICE/7.3.0.184</Application>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OMI</dc:creator>
  <cp:lastModifiedBy>USER</cp:lastModifiedBy>
  <cp:revision>14</cp:revision>
  <dcterms:created xsi:type="dcterms:W3CDTF">2023-08-16T15:48:00Z</dcterms:created>
  <dcterms:modified xsi:type="dcterms:W3CDTF">2023-10-23T16:45:00Z</dcterms:modified>
</cp:coreProperties>
</file>