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5.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083"/>
        <w:numPr>
          <w:ilvl w:val="0"/>
          <w:numId w:val="3"/>
        </w:numPr>
        <w:ind w:left="357" w:right="0" w:hanging="357"/>
        <w:jc w:val="both"/>
        <w:spacing w:before="120" w:after="120" w:line="360" w:lineRule="auto"/>
      </w:pPr>
      <w:r>
        <w:rPr>
          <w:b/>
          <w:sz w:val="28"/>
          <w:lang w:val="es-MX"/>
        </w:rPr>
        <w:t xml:space="preserve">OBJETIVO</w:t>
      </w:r>
      <w:r/>
    </w:p>
    <w:p>
      <w:pPr>
        <w:pStyle w:val="1142"/>
        <w:ind w:left="360" w:right="0" w:firstLine="0"/>
        <w:spacing w:line="360" w:lineRule="auto"/>
        <w:rPr>
          <w:b/>
          <w:sz w:val="28"/>
          <w:lang w:val="es-MX"/>
        </w:rPr>
      </w:pPr>
      <w:r>
        <w:t xml:space="preserve">El objetivo del instructivo es establecer la metodología para la maniobra de alije, complemento de carga y toma de combustible de buques de bandera extranjera y bandera nacional en el Puerto de Montevideo, en la Zona de Fondeo y Servicios o en Zona Alfa. </w:t>
      </w:r>
      <w:r>
        <w:rPr>
          <w:b/>
          <w:sz w:val="28"/>
          <w:lang w:val="es-MX"/>
        </w:rPr>
      </w:r>
      <w:r/>
    </w:p>
    <w:p>
      <w:pPr>
        <w:pStyle w:val="1083"/>
        <w:numPr>
          <w:ilvl w:val="0"/>
          <w:numId w:val="3"/>
        </w:numPr>
        <w:ind w:left="357" w:right="0" w:hanging="357"/>
        <w:jc w:val="both"/>
        <w:spacing w:before="120" w:after="120" w:line="360" w:lineRule="auto"/>
        <w:rPr>
          <w:sz w:val="24"/>
          <w:szCs w:val="24"/>
        </w:rPr>
      </w:pPr>
      <w:r>
        <w:rPr>
          <w:b/>
          <w:sz w:val="28"/>
          <w:lang w:val="es-MX"/>
        </w:rPr>
        <w:t xml:space="preserve">ALCANCE</w:t>
      </w:r>
      <w:r>
        <w:rPr>
          <w:sz w:val="24"/>
          <w:szCs w:val="24"/>
        </w:rPr>
      </w:r>
      <w:r/>
    </w:p>
    <w:p>
      <w:pPr>
        <w:pStyle w:val="1083"/>
        <w:ind w:left="360" w:right="0" w:firstLine="0"/>
        <w:jc w:val="both"/>
        <w:spacing w:line="360" w:lineRule="auto"/>
        <w:rPr>
          <w:b/>
          <w:sz w:val="28"/>
          <w:lang w:val="es-MX"/>
        </w:rPr>
      </w:pPr>
      <w:r>
        <w:rPr>
          <w:sz w:val="24"/>
          <w:szCs w:val="24"/>
        </w:rPr>
        <w:t xml:space="preserve">Este instructivo se aplica a las comunicaciones con buques de bandera extranjera y bandera nacional que realicen maniobra de alije, complemento de carga y toma de combustible en el área de Jurisdicción del Puerto de Montevideo.</w:t>
      </w:r>
      <w:r>
        <w:rPr>
          <w:b/>
          <w:sz w:val="28"/>
          <w:lang w:val="es-MX"/>
        </w:rPr>
      </w:r>
      <w:r/>
    </w:p>
    <w:p>
      <w:pPr>
        <w:pStyle w:val="1083"/>
        <w:numPr>
          <w:ilvl w:val="0"/>
          <w:numId w:val="3"/>
        </w:numPr>
        <w:ind w:left="357" w:right="0" w:hanging="357"/>
        <w:jc w:val="both"/>
        <w:spacing w:before="120" w:after="120" w:line="360" w:lineRule="auto"/>
        <w:rPr>
          <w:sz w:val="24"/>
          <w:szCs w:val="24"/>
        </w:rPr>
      </w:pPr>
      <w:r>
        <w:rPr>
          <w:b/>
          <w:sz w:val="28"/>
          <w:lang w:val="es-MX"/>
        </w:rPr>
        <w:t xml:space="preserve">REFERENCIAS</w:t>
      </w:r>
      <w:r>
        <w:rPr>
          <w:sz w:val="24"/>
          <w:szCs w:val="24"/>
        </w:rPr>
      </w:r>
      <w:r/>
    </w:p>
    <w:p>
      <w:pPr>
        <w:pStyle w:val="1083"/>
        <w:ind w:left="357" w:right="0" w:firstLine="0"/>
        <w:jc w:val="both"/>
        <w:spacing w:line="360" w:lineRule="auto"/>
        <w:rPr>
          <w:sz w:val="24"/>
          <w:szCs w:val="24"/>
        </w:rPr>
      </w:pPr>
      <w:r>
        <w:rPr>
          <w:sz w:val="24"/>
          <w:szCs w:val="24"/>
        </w:rPr>
        <w:t xml:space="preserve">3.1 Información Marítima Publicada (Decreto Poder Ejecutivo 77/997).</w:t>
      </w:r>
      <w:r>
        <w:rPr>
          <w:sz w:val="24"/>
          <w:szCs w:val="24"/>
        </w:rPr>
      </w:r>
      <w:r/>
    </w:p>
    <w:p>
      <w:pPr>
        <w:pStyle w:val="1083"/>
        <w:ind w:left="357" w:right="0" w:firstLine="0"/>
        <w:jc w:val="both"/>
        <w:spacing w:line="360" w:lineRule="auto"/>
        <w:rPr>
          <w:sz w:val="24"/>
          <w:szCs w:val="24"/>
        </w:rPr>
      </w:pPr>
      <w:r>
        <w:rPr>
          <w:sz w:val="24"/>
          <w:szCs w:val="24"/>
        </w:rPr>
        <w:t xml:space="preserve">3.2 Tratado del Río de la Plata y su Frente Marítimo.</w:t>
      </w:r>
      <w:r>
        <w:rPr>
          <w:sz w:val="24"/>
          <w:szCs w:val="24"/>
        </w:rPr>
      </w:r>
      <w:r/>
    </w:p>
    <w:p>
      <w:pPr>
        <w:pStyle w:val="1083"/>
        <w:ind w:left="357" w:right="0" w:firstLine="0"/>
        <w:jc w:val="both"/>
        <w:spacing w:line="360" w:lineRule="auto"/>
        <w:rPr>
          <w:sz w:val="24"/>
          <w:szCs w:val="24"/>
        </w:rPr>
      </w:pPr>
      <w:r>
        <w:rPr>
          <w:sz w:val="24"/>
          <w:szCs w:val="24"/>
        </w:rPr>
        <w:t xml:space="preserve">3.3 Decreto aprobado el 22 de octubre de 1912 “Reglamento del Puerto de Montevideo”.</w:t>
      </w:r>
      <w:r>
        <w:rPr>
          <w:sz w:val="24"/>
          <w:szCs w:val="24"/>
        </w:rPr>
      </w:r>
      <w:r/>
    </w:p>
    <w:p>
      <w:pPr>
        <w:pStyle w:val="1083"/>
        <w:ind w:left="357" w:right="0" w:firstLine="0"/>
        <w:jc w:val="both"/>
        <w:spacing w:line="360" w:lineRule="auto"/>
        <w:rPr>
          <w:sz w:val="24"/>
          <w:szCs w:val="24"/>
        </w:rPr>
      </w:pPr>
      <w:r>
        <w:rPr>
          <w:sz w:val="24"/>
          <w:szCs w:val="24"/>
        </w:rPr>
        <w:t xml:space="preserve">3.4 IT – 710 – 43 “Términos y Abreviaturas”</w:t>
      </w:r>
      <w:r>
        <w:rPr>
          <w:sz w:val="24"/>
          <w:szCs w:val="24"/>
        </w:rPr>
      </w:r>
      <w:r/>
    </w:p>
    <w:p>
      <w:pPr>
        <w:pStyle w:val="1083"/>
        <w:ind w:left="357" w:right="0" w:firstLine="0"/>
        <w:jc w:val="both"/>
        <w:spacing w:line="360" w:lineRule="auto"/>
        <w:rPr>
          <w:b/>
          <w:sz w:val="28"/>
          <w:lang w:val="es-MX"/>
        </w:rPr>
      </w:pPr>
      <w:r>
        <w:rPr>
          <w:sz w:val="24"/>
          <w:szCs w:val="24"/>
        </w:rPr>
        <w:t xml:space="preserve">3.5 PON 0801 “Manual de Comunicaciones Navales”</w:t>
      </w:r>
      <w:r>
        <w:rPr>
          <w:b/>
          <w:sz w:val="28"/>
          <w:lang w:val="es-MX"/>
        </w:rPr>
      </w:r>
      <w:r/>
    </w:p>
    <w:p>
      <w:pPr>
        <w:pStyle w:val="1083"/>
        <w:numPr>
          <w:ilvl w:val="0"/>
          <w:numId w:val="3"/>
        </w:numPr>
        <w:ind w:left="357" w:right="0" w:hanging="357"/>
        <w:jc w:val="both"/>
        <w:spacing w:before="120" w:after="120" w:line="360" w:lineRule="auto"/>
        <w:rPr>
          <w:sz w:val="24"/>
        </w:rPr>
      </w:pPr>
      <w:r>
        <w:rPr>
          <w:b/>
          <w:sz w:val="28"/>
          <w:lang w:val="es-MX"/>
        </w:rPr>
        <w:t xml:space="preserve">RESPONSABILIDADES</w:t>
      </w:r>
      <w:r>
        <w:rPr>
          <w:sz w:val="24"/>
        </w:rPr>
      </w:r>
      <w:r/>
    </w:p>
    <w:p>
      <w:pPr>
        <w:pStyle w:val="1083"/>
        <w:ind w:left="851" w:right="0" w:hanging="426"/>
        <w:jc w:val="both"/>
        <w:spacing w:line="360" w:lineRule="auto"/>
        <w:rPr>
          <w:sz w:val="24"/>
        </w:rPr>
      </w:pPr>
      <w:r>
        <w:rPr>
          <w:sz w:val="24"/>
        </w:rPr>
        <w:t xml:space="preserve">4.1 Aprobación: Prefecto del Puerto de Montevideo</w:t>
      </w:r>
      <w:r>
        <w:rPr>
          <w:sz w:val="24"/>
        </w:rPr>
      </w:r>
      <w:r/>
    </w:p>
    <w:p>
      <w:pPr>
        <w:pStyle w:val="1083"/>
        <w:ind w:left="851" w:right="0" w:hanging="426"/>
        <w:jc w:val="both"/>
        <w:spacing w:line="360" w:lineRule="auto"/>
        <w:rPr>
          <w:sz w:val="24"/>
        </w:rPr>
      </w:pPr>
      <w:r>
        <w:rPr>
          <w:sz w:val="24"/>
        </w:rPr>
        <w:t xml:space="preserve">4.2 Revisión, Identificación y Actualización: Jefe de CONMO y Encargado de SGC.</w:t>
      </w:r>
      <w:r>
        <w:rPr>
          <w:sz w:val="24"/>
        </w:rPr>
      </w:r>
      <w:r/>
    </w:p>
    <w:p>
      <w:pPr>
        <w:pStyle w:val="1083"/>
        <w:ind w:left="851" w:right="0" w:hanging="426"/>
        <w:jc w:val="both"/>
        <w:spacing w:line="360" w:lineRule="auto"/>
        <w:rPr>
          <w:sz w:val="24"/>
        </w:rPr>
      </w:pPr>
      <w:r>
        <w:rPr>
          <w:sz w:val="24"/>
        </w:rPr>
        <w:t xml:space="preserve">4.3 Distribución, Identificación de cambios y estado: Encargado del SGC</w:t>
      </w:r>
      <w:r>
        <w:rPr>
          <w:sz w:val="24"/>
        </w:rPr>
      </w:r>
      <w:r/>
    </w:p>
    <w:p>
      <w:pPr>
        <w:pStyle w:val="1083"/>
        <w:ind w:left="851" w:right="0" w:hanging="426"/>
        <w:jc w:val="both"/>
        <w:spacing w:line="360" w:lineRule="auto"/>
        <w:rPr>
          <w:b/>
          <w:sz w:val="28"/>
          <w:lang w:val="es-MX"/>
        </w:rPr>
      </w:pPr>
      <w:r>
        <w:rPr>
          <w:sz w:val="24"/>
        </w:rPr>
        <w:t xml:space="preserve">4.4 Disponibilidad y legibilidad: Usuario</w:t>
      </w:r>
      <w:r>
        <w:t xml:space="preserve"> </w:t>
      </w:r>
      <w:r>
        <w:rPr>
          <w:b/>
          <w:sz w:val="28"/>
          <w:lang w:val="es-MX"/>
        </w:rPr>
      </w:r>
      <w:r/>
    </w:p>
    <w:p>
      <w:pPr>
        <w:pStyle w:val="1083"/>
        <w:numPr>
          <w:ilvl w:val="0"/>
          <w:numId w:val="3"/>
        </w:numPr>
        <w:ind w:left="357" w:right="0" w:hanging="357"/>
        <w:jc w:val="both"/>
        <w:spacing w:before="120" w:after="0" w:line="360" w:lineRule="auto"/>
        <w:rPr>
          <w:sz w:val="24"/>
          <w:szCs w:val="24"/>
        </w:rPr>
      </w:pPr>
      <w:r>
        <w:rPr>
          <w:b/>
          <w:sz w:val="28"/>
          <w:lang w:val="es-MX"/>
        </w:rPr>
        <w:t xml:space="preserve">DEFINICIONES, ABREVIATURAS Y SIMBOLOS</w:t>
      </w:r>
      <w:r>
        <w:rPr>
          <w:sz w:val="24"/>
          <w:szCs w:val="24"/>
        </w:rPr>
      </w:r>
      <w:r/>
    </w:p>
    <w:p>
      <w:pPr>
        <w:pStyle w:val="1083"/>
        <w:ind w:left="283" w:right="0" w:firstLine="0"/>
        <w:jc w:val="both"/>
        <w:spacing w:line="360" w:lineRule="auto"/>
        <w:rPr>
          <w:sz w:val="24"/>
          <w:szCs w:val="24"/>
          <w:u w:val="single"/>
        </w:rPr>
      </w:pPr>
      <w:r>
        <w:rPr>
          <w:sz w:val="24"/>
          <w:szCs w:val="24"/>
        </w:rPr>
        <w:t xml:space="preserve">MC -422- 02</w:t>
      </w:r>
      <w:r>
        <w:rPr>
          <w:sz w:val="24"/>
          <w:szCs w:val="24"/>
          <w:u w:val="single"/>
        </w:rPr>
      </w:r>
      <w:r/>
    </w:p>
    <w:p>
      <w:pPr>
        <w:pStyle w:val="1083"/>
        <w:ind w:left="283" w:right="0" w:firstLine="0"/>
        <w:jc w:val="both"/>
        <w:spacing w:line="360" w:lineRule="auto"/>
        <w:rPr>
          <w:sz w:val="24"/>
          <w:szCs w:val="24"/>
          <w:u w:val="single"/>
        </w:rPr>
      </w:pPr>
      <w:r>
        <w:rPr>
          <w:sz w:val="24"/>
          <w:szCs w:val="24"/>
          <w:u w:val="single"/>
        </w:rPr>
        <w:t xml:space="preserve">Alije</w:t>
      </w:r>
      <w:r>
        <w:rPr>
          <w:sz w:val="24"/>
          <w:szCs w:val="24"/>
        </w:rPr>
        <w:t xml:space="preserve">: Traspaso de algún tipo de combustible y/o producto entre dos buques tanques.</w:t>
      </w:r>
      <w:r>
        <w:rPr>
          <w:sz w:val="24"/>
          <w:szCs w:val="24"/>
          <w:u w:val="single"/>
        </w:rPr>
      </w:r>
      <w:r/>
    </w:p>
    <w:p>
      <w:pPr>
        <w:pStyle w:val="1083"/>
        <w:ind w:left="283" w:right="0" w:firstLine="0"/>
        <w:jc w:val="both"/>
        <w:spacing w:line="360" w:lineRule="auto"/>
        <w:rPr>
          <w:sz w:val="24"/>
          <w:szCs w:val="24"/>
          <w:u w:val="single"/>
        </w:rPr>
      </w:pPr>
      <w:r>
        <w:rPr>
          <w:sz w:val="24"/>
          <w:szCs w:val="24"/>
          <w:u w:val="single"/>
        </w:rPr>
        <w:t xml:space="preserve">Complemento de Carga</w:t>
      </w:r>
      <w:r>
        <w:rPr>
          <w:sz w:val="24"/>
          <w:szCs w:val="24"/>
        </w:rPr>
        <w:t xml:space="preserve">: Buque que ingresa a puerto y por calado se extrae o complementa algún tipo de combustible y/o producto.</w:t>
      </w:r>
      <w:r>
        <w:rPr>
          <w:sz w:val="24"/>
          <w:szCs w:val="24"/>
          <w:u w:val="single"/>
        </w:rPr>
      </w:r>
      <w:r/>
    </w:p>
    <w:p>
      <w:pPr>
        <w:pStyle w:val="1083"/>
        <w:ind w:left="283" w:right="0" w:firstLine="0"/>
        <w:jc w:val="both"/>
        <w:spacing w:line="360" w:lineRule="auto"/>
        <w:rPr>
          <w:b/>
          <w:sz w:val="28"/>
          <w:lang w:val="es-MX"/>
        </w:rPr>
        <w:sectPr>
          <w:headerReference w:type="default" r:id="rId9"/>
          <w:headerReference w:type="first" r:id="rId10"/>
          <w:footerReference w:type="default" r:id="rId14"/>
          <w:footerReference w:type="even" r:id="rId15"/>
          <w:footerReference w:type="first" r:id="rId16"/>
          <w:footnotePr/>
          <w:endnotePr/>
          <w:type w:val="nextPage"/>
          <w:pgSz w:w="11906" w:h="16838" w:orient="portrait"/>
          <w:pgMar w:top="2268" w:right="992" w:bottom="1559" w:left="851" w:header="720" w:footer="720" w:gutter="0"/>
          <w:pgNumType w:start="1"/>
          <w:cols w:num="1" w:sep="0" w:space="1701" w:equalWidth="1"/>
          <w:docGrid w:linePitch="360"/>
        </w:sectPr>
      </w:pPr>
      <w:r>
        <w:rPr>
          <w:sz w:val="24"/>
          <w:szCs w:val="24"/>
          <w:u w:val="single"/>
        </w:rPr>
        <w:t xml:space="preserve">Toma de Combustible - Bunker</w:t>
      </w:r>
      <w:r>
        <w:rPr>
          <w:sz w:val="24"/>
          <w:szCs w:val="24"/>
        </w:rPr>
        <w:t xml:space="preserve">: Abastecimiento a un buque de combustible para su consumo.</w:t>
      </w:r>
      <w:r>
        <w:rPr>
          <w:b/>
          <w:sz w:val="28"/>
          <w:lang w:val="es-MX"/>
        </w:rPr>
      </w:r>
      <w:r/>
    </w:p>
    <w:p>
      <w:pPr>
        <w:pStyle w:val="1083"/>
        <w:numPr>
          <w:ilvl w:val="0"/>
          <w:numId w:val="3"/>
        </w:numPr>
        <w:ind w:left="357" w:right="0" w:hanging="357"/>
        <w:jc w:val="both"/>
        <w:spacing w:before="120" w:after="120" w:line="360" w:lineRule="auto"/>
        <w:rPr>
          <w:sz w:val="24"/>
          <w:szCs w:val="24"/>
        </w:rPr>
      </w:pPr>
      <w:r>
        <w:rPr>
          <w:b/>
          <w:sz w:val="28"/>
          <w:lang w:val="es-MX"/>
        </w:rPr>
        <w:t xml:space="preserve">DESARROLLO</w:t>
      </w:r>
      <w:r>
        <w:rPr>
          <w:sz w:val="24"/>
          <w:szCs w:val="24"/>
        </w:rPr>
      </w:r>
      <w:r/>
    </w:p>
    <w:p>
      <w:pPr>
        <w:pStyle w:val="1143"/>
        <w:numPr>
          <w:ilvl w:val="1"/>
          <w:numId w:val="2"/>
        </w:numPr>
        <w:ind w:left="851" w:right="0" w:hanging="851"/>
        <w:jc w:val="both"/>
        <w:spacing w:before="0" w:after="0" w:line="360" w:lineRule="auto"/>
        <w:widowControl w:val="off"/>
        <w:rPr>
          <w:sz w:val="24"/>
          <w:szCs w:val="24"/>
        </w:rPr>
      </w:pPr>
      <w:r>
        <w:rPr>
          <w:sz w:val="24"/>
          <w:szCs w:val="24"/>
        </w:rPr>
        <w:t xml:space="preserve">6.1 </w:t>
        <w:tab/>
        <w:t xml:space="preserve">Todo Buque de bandera extranjera o de bandera nacional, atracado en el Puerto de Montevideo, o que se encuentre fondeado en Zona de Fondeo y Servicios ó Zona Alfa, que vaya a realizar una maniobra</w:t>
      </w:r>
      <w:r>
        <w:rPr>
          <w:sz w:val="24"/>
          <w:szCs w:val="24"/>
        </w:rPr>
        <w:t xml:space="preserve"> de alije, complemento de carga y/o toma de combustible – bunker (se puede usar cualquiera de los dos, pero continuaremos usando toma de combustible), por medio de un buque tanque o camión, deberá solicitar autorización para dar comienzo a dicha operación.</w:t>
      </w:r>
      <w:r>
        <w:rPr>
          <w:sz w:val="24"/>
          <w:szCs w:val="24"/>
        </w:rPr>
      </w:r>
      <w:r/>
    </w:p>
    <w:p>
      <w:pPr>
        <w:pStyle w:val="1143"/>
        <w:ind w:left="851" w:right="0" w:hanging="425"/>
        <w:jc w:val="both"/>
        <w:spacing w:before="0" w:after="0" w:line="360" w:lineRule="auto"/>
        <w:widowControl w:val="off"/>
        <w:tabs>
          <w:tab w:val="left" w:pos="851" w:leader="none"/>
        </w:tabs>
        <w:rPr>
          <w:sz w:val="24"/>
          <w:szCs w:val="24"/>
        </w:rPr>
      </w:pPr>
      <w:r>
        <w:rPr>
          <w:sz w:val="24"/>
          <w:szCs w:val="24"/>
        </w:rPr>
        <w:t xml:space="preserve">6.2 </w:t>
        <w:tab/>
        <w:t xml:space="preserve">El Operador de CONMO deberá confirmar con el buque por medio de </w:t>
      </w:r>
      <w:r>
        <w:rPr>
          <w:sz w:val="24"/>
          <w:szCs w:val="24"/>
        </w:rPr>
        <w:t xml:space="preserve">VHF, la</w:t>
        <w:tab/>
        <w:t xml:space="preserve">presencia a bordo de personal de Prefectura a los efectos de supervisar la operativa (en caso que corresponda, de acuerdo a lo establecido en el Cap. IV del Tratado del Río de la Plata) y barreras de contención anti derrame (que lo lleva el OSRO). </w:t>
      </w:r>
      <w:r>
        <w:rPr>
          <w:sz w:val="24"/>
          <w:szCs w:val="24"/>
        </w:rPr>
      </w:r>
      <w:r/>
    </w:p>
    <w:p>
      <w:pPr>
        <w:pStyle w:val="1143"/>
        <w:ind w:left="851" w:right="0" w:hanging="425"/>
        <w:jc w:val="both"/>
        <w:spacing w:before="0" w:after="0" w:line="360" w:lineRule="auto"/>
        <w:widowControl w:val="off"/>
        <w:tabs>
          <w:tab w:val="left" w:pos="851" w:leader="none"/>
        </w:tabs>
        <w:rPr>
          <w:sz w:val="24"/>
          <w:szCs w:val="24"/>
        </w:rPr>
      </w:pPr>
      <w:r>
        <w:rPr>
          <w:sz w:val="24"/>
          <w:szCs w:val="24"/>
        </w:rPr>
        <w:t xml:space="preserve">6.3 </w:t>
        <w:tab/>
        <w:t xml:space="preserve">El Operador de CONMO, una vez confirmado lo establecido en el punto 6.2. , debe cumplir con los siguientes pasos:</w:t>
      </w:r>
      <w:r>
        <w:rPr>
          <w:sz w:val="24"/>
          <w:szCs w:val="24"/>
        </w:rPr>
      </w:r>
      <w:r/>
    </w:p>
    <w:p>
      <w:pPr>
        <w:pStyle w:val="1143"/>
        <w:numPr>
          <w:ilvl w:val="1"/>
          <w:numId w:val="2"/>
        </w:numPr>
        <w:ind w:left="1418" w:right="0" w:hanging="567"/>
        <w:jc w:val="both"/>
        <w:spacing w:before="0" w:after="0" w:line="360" w:lineRule="auto"/>
        <w:widowControl w:val="off"/>
        <w:tabs>
          <w:tab w:val="left" w:pos="851" w:leader="none"/>
          <w:tab w:val="left" w:pos="1418" w:leader="none"/>
        </w:tabs>
        <w:rPr>
          <w:sz w:val="24"/>
          <w:szCs w:val="24"/>
        </w:rPr>
      </w:pPr>
      <w:r>
        <w:rPr>
          <w:sz w:val="24"/>
          <w:szCs w:val="24"/>
        </w:rPr>
        <w:t xml:space="preserve">6.3.1. La autorización llega por cor</w:t>
      </w:r>
      <w:r>
        <w:rPr>
          <w:sz w:val="24"/>
          <w:szCs w:val="24"/>
        </w:rPr>
        <w:t xml:space="preserve">reo electrónico de PREMO con al menos un día de anticipación. Despacho de Buques envía/comunica la autorización de fondeo, y de Servicios Especiales la autorización de la maniobra en caso de que lleve Servicio de Supervisión de PREMO. En caso de que no se </w:t>
      </w:r>
      <w:r>
        <w:rPr>
          <w:sz w:val="24"/>
          <w:szCs w:val="24"/>
        </w:rPr>
        <w:t xml:space="preserve">haya presentado la autorización con anticipación, se consulta en PREMO (Oficial Comandante de Guardia de PREMO, Oficial de Guardia de PREMO, Despacho de Buques y Servicios Especiales) si dicha operación se encuentra autorizada, para proseguir la ejecución.</w:t>
      </w:r>
      <w:r>
        <w:rPr>
          <w:sz w:val="24"/>
          <w:szCs w:val="24"/>
        </w:rPr>
      </w:r>
      <w:r/>
    </w:p>
    <w:p>
      <w:pPr>
        <w:pStyle w:val="1143"/>
        <w:numPr>
          <w:ilvl w:val="1"/>
          <w:numId w:val="2"/>
        </w:numPr>
        <w:ind w:left="1418" w:right="0" w:hanging="567"/>
        <w:jc w:val="both"/>
        <w:spacing w:before="0" w:after="0" w:line="360" w:lineRule="auto"/>
        <w:widowControl w:val="off"/>
        <w:tabs>
          <w:tab w:val="left" w:pos="851" w:leader="none"/>
          <w:tab w:val="left" w:pos="1418" w:leader="none"/>
        </w:tabs>
        <w:rPr>
          <w:sz w:val="24"/>
          <w:szCs w:val="24"/>
        </w:rPr>
      </w:pPr>
      <w:r>
        <w:rPr>
          <w:sz w:val="24"/>
          <w:szCs w:val="24"/>
        </w:rPr>
        <w:t xml:space="preserve">6.3.2 En caso de confirmar lo establecido e</w:t>
      </w:r>
      <w:r>
        <w:rPr>
          <w:sz w:val="24"/>
          <w:szCs w:val="24"/>
        </w:rPr>
        <w:t xml:space="preserve">n el punto 6.3.1., se autoriza y recaba los datos que se detallan en la ficha de registro en el Sigemar. MOVIMIENTO – MANIOBRAS y en el ícono + agregan maniobra, según el Anexo “ALFA” FI – 810 – 09. Una vez completada la información deben GUARDAR CAMBIOS. </w:t>
      </w:r>
      <w:r>
        <w:rPr>
          <w:sz w:val="24"/>
          <w:szCs w:val="24"/>
        </w:rPr>
      </w:r>
      <w:r/>
    </w:p>
    <w:p>
      <w:pPr>
        <w:pStyle w:val="1143"/>
        <w:ind w:left="1418" w:right="0" w:hanging="567"/>
        <w:jc w:val="both"/>
        <w:spacing w:before="0" w:after="0" w:line="360" w:lineRule="auto"/>
        <w:widowControl w:val="off"/>
        <w:rPr>
          <w:sz w:val="24"/>
          <w:szCs w:val="24"/>
        </w:rPr>
      </w:pPr>
      <w:r>
        <w:rPr>
          <w:sz w:val="24"/>
          <w:szCs w:val="24"/>
        </w:rPr>
        <w:t xml:space="preserve">6.3.3 Los campos obligatorios son los nombres de las embarca</w:t>
      </w:r>
      <w:r>
        <w:rPr>
          <w:sz w:val="24"/>
          <w:szCs w:val="24"/>
        </w:rPr>
        <w:t xml:space="preserve">ciones: el buque madre que brinda el combustible va primero, el que recibe buque tanque va segundo. Tipo de Maniobra se elige dentro de la lista desplegable el tipo de maniobra (toma de combustible, alije, complemento de carga, etc).  Se agregan fecha y ho</w:t>
      </w:r>
      <w:r>
        <w:rPr>
          <w:sz w:val="24"/>
          <w:szCs w:val="24"/>
        </w:rPr>
        <w:t xml:space="preserve">rarios de amadrine, y el resto de la información tal como se muestra en el Anexo “ALFA” FI – 810 – 09. En caso de que el tipo de combustible no esté en la lista desplegable, se deberá aclarar en la descripción el tipo de combustible. Se debe especificar en</w:t>
      </w:r>
      <w:r>
        <w:rPr>
          <w:sz w:val="24"/>
          <w:szCs w:val="24"/>
        </w:rPr>
        <w:t xml:space="preserve"> descripciones, Empresa Aseguradora Anti Derrame, canal operativo de maniobra, Autoridad abordo (Si es para Uruguay). En caso de que no se encuentre a bordo personal de Prefectura o que no esté autorizada la operación según 6.3.1, no autoriza la operación.</w:t>
      </w:r>
      <w:r>
        <w:rPr>
          <w:sz w:val="24"/>
          <w:szCs w:val="24"/>
        </w:rPr>
      </w:r>
      <w:r/>
    </w:p>
    <w:p>
      <w:pPr>
        <w:pStyle w:val="1143"/>
        <w:numPr>
          <w:ilvl w:val="1"/>
          <w:numId w:val="2"/>
        </w:numPr>
        <w:jc w:val="both"/>
        <w:spacing w:before="0" w:after="0" w:line="360" w:lineRule="auto"/>
        <w:widowControl w:val="off"/>
        <w:tabs>
          <w:tab w:val="left" w:pos="851" w:leader="none"/>
        </w:tabs>
        <w:rPr>
          <w:sz w:val="24"/>
          <w:szCs w:val="24"/>
        </w:rPr>
      </w:pPr>
      <w:r>
        <w:rPr>
          <w:sz w:val="24"/>
          <w:szCs w:val="24"/>
        </w:rPr>
        <w:t xml:space="preserve">6.4 Cuando amadrinan las embarcaciones se debe confeccionar el Mensaje Naval, según:</w:t>
      </w:r>
      <w:r>
        <w:rPr>
          <w:sz w:val="24"/>
          <w:szCs w:val="24"/>
        </w:rPr>
      </w:r>
      <w:r/>
    </w:p>
    <w:p>
      <w:pPr>
        <w:pStyle w:val="1143"/>
        <w:ind w:left="1418" w:right="0" w:hanging="709"/>
        <w:jc w:val="both"/>
        <w:spacing w:before="0" w:after="0" w:line="360" w:lineRule="auto"/>
        <w:widowControl w:val="off"/>
        <w:tabs>
          <w:tab w:val="left" w:pos="851" w:leader="none"/>
        </w:tabs>
        <w:rPr>
          <w:sz w:val="24"/>
          <w:szCs w:val="24"/>
        </w:rPr>
      </w:pPr>
      <w:r>
        <w:rPr>
          <w:sz w:val="24"/>
          <w:szCs w:val="24"/>
        </w:rPr>
        <w:tab/>
        <w:t xml:space="preserve">6.4.1 En caso de que la operación sea toma de combustible/bunker el formato del MN es el descripto en el Anexo “BRAVO”. Se redacta según si es inici</w:t>
      </w:r>
      <w:r>
        <w:rPr>
          <w:sz w:val="24"/>
          <w:szCs w:val="24"/>
        </w:rPr>
        <w:t xml:space="preserve">o de maniobra o fin. Tener en cuenta para fin de maniobra conocer el destino (puerto y ETA, en caso de no saber se tiene que consultar al buque). Tener en cuenta si lleva servicio especial PREMO, aclarar en el MN o en caso de que no lleve, no se pone nada.</w:t>
      </w:r>
      <w:r>
        <w:rPr>
          <w:sz w:val="24"/>
          <w:szCs w:val="24"/>
        </w:rPr>
      </w:r>
      <w:r/>
    </w:p>
    <w:p>
      <w:pPr>
        <w:pStyle w:val="1143"/>
        <w:numPr>
          <w:ilvl w:val="2"/>
          <w:numId w:val="4"/>
        </w:numPr>
        <w:ind w:left="1418" w:right="0" w:hanging="709"/>
        <w:jc w:val="both"/>
        <w:spacing w:before="0" w:after="0" w:line="360" w:lineRule="auto"/>
        <w:widowControl w:val="off"/>
        <w:tabs>
          <w:tab w:val="left" w:pos="851" w:leader="none"/>
        </w:tabs>
        <w:rPr>
          <w:sz w:val="24"/>
          <w:szCs w:val="24"/>
        </w:rPr>
      </w:pPr>
      <w:r>
        <w:rPr>
          <w:sz w:val="24"/>
          <w:szCs w:val="24"/>
        </w:rPr>
        <w:t xml:space="preserve">En caso de que el alije/complemento de carga se realice en zona ALFA, el formato del MN es el descripto en el Anexo “CHARLIE”. Se redacta según si es inicio de maniobra </w:t>
      </w:r>
      <w:r>
        <w:rPr>
          <w:sz w:val="24"/>
          <w:szCs w:val="24"/>
        </w:rPr>
        <w:t xml:space="preserve">o fin. Tener en cuenta para fin de maniobra conocer el destino (puerto y ETA de cada buque, en caso de no saber se tiene que consultar al buque). Tener en cuenta si lleva servicio especial PREMO, aclarar en el MN o en caso de que no lleve, no se pone nada.</w:t>
      </w:r>
      <w:r>
        <w:rPr>
          <w:sz w:val="24"/>
          <w:szCs w:val="24"/>
        </w:rPr>
      </w:r>
      <w:r/>
    </w:p>
    <w:p>
      <w:pPr>
        <w:pStyle w:val="1143"/>
        <w:numPr>
          <w:ilvl w:val="2"/>
          <w:numId w:val="4"/>
        </w:numPr>
        <w:ind w:left="1418" w:right="0" w:hanging="709"/>
        <w:jc w:val="both"/>
        <w:spacing w:before="0" w:after="0" w:line="360" w:lineRule="auto"/>
        <w:widowControl w:val="off"/>
        <w:tabs>
          <w:tab w:val="left" w:pos="851" w:leader="none"/>
        </w:tabs>
        <w:rPr>
          <w:b/>
          <w:sz w:val="28"/>
          <w:lang w:val="es-MX"/>
        </w:rPr>
      </w:pPr>
      <w:r>
        <w:rPr>
          <w:sz w:val="24"/>
          <w:szCs w:val="24"/>
        </w:rPr>
        <w:t xml:space="preserve">Para las Operaciones de Trasbordo de Mineral de Hierro en ZONA ALFA y ZONA DELTA,se toma en cuenta el PROTOCOLO descripto en “ANEXO DELTA”</w:t>
      </w:r>
      <w:r>
        <w:rPr>
          <w:b/>
          <w:sz w:val="28"/>
          <w:lang w:val="es-MX"/>
        </w:rPr>
      </w:r>
      <w:r/>
    </w:p>
    <w:p>
      <w:pPr>
        <w:pStyle w:val="1083"/>
        <w:numPr>
          <w:ilvl w:val="0"/>
          <w:numId w:val="3"/>
        </w:numPr>
        <w:ind w:left="357" w:right="0" w:hanging="357"/>
        <w:jc w:val="both"/>
        <w:spacing w:before="120" w:after="120" w:line="360" w:lineRule="auto"/>
        <w:rPr>
          <w:sz w:val="24"/>
          <w:szCs w:val="24"/>
        </w:rPr>
      </w:pPr>
      <w:r>
        <w:rPr>
          <w:b/>
          <w:sz w:val="28"/>
          <w:lang w:val="es-MX"/>
        </w:rPr>
        <w:t xml:space="preserve">ANEXOS</w:t>
      </w:r>
      <w:r>
        <w:rPr>
          <w:sz w:val="24"/>
          <w:szCs w:val="24"/>
        </w:rPr>
      </w:r>
      <w:r/>
    </w:p>
    <w:p>
      <w:pPr>
        <w:pStyle w:val="1083"/>
        <w:ind w:left="357" w:right="0" w:firstLine="0"/>
        <w:jc w:val="both"/>
        <w:spacing w:line="360" w:lineRule="auto"/>
        <w:rPr>
          <w:sz w:val="24"/>
          <w:szCs w:val="24"/>
        </w:rPr>
      </w:pPr>
      <w:r>
        <w:rPr>
          <w:sz w:val="24"/>
          <w:szCs w:val="24"/>
        </w:rPr>
        <w:t xml:space="preserve">FI-810-09 “ALFA” Ficha de registro de Maniobra.</w:t>
      </w:r>
      <w:r>
        <w:rPr>
          <w:sz w:val="24"/>
          <w:szCs w:val="24"/>
        </w:rPr>
      </w:r>
      <w:r/>
    </w:p>
    <w:p>
      <w:pPr>
        <w:pStyle w:val="1083"/>
        <w:ind w:left="357" w:right="0" w:firstLine="0"/>
        <w:jc w:val="both"/>
        <w:spacing w:line="360" w:lineRule="auto"/>
        <w:rPr>
          <w:sz w:val="24"/>
          <w:szCs w:val="24"/>
        </w:rPr>
      </w:pPr>
      <w:r>
        <w:rPr>
          <w:sz w:val="24"/>
          <w:szCs w:val="24"/>
        </w:rPr>
        <w:t xml:space="preserve">FO – 810 – 09 “BRAVO” </w:t>
      </w:r>
      <w:r>
        <w:rPr>
          <w:sz w:val="24"/>
          <w:szCs w:val="24"/>
          <w:lang w:val="pt-BR"/>
        </w:rPr>
        <w:t xml:space="preserve">Formato de M/N para Toma de Combustible/Bunker. </w:t>
      </w:r>
      <w:r>
        <w:rPr>
          <w:sz w:val="24"/>
          <w:szCs w:val="24"/>
        </w:rPr>
      </w:r>
      <w:r/>
    </w:p>
    <w:p>
      <w:pPr>
        <w:pStyle w:val="1083"/>
        <w:ind w:left="357" w:right="0" w:firstLine="0"/>
        <w:jc w:val="both"/>
        <w:spacing w:line="360" w:lineRule="auto"/>
        <w:rPr>
          <w:sz w:val="24"/>
          <w:szCs w:val="24"/>
          <w:lang w:val="pt-BR"/>
        </w:rPr>
      </w:pPr>
      <w:r>
        <w:rPr>
          <w:sz w:val="24"/>
          <w:szCs w:val="24"/>
        </w:rPr>
        <w:t xml:space="preserve">FO – 810 – 09 “CHARLIE” </w:t>
      </w:r>
      <w:r>
        <w:rPr>
          <w:sz w:val="24"/>
          <w:szCs w:val="24"/>
          <w:lang w:val="pt-BR"/>
        </w:rPr>
        <w:t xml:space="preserve">Formato de M/N para Alijo/Complemento de Carga. </w:t>
      </w:r>
      <w:r>
        <w:rPr>
          <w:sz w:val="24"/>
          <w:szCs w:val="24"/>
          <w:lang w:val="pt-BR"/>
        </w:rPr>
      </w:r>
      <w:r/>
    </w:p>
    <w:p>
      <w:pPr>
        <w:pStyle w:val="1083"/>
        <w:ind w:left="357" w:right="0" w:firstLine="0"/>
        <w:jc w:val="both"/>
        <w:spacing w:line="360" w:lineRule="auto"/>
        <w:rPr>
          <w:b/>
          <w:sz w:val="28"/>
          <w:lang w:val="es-MX"/>
        </w:rPr>
      </w:pPr>
      <w:r>
        <w:rPr>
          <w:sz w:val="24"/>
          <w:szCs w:val="24"/>
          <w:lang w:val="pt-BR"/>
        </w:rPr>
        <w:t xml:space="preserve">FO-810-09 “DELTA” Protocolo de O</w:t>
      </w:r>
      <w:r>
        <w:rPr>
          <w:sz w:val="24"/>
          <w:szCs w:val="24"/>
          <w:lang w:val="es-ES"/>
        </w:rPr>
        <w:t xml:space="preserve">peración</w:t>
      </w:r>
      <w:r>
        <w:rPr>
          <w:sz w:val="24"/>
          <w:szCs w:val="24"/>
          <w:lang w:val="pt-BR"/>
        </w:rPr>
        <w:t xml:space="preserve"> de Trasbordo de Mineral de Hiero em Zona Alfa y Zona Delta</w:t>
      </w:r>
      <w:r>
        <w:rPr>
          <w:b/>
          <w:sz w:val="28"/>
          <w:lang w:val="es-MX"/>
        </w:rPr>
      </w:r>
      <w:r/>
    </w:p>
    <w:p>
      <w:pPr>
        <w:pStyle w:val="1083"/>
        <w:numPr>
          <w:ilvl w:val="0"/>
          <w:numId w:val="3"/>
        </w:numPr>
        <w:ind w:left="357" w:right="0" w:hanging="357"/>
        <w:jc w:val="both"/>
        <w:spacing w:before="120" w:after="120" w:line="360" w:lineRule="auto"/>
        <w:rPr>
          <w:sz w:val="24"/>
          <w:szCs w:val="24"/>
        </w:rPr>
      </w:pPr>
      <w:r>
        <w:rPr>
          <w:b/>
          <w:sz w:val="28"/>
          <w:lang w:val="es-MX"/>
        </w:rPr>
        <w:t xml:space="preserve">REGISTROS</w:t>
      </w:r>
      <w:r>
        <w:rPr>
          <w:sz w:val="24"/>
          <w:szCs w:val="24"/>
        </w:rPr>
      </w:r>
      <w:r/>
    </w:p>
    <w:p>
      <w:pPr>
        <w:pStyle w:val="1083"/>
        <w:jc w:val="both"/>
        <w:spacing w:line="360" w:lineRule="auto"/>
        <w:rPr>
          <w:sz w:val="24"/>
          <w:szCs w:val="24"/>
        </w:rPr>
      </w:pPr>
      <w:r>
        <w:rPr>
          <w:sz w:val="24"/>
          <w:szCs w:val="24"/>
        </w:rPr>
        <w:t xml:space="preserve">Los registros de datos permanecen archivados en el PC correspondiente, siendo respaldados en soporte informático según el PR – 753 – 02 en vigencia. Los registros del SIGEMAR permanecen en el servidor de la Armada Nacional. </w:t>
      </w:r>
      <w:r>
        <w:rPr>
          <w:sz w:val="24"/>
          <w:szCs w:val="24"/>
        </w:rPr>
      </w:r>
      <w:r/>
    </w:p>
    <w:p>
      <w:pPr>
        <w:pStyle w:val="1144"/>
        <w:ind w:left="360" w:right="0" w:firstLine="0"/>
        <w:jc w:val="both"/>
        <w:spacing w:line="360" w:lineRule="auto"/>
        <w:rPr>
          <w:sz w:val="24"/>
          <w:szCs w:val="24"/>
        </w:rPr>
      </w:pPr>
      <w:r>
        <w:rPr>
          <w:sz w:val="24"/>
          <w:szCs w:val="24"/>
        </w:rPr>
      </w:r>
      <w:r/>
    </w:p>
    <w:tbl>
      <w:tblPr>
        <w:tblW w:w="0" w:type="auto"/>
        <w:tblInd w:w="0"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08"/>
        <w:gridCol w:w="16"/>
      </w:tblGrid>
      <w:tr>
        <w:trPr>
          <w:gridAfter w:val="1"/>
          <w:tblHeader/>
        </w:trPr>
        <w:tc>
          <w:tcPr>
            <w:tcBorders>
              <w:top w:val="single" w:color="000000" w:sz="1" w:space="0"/>
              <w:left w:val="single" w:color="000000" w:sz="1" w:space="0"/>
              <w:bottom w:val="single" w:color="000000" w:sz="1" w:space="0"/>
              <w:right w:val="none" w:color="000000" w:sz="0" w:space="0"/>
            </w:tcBorders>
            <w:tcW w:w="1418" w:type="dxa"/>
            <w:vAlign w:val="top"/>
            <w:textDirection w:val="lrTb"/>
            <w:noWrap w:val="false"/>
          </w:tcPr>
          <w:p>
            <w:pPr>
              <w:pStyle w:val="1146"/>
              <w:spacing w:before="0" w:after="0"/>
            </w:pPr>
            <w:r>
              <w:rPr>
                <w:szCs w:val="24"/>
              </w:rPr>
              <w:t xml:space="preserve"> </w:t>
            </w:r>
            <w:r>
              <w:t xml:space="preserve">REVISION</w:t>
            </w:r>
            <w:r/>
          </w:p>
        </w:tc>
        <w:tc>
          <w:tcPr>
            <w:tcBorders>
              <w:top w:val="single" w:color="000000" w:sz="1" w:space="0"/>
              <w:left w:val="single" w:color="000000" w:sz="1" w:space="0"/>
              <w:bottom w:val="single" w:color="000000" w:sz="1" w:space="0"/>
              <w:right w:val="none" w:color="000000" w:sz="0" w:space="0"/>
            </w:tcBorders>
            <w:tcW w:w="1559" w:type="dxa"/>
            <w:vAlign w:val="top"/>
            <w:textDirection w:val="lrTb"/>
            <w:noWrap w:val="false"/>
          </w:tcPr>
          <w:p>
            <w:pPr>
              <w:pStyle w:val="1146"/>
              <w:spacing w:before="0" w:after="0"/>
            </w:pPr>
            <w:r>
              <w:t xml:space="preserve">FECHA</w:t>
            </w:r>
            <w:r/>
          </w:p>
        </w:tc>
        <w:tc>
          <w:tcPr>
            <w:tcBorders>
              <w:top w:val="single" w:color="000000" w:sz="1" w:space="0"/>
              <w:left w:val="single" w:color="000000" w:sz="1" w:space="0"/>
              <w:bottom w:val="single" w:color="000000" w:sz="1" w:space="0"/>
              <w:right w:val="single" w:color="000000" w:sz="1" w:space="0"/>
            </w:tcBorders>
            <w:tcW w:w="7008" w:type="dxa"/>
            <w:vAlign w:val="top"/>
            <w:textDirection w:val="lrTb"/>
            <w:noWrap w:val="false"/>
          </w:tcPr>
          <w:p>
            <w:pPr>
              <w:pStyle w:val="1146"/>
              <w:spacing w:before="0" w:after="0"/>
            </w:pPr>
            <w:r>
              <w:t xml:space="preserve">MODIFICACIONES</w:t>
            </w:r>
            <w:r/>
          </w:p>
        </w:tc>
      </w:tr>
      <w:tr>
        <w:trPr>
          <w:gridAfter w:val="1"/>
        </w:trPr>
        <w:tc>
          <w:tcPr>
            <w:tcBorders>
              <w:top w:val="none" w:color="000000" w:sz="0" w:space="0"/>
              <w:left w:val="single" w:color="000000" w:sz="1" w:space="0"/>
              <w:bottom w:val="single" w:color="000000" w:sz="4" w:space="0"/>
              <w:right w:val="none" w:color="000000" w:sz="0" w:space="0"/>
            </w:tcBorders>
            <w:tcW w:w="1418" w:type="dxa"/>
            <w:vAlign w:val="top"/>
            <w:textDirection w:val="lrTb"/>
            <w:noWrap w:val="false"/>
          </w:tcPr>
          <w:p>
            <w:pPr>
              <w:pStyle w:val="1145"/>
              <w:jc w:val="center"/>
              <w:spacing w:before="0" w:after="0"/>
              <w:rPr>
                <w:sz w:val="24"/>
                <w:szCs w:val="24"/>
                <w:lang w:eastAsia="es-ES"/>
              </w:rPr>
            </w:pPr>
            <w:r>
              <w:t xml:space="preserve">2</w:t>
            </w:r>
            <w:r>
              <w:rPr>
                <w:sz w:val="24"/>
                <w:szCs w:val="24"/>
                <w:lang w:eastAsia="es-ES"/>
              </w:rPr>
            </w:r>
            <w:r/>
          </w:p>
        </w:tc>
        <w:tc>
          <w:tcPr>
            <w:tcBorders>
              <w:top w:val="none" w:color="000000" w:sz="0" w:space="0"/>
              <w:left w:val="single" w:color="000000" w:sz="1" w:space="0"/>
              <w:bottom w:val="single" w:color="000000" w:sz="4" w:space="0"/>
              <w:right w:val="none" w:color="000000" w:sz="0" w:space="0"/>
            </w:tcBorders>
            <w:tcW w:w="1559" w:type="dxa"/>
            <w:vAlign w:val="center"/>
            <w:textDirection w:val="lrTb"/>
            <w:noWrap w:val="false"/>
          </w:tcPr>
          <w:p>
            <w:pPr>
              <w:pStyle w:val="1083"/>
              <w:ind w:left="-540" w:right="0" w:firstLine="540"/>
              <w:jc w:val="center"/>
            </w:pPr>
            <w:r>
              <w:rPr>
                <w:sz w:val="24"/>
                <w:szCs w:val="24"/>
                <w:lang w:eastAsia="es-ES"/>
              </w:rPr>
              <w:t xml:space="preserve">01/08/2020</w:t>
            </w:r>
            <w:r/>
          </w:p>
        </w:tc>
        <w:tc>
          <w:tcPr>
            <w:tcBorders>
              <w:top w:val="none" w:color="000000" w:sz="0" w:space="0"/>
              <w:left w:val="single" w:color="000000" w:sz="1" w:space="0"/>
              <w:bottom w:val="single" w:color="000000" w:sz="4" w:space="0"/>
              <w:right w:val="single" w:color="000000" w:sz="1" w:space="0"/>
            </w:tcBorders>
            <w:tcW w:w="7008" w:type="dxa"/>
            <w:vAlign w:val="top"/>
            <w:textDirection w:val="lrTb"/>
            <w:noWrap w:val="false"/>
          </w:tcPr>
          <w:p>
            <w:pPr>
              <w:pStyle w:val="1145"/>
              <w:spacing w:before="0" w:after="0"/>
            </w:pPr>
            <w:r>
              <w:t xml:space="preserve">Se modifica el desarrollo, puntos: 6.1, 6.2, 6.3, 6.4 redactándose nuevamente el procedimiento con el nuevo SIGEMAR. Se modifican  todos los anexos con la incorporación del SIGEMAR</w:t>
            </w:r>
            <w:r/>
          </w:p>
        </w:tc>
      </w:tr>
      <w:tr>
        <w:trPr/>
        <w:tc>
          <w:tcPr>
            <w:tcBorders>
              <w:top w:val="single" w:color="000000" w:sz="4" w:space="0"/>
              <w:left w:val="single" w:color="000000" w:sz="4" w:space="0"/>
              <w:bottom w:val="single" w:color="000000" w:sz="4" w:space="0"/>
              <w:right w:val="none" w:color="000000" w:sz="0" w:space="0"/>
            </w:tcBorders>
            <w:tcW w:w="1418" w:type="dxa"/>
            <w:vAlign w:val="top"/>
            <w:textDirection w:val="lrTb"/>
            <w:noWrap w:val="false"/>
          </w:tcPr>
          <w:p>
            <w:pPr>
              <w:pStyle w:val="1145"/>
              <w:jc w:val="center"/>
              <w:spacing w:before="0" w:after="0"/>
            </w:pPr>
            <w:r>
              <w:t xml:space="preserve">3</w:t>
            </w:r>
            <w:r/>
          </w:p>
        </w:tc>
        <w:tc>
          <w:tcPr>
            <w:tcBorders>
              <w:top w:val="single" w:color="000000" w:sz="4" w:space="0"/>
              <w:left w:val="single" w:color="000000" w:sz="4" w:space="0"/>
              <w:bottom w:val="single" w:color="000000" w:sz="4" w:space="0"/>
              <w:right w:val="none" w:color="000000" w:sz="0" w:space="0"/>
            </w:tcBorders>
            <w:tcW w:w="1559" w:type="dxa"/>
            <w:vAlign w:val="top"/>
            <w:textDirection w:val="lrTb"/>
            <w:noWrap w:val="false"/>
          </w:tcPr>
          <w:p>
            <w:pPr>
              <w:pStyle w:val="1145"/>
              <w:jc w:val="center"/>
              <w:spacing w:before="0" w:after="0"/>
            </w:pPr>
            <w:r>
              <w:t xml:space="preserve">14/09/2021</w:t>
            </w:r>
            <w:r/>
          </w:p>
        </w:tc>
        <w:tc>
          <w:tcPr>
            <w:gridSpan w:val="2"/>
            <w:tcBorders>
              <w:top w:val="single" w:color="000000" w:sz="4" w:space="0"/>
              <w:left w:val="single" w:color="000000" w:sz="4" w:space="0"/>
              <w:bottom w:val="single" w:color="000000" w:sz="4" w:space="0"/>
              <w:right w:val="single" w:color="000000" w:sz="4" w:space="0"/>
            </w:tcBorders>
            <w:tcW w:w="7024" w:type="dxa"/>
            <w:vAlign w:val="top"/>
            <w:textDirection w:val="lrTb"/>
            <w:noWrap w:val="false"/>
          </w:tcPr>
          <w:p>
            <w:pPr>
              <w:pStyle w:val="1145"/>
              <w:spacing w:before="0" w:after="0"/>
            </w:pPr>
            <w:r>
              <w:t xml:space="preserve">Se modifica Anexo “CHARLIE” referente a Complemento de Carga </w:t>
            </w:r>
            <w:r/>
          </w:p>
        </w:tc>
      </w:tr>
      <w:tr>
        <w:trPr/>
        <w:tc>
          <w:tcPr>
            <w:tcBorders>
              <w:top w:val="single" w:color="000000" w:sz="4" w:space="0"/>
              <w:left w:val="single" w:color="000000" w:sz="4" w:space="0"/>
              <w:bottom w:val="single" w:color="000000" w:sz="4" w:space="0"/>
              <w:right w:val="none" w:color="000000" w:sz="0" w:space="0"/>
            </w:tcBorders>
            <w:tcW w:w="1418" w:type="dxa"/>
            <w:vAlign w:val="top"/>
            <w:textDirection w:val="lrTb"/>
            <w:noWrap w:val="false"/>
          </w:tcPr>
          <w:p>
            <w:pPr>
              <w:pStyle w:val="1145"/>
              <w:jc w:val="center"/>
              <w:spacing w:before="0" w:after="0"/>
            </w:pPr>
            <w:r>
              <w:t xml:space="preserve">4</w:t>
            </w:r>
            <w:r/>
          </w:p>
        </w:tc>
        <w:tc>
          <w:tcPr>
            <w:tcBorders>
              <w:top w:val="single" w:color="000000" w:sz="4" w:space="0"/>
              <w:left w:val="single" w:color="000000" w:sz="4" w:space="0"/>
              <w:bottom w:val="single" w:color="000000" w:sz="4" w:space="0"/>
              <w:right w:val="single" w:color="000000" w:sz="4" w:space="0"/>
            </w:tcBorders>
            <w:tcW w:w="1559" w:type="dxa"/>
            <w:vAlign w:val="top"/>
            <w:textDirection w:val="lrTb"/>
            <w:noWrap w:val="false"/>
          </w:tcPr>
          <w:p>
            <w:pPr>
              <w:pStyle w:val="1145"/>
              <w:jc w:val="center"/>
              <w:spacing w:before="0" w:after="0"/>
            </w:pPr>
            <w:r/>
            <w:r/>
          </w:p>
          <w:p>
            <w:pPr>
              <w:pStyle w:val="1145"/>
              <w:jc w:val="center"/>
              <w:spacing w:before="0" w:after="0"/>
            </w:pPr>
            <w:r>
              <w:t xml:space="preserve">02/04/2024</w:t>
            </w:r>
            <w:r/>
          </w:p>
        </w:tc>
        <w:tc>
          <w:tcPr>
            <w:gridSpan w:val="2"/>
            <w:tcBorders>
              <w:top w:val="single" w:color="000000" w:sz="4" w:space="0"/>
              <w:left w:val="single" w:color="000000" w:sz="4" w:space="0"/>
              <w:bottom w:val="single" w:color="000000" w:sz="4" w:space="0"/>
              <w:right w:val="single" w:color="000000" w:sz="4" w:space="0"/>
            </w:tcBorders>
            <w:tcW w:w="7024" w:type="dxa"/>
            <w:vAlign w:val="top"/>
            <w:textDirection w:val="lrTb"/>
            <w:noWrap w:val="false"/>
          </w:tcPr>
          <w:p>
            <w:pPr>
              <w:pStyle w:val="1145"/>
              <w:jc w:val="left"/>
              <w:spacing w:before="0" w:after="0"/>
            </w:pPr>
            <w:r>
              <w:t xml:space="preserve">Se agrega punto 6,4,3 Protocolo para trasbordo de mineral de hierro “ANEXO DELTA”</w:t>
            </w:r>
            <w:r/>
          </w:p>
        </w:tc>
      </w:tr>
      <w:tr>
        <w:trPr/>
        <w:tc>
          <w:tcPr>
            <w:tcBorders>
              <w:top w:val="single" w:color="000000" w:sz="4" w:space="0"/>
              <w:left w:val="single" w:color="000000" w:sz="4" w:space="0"/>
              <w:bottom w:val="single" w:color="000000" w:sz="4" w:space="0"/>
              <w:right w:val="none" w:color="000000" w:sz="0" w:space="0"/>
            </w:tcBorders>
            <w:tcW w:w="1418" w:type="dxa"/>
            <w:vAlign w:val="top"/>
            <w:textDirection w:val="lrTb"/>
            <w:noWrap w:val="false"/>
          </w:tcPr>
          <w:p>
            <w:pPr>
              <w:pStyle w:val="1145"/>
              <w:jc w:val="center"/>
              <w:spacing w:before="0" w:after="0"/>
            </w:pPr>
            <w:r/>
            <w:r/>
          </w:p>
        </w:tc>
        <w:tc>
          <w:tcPr>
            <w:tcBorders>
              <w:top w:val="single" w:color="000000" w:sz="4" w:space="0"/>
              <w:left w:val="single" w:color="000000" w:sz="4" w:space="0"/>
              <w:bottom w:val="single" w:color="000000" w:sz="4" w:space="0"/>
              <w:right w:val="none" w:color="000000" w:sz="0" w:space="0"/>
            </w:tcBorders>
            <w:tcW w:w="1559" w:type="dxa"/>
            <w:vAlign w:val="top"/>
            <w:textDirection w:val="lrTb"/>
            <w:noWrap w:val="false"/>
          </w:tcPr>
          <w:p>
            <w:pPr>
              <w:pStyle w:val="1145"/>
              <w:jc w:val="center"/>
              <w:spacing w:before="0" w:after="0"/>
            </w:pPr>
            <w:r/>
            <w:r/>
          </w:p>
        </w:tc>
        <w:tc>
          <w:tcPr>
            <w:gridSpan w:val="2"/>
            <w:tcBorders>
              <w:top w:val="single" w:color="000000" w:sz="4" w:space="0"/>
              <w:left w:val="single" w:color="000000" w:sz="4" w:space="0"/>
              <w:bottom w:val="single" w:color="000000" w:sz="4" w:space="0"/>
              <w:right w:val="single" w:color="000000" w:sz="4" w:space="0"/>
            </w:tcBorders>
            <w:tcW w:w="7024" w:type="dxa"/>
            <w:vAlign w:val="top"/>
            <w:textDirection w:val="lrTb"/>
            <w:noWrap w:val="false"/>
          </w:tcPr>
          <w:p>
            <w:pPr>
              <w:pStyle w:val="1145"/>
              <w:jc w:val="center"/>
              <w:spacing w:before="0" w:after="0"/>
            </w:pPr>
            <w:r/>
            <w:r/>
          </w:p>
        </w:tc>
      </w:tr>
      <w:tr>
        <w:trPr/>
        <w:tc>
          <w:tcPr>
            <w:tcBorders>
              <w:top w:val="single" w:color="000000" w:sz="4" w:space="0"/>
              <w:left w:val="single" w:color="000000" w:sz="4" w:space="0"/>
              <w:bottom w:val="single" w:color="000000" w:sz="4" w:space="0"/>
              <w:right w:val="none" w:color="000000" w:sz="0" w:space="0"/>
            </w:tcBorders>
            <w:tcW w:w="1418" w:type="dxa"/>
            <w:vAlign w:val="top"/>
            <w:textDirection w:val="lrTb"/>
            <w:noWrap w:val="false"/>
          </w:tcPr>
          <w:p>
            <w:pPr>
              <w:pStyle w:val="1145"/>
              <w:jc w:val="center"/>
              <w:spacing w:before="0" w:after="0"/>
            </w:pPr>
            <w:r/>
            <w:r/>
          </w:p>
        </w:tc>
        <w:tc>
          <w:tcPr>
            <w:tcBorders>
              <w:top w:val="single" w:color="000000" w:sz="4" w:space="0"/>
              <w:left w:val="single" w:color="000000" w:sz="4" w:space="0"/>
              <w:bottom w:val="single" w:color="000000" w:sz="4" w:space="0"/>
              <w:right w:val="none" w:color="000000" w:sz="0" w:space="0"/>
            </w:tcBorders>
            <w:tcW w:w="1559" w:type="dxa"/>
            <w:vAlign w:val="top"/>
            <w:textDirection w:val="lrTb"/>
            <w:noWrap w:val="false"/>
          </w:tcPr>
          <w:p>
            <w:pPr>
              <w:pStyle w:val="1145"/>
              <w:jc w:val="center"/>
              <w:spacing w:before="0" w:after="0"/>
            </w:pPr>
            <w:r/>
            <w:r/>
          </w:p>
        </w:tc>
        <w:tc>
          <w:tcPr>
            <w:gridSpan w:val="2"/>
            <w:tcBorders>
              <w:top w:val="single" w:color="000000" w:sz="4" w:space="0"/>
              <w:left w:val="single" w:color="000000" w:sz="4" w:space="0"/>
              <w:bottom w:val="single" w:color="000000" w:sz="4" w:space="0"/>
              <w:right w:val="single" w:color="000000" w:sz="4" w:space="0"/>
            </w:tcBorders>
            <w:tcW w:w="7024" w:type="dxa"/>
            <w:vAlign w:val="top"/>
            <w:textDirection w:val="lrTb"/>
            <w:noWrap w:val="false"/>
          </w:tcPr>
          <w:p>
            <w:pPr>
              <w:pStyle w:val="1145"/>
              <w:jc w:val="center"/>
              <w:spacing w:before="0" w:after="0"/>
            </w:pPr>
            <w:r/>
            <w:r/>
          </w:p>
        </w:tc>
      </w:tr>
    </w:tbl>
    <w:sectPr>
      <w:headerReference w:type="default" r:id="rId11"/>
      <w:headerReference w:type="even" r:id="rId12"/>
      <w:headerReference w:type="first" r:id="rId13"/>
      <w:footerReference w:type="default" r:id="rId17"/>
      <w:footerReference w:type="even" r:id="rId18"/>
      <w:footerReference w:type="first" r:id="rId19"/>
      <w:footnotePr/>
      <w:endnotePr/>
      <w:type w:val="nextPage"/>
      <w:pgSz w:w="11906" w:h="16838" w:orient="portrait"/>
      <w:pgMar w:top="2268" w:right="992" w:bottom="1559" w:left="851" w:header="720" w:footer="720"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font>
  <w:font w:name="Tahoma">
    <w:panose1 w:val="020B0604030504040204"/>
  </w:font>
  <w:font w:name="Wingdings">
    <w:panose1 w:val="05000000000000000000"/>
  </w:font>
  <w:font w:name="Microsoft YaHei">
    <w:panose1 w:val="020B05030202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ind w:left="-142" w:right="0" w:firstLine="0"/>
      <w:jc w:val="both"/>
      <w:spacing w:line="320" w:lineRule="exact"/>
      <w:rPr>
        <w:b/>
        <w:sz w:val="24"/>
        <w:lang w:val="es-ES_tradnl" w:eastAsia="es-ES"/>
      </w:rPr>
    </w:pPr>
    <w:r>
      <w:rPr>
        <w:sz w:val="24"/>
      </w:rPr>
      <w:t xml:space="preserve">ELABORADO POR: Grupo de Trabajo</w:t>
    </w:r>
    <w:r>
      <w:rPr>
        <w:b/>
        <w:sz w:val="24"/>
        <w:lang w:val="es-ES_tradnl" w:eastAsia="es-ES"/>
      </w:rPr>
    </w:r>
    <w:r/>
  </w:p>
  <w:tbl>
    <w:tblPr>
      <w:tblW w:w="0" w:type="auto"/>
      <w:tblInd w:w="-294" w:type="dxa"/>
      <w:tblLayout w:type="fixed"/>
      <w:tblCellMar>
        <w:left w:w="70" w:type="dxa"/>
        <w:top w:w="0" w:type="dxa"/>
        <w:right w:w="70" w:type="dxa"/>
        <w:bottom w:w="0" w:type="dxa"/>
      </w:tblCellMar>
      <w:tblLook w:val="04A0" w:firstRow="1" w:lastRow="0" w:firstColumn="1" w:lastColumn="0" w:noHBand="0" w:noVBand="1"/>
    </w:tblPr>
    <w:tblGrid>
      <w:gridCol w:w="2127"/>
      <w:gridCol w:w="3402"/>
      <w:gridCol w:w="3827"/>
      <w:gridCol w:w="1553"/>
    </w:tblGrid>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restart"/>
          <w:textDirection w:val="lrTb"/>
          <w:noWrap w:val="false"/>
        </w:tcPr>
        <w:p>
          <w:pPr>
            <w:pStyle w:val="1083"/>
            <w:keepNext/>
            <w:spacing w:line="360" w:lineRule="auto"/>
            <w:widowControl w:val="off"/>
            <w:rPr>
              <w:sz w:val="24"/>
              <w:szCs w:val="24"/>
              <w:lang w:eastAsia="es-ES"/>
            </w:rPr>
          </w:pPr>
          <w:r>
            <w:rPr>
              <w:b/>
              <w:sz w:val="24"/>
              <w:lang w:val="es-ES_tradnl" w:eastAsia="es-ES"/>
            </w:rPr>
            <w:t xml:space="preserve">APROBADO POR</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3402" w:type="dxa"/>
          <w:vAlign w:val="top"/>
          <w:textDirection w:val="lrTb"/>
          <w:noWrap w:val="false"/>
        </w:tcPr>
        <w:p>
          <w:pPr>
            <w:pStyle w:val="1083"/>
            <w:ind w:left="-540" w:right="0" w:firstLine="540"/>
            <w:jc w:val="center"/>
            <w:rPr>
              <w:sz w:val="24"/>
              <w:szCs w:val="24"/>
              <w:lang w:eastAsia="es-ES"/>
            </w:rPr>
          </w:pPr>
          <w:r>
            <w:rPr>
              <w:sz w:val="24"/>
              <w:szCs w:val="24"/>
              <w:lang w:eastAsia="es-ES"/>
            </w:rPr>
            <w:t xml:space="preserve">CARGO</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3827" w:type="dxa"/>
          <w:vAlign w:val="top"/>
          <w:textDirection w:val="lrTb"/>
          <w:noWrap w:val="false"/>
        </w:tcPr>
        <w:p>
          <w:pPr>
            <w:pStyle w:val="1083"/>
            <w:ind w:left="-540" w:right="0" w:firstLine="540"/>
            <w:jc w:val="center"/>
            <w:rPr>
              <w:sz w:val="24"/>
              <w:szCs w:val="24"/>
              <w:lang w:eastAsia="es-ES"/>
            </w:rPr>
          </w:pPr>
          <w:r>
            <w:rPr>
              <w:sz w:val="24"/>
              <w:szCs w:val="24"/>
              <w:lang w:eastAsia="es-ES"/>
            </w:rPr>
            <w:t xml:space="preserve">FIRMA</w:t>
          </w:r>
          <w:r>
            <w:rPr>
              <w:sz w:val="24"/>
              <w:szCs w:val="24"/>
              <w:lang w:eastAsia="es-ES"/>
            </w:rPr>
          </w:r>
          <w:r/>
        </w:p>
      </w:tc>
      <w:tc>
        <w:tcPr>
          <w:tcBorders>
            <w:top w:val="single" w:color="000000" w:sz="4" w:space="0"/>
            <w:left w:val="single" w:color="000000" w:sz="4" w:space="0"/>
            <w:bottom w:val="single" w:color="000000" w:sz="4" w:space="0"/>
            <w:right w:val="single" w:color="000000" w:sz="4" w:space="0"/>
          </w:tcBorders>
          <w:tcW w:w="1553" w:type="dxa"/>
          <w:vAlign w:val="top"/>
          <w:textDirection w:val="lrTb"/>
          <w:noWrap w:val="false"/>
        </w:tcPr>
        <w:p>
          <w:pPr>
            <w:pStyle w:val="1083"/>
            <w:ind w:left="-540" w:right="0" w:firstLine="540"/>
            <w:jc w:val="center"/>
          </w:pPr>
          <w:r>
            <w:rPr>
              <w:sz w:val="24"/>
              <w:szCs w:val="24"/>
              <w:lang w:eastAsia="es-ES"/>
            </w:rP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continue"/>
          <w:textDirection w:val="lrTb"/>
          <w:noWrap w:val="false"/>
        </w:tcPr>
        <w:p>
          <w:pPr>
            <w:pStyle w:val="1083"/>
            <w:ind w:left="-540" w:right="0" w:firstLine="540"/>
            <w:jc w:val="center"/>
            <w:rPr>
              <w:sz w:val="24"/>
              <w:szCs w:val="24"/>
              <w:lang w:eastAsia="es-ES"/>
            </w:rPr>
          </w:pP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3402" w:type="dxa"/>
          <w:vAlign w:val="center"/>
          <w:textDirection w:val="lrTb"/>
          <w:noWrap w:val="false"/>
        </w:tcPr>
        <w:p>
          <w:pPr>
            <w:pStyle w:val="1083"/>
            <w:ind w:left="-540" w:right="0" w:firstLine="470"/>
            <w:jc w:val="center"/>
            <w:rPr>
              <w:sz w:val="16"/>
              <w:szCs w:val="16"/>
              <w:lang w:val="es-MX" w:eastAsia="es-ES"/>
            </w:rPr>
          </w:pPr>
          <w:r>
            <w:rPr>
              <w:sz w:val="24"/>
              <w:szCs w:val="24"/>
              <w:lang w:eastAsia="es-ES"/>
            </w:rPr>
            <w:t xml:space="preserve">Prefecto de Puerto de Montevideo</w:t>
          </w:r>
          <w:r>
            <w:rPr>
              <w:sz w:val="16"/>
              <w:szCs w:val="16"/>
              <w:lang w:val="es-MX" w:eastAsia="es-ES"/>
            </w:rPr>
          </w:r>
          <w:r/>
        </w:p>
      </w:tc>
      <w:tc>
        <w:tcPr>
          <w:tcBorders>
            <w:top w:val="single" w:color="000000" w:sz="4" w:space="0"/>
            <w:left w:val="single" w:color="000000" w:sz="4" w:space="0"/>
            <w:bottom w:val="single" w:color="000000" w:sz="4" w:space="0"/>
            <w:right w:val="none" w:color="000000" w:sz="0" w:space="0"/>
          </w:tcBorders>
          <w:tcW w:w="3827" w:type="dxa"/>
          <w:vAlign w:val="center"/>
          <w:textDirection w:val="lrTb"/>
          <w:noWrap w:val="false"/>
        </w:tcPr>
        <w:p>
          <w:pPr>
            <w:pStyle w:val="1083"/>
            <w:ind w:left="-540" w:right="0" w:firstLine="540"/>
            <w:rPr>
              <w:rFonts w:eastAsia="Times New Roman" w:cs="Times New Roman"/>
              <w:color w:val="auto"/>
              <w:szCs w:val="20"/>
              <w:lang w:eastAsia="zh-CN" w:bidi="ar-SA"/>
            </w:rPr>
          </w:pPr>
          <w:r>
            <w:rPr>
              <w:sz w:val="16"/>
              <w:szCs w:val="16"/>
              <w:lang w:val="es-MX" w:eastAsia="es-ES"/>
            </w:rPr>
            <w:t xml:space="preserve">CN (CP) Néstor LEMOS </w:t>
          </w:r>
          <w:r>
            <w:rPr>
              <w:rFonts w:eastAsia="Times New Roman" w:cs="Times New Roman"/>
              <w:color w:val="auto"/>
              <w:szCs w:val="20"/>
              <w:lang w:eastAsia="zh-CN" w:bidi="ar-SA"/>
            </w:rPr>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145"/>
            <w:jc w:val="center"/>
            <w:spacing w:before="0" w:after="0"/>
          </w:pPr>
          <w:r>
            <w:rPr>
              <w:rFonts w:eastAsia="Times New Roman" w:cs="Times New Roman"/>
              <w:color w:val="auto"/>
              <w:szCs w:val="20"/>
              <w:lang w:eastAsia="zh-CN" w:bidi="ar-SA"/>
            </w:rPr>
            <w:t xml:space="preserve">02/04/2024</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083"/>
            <w:ind w:left="-540" w:right="0" w:firstLine="540"/>
            <w:jc w:val="center"/>
            <w:rPr>
              <w:sz w:val="24"/>
              <w:szCs w:val="24"/>
              <w:lang w:eastAsia="es-ES"/>
            </w:rPr>
          </w:pPr>
          <w:r>
            <w:rPr>
              <w:sz w:val="24"/>
              <w:szCs w:val="24"/>
              <w:lang w:eastAsia="es-ES"/>
            </w:rPr>
            <w:t xml:space="preserve">REVISADO POR</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3402" w:type="dxa"/>
          <w:vAlign w:val="center"/>
          <w:textDirection w:val="lrTb"/>
          <w:noWrap w:val="false"/>
        </w:tcPr>
        <w:p>
          <w:pPr>
            <w:pStyle w:val="1083"/>
            <w:ind w:left="-540" w:right="0" w:firstLine="540"/>
            <w:jc w:val="center"/>
            <w:rPr>
              <w:sz w:val="16"/>
              <w:szCs w:val="16"/>
              <w:lang w:val="es-MX" w:eastAsia="es-ES"/>
            </w:rPr>
          </w:pPr>
          <w:r>
            <w:rPr>
              <w:sz w:val="24"/>
              <w:szCs w:val="24"/>
              <w:lang w:eastAsia="es-ES"/>
            </w:rPr>
            <w:t xml:space="preserve">Encargada SGC</w:t>
          </w:r>
          <w:r>
            <w:rPr>
              <w:sz w:val="16"/>
              <w:szCs w:val="16"/>
              <w:lang w:val="es-MX" w:eastAsia="es-ES"/>
            </w:rPr>
          </w:r>
          <w:r/>
        </w:p>
      </w:tc>
      <w:tc>
        <w:tcPr>
          <w:tcBorders>
            <w:top w:val="single" w:color="000000" w:sz="4" w:space="0"/>
            <w:left w:val="single" w:color="000000" w:sz="4" w:space="0"/>
            <w:bottom w:val="single" w:color="000000" w:sz="4" w:space="0"/>
            <w:right w:val="none" w:color="000000" w:sz="0" w:space="0"/>
          </w:tcBorders>
          <w:tcW w:w="3827" w:type="dxa"/>
          <w:vAlign w:val="center"/>
          <w:textDirection w:val="lrTb"/>
          <w:noWrap w:val="false"/>
        </w:tcPr>
        <w:p>
          <w:pPr>
            <w:pStyle w:val="1083"/>
            <w:ind w:left="-540" w:right="0" w:firstLine="540"/>
            <w:rPr>
              <w:rFonts w:eastAsia="Times New Roman" w:cs="Times New Roman"/>
              <w:color w:val="auto"/>
              <w:szCs w:val="20"/>
              <w:lang w:eastAsia="zh-CN" w:bidi="ar-SA"/>
            </w:rPr>
          </w:pPr>
          <w:r>
            <w:rPr>
              <w:sz w:val="16"/>
              <w:szCs w:val="16"/>
              <w:lang w:val="es-MX" w:eastAsia="es-ES"/>
            </w:rPr>
            <w:t xml:space="preserve">MP (PM) Lucía MORA </w:t>
          </w:r>
          <w:r>
            <w:rPr>
              <w:rFonts w:eastAsia="Times New Roman" w:cs="Times New Roman"/>
              <w:color w:val="auto"/>
              <w:szCs w:val="20"/>
              <w:lang w:eastAsia="zh-CN" w:bidi="ar-SA"/>
            </w:rPr>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145"/>
            <w:jc w:val="center"/>
            <w:spacing w:before="0" w:after="0"/>
          </w:pPr>
          <w:r>
            <w:rPr>
              <w:rFonts w:eastAsia="Times New Roman" w:cs="Times New Roman"/>
              <w:color w:val="auto"/>
              <w:szCs w:val="20"/>
              <w:lang w:eastAsia="zh-CN" w:bidi="ar-SA"/>
            </w:rPr>
            <w:t xml:space="preserve">02/04/2024</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083"/>
            <w:ind w:left="-540" w:right="0" w:firstLine="540"/>
            <w:jc w:val="center"/>
          </w:pPr>
          <w:r>
            <w:rPr>
              <w:sz w:val="24"/>
              <w:szCs w:val="24"/>
              <w:lang w:eastAsia="es-ES"/>
            </w:rPr>
            <w:t xml:space="preserve">DOCUMENTO</w:t>
          </w:r>
          <w:r/>
        </w:p>
      </w:tc>
      <w:tc>
        <w:tcPr>
          <w:gridSpan w:val="3"/>
          <w:tcBorders>
            <w:top w:val="single" w:color="000000" w:sz="4" w:space="0"/>
            <w:left w:val="single" w:color="000000" w:sz="4" w:space="0"/>
            <w:bottom w:val="single" w:color="000000" w:sz="4" w:space="0"/>
            <w:right w:val="single" w:color="000000" w:sz="4" w:space="0"/>
          </w:tcBorders>
          <w:tcW w:w="8782" w:type="dxa"/>
          <w:vAlign w:val="center"/>
          <w:textDirection w:val="lrTb"/>
          <w:noWrap w:val="false"/>
        </w:tcPr>
        <w:p>
          <w:pPr>
            <w:pStyle w:val="1083"/>
            <w:ind w:left="-540" w:right="0" w:firstLine="540"/>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1" locked="0" layoutInCell="1" allowOverlap="1">
                    <wp:simplePos x="0" y="0"/>
                    <wp:positionH relativeFrom="column">
                      <wp:posOffset>1390015</wp:posOffset>
                    </wp:positionH>
                    <wp:positionV relativeFrom="paragraph">
                      <wp:posOffset>23495</wp:posOffset>
                    </wp:positionV>
                    <wp:extent cx="130175" cy="116205"/>
                    <wp:effectExtent l="0" t="0" r="0" b="0"/>
                    <wp:wrapNone/>
                    <wp:docPr id="3" name="_x0000_s1025"/>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524288;o:allowoverlap:true;o:allowincell:true;mso-position-horizontal-relative:text;margin-left:109.4pt;mso-position-horizontal:absolute;mso-position-vertical-relative:text;margin-top:1.8pt;mso-position-vertical:absolute;width:10.2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3" behindDoc="1" locked="0" layoutInCell="1" allowOverlap="1">
                    <wp:simplePos x="0" y="0"/>
                    <wp:positionH relativeFrom="column">
                      <wp:posOffset>4819015</wp:posOffset>
                    </wp:positionH>
                    <wp:positionV relativeFrom="paragraph">
                      <wp:posOffset>23495</wp:posOffset>
                    </wp:positionV>
                    <wp:extent cx="114300" cy="114300"/>
                    <wp:effectExtent l="0" t="0" r="0" b="0"/>
                    <wp:wrapNone/>
                    <wp:docPr id="4" name="_x0000_s1026"/>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0609663;o:allowoverlap:true;o:allowincell:true;mso-position-horizontal-relative:text;margin-left:379.4pt;mso-position-horizontal:absolute;mso-position-vertical-relative:text;margin-top:1.8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2" behindDoc="1" locked="0" layoutInCell="1" allowOverlap="1">
                    <wp:simplePos x="0" y="0"/>
                    <wp:positionH relativeFrom="column">
                      <wp:posOffset>2977515</wp:posOffset>
                    </wp:positionH>
                    <wp:positionV relativeFrom="paragraph">
                      <wp:posOffset>16510</wp:posOffset>
                    </wp:positionV>
                    <wp:extent cx="114300" cy="114300"/>
                    <wp:effectExtent l="0" t="0" r="0" b="0"/>
                    <wp:wrapNone/>
                    <wp:docPr id="5" name="_x0000_s102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0609662;o:allowoverlap:true;o:allowincell:true;mso-position-horizontal-relative:text;margin-left:234.4pt;mso-position-horizontal:absolute;mso-position-vertical-relative:text;margin-top:1.3pt;mso-position-vertical:absolute;width:9.0pt;height:9.0pt;mso-wrap-distance-left:9.0pt;mso-wrap-distance-top:0.0pt;mso-wrap-distance-right:9.0pt;mso-wrap-distance-bottom:0.0pt;visibility:visible;" fillcolor="#FFFFFF" strokecolor="#000000" strokeweight="0.74pt"/>
                </w:pict>
              </mc:Fallback>
            </mc:AlternateContent>
          </w:r>
          <w:r>
            <w:rPr>
              <w:sz w:val="24"/>
              <w:szCs w:val="24"/>
              <w:lang w:val="es-MX" w:eastAsia="es-ES"/>
            </w:rPr>
            <w:t xml:space="preserve">O</w:t>
          </w:r>
          <w:r>
            <w:rPr>
              <w:sz w:val="24"/>
              <w:szCs w:val="24"/>
              <w:lang w:val="es-MX" w:eastAsia="es-ES"/>
            </w:rPr>
            <w:t xml:space="preserve">riginal              Copia Controlada              Copia No Controlada </w:t>
          </w:r>
          <w:r/>
        </w:p>
      </w:tc>
    </w:tr>
  </w:tbl>
  <w:p>
    <w:pPr>
      <w:pStyle w:val="1141"/>
      <w:rPr>
        <w:lang w:val="es-MX"/>
      </w:rPr>
    </w:pPr>
    <w:r>
      <w:rPr>
        <w:lang w:val="es-MX"/>
      </w:rPr>
      <w:t xml:space="preserve">                                                                                                 </w:t>
    </w:r>
    <w:r>
      <w:rPr>
        <w:lang w:val="es-MX"/>
      </w:rPr>
    </w:r>
    <w:r/>
  </w:p>
  <w:p>
    <w:pPr>
      <w:pStyle w:val="1141"/>
    </w:pPr>
    <w:r>
      <w:rPr>
        <w:lang w:val="es-MX"/>
      </w:rPr>
      <w:t xml:space="preserve">                                                                                            </w:t>
    </w: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1</w:t>
    </w:r>
    <w:r>
      <w:rPr>
        <w:lang w:val="es-MX"/>
      </w:rPr>
      <w:fldChar w:fldCharType="end"/>
    </w:r>
    <w:r>
      <w:rPr>
        <w:lang w:val="es-MX"/>
      </w:rPr>
      <w:t xml:space="preserve"> de 3</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1"/>
      <w:jc w:val="center"/>
    </w:pP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4</w:t>
    </w:r>
    <w:r>
      <w:rPr>
        <w:lang w:val="es-MX"/>
      </w:rPr>
      <w:fldChar w:fldCharType="end"/>
    </w:r>
    <w:r>
      <w:rPr>
        <w:lang w:val="es-MX"/>
      </w:rPr>
      <w:t xml:space="preserve"> de 3</w: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60"/>
      <w:gridCol w:w="2905"/>
      <w:gridCol w:w="4050"/>
      <w:gridCol w:w="1884"/>
    </w:tblGrid>
    <w:tr>
      <w:trPr>
        <w:cantSplit/>
        <w:trHeight w:val="693"/>
      </w:trPr>
      <w:tc>
        <w:tcPr>
          <w:tcBorders>
            <w:top w:val="single" w:color="000000" w:sz="4" w:space="0"/>
            <w:left w:val="single" w:color="000000" w:sz="4" w:space="0"/>
            <w:bottom w:val="single" w:color="000000" w:sz="4" w:space="0"/>
            <w:right w:val="none" w:color="000000" w:sz="0" w:space="0"/>
          </w:tcBorders>
          <w:tcW w:w="1560" w:type="dxa"/>
          <w:vAlign w:val="center"/>
          <w:vMerge w:val="restart"/>
          <w:textDirection w:val="lrTb"/>
          <w:noWrap w:val="false"/>
        </w:tcPr>
        <w:p>
          <w:pPr>
            <w:pStyle w:val="1140"/>
            <w:rPr>
              <w:b/>
              <w:bCs/>
              <w:sz w:val="28"/>
            </w:rPr>
          </w:pPr>
          <w:r>
            <mc:AlternateContent>
              <mc:Choice Requires="wpg">
                <w:drawing>
                  <wp:inline xmlns:wp="http://schemas.openxmlformats.org/drawingml/2006/wordprocessingDrawing" distT="0" distB="0" distL="0" distR="0">
                    <wp:extent cx="752475" cy="638175"/>
                    <wp:effectExtent l="0" t="0" r="0" b="0"/>
                    <wp:docPr id="1"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right w:val="none" w:color="000000" w:sz="0" w:space="0"/>
          </w:tcBorders>
          <w:tcW w:w="2905" w:type="dxa"/>
          <w:vAlign w:val="center"/>
          <w:vMerge w:val="restart"/>
          <w:textDirection w:val="lrTb"/>
          <w:noWrap w:val="false"/>
        </w:tcPr>
        <w:p>
          <w:pPr>
            <w:pStyle w:val="1140"/>
            <w:jc w:val="center"/>
            <w:rPr>
              <w:b/>
              <w:bCs/>
              <w:sz w:val="28"/>
            </w:rPr>
          </w:pPr>
          <w:r>
            <w:rPr>
              <w:b/>
              <w:bCs/>
              <w:sz w:val="28"/>
            </w:rPr>
            <w:t xml:space="preserve">Centro de Control Montevideo</w:t>
          </w:r>
          <w:r>
            <w:rPr>
              <w:b/>
              <w:bCs/>
              <w:sz w:val="28"/>
            </w:rPr>
          </w:r>
          <w:r/>
        </w:p>
      </w:tc>
      <w:tc>
        <w:tcPr>
          <w:tcBorders>
            <w:top w:val="single" w:color="000000" w:sz="4" w:space="0"/>
            <w:left w:val="single" w:color="000000" w:sz="4" w:space="0"/>
            <w:bottom w:val="single" w:color="000000" w:sz="4" w:space="0"/>
            <w:right w:val="none" w:color="000000" w:sz="0" w:space="0"/>
          </w:tcBorders>
          <w:tcW w:w="4050" w:type="dxa"/>
          <w:vAlign w:val="center"/>
          <w:vMerge w:val="restart"/>
          <w:textDirection w:val="lrTb"/>
          <w:noWrap w:val="false"/>
        </w:tcPr>
        <w:p>
          <w:pPr>
            <w:pStyle w:val="1140"/>
            <w:jc w:val="center"/>
            <w:rPr>
              <w:b/>
              <w:bCs/>
            </w:rPr>
          </w:pPr>
          <w:r>
            <w:rPr>
              <w:b/>
              <w:bCs/>
              <w:sz w:val="28"/>
            </w:rPr>
            <w:t xml:space="preserve">ALIJE - COMPLEMENTO DE CARGA Y TOMAS DE COMBUSTIBLE</w:t>
          </w:r>
          <w:r>
            <w:rPr>
              <w:b/>
              <w:bCs/>
            </w:rPr>
          </w:r>
          <w:r/>
        </w:p>
      </w:tc>
      <w:tc>
        <w:tcPr>
          <w:tcBorders>
            <w:top w:val="single" w:color="000000" w:sz="4" w:space="0"/>
            <w:left w:val="single" w:color="000000" w:sz="4" w:space="0"/>
            <w:bottom w:val="single" w:color="000000" w:sz="4" w:space="0"/>
            <w:right w:val="single" w:color="000000" w:sz="4" w:space="0"/>
          </w:tcBorders>
          <w:tcW w:w="1884" w:type="dxa"/>
          <w:vAlign w:val="center"/>
          <w:textDirection w:val="lrTb"/>
          <w:noWrap w:val="false"/>
        </w:tcPr>
        <w:p>
          <w:pPr>
            <w:pStyle w:val="1140"/>
            <w:jc w:val="center"/>
          </w:pPr>
          <w:r>
            <w:rPr>
              <w:b/>
              <w:bCs/>
            </w:rPr>
            <w:t xml:space="preserve">IT – 810 - 09</w:t>
          </w:r>
          <w:r/>
        </w:p>
      </w:tc>
    </w:tr>
    <w:tr>
      <w:trPr>
        <w:cantSplit/>
        <w:trHeight w:val="702"/>
      </w:trPr>
      <w:tc>
        <w:tcPr>
          <w:tcBorders>
            <w:top w:val="single" w:color="000000" w:sz="4" w:space="0"/>
            <w:left w:val="single" w:color="000000" w:sz="4" w:space="0"/>
            <w:bottom w:val="single" w:color="000000" w:sz="4" w:space="0"/>
            <w:right w:val="none" w:color="000000" w:sz="0" w:space="0"/>
          </w:tcBorders>
          <w:tcW w:w="1560" w:type="dxa"/>
          <w:vAlign w:val="center"/>
          <w:vMerge w:val="continue"/>
          <w:textDirection w:val="lrTb"/>
          <w:noWrap w:val="false"/>
        </w:tcPr>
        <w:p>
          <w:pPr>
            <w:pStyle w:val="1083"/>
          </w:pPr>
          <w:r/>
          <w:r/>
        </w:p>
      </w:tc>
      <w:tc>
        <w:tcPr>
          <w:tcBorders>
            <w:top w:val="single" w:color="000000" w:sz="4" w:space="0"/>
            <w:left w:val="single" w:color="000000" w:sz="4" w:space="0"/>
            <w:bottom w:val="single" w:color="000000" w:sz="4" w:space="0"/>
            <w:right w:val="none" w:color="000000" w:sz="0" w:space="0"/>
          </w:tcBorders>
          <w:tcW w:w="2905" w:type="dxa"/>
          <w:vAlign w:val="center"/>
          <w:vMerge w:val="continue"/>
          <w:textDirection w:val="lrTb"/>
          <w:noWrap w:val="false"/>
        </w:tcPr>
        <w:p>
          <w:pPr>
            <w:pStyle w:val="1083"/>
          </w:pPr>
          <w:r/>
          <w:r/>
        </w:p>
      </w:tc>
      <w:tc>
        <w:tcPr>
          <w:tcBorders>
            <w:top w:val="single" w:color="000000" w:sz="4" w:space="0"/>
            <w:left w:val="single" w:color="000000" w:sz="4" w:space="0"/>
            <w:bottom w:val="single" w:color="000000" w:sz="4" w:space="0"/>
            <w:right w:val="none" w:color="000000" w:sz="0" w:space="0"/>
          </w:tcBorders>
          <w:tcW w:w="4050" w:type="dxa"/>
          <w:vAlign w:val="center"/>
          <w:vMerge w:val="continue"/>
          <w:textDirection w:val="lrTb"/>
          <w:noWrap w:val="false"/>
        </w:tcPr>
        <w:p>
          <w:pPr>
            <w:pStyle w:val="1083"/>
          </w:pPr>
          <w:r/>
          <w:r/>
        </w:p>
      </w:tc>
      <w:tc>
        <w:tcPr>
          <w:tcBorders>
            <w:top w:val="single" w:color="000000" w:sz="4" w:space="0"/>
            <w:left w:val="single" w:color="000000" w:sz="4" w:space="0"/>
            <w:bottom w:val="single" w:color="000000" w:sz="4" w:space="0"/>
            <w:right w:val="single" w:color="000000" w:sz="4" w:space="0"/>
          </w:tcBorders>
          <w:tcW w:w="1884" w:type="dxa"/>
          <w:vAlign w:val="center"/>
          <w:textDirection w:val="lrTb"/>
          <w:noWrap w:val="false"/>
        </w:tcPr>
        <w:p>
          <w:pPr>
            <w:pStyle w:val="1140"/>
            <w:jc w:val="center"/>
          </w:pPr>
          <w:r>
            <w:rPr>
              <w:b/>
              <w:bCs/>
            </w:rPr>
            <w:t xml:space="preserve">Revisión: 4</w:t>
          </w:r>
          <w:r/>
        </w:p>
      </w:tc>
    </w:tr>
  </w:tbl>
  <w:p>
    <w:pPr>
      <w:pStyle w:val="114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0"/>
      <w:rPr>
        <w:b/>
        <w:bCs/>
        <w:sz w:val="28"/>
      </w:rPr>
    </w:pPr>
    <w:r>
      <mc:AlternateContent>
        <mc:Choice Requires="wpg">
          <w:drawing>
            <wp:inline xmlns:wp="http://schemas.openxmlformats.org/drawingml/2006/wordprocessingDrawing" distT="0" distB="0" distL="0" distR="0">
              <wp:extent cx="752475" cy="638175"/>
              <wp:effectExtent l="0" t="0" r="0" b="0"/>
              <wp:docPr id="2" name="_x0000_i205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p>
    <w:pPr>
      <w:pStyle w:val="1140"/>
      <w:jc w:val="center"/>
      <w:rPr>
        <w:b/>
        <w:bCs/>
        <w:sz w:val="28"/>
      </w:rPr>
    </w:pPr>
    <w:r>
      <w:rPr>
        <w:b/>
        <w:bCs/>
        <w:sz w:val="28"/>
      </w:rPr>
      <w:t xml:space="preserve">Centro de Control Montevideo</w:t>
    </w:r>
    <w:r>
      <w:rPr>
        <w:b/>
        <w:bCs/>
        <w:sz w:val="28"/>
      </w:rPr>
    </w:r>
    <w:r/>
  </w:p>
  <w:p>
    <w:pPr>
      <w:pStyle w:val="1140"/>
      <w:jc w:val="center"/>
      <w:rPr>
        <w:b/>
        <w:bCs/>
      </w:rPr>
    </w:pPr>
    <w:r>
      <w:rPr>
        <w:b/>
        <w:bCs/>
        <w:sz w:val="28"/>
      </w:rPr>
      <w:t xml:space="preserve">ALIJO Y COMPLEMENTO DE CARGA EN ZONA ALFA</w:t>
    </w:r>
    <w:r>
      <w:rPr>
        <w:b/>
        <w:bCs/>
      </w:rPr>
    </w:r>
    <w:r/>
  </w:p>
  <w:p>
    <w:pPr>
      <w:pStyle w:val="1140"/>
      <w:jc w:val="center"/>
    </w:pPr>
    <w:r>
      <w:rPr>
        <w:b/>
        <w:bCs/>
      </w:rPr>
      <w:t xml:space="preserve">IT – 810 - 09</w:t>
    </w:r>
    <w:r/>
  </w:p>
  <w:p>
    <w:pPr>
      <w:pStyle w:val="1083"/>
    </w:pPr>
    <w:r/>
    <w:r/>
  </w:p>
  <w:p>
    <w:pPr>
      <w:pStyle w:val="1083"/>
    </w:pPr>
    <w:r/>
    <w:r/>
  </w:p>
  <w:p>
    <w:pPr>
      <w:pStyle w:val="1083"/>
    </w:pPr>
    <w:r/>
    <w:r/>
  </w:p>
  <w:p>
    <w:pPr>
      <w:pStyle w:val="1083"/>
    </w:pPr>
    <w:r/>
    <w:r/>
  </w:p>
  <w:p>
    <w:pPr>
      <w:pStyle w:val="1140"/>
      <w:jc w:val="center"/>
    </w:pPr>
    <w:r>
      <w:rPr>
        <w:b/>
        <w:bCs/>
      </w:rPr>
      <w:t xml:space="preserve">Revisión: 4</w:t>
    </w:r>
    <w:r/>
  </w:p>
  <w:p>
    <w:pPr>
      <w:pStyle w:val="1083"/>
    </w:pPr>
    <w:r/>
    <w:r/>
  </w:p>
  <w:p>
    <w:pPr>
      <w:pStyle w:val="1140"/>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084"/>
      <w:isLgl w:val="false"/>
      <w:suff w:val="nothing"/>
      <w:lvlText w:val=""/>
      <w:lvlJc w:val="left"/>
      <w:pPr>
        <w:pStyle w:val="1083"/>
        <w:ind w:left="432" w:hanging="432"/>
        <w:tabs>
          <w:tab w:val="num" w:pos="0" w:leader="none"/>
        </w:tabs>
      </w:pPr>
    </w:lvl>
    <w:lvl w:ilvl="1">
      <w:start w:val="1"/>
      <w:numFmt w:val="decimal"/>
      <w:pStyle w:val="1085"/>
      <w:isLgl w:val="false"/>
      <w:suff w:val="nothing"/>
      <w:lvlText w:val=""/>
      <w:lvlJc w:val="left"/>
      <w:pPr>
        <w:pStyle w:val="1083"/>
        <w:ind w:left="576" w:hanging="576"/>
        <w:tabs>
          <w:tab w:val="num" w:pos="0" w:leader="none"/>
        </w:tabs>
      </w:pPr>
    </w:lvl>
    <w:lvl w:ilvl="2">
      <w:start w:val="1"/>
      <w:numFmt w:val="decimal"/>
      <w:pStyle w:val="1086"/>
      <w:isLgl w:val="false"/>
      <w:suff w:val="nothing"/>
      <w:lvlText w:val=""/>
      <w:lvlJc w:val="left"/>
      <w:pPr>
        <w:pStyle w:val="1083"/>
        <w:ind w:left="720" w:hanging="720"/>
        <w:tabs>
          <w:tab w:val="num" w:pos="0" w:leader="none"/>
        </w:tabs>
      </w:pPr>
    </w:lvl>
    <w:lvl w:ilvl="3">
      <w:start w:val="1"/>
      <w:numFmt w:val="decimal"/>
      <w:pStyle w:val="1087"/>
      <w:isLgl w:val="false"/>
      <w:suff w:val="nothing"/>
      <w:lvlText w:val=""/>
      <w:lvlJc w:val="left"/>
      <w:pPr>
        <w:pStyle w:val="1083"/>
        <w:ind w:left="864" w:hanging="864"/>
        <w:tabs>
          <w:tab w:val="num" w:pos="0" w:leader="none"/>
        </w:tabs>
      </w:pPr>
    </w:lvl>
    <w:lvl w:ilvl="4">
      <w:start w:val="1"/>
      <w:numFmt w:val="decimal"/>
      <w:pStyle w:val="1088"/>
      <w:isLgl w:val="false"/>
      <w:suff w:val="nothing"/>
      <w:lvlText w:val=""/>
      <w:lvlJc w:val="left"/>
      <w:pPr>
        <w:pStyle w:val="1083"/>
        <w:ind w:left="1008" w:hanging="1008"/>
        <w:tabs>
          <w:tab w:val="num" w:pos="0" w:leader="none"/>
        </w:tabs>
      </w:pPr>
    </w:lvl>
    <w:lvl w:ilvl="5">
      <w:start w:val="1"/>
      <w:numFmt w:val="decimal"/>
      <w:isLgl w:val="false"/>
      <w:suff w:val="nothing"/>
      <w:lvlText w:val=""/>
      <w:lvlJc w:val="left"/>
      <w:pPr>
        <w:pStyle w:val="1083"/>
        <w:ind w:left="1152" w:hanging="1152"/>
        <w:tabs>
          <w:tab w:val="num" w:pos="1152" w:leader="none"/>
        </w:tabs>
      </w:pPr>
    </w:lvl>
    <w:lvl w:ilvl="6">
      <w:start w:val="1"/>
      <w:numFmt w:val="decimal"/>
      <w:isLgl w:val="false"/>
      <w:suff w:val="nothing"/>
      <w:lvlText w:val=""/>
      <w:lvlJc w:val="left"/>
      <w:pPr>
        <w:pStyle w:val="1083"/>
        <w:ind w:left="1296" w:hanging="1296"/>
        <w:tabs>
          <w:tab w:val="num" w:pos="1296" w:leader="none"/>
        </w:tabs>
      </w:pPr>
    </w:lvl>
    <w:lvl w:ilvl="7">
      <w:start w:val="1"/>
      <w:numFmt w:val="decimal"/>
      <w:isLgl w:val="false"/>
      <w:suff w:val="nothing"/>
      <w:lvlText w:val=""/>
      <w:lvlJc w:val="left"/>
      <w:pPr>
        <w:pStyle w:val="1083"/>
        <w:ind w:left="1440" w:hanging="1440"/>
        <w:tabs>
          <w:tab w:val="num" w:pos="1440" w:leader="none"/>
        </w:tabs>
      </w:pPr>
    </w:lvl>
    <w:lvl w:ilvl="8">
      <w:start w:val="1"/>
      <w:numFmt w:val="decimal"/>
      <w:isLgl w:val="false"/>
      <w:suff w:val="nothing"/>
      <w:lvlText w:val=""/>
      <w:lvlJc w:val="left"/>
      <w:pPr>
        <w:pStyle w:val="1083"/>
        <w:ind w:left="1584" w:hanging="1584"/>
        <w:tabs>
          <w:tab w:val="num" w:pos="1584" w:leader="none"/>
        </w:tabs>
      </w:pPr>
    </w:lvl>
  </w:abstractNum>
  <w:abstractNum w:abstractNumId="1">
    <w:multiLevelType w:val="hybridMultilevel"/>
    <w:lvl w:ilvl="0">
      <w:start w:val="3"/>
      <w:numFmt w:val="decimal"/>
      <w:isLgl w:val="false"/>
      <w:suff w:val="tab"/>
      <w:lvlText w:val="%1."/>
      <w:lvlJc w:val="left"/>
      <w:pPr>
        <w:pStyle w:val="1083"/>
        <w:ind w:left="720" w:hanging="360"/>
        <w:tabs>
          <w:tab w:val="num" w:pos="720" w:leader="none"/>
        </w:tabs>
      </w:pPr>
    </w:lvl>
    <w:lvl w:ilvl="1">
      <w:start w:val="0"/>
      <w:numFmt w:val="decimal"/>
      <w:isLgl w:val="false"/>
      <w:suff w:val="nothing"/>
      <w:lvlText w:val=""/>
      <w:lvlJc w:val="left"/>
      <w:pPr>
        <w:pStyle w:val="1083"/>
        <w:ind w:left="0" w:firstLine="0"/>
        <w:tabs>
          <w:tab w:val="num" w:pos="0" w:leader="none"/>
        </w:tabs>
      </w:pPr>
      <w:rPr>
        <w:sz w:val="24"/>
        <w:szCs w:val="24"/>
      </w:rPr>
    </w:lvl>
    <w:lvl w:ilvl="2">
      <w:start w:val="0"/>
      <w:numFmt w:val="decimal"/>
      <w:isLgl w:val="false"/>
      <w:suff w:val="nothing"/>
      <w:lvlText w:val=""/>
      <w:lvlJc w:val="left"/>
      <w:pPr>
        <w:pStyle w:val="1083"/>
        <w:ind w:left="0" w:firstLine="0"/>
        <w:tabs>
          <w:tab w:val="num" w:pos="0" w:leader="none"/>
        </w:tabs>
      </w:pPr>
    </w:lvl>
    <w:lvl w:ilvl="3">
      <w:start w:val="0"/>
      <w:numFmt w:val="decimal"/>
      <w:isLgl w:val="false"/>
      <w:suff w:val="nothing"/>
      <w:lvlText w:val=""/>
      <w:lvlJc w:val="left"/>
      <w:pPr>
        <w:pStyle w:val="1083"/>
        <w:ind w:left="0" w:firstLine="0"/>
        <w:tabs>
          <w:tab w:val="num" w:pos="0" w:leader="none"/>
        </w:tabs>
      </w:pPr>
    </w:lvl>
    <w:lvl w:ilvl="4">
      <w:start w:val="0"/>
      <w:numFmt w:val="decimal"/>
      <w:isLgl w:val="false"/>
      <w:suff w:val="nothing"/>
      <w:lvlText w:val=""/>
      <w:lvlJc w:val="left"/>
      <w:pPr>
        <w:pStyle w:val="1083"/>
        <w:ind w:left="0" w:firstLine="0"/>
        <w:tabs>
          <w:tab w:val="num" w:pos="0" w:leader="none"/>
        </w:tabs>
      </w:pPr>
    </w:lvl>
    <w:lvl w:ilvl="5">
      <w:start w:val="0"/>
      <w:numFmt w:val="decimal"/>
      <w:isLgl w:val="false"/>
      <w:suff w:val="nothing"/>
      <w:lvlText w:val=""/>
      <w:lvlJc w:val="left"/>
      <w:pPr>
        <w:pStyle w:val="1083"/>
        <w:ind w:left="0" w:firstLine="0"/>
        <w:tabs>
          <w:tab w:val="num" w:pos="0" w:leader="none"/>
        </w:tabs>
      </w:pPr>
    </w:lvl>
    <w:lvl w:ilvl="6">
      <w:start w:val="0"/>
      <w:numFmt w:val="decimal"/>
      <w:isLgl w:val="false"/>
      <w:suff w:val="nothing"/>
      <w:lvlText w:val=""/>
      <w:lvlJc w:val="left"/>
      <w:pPr>
        <w:pStyle w:val="1083"/>
        <w:ind w:left="0" w:firstLine="0"/>
        <w:tabs>
          <w:tab w:val="num" w:pos="0" w:leader="none"/>
        </w:tabs>
      </w:pPr>
    </w:lvl>
    <w:lvl w:ilvl="7">
      <w:start w:val="0"/>
      <w:numFmt w:val="decimal"/>
      <w:isLgl w:val="false"/>
      <w:suff w:val="nothing"/>
      <w:lvlText w:val=""/>
      <w:lvlJc w:val="left"/>
      <w:pPr>
        <w:pStyle w:val="1083"/>
        <w:ind w:left="0" w:firstLine="0"/>
        <w:tabs>
          <w:tab w:val="num" w:pos="0" w:leader="none"/>
        </w:tabs>
      </w:pPr>
    </w:lvl>
    <w:lvl w:ilvl="8">
      <w:start w:val="0"/>
      <w:numFmt w:val="decimal"/>
      <w:isLgl w:val="false"/>
      <w:suff w:val="nothing"/>
      <w:lvlText w:val=""/>
      <w:lvlJc w:val="left"/>
      <w:pPr>
        <w:pStyle w:val="1083"/>
        <w:ind w:left="0" w:firstLine="0"/>
        <w:tabs>
          <w:tab w:val="num" w:pos="0" w:leader="none"/>
        </w:tabs>
      </w:pPr>
    </w:lvl>
  </w:abstractNum>
  <w:abstractNum w:abstractNumId="2">
    <w:multiLevelType w:val="hybridMultilevel"/>
    <w:lvl w:ilvl="0">
      <w:start w:val="1"/>
      <w:numFmt w:val="decimal"/>
      <w:isLgl w:val="false"/>
      <w:suff w:val="tab"/>
      <w:lvlText w:val="%1."/>
      <w:lvlJc w:val="left"/>
      <w:pPr>
        <w:pStyle w:val="1083"/>
        <w:ind w:left="360" w:hanging="360"/>
        <w:tabs>
          <w:tab w:val="num" w:pos="360" w:leader="none"/>
        </w:tabs>
      </w:pPr>
    </w:lvl>
    <w:lvl w:ilvl="1">
      <w:start w:val="2"/>
      <w:numFmt w:val="decimal"/>
      <w:isLgl w:val="false"/>
      <w:suff w:val="tab"/>
      <w:lvlText w:val="%1.%2"/>
      <w:lvlJc w:val="left"/>
      <w:pPr>
        <w:pStyle w:val="1083"/>
        <w:ind w:left="720" w:hanging="360"/>
        <w:tabs>
          <w:tab w:val="num" w:pos="720" w:leader="none"/>
        </w:tabs>
      </w:pPr>
    </w:lvl>
    <w:lvl w:ilvl="2">
      <w:start w:val="1"/>
      <w:numFmt w:val="decimal"/>
      <w:isLgl w:val="false"/>
      <w:suff w:val="tab"/>
      <w:lvlText w:val="%1.%2.%3"/>
      <w:lvlJc w:val="left"/>
      <w:pPr>
        <w:pStyle w:val="1083"/>
        <w:ind w:left="1440" w:hanging="720"/>
        <w:tabs>
          <w:tab w:val="num" w:pos="1440" w:leader="none"/>
        </w:tabs>
      </w:pPr>
    </w:lvl>
    <w:lvl w:ilvl="3">
      <w:start w:val="1"/>
      <w:numFmt w:val="decimal"/>
      <w:isLgl w:val="false"/>
      <w:suff w:val="tab"/>
      <w:lvlText w:val="%1.%2.%3.%4"/>
      <w:lvlJc w:val="left"/>
      <w:pPr>
        <w:pStyle w:val="1083"/>
        <w:ind w:left="1800" w:hanging="720"/>
        <w:tabs>
          <w:tab w:val="num" w:pos="1800" w:leader="none"/>
        </w:tabs>
      </w:pPr>
    </w:lvl>
    <w:lvl w:ilvl="4">
      <w:start w:val="1"/>
      <w:numFmt w:val="decimal"/>
      <w:isLgl w:val="false"/>
      <w:suff w:val="tab"/>
      <w:lvlText w:val="%1.%2.%3.%4.%5"/>
      <w:lvlJc w:val="left"/>
      <w:pPr>
        <w:pStyle w:val="1083"/>
        <w:ind w:left="2520" w:hanging="1080"/>
        <w:tabs>
          <w:tab w:val="num" w:pos="2520" w:leader="none"/>
        </w:tabs>
      </w:pPr>
    </w:lvl>
    <w:lvl w:ilvl="5">
      <w:start w:val="1"/>
      <w:numFmt w:val="decimal"/>
      <w:isLgl w:val="false"/>
      <w:suff w:val="tab"/>
      <w:lvlText w:val="%1.%2.%3.%4.%5.%6"/>
      <w:lvlJc w:val="left"/>
      <w:pPr>
        <w:pStyle w:val="1083"/>
        <w:ind w:left="2880" w:hanging="1080"/>
        <w:tabs>
          <w:tab w:val="num" w:pos="2880" w:leader="none"/>
        </w:tabs>
      </w:pPr>
    </w:lvl>
    <w:lvl w:ilvl="6">
      <w:start w:val="1"/>
      <w:numFmt w:val="decimal"/>
      <w:isLgl w:val="false"/>
      <w:suff w:val="tab"/>
      <w:lvlText w:val="%1.%2.%3.%4.%5.%6.%7"/>
      <w:lvlJc w:val="left"/>
      <w:pPr>
        <w:pStyle w:val="1083"/>
        <w:ind w:left="3600" w:hanging="1440"/>
        <w:tabs>
          <w:tab w:val="num" w:pos="3600" w:leader="none"/>
        </w:tabs>
      </w:pPr>
    </w:lvl>
    <w:lvl w:ilvl="7">
      <w:start w:val="1"/>
      <w:numFmt w:val="decimal"/>
      <w:isLgl w:val="false"/>
      <w:suff w:val="tab"/>
      <w:lvlText w:val="%1.%2.%3.%4.%5.%6.%7.%8"/>
      <w:lvlJc w:val="left"/>
      <w:pPr>
        <w:pStyle w:val="1083"/>
        <w:ind w:left="3960" w:hanging="1440"/>
        <w:tabs>
          <w:tab w:val="num" w:pos="3960" w:leader="none"/>
        </w:tabs>
      </w:pPr>
    </w:lvl>
    <w:lvl w:ilvl="8">
      <w:start w:val="1"/>
      <w:numFmt w:val="decimal"/>
      <w:isLgl w:val="false"/>
      <w:suff w:val="tab"/>
      <w:lvlText w:val="%1.%2.%3.%4.%5.%6.%7.%8.%9"/>
      <w:lvlJc w:val="left"/>
      <w:pPr>
        <w:pStyle w:val="1083"/>
        <w:ind w:left="4680" w:hanging="1800"/>
        <w:tabs>
          <w:tab w:val="num" w:pos="4680" w:leader="none"/>
        </w:tabs>
      </w:pPr>
    </w:lvl>
  </w:abstractNum>
  <w:abstractNum w:abstractNumId="3">
    <w:multiLevelType w:val="hybridMultilevel"/>
    <w:lvl w:ilvl="0">
      <w:start w:val="6"/>
      <w:numFmt w:val="decimal"/>
      <w:isLgl w:val="false"/>
      <w:suff w:val="tab"/>
      <w:lvlText w:val="%1."/>
      <w:lvlJc w:val="left"/>
      <w:pPr>
        <w:pStyle w:val="1083"/>
        <w:ind w:left="720" w:hanging="360"/>
        <w:tabs>
          <w:tab w:val="num" w:pos="720" w:leader="none"/>
        </w:tabs>
      </w:pPr>
    </w:lvl>
    <w:lvl w:ilvl="1">
      <w:start w:val="4"/>
      <w:numFmt w:val="decimal"/>
      <w:isLgl w:val="false"/>
      <w:suff w:val="tab"/>
      <w:lvlText w:val="%1.%2."/>
      <w:lvlJc w:val="left"/>
      <w:pPr>
        <w:pStyle w:val="1083"/>
        <w:ind w:left="1080" w:hanging="360"/>
        <w:tabs>
          <w:tab w:val="num" w:pos="1080" w:leader="none"/>
        </w:tabs>
      </w:pPr>
    </w:lvl>
    <w:lvl w:ilvl="2">
      <w:start w:val="2"/>
      <w:numFmt w:val="decimal"/>
      <w:isLgl w:val="false"/>
      <w:suff w:val="tab"/>
      <w:lvlText w:val="%1.%2.%3"/>
      <w:lvlJc w:val="left"/>
      <w:pPr>
        <w:pStyle w:val="1083"/>
        <w:ind w:left="1440" w:hanging="360"/>
        <w:tabs>
          <w:tab w:val="num" w:pos="1440" w:leader="none"/>
        </w:tabs>
      </w:pPr>
      <w:rPr>
        <w:b w:val="0"/>
        <w:lang w:val="es-MX"/>
      </w:rPr>
    </w:lvl>
    <w:lvl w:ilvl="3">
      <w:start w:val="1"/>
      <w:numFmt w:val="decimal"/>
      <w:isLgl w:val="false"/>
      <w:suff w:val="tab"/>
      <w:lvlText w:val="%1.%2.%3.%4."/>
      <w:lvlJc w:val="left"/>
      <w:pPr>
        <w:pStyle w:val="1083"/>
        <w:ind w:left="1800" w:hanging="360"/>
        <w:tabs>
          <w:tab w:val="num" w:pos="1800" w:leader="none"/>
        </w:tabs>
      </w:pPr>
    </w:lvl>
    <w:lvl w:ilvl="4">
      <w:start w:val="1"/>
      <w:numFmt w:val="decimal"/>
      <w:isLgl w:val="false"/>
      <w:suff w:val="tab"/>
      <w:lvlText w:val="%1.%2.%3.%4.%5."/>
      <w:lvlJc w:val="left"/>
      <w:pPr>
        <w:pStyle w:val="1083"/>
        <w:ind w:left="2160" w:hanging="360"/>
        <w:tabs>
          <w:tab w:val="num" w:pos="2160" w:leader="none"/>
        </w:tabs>
      </w:pPr>
    </w:lvl>
    <w:lvl w:ilvl="5">
      <w:start w:val="1"/>
      <w:numFmt w:val="decimal"/>
      <w:isLgl w:val="false"/>
      <w:suff w:val="tab"/>
      <w:lvlText w:val="%1.%2.%3.%4.%5.%6."/>
      <w:lvlJc w:val="left"/>
      <w:pPr>
        <w:pStyle w:val="1083"/>
        <w:ind w:left="2520" w:hanging="360"/>
        <w:tabs>
          <w:tab w:val="num" w:pos="2520" w:leader="none"/>
        </w:tabs>
      </w:pPr>
    </w:lvl>
    <w:lvl w:ilvl="6">
      <w:start w:val="1"/>
      <w:numFmt w:val="decimal"/>
      <w:isLgl w:val="false"/>
      <w:suff w:val="tab"/>
      <w:lvlText w:val="%1.%2.%3.%4.%5.%6.%7."/>
      <w:lvlJc w:val="left"/>
      <w:pPr>
        <w:pStyle w:val="1083"/>
        <w:ind w:left="2880" w:hanging="360"/>
        <w:tabs>
          <w:tab w:val="num" w:pos="2880" w:leader="none"/>
        </w:tabs>
      </w:pPr>
    </w:lvl>
    <w:lvl w:ilvl="7">
      <w:start w:val="1"/>
      <w:numFmt w:val="decimal"/>
      <w:isLgl w:val="false"/>
      <w:suff w:val="tab"/>
      <w:lvlText w:val="%1.%2.%3.%4.%5.%6.%7.%8."/>
      <w:lvlJc w:val="left"/>
      <w:pPr>
        <w:pStyle w:val="1083"/>
        <w:ind w:left="3240" w:hanging="360"/>
        <w:tabs>
          <w:tab w:val="num" w:pos="3240" w:leader="none"/>
        </w:tabs>
      </w:pPr>
    </w:lvl>
    <w:lvl w:ilvl="8">
      <w:start w:val="1"/>
      <w:numFmt w:val="decimal"/>
      <w:isLgl w:val="false"/>
      <w:suff w:val="tab"/>
      <w:lvlText w:val="%1.%2.%3.%4.%5.%6.%7.%8.%9."/>
      <w:lvlJc w:val="left"/>
      <w:pPr>
        <w:pStyle w:val="1083"/>
        <w:ind w:left="3600" w:hanging="360"/>
        <w:tabs>
          <w:tab w:val="num" w:pos="3600" w:leader="none"/>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1083"/>
    <w:next w:val="1083"/>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1083"/>
    <w:next w:val="1083"/>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1083"/>
    <w:next w:val="1083"/>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1083"/>
    <w:next w:val="1083"/>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1083"/>
    <w:next w:val="1083"/>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1083"/>
    <w:next w:val="1083"/>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1083"/>
    <w:next w:val="1083"/>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1083"/>
    <w:next w:val="1083"/>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1083"/>
    <w:next w:val="1083"/>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1">
    <w:name w:val="List Paragraph"/>
    <w:basedOn w:val="1083"/>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1083"/>
    <w:next w:val="1083"/>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1083"/>
    <w:next w:val="1083"/>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1083"/>
    <w:next w:val="1083"/>
    <w:link w:val="39"/>
    <w:uiPriority w:val="29"/>
    <w:qFormat/>
    <w:pPr>
      <w:ind w:left="720" w:right="720"/>
    </w:pPr>
    <w:rPr>
      <w:i/>
    </w:rPr>
  </w:style>
  <w:style w:type="character" w:styleId="39">
    <w:name w:val="Quote Char"/>
    <w:link w:val="38"/>
    <w:uiPriority w:val="29"/>
    <w:rPr>
      <w:i/>
    </w:rPr>
  </w:style>
  <w:style w:type="paragraph" w:styleId="40">
    <w:name w:val="Intense Quote"/>
    <w:basedOn w:val="1083"/>
    <w:next w:val="1083"/>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1083"/>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1083"/>
    <w:link w:val="47"/>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1083"/>
    <w:next w:val="1083"/>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8">
    <w:name w:val="Table Grid"/>
    <w:basedOn w:val="1082"/>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108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108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108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108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108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108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108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108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108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108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108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108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108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108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108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108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108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108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108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108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108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108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108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108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108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108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108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108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108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108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108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108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108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108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108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108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108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108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108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108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108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108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108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108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108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108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108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108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108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108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108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108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108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108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108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108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108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108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108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108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108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108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108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108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108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108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108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108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108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108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108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108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108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108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108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108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108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108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108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108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108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108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108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108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108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108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108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108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108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108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108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108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108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108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108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108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108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108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108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108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1082"/>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108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1082"/>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1082"/>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1082"/>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1082"/>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1082"/>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108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108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108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108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108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108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108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108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1083"/>
    <w:next w:val="1083"/>
    <w:uiPriority w:val="39"/>
    <w:unhideWhenUsed/>
    <w:pPr>
      <w:ind w:left="0" w:right="0" w:firstLine="0"/>
      <w:spacing w:after="57"/>
    </w:pPr>
  </w:style>
  <w:style w:type="paragraph" w:styleId="182">
    <w:name w:val="toc 2"/>
    <w:basedOn w:val="1083"/>
    <w:next w:val="1083"/>
    <w:uiPriority w:val="39"/>
    <w:unhideWhenUsed/>
    <w:pPr>
      <w:ind w:left="283" w:right="0" w:firstLine="0"/>
      <w:spacing w:after="57"/>
    </w:pPr>
  </w:style>
  <w:style w:type="paragraph" w:styleId="183">
    <w:name w:val="toc 3"/>
    <w:basedOn w:val="1083"/>
    <w:next w:val="1083"/>
    <w:uiPriority w:val="39"/>
    <w:unhideWhenUsed/>
    <w:pPr>
      <w:ind w:left="567" w:right="0" w:firstLine="0"/>
      <w:spacing w:after="57"/>
    </w:pPr>
  </w:style>
  <w:style w:type="paragraph" w:styleId="184">
    <w:name w:val="toc 4"/>
    <w:basedOn w:val="1083"/>
    <w:next w:val="1083"/>
    <w:uiPriority w:val="39"/>
    <w:unhideWhenUsed/>
    <w:pPr>
      <w:ind w:left="850" w:right="0" w:firstLine="0"/>
      <w:spacing w:after="57"/>
    </w:pPr>
  </w:style>
  <w:style w:type="paragraph" w:styleId="185">
    <w:name w:val="toc 5"/>
    <w:basedOn w:val="1083"/>
    <w:next w:val="1083"/>
    <w:uiPriority w:val="39"/>
    <w:unhideWhenUsed/>
    <w:pPr>
      <w:ind w:left="1134" w:right="0" w:firstLine="0"/>
      <w:spacing w:after="57"/>
    </w:pPr>
  </w:style>
  <w:style w:type="paragraph" w:styleId="186">
    <w:name w:val="toc 6"/>
    <w:basedOn w:val="1083"/>
    <w:next w:val="1083"/>
    <w:uiPriority w:val="39"/>
    <w:unhideWhenUsed/>
    <w:pPr>
      <w:ind w:left="1417" w:right="0" w:firstLine="0"/>
      <w:spacing w:after="57"/>
    </w:pPr>
  </w:style>
  <w:style w:type="paragraph" w:styleId="187">
    <w:name w:val="toc 7"/>
    <w:basedOn w:val="1083"/>
    <w:next w:val="1083"/>
    <w:uiPriority w:val="39"/>
    <w:unhideWhenUsed/>
    <w:pPr>
      <w:ind w:left="1701" w:right="0" w:firstLine="0"/>
      <w:spacing w:after="57"/>
    </w:pPr>
  </w:style>
  <w:style w:type="paragraph" w:styleId="188">
    <w:name w:val="toc 8"/>
    <w:basedOn w:val="1083"/>
    <w:next w:val="1083"/>
    <w:uiPriority w:val="39"/>
    <w:unhideWhenUsed/>
    <w:pPr>
      <w:ind w:left="1984" w:right="0" w:firstLine="0"/>
      <w:spacing w:after="57"/>
    </w:pPr>
  </w:style>
  <w:style w:type="paragraph" w:styleId="189">
    <w:name w:val="toc 9"/>
    <w:basedOn w:val="1083"/>
    <w:next w:val="1083"/>
    <w:uiPriority w:val="39"/>
    <w:unhideWhenUsed/>
    <w:pPr>
      <w:ind w:left="2268" w:right="0" w:firstLine="0"/>
      <w:spacing w:after="57"/>
    </w:pPr>
  </w:style>
  <w:style w:type="paragraph" w:styleId="190">
    <w:name w:val="TOC Heading"/>
    <w:uiPriority w:val="39"/>
    <w:unhideWhenUsed/>
  </w:style>
  <w:style w:type="paragraph" w:styleId="191">
    <w:name w:val="table of figures"/>
    <w:basedOn w:val="1083"/>
    <w:next w:val="1083"/>
    <w:uiPriority w:val="99"/>
    <w:unhideWhenUsed/>
    <w:pPr>
      <w:spacing w:after="0" w:afterAutospacing="0"/>
    </w:pPr>
  </w:style>
  <w:style w:type="table" w:styleId="1082" w:default="1">
    <w:name w:val="Normal Table"/>
    <w:uiPriority w:val="99"/>
    <w:semiHidden/>
    <w:unhideWhenUsed/>
    <w:qFormat/>
    <w:tblPr>
      <w:tblInd w:w="0" w:type="dxa"/>
      <w:tblCellMar>
        <w:left w:w="108" w:type="dxa"/>
        <w:top w:w="0" w:type="dxa"/>
        <w:right w:w="108" w:type="dxa"/>
        <w:bottom w:w="0" w:type="dxa"/>
      </w:tblCellMar>
    </w:tblPr>
  </w:style>
  <w:style w:type="paragraph" w:styleId="1083" w:default="1">
    <w:name w:val="Normal"/>
    <w:next w:val="1083"/>
    <w:link w:val="1083"/>
    <w:pPr>
      <w:widowControl/>
    </w:pPr>
    <w:rPr>
      <w:rFonts w:ascii="Times New Roman" w:hAnsi="Times New Roman" w:eastAsia="Times New Roman" w:cs="Times New Roman"/>
      <w:color w:val="auto"/>
      <w:sz w:val="20"/>
      <w:szCs w:val="20"/>
      <w:lang w:val="es-ES" w:eastAsia="zh-CN" w:bidi="ar-SA"/>
    </w:rPr>
  </w:style>
  <w:style w:type="paragraph" w:styleId="1084">
    <w:name w:val="Encabezado 1"/>
    <w:basedOn w:val="1083"/>
    <w:next w:val="1083"/>
    <w:link w:val="1083"/>
    <w:pPr>
      <w:numPr>
        <w:ilvl w:val="0"/>
        <w:numId w:val="1"/>
      </w:numPr>
      <w:jc w:val="center"/>
      <w:keepNext/>
      <w:outlineLvl w:val="0"/>
    </w:pPr>
    <w:rPr>
      <w:sz w:val="24"/>
    </w:rPr>
  </w:style>
  <w:style w:type="paragraph" w:styleId="1085">
    <w:name w:val="Encabezado 2"/>
    <w:basedOn w:val="1083"/>
    <w:next w:val="1083"/>
    <w:link w:val="1083"/>
    <w:pPr>
      <w:numPr>
        <w:ilvl w:val="1"/>
        <w:numId w:val="1"/>
      </w:numPr>
      <w:jc w:val="both"/>
      <w:keepNext/>
      <w:spacing w:line="320" w:lineRule="exact"/>
      <w:outlineLvl w:val="1"/>
    </w:pPr>
    <w:rPr>
      <w:sz w:val="24"/>
    </w:rPr>
  </w:style>
  <w:style w:type="paragraph" w:styleId="1086">
    <w:name w:val="Encabezado 3"/>
    <w:basedOn w:val="1083"/>
    <w:next w:val="1083"/>
    <w:link w:val="1083"/>
    <w:pPr>
      <w:numPr>
        <w:ilvl w:val="2"/>
        <w:numId w:val="1"/>
      </w:numPr>
      <w:ind w:left="284" w:right="0" w:firstLine="0"/>
      <w:jc w:val="both"/>
      <w:keepNext/>
      <w:spacing w:before="0" w:after="120"/>
      <w:outlineLvl w:val="2"/>
    </w:pPr>
    <w:rPr>
      <w:sz w:val="24"/>
    </w:rPr>
  </w:style>
  <w:style w:type="paragraph" w:styleId="1087">
    <w:name w:val="Encabezado 4"/>
    <w:basedOn w:val="1083"/>
    <w:next w:val="1083"/>
    <w:link w:val="1083"/>
    <w:pPr>
      <w:numPr>
        <w:ilvl w:val="3"/>
        <w:numId w:val="1"/>
      </w:numPr>
      <w:ind w:left="357" w:right="0" w:firstLine="0"/>
      <w:jc w:val="both"/>
      <w:keepNext/>
      <w:spacing w:line="340" w:lineRule="exact"/>
      <w:outlineLvl w:val="3"/>
    </w:pPr>
    <w:rPr>
      <w:sz w:val="24"/>
    </w:rPr>
  </w:style>
  <w:style w:type="paragraph" w:styleId="1088">
    <w:name w:val="Encabezado 5"/>
    <w:basedOn w:val="1083"/>
    <w:next w:val="1083"/>
    <w:pPr>
      <w:numPr>
        <w:ilvl w:val="4"/>
        <w:numId w:val="1"/>
      </w:numPr>
      <w:ind w:left="0" w:right="0" w:firstLine="357"/>
      <w:jc w:val="both"/>
      <w:keepNext/>
      <w:outlineLvl w:val="4"/>
    </w:pPr>
    <w:rPr>
      <w:sz w:val="24"/>
    </w:rPr>
  </w:style>
  <w:style w:type="character" w:styleId="1089">
    <w:name w:val="WW8Num1z0"/>
    <w:next w:val="1089"/>
    <w:link w:val="1083"/>
  </w:style>
  <w:style w:type="character" w:styleId="1090">
    <w:name w:val="WW8Num1z1"/>
    <w:next w:val="1090"/>
    <w:link w:val="1083"/>
  </w:style>
  <w:style w:type="character" w:styleId="1091">
    <w:name w:val="WW8Num1z2"/>
    <w:next w:val="1091"/>
    <w:link w:val="1083"/>
  </w:style>
  <w:style w:type="character" w:styleId="1092">
    <w:name w:val="WW8Num1z3"/>
    <w:next w:val="1092"/>
    <w:link w:val="1083"/>
  </w:style>
  <w:style w:type="character" w:styleId="1093">
    <w:name w:val="WW8Num1z4"/>
    <w:next w:val="1093"/>
    <w:link w:val="1083"/>
  </w:style>
  <w:style w:type="character" w:styleId="1094">
    <w:name w:val="WW8Num1z5"/>
    <w:next w:val="1094"/>
    <w:link w:val="1083"/>
  </w:style>
  <w:style w:type="character" w:styleId="1095">
    <w:name w:val="WW8Num1z6"/>
    <w:next w:val="1095"/>
    <w:link w:val="1083"/>
  </w:style>
  <w:style w:type="character" w:styleId="1096">
    <w:name w:val="WW8Num1z7"/>
    <w:next w:val="1096"/>
    <w:link w:val="1083"/>
  </w:style>
  <w:style w:type="character" w:styleId="1097">
    <w:name w:val="WW8Num1z8"/>
    <w:next w:val="1097"/>
    <w:link w:val="1083"/>
  </w:style>
  <w:style w:type="character" w:styleId="1098">
    <w:name w:val="WW8Num2z0"/>
    <w:next w:val="1098"/>
    <w:link w:val="1083"/>
  </w:style>
  <w:style w:type="character" w:styleId="1099">
    <w:name w:val="WW8Num2z1"/>
    <w:next w:val="1099"/>
    <w:link w:val="1083"/>
    <w:rPr>
      <w:sz w:val="24"/>
      <w:szCs w:val="24"/>
    </w:rPr>
  </w:style>
  <w:style w:type="character" w:styleId="1100">
    <w:name w:val="WW8Num2z2"/>
    <w:next w:val="1100"/>
    <w:link w:val="1083"/>
  </w:style>
  <w:style w:type="character" w:styleId="1101">
    <w:name w:val="WW8Num2z3"/>
    <w:next w:val="1101"/>
    <w:link w:val="1083"/>
  </w:style>
  <w:style w:type="character" w:styleId="1102">
    <w:name w:val="WW8Num2z4"/>
    <w:next w:val="1102"/>
  </w:style>
  <w:style w:type="character" w:styleId="1103">
    <w:name w:val="WW8Num2z5"/>
    <w:next w:val="1103"/>
    <w:link w:val="1083"/>
  </w:style>
  <w:style w:type="character" w:styleId="1104">
    <w:name w:val="WW8Num2z6"/>
    <w:next w:val="1104"/>
    <w:link w:val="1083"/>
  </w:style>
  <w:style w:type="character" w:styleId="1105">
    <w:name w:val="WW8Num2z7"/>
    <w:next w:val="1105"/>
    <w:link w:val="1083"/>
  </w:style>
  <w:style w:type="character" w:styleId="1106">
    <w:name w:val="WW8Num2z8"/>
    <w:next w:val="1106"/>
    <w:link w:val="1083"/>
  </w:style>
  <w:style w:type="character" w:styleId="1107">
    <w:name w:val="WW8Num3z0"/>
    <w:next w:val="1107"/>
    <w:link w:val="1083"/>
  </w:style>
  <w:style w:type="character" w:styleId="1108">
    <w:name w:val="WW8Num3z1"/>
    <w:next w:val="1108"/>
    <w:link w:val="1083"/>
  </w:style>
  <w:style w:type="character" w:styleId="1109">
    <w:name w:val="WW8Num3z2"/>
    <w:next w:val="1109"/>
    <w:link w:val="1083"/>
  </w:style>
  <w:style w:type="character" w:styleId="1110">
    <w:name w:val="WW8Num3z3"/>
    <w:next w:val="1110"/>
    <w:link w:val="1083"/>
  </w:style>
  <w:style w:type="character" w:styleId="1111">
    <w:name w:val="WW8Num3z4"/>
    <w:next w:val="1111"/>
    <w:link w:val="1083"/>
  </w:style>
  <w:style w:type="character" w:styleId="1112">
    <w:name w:val="WW8Num3z5"/>
    <w:next w:val="1112"/>
    <w:link w:val="1083"/>
  </w:style>
  <w:style w:type="character" w:styleId="1113">
    <w:name w:val="WW8Num3z6"/>
    <w:next w:val="1113"/>
    <w:link w:val="1083"/>
  </w:style>
  <w:style w:type="character" w:styleId="1114">
    <w:name w:val="WW8Num3z7"/>
    <w:next w:val="1114"/>
    <w:link w:val="1083"/>
  </w:style>
  <w:style w:type="character" w:styleId="1115">
    <w:name w:val="WW8Num3z8"/>
    <w:next w:val="1115"/>
    <w:link w:val="1083"/>
  </w:style>
  <w:style w:type="character" w:styleId="1116">
    <w:name w:val="WW8Num4z0"/>
    <w:next w:val="1116"/>
    <w:link w:val="1083"/>
  </w:style>
  <w:style w:type="character" w:styleId="1117">
    <w:name w:val="WW8Num4z1"/>
    <w:next w:val="1117"/>
    <w:link w:val="1083"/>
  </w:style>
  <w:style w:type="character" w:styleId="1118">
    <w:name w:val="WW8Num4z2"/>
    <w:next w:val="1118"/>
    <w:link w:val="1083"/>
    <w:rPr>
      <w:lang w:val="es-MX"/>
    </w:rPr>
  </w:style>
  <w:style w:type="character" w:styleId="1119">
    <w:name w:val="WW8Num4z3"/>
    <w:next w:val="1119"/>
    <w:link w:val="1083"/>
  </w:style>
  <w:style w:type="character" w:styleId="1120">
    <w:name w:val="WW8Num4z4"/>
    <w:next w:val="1120"/>
    <w:link w:val="1083"/>
  </w:style>
  <w:style w:type="character" w:styleId="1121">
    <w:name w:val="WW8Num4z5"/>
    <w:next w:val="1121"/>
    <w:link w:val="1083"/>
  </w:style>
  <w:style w:type="character" w:styleId="1122">
    <w:name w:val="WW8Num4z6"/>
    <w:next w:val="1122"/>
    <w:link w:val="1083"/>
  </w:style>
  <w:style w:type="character" w:styleId="1123">
    <w:name w:val="WW8Num4z7"/>
    <w:next w:val="1123"/>
    <w:link w:val="1083"/>
  </w:style>
  <w:style w:type="character" w:styleId="1124">
    <w:name w:val="WW8Num4z8"/>
    <w:next w:val="1124"/>
  </w:style>
  <w:style w:type="character" w:styleId="1125">
    <w:name w:val="Fuente de párrafo predeter."/>
    <w:next w:val="1125"/>
    <w:link w:val="1083"/>
  </w:style>
  <w:style w:type="character" w:styleId="1126">
    <w:name w:val="Absatz-Standardschriftart"/>
    <w:next w:val="1126"/>
    <w:link w:val="1083"/>
  </w:style>
  <w:style w:type="character" w:styleId="1127">
    <w:name w:val="WW-Absatz-Standardschriftart"/>
    <w:next w:val="1127"/>
    <w:link w:val="1083"/>
  </w:style>
  <w:style w:type="character" w:styleId="1128">
    <w:name w:val="WW8Num7z0"/>
    <w:next w:val="1128"/>
    <w:link w:val="1083"/>
    <w:rPr>
      <w:b w:val="0"/>
      <w:sz w:val="20"/>
    </w:rPr>
  </w:style>
  <w:style w:type="character" w:styleId="1129">
    <w:name w:val="WW8Num9z0"/>
    <w:next w:val="1129"/>
    <w:link w:val="1083"/>
    <w:rPr>
      <w:rFonts w:ascii="Wingdings" w:hAnsi="Wingdings" w:cs="Wingdings"/>
    </w:rPr>
  </w:style>
  <w:style w:type="character" w:styleId="1130">
    <w:name w:val="Fuente de párrafo predeter.1"/>
    <w:next w:val="1130"/>
    <w:link w:val="1083"/>
  </w:style>
  <w:style w:type="character" w:styleId="1131">
    <w:name w:val="Número de página"/>
    <w:basedOn w:val="1130"/>
    <w:next w:val="1131"/>
    <w:link w:val="1083"/>
  </w:style>
  <w:style w:type="character" w:styleId="1132">
    <w:name w:val="Texto de globo Car"/>
    <w:next w:val="1132"/>
    <w:link w:val="1083"/>
    <w:rPr>
      <w:rFonts w:ascii="Tahoma" w:hAnsi="Tahoma" w:cs="Tahoma"/>
      <w:sz w:val="16"/>
      <w:szCs w:val="16"/>
    </w:rPr>
  </w:style>
  <w:style w:type="character" w:styleId="1133">
    <w:name w:val="Símbolos de numeración"/>
    <w:next w:val="1133"/>
    <w:link w:val="1083"/>
  </w:style>
  <w:style w:type="paragraph" w:styleId="1134">
    <w:name w:val="Encabezado"/>
    <w:basedOn w:val="1083"/>
    <w:next w:val="1135"/>
    <w:link w:val="1083"/>
    <w:pPr>
      <w:keepNext/>
      <w:spacing w:before="240" w:after="120"/>
    </w:pPr>
    <w:rPr>
      <w:rFonts w:ascii="Arial" w:hAnsi="Arial" w:eastAsia="Microsoft YaHei" w:cs="Arial"/>
      <w:sz w:val="28"/>
      <w:szCs w:val="28"/>
    </w:rPr>
  </w:style>
  <w:style w:type="paragraph" w:styleId="1135">
    <w:name w:val="Cuerpo de texto"/>
    <w:basedOn w:val="1083"/>
    <w:next w:val="1135"/>
    <w:link w:val="1083"/>
    <w:pPr>
      <w:spacing w:before="0" w:after="120"/>
    </w:pPr>
  </w:style>
  <w:style w:type="paragraph" w:styleId="1136">
    <w:name w:val="Lista"/>
    <w:basedOn w:val="1135"/>
    <w:next w:val="1136"/>
    <w:link w:val="1083"/>
    <w:rPr>
      <w:rFonts w:cs="Tahoma"/>
    </w:rPr>
  </w:style>
  <w:style w:type="paragraph" w:styleId="1137">
    <w:name w:val="Etiqueta"/>
    <w:basedOn w:val="1083"/>
    <w:next w:val="1137"/>
    <w:link w:val="1083"/>
    <w:pPr>
      <w:spacing w:before="120" w:after="120"/>
      <w:suppressLineNumbers/>
    </w:pPr>
    <w:rPr>
      <w:rFonts w:cs="Tahoma"/>
      <w:i/>
      <w:iCs/>
      <w:sz w:val="24"/>
      <w:szCs w:val="24"/>
    </w:rPr>
  </w:style>
  <w:style w:type="paragraph" w:styleId="1138">
    <w:name w:val="Índice"/>
    <w:basedOn w:val="1083"/>
    <w:next w:val="1138"/>
    <w:link w:val="1083"/>
    <w:pPr>
      <w:suppressLineNumbers/>
    </w:pPr>
    <w:rPr>
      <w:rFonts w:cs="Tahoma"/>
    </w:rPr>
  </w:style>
  <w:style w:type="paragraph" w:styleId="1139">
    <w:name w:val="Encabezado1"/>
    <w:basedOn w:val="1083"/>
    <w:next w:val="1135"/>
    <w:link w:val="1083"/>
    <w:pPr>
      <w:keepNext/>
      <w:spacing w:before="240" w:after="120"/>
    </w:pPr>
    <w:rPr>
      <w:rFonts w:ascii="Arial" w:hAnsi="Arial" w:eastAsia="Lucida Sans Unicode" w:cs="Tahoma"/>
      <w:sz w:val="28"/>
      <w:szCs w:val="28"/>
    </w:rPr>
  </w:style>
  <w:style w:type="paragraph" w:styleId="1140">
    <w:name w:val="Encabezamiento"/>
    <w:basedOn w:val="1083"/>
    <w:next w:val="1140"/>
    <w:link w:val="1083"/>
    <w:pPr>
      <w:tabs>
        <w:tab w:val="center" w:pos="4419" w:leader="none"/>
        <w:tab w:val="right" w:pos="8838" w:leader="none"/>
      </w:tabs>
    </w:pPr>
  </w:style>
  <w:style w:type="paragraph" w:styleId="1141">
    <w:name w:val="Pie de página"/>
    <w:basedOn w:val="1083"/>
    <w:next w:val="1141"/>
    <w:link w:val="1083"/>
    <w:pPr>
      <w:tabs>
        <w:tab w:val="center" w:pos="4419" w:leader="none"/>
        <w:tab w:val="right" w:pos="8838" w:leader="none"/>
      </w:tabs>
    </w:pPr>
  </w:style>
  <w:style w:type="paragraph" w:styleId="1142">
    <w:name w:val="Texto independiente 31"/>
    <w:basedOn w:val="1083"/>
    <w:next w:val="1142"/>
    <w:link w:val="1083"/>
    <w:pPr>
      <w:jc w:val="both"/>
      <w:widowControl w:val="off"/>
    </w:pPr>
    <w:rPr>
      <w:sz w:val="24"/>
      <w:lang w:val="es-ES_tradnl"/>
    </w:rPr>
  </w:style>
  <w:style w:type="paragraph" w:styleId="1143">
    <w:name w:val="Texto independiente 21"/>
    <w:basedOn w:val="1083"/>
    <w:next w:val="1143"/>
    <w:link w:val="1083"/>
    <w:pPr>
      <w:spacing w:before="0" w:after="120" w:line="480" w:lineRule="auto"/>
    </w:pPr>
  </w:style>
  <w:style w:type="paragraph" w:styleId="1144">
    <w:name w:val="Sangría 3 de t. independiente1"/>
    <w:basedOn w:val="1083"/>
    <w:next w:val="1144"/>
    <w:link w:val="1083"/>
    <w:pPr>
      <w:ind w:left="283" w:right="0" w:firstLine="0"/>
      <w:spacing w:before="0" w:after="120"/>
    </w:pPr>
    <w:rPr>
      <w:sz w:val="16"/>
      <w:szCs w:val="16"/>
    </w:rPr>
  </w:style>
  <w:style w:type="paragraph" w:styleId="1145">
    <w:name w:val="Contenido de la tabla"/>
    <w:basedOn w:val="1135"/>
    <w:next w:val="1145"/>
    <w:link w:val="1083"/>
    <w:pPr>
      <w:widowControl w:val="off"/>
    </w:pPr>
    <w:rPr>
      <w:sz w:val="24"/>
      <w:lang w:val="es-ES_tradnl"/>
    </w:rPr>
  </w:style>
  <w:style w:type="paragraph" w:styleId="1146">
    <w:name w:val="Encabezado de la tabla"/>
    <w:basedOn w:val="1145"/>
    <w:next w:val="1146"/>
    <w:link w:val="1083"/>
    <w:pPr>
      <w:jc w:val="center"/>
    </w:pPr>
    <w:rPr>
      <w:b/>
      <w:i/>
    </w:rPr>
  </w:style>
  <w:style w:type="paragraph" w:styleId="1147">
    <w:name w:val="Texto de globo"/>
    <w:basedOn w:val="1083"/>
    <w:next w:val="1147"/>
    <w:link w:val="1083"/>
    <w:rPr>
      <w:rFonts w:ascii="Tahoma" w:hAnsi="Tahoma" w:cs="Tahoma"/>
      <w:sz w:val="16"/>
      <w:szCs w:val="16"/>
      <w:lang w:val="en-US"/>
    </w:rPr>
  </w:style>
  <w:style w:type="character" w:styleId="1541" w:default="1">
    <w:name w:val="Default Paragraph Font"/>
    <w:uiPriority w:val="1"/>
    <w:semiHidden/>
    <w:unhideWhenUsed/>
  </w:style>
  <w:style w:type="numbering" w:styleId="1542"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2.jpg"/></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OMI</dc:creator>
  <cp:revision>5</cp:revision>
  <dcterms:created xsi:type="dcterms:W3CDTF">2021-09-14T15:50:00Z</dcterms:created>
  <dcterms:modified xsi:type="dcterms:W3CDTF">2025-10-16T15:45:21Z</dcterms:modified>
</cp:coreProperties>
</file>