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098"/>
        <w:numPr>
          <w:ilvl w:val="0"/>
          <w:numId w:val="3"/>
        </w:numPr>
        <w:ind w:left="357" w:hanging="357"/>
        <w:jc w:val="both"/>
        <w:spacing w:before="120" w:after="120" w:line="360" w:lineRule="auto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OBJETIVO</w:t>
      </w:r>
      <w:r/>
    </w:p>
    <w:p>
      <w:pPr>
        <w:pStyle w:val="1122"/>
        <w:ind w:left="357"/>
        <w:spacing w:line="360" w:lineRule="auto"/>
      </w:pPr>
      <w:r>
        <w:t xml:space="preserve">Establecer el procedimiento de diseño y desarrollo ante </w:t>
      </w:r>
      <w:r>
        <w:rPr>
          <w:color w:val="000000"/>
          <w:szCs w:val="24"/>
        </w:rPr>
        <w:t xml:space="preserve">un nuevo Proceso en CONMO y/o modificaciones en los ya existentes. </w:t>
      </w:r>
      <w:r/>
    </w:p>
    <w:p>
      <w:pPr>
        <w:pStyle w:val="1098"/>
        <w:numPr>
          <w:ilvl w:val="0"/>
          <w:numId w:val="3"/>
        </w:numPr>
        <w:ind w:left="357" w:hanging="357"/>
        <w:jc w:val="both"/>
        <w:spacing w:before="120" w:after="120" w:line="360" w:lineRule="auto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ALCANCE</w:t>
      </w:r>
      <w:r/>
    </w:p>
    <w:p>
      <w:pPr>
        <w:pStyle w:val="1098"/>
        <w:ind w:left="360"/>
        <w:jc w:val="both"/>
        <w:spacing w:line="360" w:lineRule="auto"/>
        <w:rPr>
          <w:sz w:val="24"/>
        </w:rPr>
      </w:pPr>
      <w:r>
        <w:rPr>
          <w:sz w:val="24"/>
        </w:rPr>
        <w:t xml:space="preserve">Este procedimiento se aplica a todo el Sistema de Gestión de Control Montevideo.-</w:t>
      </w:r>
      <w:r>
        <w:rPr>
          <w:sz w:val="24"/>
        </w:rPr>
      </w:r>
      <w:r/>
    </w:p>
    <w:p>
      <w:pPr>
        <w:pStyle w:val="1098"/>
        <w:numPr>
          <w:ilvl w:val="0"/>
          <w:numId w:val="3"/>
        </w:numPr>
        <w:ind w:left="357" w:hanging="357"/>
        <w:jc w:val="both"/>
        <w:spacing w:before="120" w:after="120" w:line="360" w:lineRule="auto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REFERENCIAS</w:t>
      </w:r>
      <w:r/>
    </w:p>
    <w:p>
      <w:pPr>
        <w:pStyle w:val="1130"/>
        <w:numPr>
          <w:ilvl w:val="1"/>
          <w:numId w:val="6"/>
        </w:numPr>
        <w:jc w:val="both"/>
        <w:spacing w:line="360" w:lineRule="auto"/>
        <w:rPr>
          <w:sz w:val="24"/>
        </w:rPr>
      </w:pPr>
      <w:r>
        <w:rPr>
          <w:sz w:val="24"/>
        </w:rPr>
        <w:t xml:space="preserve">Norma UNIT-ISO 9001:2015</w:t>
      </w:r>
      <w:r>
        <w:rPr>
          <w:sz w:val="24"/>
        </w:rPr>
      </w:r>
      <w:r/>
    </w:p>
    <w:p>
      <w:pPr>
        <w:pStyle w:val="1130"/>
        <w:numPr>
          <w:ilvl w:val="1"/>
          <w:numId w:val="6"/>
        </w:numPr>
        <w:jc w:val="both"/>
        <w:spacing w:line="360" w:lineRule="auto"/>
        <w:rPr>
          <w:sz w:val="24"/>
        </w:rPr>
      </w:pPr>
      <w:r>
        <w:rPr>
          <w:sz w:val="24"/>
        </w:rPr>
        <w:t xml:space="preserve">PR 752 – 01 </w:t>
      </w:r>
      <w:r>
        <w:rPr>
          <w:sz w:val="24"/>
        </w:rPr>
      </w:r>
      <w:r/>
    </w:p>
    <w:p>
      <w:pPr>
        <w:pStyle w:val="1098"/>
        <w:numPr>
          <w:ilvl w:val="0"/>
          <w:numId w:val="6"/>
        </w:numPr>
        <w:ind w:left="357" w:hanging="357"/>
        <w:jc w:val="both"/>
        <w:spacing w:before="120" w:after="120" w:line="360" w:lineRule="auto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RESPONSABILIDADES</w:t>
      </w:r>
      <w:r/>
    </w:p>
    <w:p>
      <w:pPr>
        <w:pStyle w:val="1098"/>
        <w:ind w:left="850" w:hanging="425"/>
        <w:jc w:val="both"/>
        <w:spacing w:line="360" w:lineRule="auto"/>
        <w:rPr>
          <w:sz w:val="24"/>
        </w:rPr>
      </w:pPr>
      <w:r>
        <w:rPr>
          <w:sz w:val="24"/>
        </w:rPr>
        <w:t xml:space="preserve">4.1 Aprobación: Prefecto del Puerto de Montevideo</w:t>
      </w:r>
      <w:r/>
    </w:p>
    <w:p>
      <w:pPr>
        <w:pStyle w:val="1098"/>
        <w:ind w:left="850" w:hanging="425"/>
        <w:jc w:val="both"/>
        <w:spacing w:line="360" w:lineRule="auto"/>
        <w:rPr>
          <w:sz w:val="24"/>
        </w:rPr>
      </w:pPr>
      <w:r>
        <w:rPr>
          <w:sz w:val="24"/>
        </w:rPr>
        <w:t xml:space="preserve">4.2 Revisión, Identificación y Actualización: </w:t>
      </w:r>
      <w:r>
        <w:rPr>
          <w:sz w:val="24"/>
        </w:rPr>
        <w:t xml:space="preserve">Jefe de CONMO.</w:t>
      </w:r>
      <w:r>
        <w:rPr>
          <w:sz w:val="24"/>
        </w:rPr>
      </w:r>
      <w:r/>
    </w:p>
    <w:p>
      <w:pPr>
        <w:pStyle w:val="1098"/>
        <w:ind w:left="850" w:hanging="425"/>
        <w:jc w:val="both"/>
        <w:spacing w:line="360" w:lineRule="auto"/>
        <w:rPr>
          <w:sz w:val="24"/>
        </w:rPr>
      </w:pPr>
      <w:r>
        <w:rPr>
          <w:sz w:val="24"/>
        </w:rPr>
        <w:t xml:space="preserve">4.3 Distribución, Identificación de cambios y estado: </w:t>
      </w:r>
      <w:r>
        <w:rPr>
          <w:sz w:val="24"/>
        </w:rPr>
        <w:t xml:space="preserve">Encargado del SGC</w:t>
      </w:r>
      <w:r>
        <w:rPr>
          <w:sz w:val="24"/>
        </w:rPr>
      </w:r>
      <w:r/>
    </w:p>
    <w:p>
      <w:pPr>
        <w:pStyle w:val="1098"/>
        <w:ind w:left="850" w:hanging="425"/>
        <w:jc w:val="both"/>
        <w:spacing w:line="360" w:lineRule="auto"/>
      </w:pPr>
      <w:r>
        <w:rPr>
          <w:sz w:val="24"/>
        </w:rPr>
        <w:t xml:space="preserve">4.4 Disponibilidad y legibilidad: Usuario</w:t>
      </w:r>
      <w:r>
        <w:t xml:space="preserve"> </w:t>
      </w:r>
      <w:r/>
    </w:p>
    <w:p>
      <w:pPr>
        <w:pStyle w:val="1098"/>
        <w:numPr>
          <w:ilvl w:val="0"/>
          <w:numId w:val="6"/>
        </w:numPr>
        <w:ind w:left="357" w:hanging="357"/>
        <w:jc w:val="both"/>
        <w:spacing w:before="120" w:after="120" w:line="360" w:lineRule="auto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DEFINICIONES, ABREVIATURAS Y SIMBOLOS</w:t>
      </w:r>
      <w:r/>
    </w:p>
    <w:p>
      <w:pPr>
        <w:pStyle w:val="1098"/>
        <w:ind w:left="357"/>
        <w:jc w:val="both"/>
        <w:spacing w:before="120" w:after="120" w:line="360" w:lineRule="auto"/>
        <w:rPr>
          <w:sz w:val="28"/>
          <w:lang w:val="es-MX"/>
        </w:rPr>
      </w:pPr>
      <w:r>
        <w:rPr>
          <w:sz w:val="28"/>
          <w:lang w:val="es-MX"/>
        </w:rPr>
        <w:t xml:space="preserve">MC – 422 - 02</w:t>
      </w:r>
      <w:r>
        <w:rPr>
          <w:sz w:val="28"/>
          <w:lang w:val="es-MX"/>
        </w:rPr>
      </w:r>
      <w:r/>
    </w:p>
    <w:p>
      <w:pPr>
        <w:pStyle w:val="1098"/>
        <w:numPr>
          <w:ilvl w:val="0"/>
          <w:numId w:val="6"/>
        </w:numPr>
        <w:ind w:left="357" w:hanging="357"/>
        <w:jc w:val="both"/>
        <w:spacing w:before="120" w:after="120" w:line="360" w:lineRule="auto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DESARROLLO</w:t>
      </w:r>
      <w:r/>
    </w:p>
    <w:p>
      <w:pPr>
        <w:pStyle w:val="1098"/>
        <w:ind w:left="567" w:hanging="141"/>
        <w:jc w:val="both"/>
        <w:spacing w:line="360" w:lineRule="auto"/>
        <w:widowControl w:val="off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Generalidades</w:t>
      </w:r>
      <w:r/>
    </w:p>
    <w:p>
      <w:pPr>
        <w:pStyle w:val="1123"/>
        <w:ind w:left="426"/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Al establecerse un nuevo proceso en CONMO y/o a la hora de modificar uno ya existente se deben establecer las etapas y controles para el diseño y desarrollo. </w:t>
      </w:r>
      <w:r/>
    </w:p>
    <w:p>
      <w:pPr>
        <w:pStyle w:val="1123"/>
        <w:numPr>
          <w:ilvl w:val="1"/>
          <w:numId w:val="6"/>
        </w:numPr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Etapas del diseño y desarrollo: Planificación</w:t>
      </w:r>
      <w:r>
        <w:rPr>
          <w:sz w:val="24"/>
          <w:szCs w:val="24"/>
        </w:rPr>
        <w:t xml:space="preserve"> (ver PR 630 – 01 “Planificación de los Cambios”)</w:t>
      </w:r>
      <w:r>
        <w:rPr>
          <w:sz w:val="24"/>
          <w:szCs w:val="24"/>
        </w:rPr>
        <w:t xml:space="preserve">, revisión, verificación y validación </w:t>
      </w:r>
      <w:r>
        <w:rPr>
          <w:sz w:val="24"/>
          <w:szCs w:val="24"/>
        </w:rPr>
      </w:r>
      <w:r/>
    </w:p>
    <w:p>
      <w:pPr>
        <w:pStyle w:val="1123"/>
        <w:numPr>
          <w:ilvl w:val="1"/>
          <w:numId w:val="6"/>
        </w:numPr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Son elementos de entrada para el diseño y desarrollo: </w:t>
      </w:r>
      <w:r/>
    </w:p>
    <w:p>
      <w:pPr>
        <w:pStyle w:val="1123"/>
        <w:numPr>
          <w:ilvl w:val="0"/>
          <w:numId w:val="7"/>
        </w:numPr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Requisitos funcionales y de desempeño </w:t>
      </w:r>
      <w:r>
        <w:rPr>
          <w:sz w:val="24"/>
          <w:szCs w:val="24"/>
        </w:rPr>
      </w:r>
      <w:r/>
    </w:p>
    <w:p>
      <w:pPr>
        <w:pStyle w:val="1123"/>
        <w:numPr>
          <w:ilvl w:val="0"/>
          <w:numId w:val="7"/>
        </w:numPr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Requisitos legales y reglamentarios </w:t>
      </w:r>
      <w:r/>
    </w:p>
    <w:p>
      <w:pPr>
        <w:pStyle w:val="1123"/>
        <w:numPr>
          <w:ilvl w:val="0"/>
          <w:numId w:val="7"/>
        </w:numPr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Información proveniente de diseños </w:t>
      </w:r>
      <w:r>
        <w:rPr>
          <w:sz w:val="24"/>
          <w:szCs w:val="24"/>
        </w:rPr>
        <w:t xml:space="preserve">previos y/o similares </w:t>
      </w:r>
      <w:r/>
    </w:p>
    <w:p>
      <w:pPr>
        <w:pStyle w:val="1123"/>
        <w:ind w:left="426"/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Estos elementos deben revisarse para verificar su adecuación.</w:t>
      </w:r>
      <w:r/>
    </w:p>
    <w:p>
      <w:pPr>
        <w:pStyle w:val="1123"/>
        <w:numPr>
          <w:ilvl w:val="1"/>
          <w:numId w:val="6"/>
        </w:numPr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Los resultados del diseño y desarrollo deben:</w:t>
      </w:r>
      <w:r/>
    </w:p>
    <w:p>
      <w:pPr>
        <w:pStyle w:val="1123"/>
        <w:numPr>
          <w:ilvl w:val="0"/>
          <w:numId w:val="8"/>
        </w:numPr>
        <w:ind w:hanging="1001"/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Cumplir los requisitos de los elementos de entrada</w:t>
      </w:r>
      <w:r/>
    </w:p>
    <w:p>
      <w:pPr>
        <w:pStyle w:val="1123"/>
        <w:numPr>
          <w:ilvl w:val="0"/>
          <w:numId w:val="8"/>
        </w:numPr>
        <w:ind w:hanging="1001"/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Proporcionar información apropiada para la prestación del servicio </w:t>
      </w:r>
      <w:r/>
    </w:p>
    <w:p>
      <w:pPr>
        <w:pStyle w:val="1123"/>
        <w:numPr>
          <w:ilvl w:val="0"/>
          <w:numId w:val="8"/>
        </w:numPr>
        <w:ind w:left="2127" w:hanging="284"/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Incluir o hacer referencia a los requisitos de seguimiento y medición y a los criterios de aceptación </w:t>
      </w:r>
      <w:r/>
    </w:p>
    <w:p>
      <w:pPr>
        <w:pStyle w:val="1123"/>
        <w:numPr>
          <w:ilvl w:val="0"/>
          <w:numId w:val="8"/>
        </w:numPr>
        <w:ind w:hanging="1001"/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Especificar las características del servicio que son esenciales para su propósito </w:t>
      </w:r>
      <w:r/>
    </w:p>
    <w:p>
      <w:pPr>
        <w:pStyle w:val="1123"/>
        <w:numPr>
          <w:ilvl w:val="1"/>
          <w:numId w:val="9"/>
        </w:numPr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Revisión </w:t>
      </w:r>
      <w:r/>
    </w:p>
    <w:p>
      <w:pPr>
        <w:pStyle w:val="1123"/>
        <w:numPr>
          <w:ilvl w:val="2"/>
          <w:numId w:val="9"/>
        </w:numPr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Evaluar la capacidad de los resultados de diseño y desarrollo para cumplir los requisitos. </w:t>
      </w:r>
      <w:r/>
    </w:p>
    <w:p>
      <w:pPr>
        <w:pStyle w:val="1123"/>
        <w:numPr>
          <w:ilvl w:val="2"/>
          <w:numId w:val="9"/>
        </w:numPr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Identificar </w:t>
      </w:r>
      <w:r>
        <w:rPr>
          <w:sz w:val="24"/>
          <w:szCs w:val="24"/>
        </w:rPr>
        <w:t xml:space="preserve">riegos y oportunidades </w:t>
      </w:r>
      <w:r>
        <w:rPr>
          <w:sz w:val="24"/>
          <w:szCs w:val="24"/>
        </w:rPr>
      </w:r>
      <w:r/>
    </w:p>
    <w:p>
      <w:pPr>
        <w:pStyle w:val="1123"/>
        <w:numPr>
          <w:ilvl w:val="1"/>
          <w:numId w:val="9"/>
        </w:numPr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Verificación: se lleva a cabo para asegurar que se cumpla todos los requisitos identificados al inicio del proceso de diseño y desarrollo.</w:t>
      </w:r>
      <w:r>
        <w:rPr>
          <w:sz w:val="24"/>
          <w:szCs w:val="24"/>
        </w:rPr>
        <w:t xml:space="preserve"> </w:t>
      </w:r>
      <w:r/>
    </w:p>
    <w:p>
      <w:pPr>
        <w:pStyle w:val="1123"/>
        <w:numPr>
          <w:ilvl w:val="1"/>
          <w:numId w:val="9"/>
        </w:numPr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Validación: se lleva a cabo para asegurar que el servicio final cumpla las necesid</w:t>
      </w:r>
      <w:r>
        <w:rPr>
          <w:sz w:val="24"/>
          <w:szCs w:val="24"/>
        </w:rPr>
        <w:t xml:space="preserve">ades del cliente o usuario.</w:t>
      </w:r>
      <w:r>
        <w:rPr>
          <w:sz w:val="24"/>
          <w:szCs w:val="24"/>
        </w:rPr>
      </w:r>
      <w:r/>
    </w:p>
    <w:p>
      <w:pPr>
        <w:pStyle w:val="1123"/>
        <w:ind w:left="993" w:hanging="567"/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6.7 Retroalimentación del cliente, usuario sobre el desempeño del producto o servicio. </w:t>
      </w:r>
      <w:r>
        <w:rPr>
          <w:sz w:val="24"/>
          <w:szCs w:val="24"/>
        </w:rPr>
      </w:r>
      <w:r/>
    </w:p>
    <w:p>
      <w:pPr>
        <w:pStyle w:val="1123"/>
        <w:ind w:left="993" w:hanging="567"/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6.8 Autorización del Prefecto del Puerto de Montevideo con la revisión del Jefe de CONMO para liberar el nuevo servicio y/o actividad.</w:t>
      </w:r>
      <w:r/>
    </w:p>
    <w:p>
      <w:pPr>
        <w:pStyle w:val="1123"/>
        <w:ind w:left="993" w:hanging="567"/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23"/>
        <w:ind w:left="993" w:hanging="567"/>
        <w:jc w:val="both"/>
        <w:spacing w:after="0" w:line="360" w:lineRule="auto"/>
        <w:widowControl w:val="off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ANEXOS</w:t>
      </w:r>
      <w:r/>
    </w:p>
    <w:p>
      <w:pPr>
        <w:pStyle w:val="1123"/>
        <w:ind w:left="993" w:hanging="567"/>
        <w:jc w:val="both"/>
        <w:spacing w:after="0" w:line="360" w:lineRule="auto"/>
        <w:widowControl w:val="off"/>
        <w:rPr>
          <w:sz w:val="24"/>
          <w:szCs w:val="24"/>
        </w:rPr>
      </w:pPr>
      <w:r>
        <w:rPr>
          <w:sz w:val="24"/>
        </w:rPr>
        <w:t xml:space="preserve">FO</w:t>
      </w:r>
      <w:r>
        <w:rPr>
          <w:sz w:val="24"/>
          <w:szCs w:val="24"/>
        </w:rPr>
        <w:t xml:space="preserve"> – 830 -  01 </w:t>
      </w:r>
      <w:r>
        <w:rPr>
          <w:sz w:val="24"/>
        </w:rPr>
        <w:t xml:space="preserve">Anexo “ALFA</w:t>
      </w:r>
      <w:r>
        <w:rPr>
          <w:sz w:val="24"/>
        </w:rPr>
        <w:t xml:space="preserve">”</w:t>
      </w:r>
      <w:r>
        <w:rPr>
          <w:sz w:val="24"/>
        </w:rPr>
        <w:t xml:space="preserve"> </w:t>
      </w:r>
      <w:r>
        <w:rPr>
          <w:sz w:val="24"/>
          <w:szCs w:val="24"/>
        </w:rPr>
        <w:t xml:space="preserve">“</w:t>
      </w:r>
      <w:r>
        <w:rPr>
          <w:sz w:val="24"/>
          <w:szCs w:val="24"/>
        </w:rPr>
        <w:t xml:space="preserve">Diseño y Desarrollo</w:t>
      </w:r>
      <w:r>
        <w:rPr>
          <w:sz w:val="24"/>
          <w:szCs w:val="24"/>
        </w:rPr>
        <w:t xml:space="preserve">”  </w:t>
      </w:r>
      <w:r>
        <w:rPr>
          <w:sz w:val="24"/>
          <w:szCs w:val="24"/>
        </w:rPr>
      </w:r>
      <w:r/>
    </w:p>
    <w:p>
      <w:pPr>
        <w:pStyle w:val="1123"/>
        <w:ind w:left="993" w:hanging="567"/>
        <w:jc w:val="both"/>
        <w:spacing w:after="0" w:line="360" w:lineRule="auto"/>
        <w:widowControl w:val="off"/>
        <w:rPr>
          <w:b/>
          <w:sz w:val="28"/>
          <w:lang w:val="es-MX"/>
        </w:rPr>
      </w:pPr>
      <w:r>
        <w:rPr>
          <w:b/>
          <w:sz w:val="28"/>
          <w:lang w:val="es-MX"/>
        </w:rPr>
      </w:r>
      <w:r/>
    </w:p>
    <w:p>
      <w:pPr>
        <w:pStyle w:val="1098"/>
        <w:numPr>
          <w:ilvl w:val="0"/>
          <w:numId w:val="9"/>
        </w:numPr>
        <w:ind w:left="357" w:hanging="357"/>
        <w:jc w:val="both"/>
        <w:spacing w:before="120" w:after="120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REGISTROS</w:t>
      </w:r>
      <w:r/>
    </w:p>
    <w:p>
      <w:pPr>
        <w:pStyle w:val="1098"/>
        <w:ind w:left="360"/>
        <w:jc w:val="both"/>
        <w:spacing w:line="360" w:lineRule="auto"/>
      </w:pPr>
      <w:r>
        <w:rPr>
          <w:sz w:val="24"/>
        </w:rPr>
        <w:t xml:space="preserve">Los registros de datos permanecen archivados en el PC correspondiente, siendo respaldados en soporte informático según el PR – 753 – 02 en vigencia</w:t>
      </w:r>
      <w:r>
        <w:t xml:space="preserve">. </w:t>
      </w:r>
      <w:r/>
    </w:p>
    <w:p>
      <w:pPr>
        <w:pStyle w:val="1124"/>
        <w:ind w:left="360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</w:r>
      <w:r/>
    </w:p>
    <w:tbl>
      <w:tblPr>
        <w:tblW w:w="0" w:type="auto"/>
        <w:tblInd w:w="1" w:type="dxa"/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7008"/>
      </w:tblGrid>
      <w:tr>
        <w:trPr>
          <w:tblHeader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1418" w:type="dxa"/>
            <w:vAlign w:val="top"/>
            <w:textDirection w:val="lrTb"/>
            <w:noWrap w:val="false"/>
          </w:tcPr>
          <w:p>
            <w:pPr>
              <w:pStyle w:val="1126"/>
              <w:spacing w:after="0"/>
            </w:pPr>
            <w:r>
              <w:t xml:space="preserve">REVISION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126"/>
              <w:spacing w:after="0"/>
            </w:pPr>
            <w:r>
              <w:t xml:space="preserve">FECHA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7008" w:type="dxa"/>
            <w:vAlign w:val="top"/>
            <w:textDirection w:val="lrTb"/>
            <w:noWrap w:val="false"/>
          </w:tcPr>
          <w:p>
            <w:pPr>
              <w:pStyle w:val="1126"/>
              <w:spacing w:after="0"/>
            </w:pPr>
            <w:r>
              <w:t xml:space="preserve">MODIFICACIONES</w:t>
            </w:r>
            <w:r/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1418" w:type="dxa"/>
            <w:vAlign w:val="top"/>
            <w:textDirection w:val="lrTb"/>
            <w:noWrap w:val="false"/>
          </w:tcPr>
          <w:p>
            <w:pPr>
              <w:pStyle w:val="1125"/>
              <w:jc w:val="center"/>
              <w:spacing w:after="0"/>
            </w:pPr>
            <w:r>
              <w:t xml:space="preserve">2</w:t>
            </w:r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559" w:type="dxa"/>
            <w:vAlign w:val="top"/>
            <w:textDirection w:val="lrTb"/>
            <w:noWrap w:val="false"/>
          </w:tcPr>
          <w:p>
            <w:pPr>
              <w:pStyle w:val="1125"/>
              <w:jc w:val="center"/>
              <w:spacing w:after="0"/>
            </w:pPr>
            <w:r>
              <w:t xml:space="preserve">10/09/2020</w:t>
            </w:r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7008" w:type="dxa"/>
            <w:vAlign w:val="top"/>
            <w:textDirection w:val="lrTb"/>
            <w:noWrap w:val="false"/>
          </w:tcPr>
          <w:p>
            <w:pPr>
              <w:pStyle w:val="1125"/>
              <w:spacing w:after="0"/>
            </w:pPr>
            <w:r>
              <w:t xml:space="preserve">Por AC de auditoría interna, se modifica el presente PR en el desarrollo punto 6. Se modifica el anexo Alfa FO 830 01 Diseño y Desarrollo. </w:t>
            </w:r>
            <w:r/>
          </w:p>
        </w:tc>
      </w:tr>
    </w:tbl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>
        <w:pos w:val="beneathText"/>
      </w:footnotePr>
      <w:endnotePr/>
      <w:type w:val="nextPage"/>
      <w:pgSz w:w="11905" w:h="16837" w:orient="portrait"/>
      <w:pgMar w:top="1985" w:right="992" w:bottom="1559" w:left="851" w:header="426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1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1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98"/>
      <w:ind w:left="-142"/>
      <w:jc w:val="both"/>
      <w:spacing w:line="320" w:lineRule="exact"/>
      <w:rPr>
        <w:sz w:val="24"/>
      </w:rPr>
    </w:pPr>
    <w:r>
      <w:rPr>
        <w:sz w:val="24"/>
      </w:rPr>
      <w:t xml:space="preserve">ELABORADO POR: Grupo de Trabajo</w:t>
    </w:r>
    <w:r/>
  </w:p>
  <w:tbl>
    <w:tblPr>
      <w:tblW w:w="10322" w:type="dxa"/>
      <w:tblInd w:w="-72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2127"/>
      <w:gridCol w:w="4111"/>
      <w:gridCol w:w="2551"/>
      <w:gridCol w:w="1533"/>
    </w:tblGrid>
    <w:tr>
      <w:trPr>
        <w:cantSplit/>
      </w:trPr>
      <w:tc>
        <w:tcPr>
          <w:tcW w:w="2127" w:type="dxa"/>
          <w:vAlign w:val="center"/>
          <w:vMerge w:val="restart"/>
          <w:textDirection w:val="lrTb"/>
          <w:noWrap w:val="false"/>
        </w:tcPr>
        <w:p>
          <w:pPr>
            <w:pStyle w:val="1098"/>
            <w:keepNext/>
            <w:spacing w:line="360" w:lineRule="auto"/>
            <w:widowControl w:val="off"/>
            <w:rPr>
              <w:b/>
              <w:sz w:val="24"/>
              <w:lang w:val="es-ES_tradnl" w:eastAsia="es-ES"/>
            </w:rPr>
            <w:outlineLvl w:val="0"/>
          </w:pPr>
          <w:r>
            <w:rPr>
              <w:b/>
              <w:sz w:val="24"/>
              <w:lang w:val="es-ES_tradnl" w:eastAsia="es-ES"/>
            </w:rPr>
            <w:t xml:space="preserve">APROBADO POR</w:t>
          </w:r>
          <w:r/>
        </w:p>
      </w:tc>
      <w:tc>
        <w:tcPr>
          <w:tcW w:w="4111" w:type="dxa"/>
          <w:vAlign w:val="top"/>
          <w:textDirection w:val="lrTb"/>
          <w:noWrap w:val="false"/>
        </w:tcPr>
        <w:p>
          <w:pPr>
            <w:pStyle w:val="1098"/>
            <w:ind w:left="-540" w:firstLine="540"/>
            <w:jc w:val="center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  <w:t xml:space="preserve">CARGO</w:t>
          </w:r>
          <w:r/>
        </w:p>
      </w:tc>
      <w:tc>
        <w:tcPr>
          <w:tcW w:w="2551" w:type="dxa"/>
          <w:vAlign w:val="top"/>
          <w:textDirection w:val="lrTb"/>
          <w:noWrap w:val="false"/>
        </w:tcPr>
        <w:p>
          <w:pPr>
            <w:pStyle w:val="1098"/>
            <w:ind w:left="-540" w:firstLine="540"/>
            <w:jc w:val="center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  <w:t xml:space="preserve">FIRMA</w:t>
          </w:r>
          <w:r/>
        </w:p>
      </w:tc>
      <w:tc>
        <w:tcPr>
          <w:tcW w:w="1533" w:type="dxa"/>
          <w:vAlign w:val="top"/>
          <w:textDirection w:val="lrTb"/>
          <w:noWrap w:val="false"/>
        </w:tcPr>
        <w:p>
          <w:pPr>
            <w:pStyle w:val="1098"/>
            <w:ind w:left="-540" w:firstLine="540"/>
            <w:jc w:val="center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  <w:t xml:space="preserve">FECHA</w:t>
          </w:r>
          <w:r/>
        </w:p>
      </w:tc>
    </w:tr>
    <w:tr>
      <w:trPr>
        <w:cantSplit/>
      </w:trPr>
      <w:tc>
        <w:tcPr>
          <w:tcW w:w="2127" w:type="dxa"/>
          <w:vAlign w:val="center"/>
          <w:vMerge w:val="continue"/>
          <w:textDirection w:val="lrTb"/>
          <w:noWrap w:val="false"/>
        </w:tcPr>
        <w:p>
          <w:pPr>
            <w:pStyle w:val="1098"/>
            <w:ind w:left="-540" w:firstLine="540"/>
            <w:jc w:val="center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</w:r>
          <w:r/>
        </w:p>
      </w:tc>
      <w:tc>
        <w:tcPr>
          <w:tcW w:w="4111" w:type="dxa"/>
          <w:vAlign w:val="center"/>
          <w:textDirection w:val="lrTb"/>
          <w:noWrap w:val="false"/>
        </w:tcPr>
        <w:p>
          <w:pPr>
            <w:pStyle w:val="1098"/>
            <w:ind w:left="-540" w:firstLine="470"/>
            <w:jc w:val="center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  <w:t xml:space="preserve">Prefecto del Puerto de Montevideo</w:t>
          </w:r>
          <w:r/>
        </w:p>
      </w:tc>
      <w:tc>
        <w:tcPr>
          <w:tcW w:w="2551" w:type="dxa"/>
          <w:vAlign w:val="center"/>
          <w:textDirection w:val="lrTb"/>
          <w:noWrap w:val="false"/>
        </w:tcPr>
        <w:p>
          <w:pPr>
            <w:pStyle w:val="1098"/>
            <w:ind w:left="-540" w:firstLine="540"/>
            <w:rPr>
              <w:sz w:val="16"/>
              <w:szCs w:val="16"/>
              <w:lang w:val="es-MX" w:eastAsia="es-ES"/>
            </w:rPr>
          </w:pPr>
          <w:r>
            <w:rPr>
              <w:sz w:val="16"/>
              <w:szCs w:val="16"/>
              <w:lang w:val="es-MX" w:eastAsia="es-ES"/>
            </w:rPr>
            <w:t xml:space="preserve">CN (CP) </w:t>
          </w:r>
          <w:r>
            <w:rPr>
              <w:sz w:val="16"/>
              <w:szCs w:val="16"/>
              <w:lang w:val="es-MX" w:eastAsia="es-ES"/>
            </w:rPr>
            <w:t xml:space="preserve">Wilson ESPÌNDOLA</w:t>
          </w:r>
          <w:r>
            <w:rPr>
              <w:sz w:val="16"/>
              <w:szCs w:val="16"/>
              <w:lang w:val="es-MX" w:eastAsia="es-ES"/>
            </w:rPr>
          </w:r>
          <w:r/>
        </w:p>
      </w:tc>
      <w:tc>
        <w:tcPr>
          <w:tcW w:w="1533" w:type="dxa"/>
          <w:vAlign w:val="center"/>
          <w:textDirection w:val="lrTb"/>
          <w:noWrap w:val="false"/>
        </w:tcPr>
        <w:p>
          <w:pPr>
            <w:pStyle w:val="1098"/>
            <w:ind w:left="-540" w:firstLine="540"/>
            <w:jc w:val="center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  <w:t xml:space="preserve">10/0</w:t>
          </w:r>
          <w:r>
            <w:rPr>
              <w:sz w:val="24"/>
              <w:szCs w:val="24"/>
              <w:lang w:eastAsia="es-ES"/>
            </w:rPr>
            <w:t xml:space="preserve">9</w:t>
          </w:r>
          <w:r>
            <w:rPr>
              <w:sz w:val="24"/>
              <w:szCs w:val="24"/>
              <w:lang w:eastAsia="es-ES"/>
            </w:rPr>
            <w:t xml:space="preserve">/2020</w:t>
          </w:r>
          <w:r>
            <w:rPr>
              <w:sz w:val="24"/>
              <w:szCs w:val="24"/>
              <w:lang w:eastAsia="es-ES"/>
            </w:rPr>
          </w:r>
          <w:r/>
        </w:p>
      </w:tc>
    </w:tr>
    <w:tr>
      <w:trPr>
        <w:cantSplit/>
      </w:trPr>
      <w:tc>
        <w:tcPr>
          <w:tcW w:w="2127" w:type="dxa"/>
          <w:vAlign w:val="center"/>
          <w:textDirection w:val="lrTb"/>
          <w:noWrap w:val="false"/>
        </w:tcPr>
        <w:p>
          <w:pPr>
            <w:pStyle w:val="1098"/>
            <w:ind w:left="-540" w:firstLine="540"/>
            <w:jc w:val="center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  <w:t xml:space="preserve">REVISADO POR</w:t>
          </w:r>
          <w:r/>
        </w:p>
      </w:tc>
      <w:tc>
        <w:tcPr>
          <w:tcW w:w="4111" w:type="dxa"/>
          <w:vAlign w:val="center"/>
          <w:textDirection w:val="lrTb"/>
          <w:noWrap w:val="false"/>
        </w:tcPr>
        <w:p>
          <w:pPr>
            <w:pStyle w:val="1098"/>
            <w:ind w:left="-540" w:firstLine="540"/>
            <w:jc w:val="center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  <w:t xml:space="preserve">Encargado del SGC </w:t>
          </w:r>
          <w:r>
            <w:rPr>
              <w:sz w:val="24"/>
              <w:szCs w:val="24"/>
              <w:lang w:eastAsia="es-ES"/>
            </w:rPr>
          </w:r>
          <w:r/>
        </w:p>
      </w:tc>
      <w:tc>
        <w:tcPr>
          <w:tcW w:w="2551" w:type="dxa"/>
          <w:vAlign w:val="center"/>
          <w:textDirection w:val="lrTb"/>
          <w:noWrap w:val="false"/>
        </w:tcPr>
        <w:p>
          <w:pPr>
            <w:pStyle w:val="1098"/>
            <w:ind w:left="-540" w:firstLine="540"/>
            <w:rPr>
              <w:sz w:val="16"/>
              <w:szCs w:val="16"/>
              <w:lang w:val="es-MX" w:eastAsia="es-ES"/>
            </w:rPr>
          </w:pPr>
          <w:r>
            <w:rPr>
              <w:sz w:val="16"/>
              <w:szCs w:val="16"/>
              <w:lang w:val="es-MX" w:eastAsia="es-ES"/>
            </w:rPr>
            <w:t xml:space="preserve">SOP (PM) Susana LEE</w:t>
          </w:r>
          <w:r>
            <w:rPr>
              <w:sz w:val="16"/>
              <w:szCs w:val="16"/>
              <w:lang w:val="es-MX" w:eastAsia="es-ES"/>
            </w:rPr>
          </w:r>
          <w:r/>
        </w:p>
      </w:tc>
      <w:tc>
        <w:tcPr>
          <w:tcW w:w="1533" w:type="dxa"/>
          <w:vAlign w:val="center"/>
          <w:textDirection w:val="lrTb"/>
          <w:noWrap w:val="false"/>
        </w:tcPr>
        <w:p>
          <w:pPr>
            <w:pStyle w:val="1098"/>
            <w:ind w:left="-540" w:firstLine="540"/>
            <w:jc w:val="center"/>
            <w:rPr>
              <w:sz w:val="24"/>
              <w:szCs w:val="24"/>
              <w:lang w:val="es-MX" w:eastAsia="es-ES"/>
            </w:rPr>
          </w:pPr>
          <w:r>
            <w:rPr>
              <w:sz w:val="24"/>
              <w:szCs w:val="24"/>
              <w:lang w:val="es-MX" w:eastAsia="es-ES"/>
            </w:rPr>
            <w:t xml:space="preserve">10/09</w:t>
          </w:r>
          <w:r>
            <w:rPr>
              <w:sz w:val="24"/>
              <w:szCs w:val="24"/>
              <w:lang w:val="es-MX" w:eastAsia="es-ES"/>
            </w:rPr>
            <w:t xml:space="preserve">/2020</w:t>
          </w:r>
          <w:r>
            <w:rPr>
              <w:sz w:val="24"/>
              <w:szCs w:val="24"/>
              <w:lang w:val="es-MX" w:eastAsia="es-ES"/>
            </w:rPr>
          </w:r>
          <w:r/>
        </w:p>
      </w:tc>
    </w:tr>
    <w:tr>
      <w:trPr>
        <w:cantSplit/>
      </w:trPr>
      <w:tc>
        <w:tcPr>
          <w:tcW w:w="2127" w:type="dxa"/>
          <w:vAlign w:val="center"/>
          <w:textDirection w:val="lrTb"/>
          <w:noWrap w:val="false"/>
        </w:tcPr>
        <w:p>
          <w:pPr>
            <w:pStyle w:val="1098"/>
            <w:ind w:left="-540" w:firstLine="540"/>
            <w:jc w:val="center"/>
            <w:rPr>
              <w:sz w:val="24"/>
              <w:szCs w:val="24"/>
              <w:lang w:eastAsia="es-ES"/>
            </w:rPr>
          </w:pPr>
          <w:r>
            <w:rPr>
              <w:sz w:val="24"/>
              <w:szCs w:val="24"/>
              <w:lang w:eastAsia="es-ES"/>
            </w:rPr>
            <w:t xml:space="preserve">DOCUMENTO</w:t>
          </w:r>
          <w:r/>
        </w:p>
      </w:tc>
      <w:tc>
        <w:tcPr>
          <w:gridSpan w:val="3"/>
          <w:tcW w:w="8195" w:type="dxa"/>
          <w:vAlign w:val="center"/>
          <w:textDirection w:val="lrTb"/>
          <w:noWrap w:val="false"/>
        </w:tcPr>
        <w:p>
          <w:pPr>
            <w:pStyle w:val="1098"/>
            <w:ind w:left="-540" w:firstLine="540"/>
            <w:jc w:val="center"/>
            <w:rPr>
              <w:sz w:val="24"/>
              <w:szCs w:val="24"/>
              <w:lang w:val="es-MX" w:eastAsia="es-ES"/>
            </w:rPr>
          </w:pPr>
          <w:r>
            <w:rPr>
              <w:sz w:val="24"/>
              <w:szCs w:val="24"/>
              <w:lang w:eastAsia="es-E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    <wp:simplePos x="0" y="0"/>
                    <wp:positionH relativeFrom="column">
                      <wp:posOffset>1170940</wp:posOffset>
                    </wp:positionH>
                    <wp:positionV relativeFrom="paragraph">
                      <wp:posOffset>41910</wp:posOffset>
                    </wp:positionV>
                    <wp:extent cx="130175" cy="116205"/>
                    <wp:effectExtent l="0" t="0" r="0" b="0"/>
                    <wp:wrapNone/>
                    <wp:docPr id="3" name="_x0000_s20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30175" cy="116205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" o:spid="_x0000_s2" o:spt="1" type="#_x0000_t1" style="position:absolute;z-index:524288;o:allowoverlap:true;o:allowincell:true;mso-position-horizontal-relative:text;margin-left:92.2pt;mso-position-horizontal:absolute;mso-position-vertical-relative:text;margin-top:3.3pt;mso-position-vertical:absolute;width:10.2pt;height:9.2pt;mso-wrap-distance-left:9.0pt;mso-wrap-distance-top:0.0pt;mso-wrap-distance-right:9.0pt;mso-wrap-distance-bottom:0.0pt;visibility:visible;" fillcolor="#66FF33" strokecolor="#000000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    <wp:simplePos x="0" y="0"/>
                    <wp:positionH relativeFrom="column">
                      <wp:posOffset>4642485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0" t="0" r="0" b="0"/>
                    <wp:wrapNone/>
                    <wp:docPr id="4" name="_x0000_s20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3" o:spid="_x0000_s3" o:spt="1" type="#_x0000_t1" style="position:absolute;z-index:251658241;o:allowoverlap:true;o:allowincell:true;mso-position-horizontal-relative:text;margin-left:365.5pt;mso-position-horizontal:absolute;mso-position-vertical-relative:text;margin-top:2.9pt;mso-position-vertical:absolute;width:9.0pt;height:9.0pt;mso-wrap-distance-left:9.0pt;mso-wrap-distance-top:0.0pt;mso-wrap-distance-right:9.0pt;mso-wrap-distance-bottom:0.0pt;visibility:visible;" fillcolor="#FFFFFF" strokecolor="#000000"/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      <wp:simplePos x="0" y="0"/>
                    <wp:positionH relativeFrom="column">
                      <wp:posOffset>2757805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0" t="0" r="0" b="0"/>
                    <wp:wrapNone/>
                    <wp:docPr id="5" name="_x0000_s20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4" o:spid="_x0000_s4" o:spt="1" type="#_x0000_t1" style="position:absolute;z-index:251658242;o:allowoverlap:true;o:allowincell:true;mso-position-horizontal-relative:text;margin-left:217.1pt;mso-position-horizontal:absolute;mso-position-vertical-relative:text;margin-top:3.4pt;mso-position-vertical:absolute;width:9.0pt;height:9.0pt;mso-wrap-distance-left:9.0pt;mso-wrap-distance-top:0.0pt;mso-wrap-distance-right:9.0pt;mso-wrap-distance-bottom:0.0pt;visibility:visible;" fillcolor="#FFFFFF" strokecolor="#000000"/>
                </w:pict>
              </mc:Fallback>
            </mc:AlternateContent>
          </w:r>
          <w:r>
            <w:rPr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  <w:r/>
        </w:p>
      </w:tc>
    </w:tr>
  </w:tbl>
  <w:p>
    <w:pPr>
      <w:pStyle w:val="1121"/>
      <w:rPr>
        <w:lang w:val="es-MX"/>
      </w:rPr>
    </w:pPr>
    <w:r>
      <w:rPr>
        <w:lang w:val="es-MX"/>
      </w:rPr>
    </w:r>
    <w:r/>
  </w:p>
  <w:p>
    <w:pPr>
      <w:pStyle w:val="1121"/>
      <w:jc w:val="center"/>
    </w:pPr>
    <w:r>
      <w:t xml:space="preserve">         </w:t>
    </w: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/>
  </w:p>
  <w:p>
    <w:pPr>
      <w:pStyle w:val="1121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399" w:type="dxa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3118"/>
      <w:gridCol w:w="3827"/>
      <w:gridCol w:w="189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1120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112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112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DISEÑO Y DESARROLLO  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94" w:type="dxa"/>
          <w:vAlign w:val="center"/>
          <w:textDirection w:val="lrTb"/>
          <w:noWrap w:val="false"/>
        </w:tcPr>
        <w:p>
          <w:pPr>
            <w:pStyle w:val="112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830 – 01 </w:t>
          </w:r>
          <w:r>
            <w:rPr>
              <w:b/>
              <w:bCs/>
            </w:rPr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109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pPr>
            <w:pStyle w:val="109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pPr>
            <w:pStyle w:val="109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94" w:type="dxa"/>
          <w:vAlign w:val="center"/>
          <w:textDirection w:val="lrTb"/>
          <w:noWrap w:val="false"/>
        </w:tcPr>
        <w:p>
          <w:pPr>
            <w:pStyle w:val="112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</w:t>
          </w:r>
          <w:r>
            <w:rPr>
              <w:b/>
              <w:bCs/>
            </w:rPr>
            <w:t xml:space="preserve"> 2</w:t>
          </w:r>
          <w:r>
            <w:rPr>
              <w:b/>
              <w:bCs/>
            </w:rPr>
          </w:r>
          <w:r/>
        </w:p>
      </w:tc>
    </w:tr>
  </w:tbl>
  <w:p>
    <w:pPr>
      <w:pStyle w:val="112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8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1120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2" name="_x0000_i1027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112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112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DISEÑO Y DESARROLLO </w:t>
          </w:r>
          <w:r>
            <w:rPr>
              <w:b/>
              <w:bCs/>
              <w:sz w:val="28"/>
            </w:rPr>
            <w:t xml:space="preserve"> 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84" w:type="dxa"/>
          <w:vAlign w:val="center"/>
          <w:textDirection w:val="lrTb"/>
          <w:noWrap w:val="false"/>
        </w:tcPr>
        <w:p>
          <w:pPr>
            <w:pStyle w:val="112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– 830 – 01</w:t>
          </w: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109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109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1098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84" w:type="dxa"/>
          <w:vAlign w:val="center"/>
          <w:textDirection w:val="lrTb"/>
          <w:noWrap w:val="false"/>
        </w:tcPr>
        <w:p>
          <w:pPr>
            <w:pStyle w:val="112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</w:t>
          </w:r>
          <w:r>
            <w:rPr>
              <w:b/>
              <w:bCs/>
            </w:rPr>
            <w:t xml:space="preserve"> 2</w:t>
          </w:r>
          <w:r>
            <w:rPr>
              <w:b/>
              <w:bCs/>
            </w:rPr>
          </w:r>
          <w:r/>
        </w:p>
      </w:tc>
    </w:tr>
  </w:tbl>
  <w:p>
    <w:pPr>
      <w:pStyle w:val="112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1099"/>
      <w:isLgl w:val="false"/>
      <w:suff w:val="tab"/>
      <w:lvlText w:val=""/>
      <w:lvlJc w:val="left"/>
      <w:pPr>
        <w:pStyle w:val="1098"/>
        <w:ind w:left="432" w:hanging="432"/>
        <w:tabs>
          <w:tab w:val="num" w:pos="432" w:leader="none"/>
        </w:tabs>
      </w:pPr>
    </w:lvl>
    <w:lvl w:ilvl="1">
      <w:start w:val="1"/>
      <w:numFmt w:val="decimal"/>
      <w:pStyle w:val="1100"/>
      <w:isLgl w:val="false"/>
      <w:suff w:val="tab"/>
      <w:lvlText w:val=""/>
      <w:lvlJc w:val="left"/>
      <w:pPr>
        <w:pStyle w:val="1098"/>
        <w:ind w:left="576" w:hanging="576"/>
        <w:tabs>
          <w:tab w:val="num" w:pos="576" w:leader="none"/>
        </w:tabs>
      </w:pPr>
    </w:lvl>
    <w:lvl w:ilvl="2">
      <w:start w:val="1"/>
      <w:numFmt w:val="decimal"/>
      <w:pStyle w:val="1101"/>
      <w:isLgl w:val="false"/>
      <w:suff w:val="tab"/>
      <w:lvlText w:val=""/>
      <w:lvlJc w:val="left"/>
      <w:pPr>
        <w:pStyle w:val="1098"/>
        <w:ind w:left="720" w:hanging="720"/>
        <w:tabs>
          <w:tab w:val="num" w:pos="720" w:leader="none"/>
        </w:tabs>
      </w:pPr>
    </w:lvl>
    <w:lvl w:ilvl="3">
      <w:start w:val="1"/>
      <w:numFmt w:val="decimal"/>
      <w:pStyle w:val="1102"/>
      <w:isLgl w:val="false"/>
      <w:suff w:val="tab"/>
      <w:lvlText w:val=""/>
      <w:lvlJc w:val="left"/>
      <w:pPr>
        <w:pStyle w:val="1098"/>
        <w:ind w:left="864" w:hanging="864"/>
        <w:tabs>
          <w:tab w:val="num" w:pos="864" w:leader="none"/>
        </w:tabs>
      </w:pPr>
    </w:lvl>
    <w:lvl w:ilvl="4">
      <w:start w:val="1"/>
      <w:numFmt w:val="decimal"/>
      <w:pStyle w:val="1103"/>
      <w:isLgl w:val="false"/>
      <w:suff w:val="tab"/>
      <w:lvlText w:val=""/>
      <w:lvlJc w:val="left"/>
      <w:pPr>
        <w:pStyle w:val="1098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1098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1098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1098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1098"/>
        <w:ind w:left="1584" w:hanging="1584"/>
        <w:tabs>
          <w:tab w:val="num" w:pos="1584" w:leader="none"/>
        </w:tabs>
      </w:pPr>
    </w:lvl>
  </w:abstractNum>
  <w:abstractNum w:abstractNumId="1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pStyle w:val="1098"/>
        <w:ind w:left="720" w:hanging="360"/>
        <w:tabs>
          <w:tab w:val="num" w:pos="720" w:leader="none"/>
        </w:tabs>
      </w:pPr>
    </w:lvl>
    <w:lvl w:ilvl="1">
      <w:start w:val="0"/>
      <w:numFmt w:val="decimal"/>
      <w:isLgl w:val="false"/>
      <w:suff w:val="tab"/>
      <w:lvlText w:val=""/>
      <w:lvlJc w:val="left"/>
      <w:pPr>
        <w:pStyle w:val="1098"/>
        <w:ind w:left="0" w:firstLine="0"/>
        <w:tabs>
          <w:tab w:val="num" w:pos="360" w:leader="none"/>
        </w:tabs>
      </w:pPr>
    </w:lvl>
    <w:lvl w:ilvl="2">
      <w:start w:val="0"/>
      <w:numFmt w:val="decimal"/>
      <w:isLgl w:val="false"/>
      <w:suff w:val="tab"/>
      <w:lvlText w:val=""/>
      <w:lvlJc w:val="left"/>
      <w:pPr>
        <w:pStyle w:val="1098"/>
        <w:ind w:left="0" w:firstLine="0"/>
        <w:tabs>
          <w:tab w:val="num" w:pos="360" w:leader="none"/>
        </w:tabs>
      </w:pPr>
    </w:lvl>
    <w:lvl w:ilvl="3">
      <w:start w:val="0"/>
      <w:numFmt w:val="decimal"/>
      <w:isLgl w:val="false"/>
      <w:suff w:val="tab"/>
      <w:lvlText w:val=""/>
      <w:lvlJc w:val="left"/>
      <w:pPr>
        <w:pStyle w:val="1098"/>
        <w:ind w:left="0" w:firstLine="0"/>
        <w:tabs>
          <w:tab w:val="num" w:pos="360" w:leader="none"/>
        </w:tabs>
      </w:pPr>
    </w:lvl>
    <w:lvl w:ilvl="4">
      <w:start w:val="0"/>
      <w:numFmt w:val="decimal"/>
      <w:isLgl w:val="false"/>
      <w:suff w:val="tab"/>
      <w:lvlText w:val=""/>
      <w:lvlJc w:val="left"/>
      <w:pPr>
        <w:pStyle w:val="1098"/>
        <w:ind w:left="0" w:firstLine="0"/>
        <w:tabs>
          <w:tab w:val="num" w:pos="360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pStyle w:val="1098"/>
        <w:ind w:left="0" w:firstLine="0"/>
        <w:tabs>
          <w:tab w:val="num" w:pos="360" w:leader="none"/>
        </w:tabs>
      </w:pPr>
    </w:lvl>
    <w:lvl w:ilvl="6">
      <w:start w:val="0"/>
      <w:numFmt w:val="decimal"/>
      <w:isLgl w:val="false"/>
      <w:suff w:val="tab"/>
      <w:lvlText w:val=""/>
      <w:lvlJc w:val="left"/>
      <w:pPr>
        <w:pStyle w:val="1098"/>
        <w:ind w:left="0" w:firstLine="0"/>
        <w:tabs>
          <w:tab w:val="num" w:pos="360" w:leader="none"/>
        </w:tabs>
      </w:pPr>
    </w:lvl>
    <w:lvl w:ilvl="7">
      <w:start w:val="0"/>
      <w:numFmt w:val="decimal"/>
      <w:isLgl w:val="false"/>
      <w:suff w:val="tab"/>
      <w:lvlText w:val=""/>
      <w:lvlJc w:val="left"/>
      <w:pPr>
        <w:pStyle w:val="1098"/>
        <w:ind w:left="0" w:firstLine="0"/>
        <w:tabs>
          <w:tab w:val="num" w:pos="360" w:leader="none"/>
        </w:tabs>
      </w:pPr>
    </w:lvl>
    <w:lvl w:ilvl="8">
      <w:start w:val="0"/>
      <w:numFmt w:val="decimal"/>
      <w:isLgl w:val="false"/>
      <w:suff w:val="tab"/>
      <w:lvlText w:val=""/>
      <w:lvlJc w:val="left"/>
      <w:pPr>
        <w:pStyle w:val="1098"/>
        <w:ind w:left="0" w:firstLine="0"/>
        <w:tabs>
          <w:tab w:val="num" w:pos="36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pStyle w:val="1098"/>
        <w:ind w:left="360" w:hanging="360"/>
        <w:tabs>
          <w:tab w:val="num" w:pos="360" w:leader="none"/>
        </w:tabs>
      </w:pPr>
    </w:lvl>
    <w:lvl w:ilvl="1">
      <w:start w:val="2"/>
      <w:numFmt w:val="decimal"/>
      <w:isLgl w:val="false"/>
      <w:suff w:val="tab"/>
      <w:lvlText w:val="%1.%2"/>
      <w:lvlJc w:val="left"/>
      <w:pPr>
        <w:pStyle w:val="1098"/>
        <w:ind w:left="720" w:hanging="360"/>
        <w:tabs>
          <w:tab w:val="num" w:pos="720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pStyle w:val="1098"/>
        <w:ind w:left="1440" w:hanging="72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pStyle w:val="1098"/>
        <w:ind w:left="1800" w:hanging="72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pStyle w:val="1098"/>
        <w:ind w:left="2520" w:hanging="1080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pStyle w:val="1098"/>
        <w:ind w:left="2880" w:hanging="1080"/>
        <w:tabs>
          <w:tab w:val="num" w:pos="2880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pStyle w:val="1098"/>
        <w:ind w:left="3600" w:hanging="1440"/>
        <w:tabs>
          <w:tab w:val="num" w:pos="3600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pStyle w:val="1098"/>
        <w:ind w:left="3960" w:hanging="1440"/>
        <w:tabs>
          <w:tab w:val="num" w:pos="3960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pStyle w:val="1098"/>
        <w:ind w:left="4680" w:hanging="1800"/>
        <w:tabs>
          <w:tab w:val="num" w:pos="4680" w:leader="none"/>
        </w:tabs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pStyle w:val="1098"/>
        <w:ind w:left="219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pStyle w:val="1098"/>
        <w:ind w:left="291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pStyle w:val="1098"/>
        <w:ind w:left="363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pStyle w:val="1098"/>
        <w:ind w:left="435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pStyle w:val="1098"/>
        <w:ind w:left="507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pStyle w:val="1098"/>
        <w:ind w:left="579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pStyle w:val="1098"/>
        <w:ind w:left="651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pStyle w:val="1098"/>
        <w:ind w:left="723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pStyle w:val="1098"/>
        <w:ind w:left="795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pStyle w:val="1098"/>
        <w:ind w:left="360" w:hanging="360"/>
      </w:pPr>
    </w:lvl>
    <w:lvl w:ilvl="1">
      <w:start w:val="1"/>
      <w:numFmt w:val="decimal"/>
      <w:isLgl w:val="false"/>
      <w:suff w:val="tab"/>
      <w:lvlText w:val="%1.%2"/>
      <w:lvlJc w:val="left"/>
      <w:pPr>
        <w:pStyle w:val="1098"/>
        <w:ind w:left="786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pStyle w:val="1098"/>
        <w:ind w:left="1572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pStyle w:val="1098"/>
        <w:ind w:left="1998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pStyle w:val="1098"/>
        <w:ind w:left="2784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pStyle w:val="1098"/>
        <w:ind w:left="321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pStyle w:val="1098"/>
        <w:ind w:left="3996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pStyle w:val="1098"/>
        <w:ind w:left="4422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pStyle w:val="1098"/>
        <w:ind w:left="5208" w:hanging="180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pStyle w:val="1098"/>
        <w:ind w:left="2844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pStyle w:val="1098"/>
        <w:ind w:left="3564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pStyle w:val="1098"/>
        <w:ind w:left="4284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pStyle w:val="1098"/>
        <w:ind w:left="5004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pStyle w:val="1098"/>
        <w:ind w:left="5724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pStyle w:val="1098"/>
        <w:ind w:left="6444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pStyle w:val="1098"/>
        <w:ind w:left="7164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pStyle w:val="1098"/>
        <w:ind w:left="7884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pStyle w:val="1098"/>
        <w:ind w:left="8604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pStyle w:val="1098"/>
        <w:ind w:left="360" w:hanging="360"/>
      </w:pPr>
    </w:lvl>
    <w:lvl w:ilvl="1">
      <w:start w:val="1"/>
      <w:numFmt w:val="decimal"/>
      <w:isLgl w:val="false"/>
      <w:suff w:val="tab"/>
      <w:lvlText w:val="%1.%2"/>
      <w:lvlJc w:val="left"/>
      <w:pPr>
        <w:pStyle w:val="1098"/>
        <w:ind w:left="720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pStyle w:val="1098"/>
        <w:ind w:left="144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pStyle w:val="1098"/>
        <w:ind w:left="1800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pStyle w:val="1098"/>
        <w:ind w:left="252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pStyle w:val="1098"/>
        <w:ind w:left="28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pStyle w:val="1098"/>
        <w:ind w:left="360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pStyle w:val="1098"/>
        <w:ind w:left="396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pStyle w:val="1098"/>
        <w:ind w:left="4680" w:hanging="1800"/>
      </w:pPr>
    </w:lvl>
  </w:abstractNum>
  <w:abstractNum w:abstractNumId="7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pStyle w:val="1098"/>
        <w:ind w:left="360" w:hanging="360"/>
      </w:pPr>
    </w:lvl>
    <w:lvl w:ilvl="1">
      <w:start w:val="4"/>
      <w:numFmt w:val="decimal"/>
      <w:isLgl w:val="false"/>
      <w:suff w:val="tab"/>
      <w:lvlText w:val="%1.%2"/>
      <w:lvlJc w:val="left"/>
      <w:pPr>
        <w:pStyle w:val="1098"/>
        <w:ind w:left="720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pStyle w:val="1098"/>
        <w:ind w:left="144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pStyle w:val="1098"/>
        <w:ind w:left="1800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pStyle w:val="1098"/>
        <w:ind w:left="252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pStyle w:val="1098"/>
        <w:ind w:left="28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pStyle w:val="1098"/>
        <w:ind w:left="360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pStyle w:val="1098"/>
        <w:ind w:left="396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pStyle w:val="1098"/>
        <w:ind w:left="4680" w:hanging="18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1098"/>
    <w:next w:val="1098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1098"/>
    <w:next w:val="1098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1098"/>
    <w:next w:val="1098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1098"/>
    <w:next w:val="1098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1098"/>
    <w:next w:val="1098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1098"/>
    <w:next w:val="1098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098"/>
    <w:next w:val="1098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098"/>
    <w:next w:val="1098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098"/>
    <w:next w:val="1098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1098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1098"/>
    <w:next w:val="1098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1098"/>
    <w:next w:val="1098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1098"/>
    <w:next w:val="1098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1098"/>
    <w:next w:val="1098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1098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1098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1098"/>
    <w:next w:val="10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1098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1098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1098"/>
    <w:next w:val="1098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1098"/>
    <w:next w:val="1098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1098"/>
    <w:next w:val="1098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1098"/>
    <w:next w:val="1098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1098"/>
    <w:next w:val="1098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1098"/>
    <w:next w:val="1098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1098"/>
    <w:next w:val="1098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1098"/>
    <w:next w:val="1098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1098"/>
    <w:next w:val="1098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1098"/>
    <w:next w:val="1098"/>
    <w:uiPriority w:val="99"/>
    <w:unhideWhenUsed/>
    <w:pPr>
      <w:spacing w:after="0" w:afterAutospacing="0"/>
    </w:pPr>
  </w:style>
  <w:style w:type="paragraph" w:styleId="1098" w:default="1">
    <w:name w:val="Normal"/>
    <w:next w:val="1098"/>
    <w:link w:val="1098"/>
    <w:qFormat/>
    <w:rPr>
      <w:lang w:val="es-ES" w:eastAsia="ar-SA" w:bidi="ar-SA"/>
    </w:rPr>
  </w:style>
  <w:style w:type="paragraph" w:styleId="1099">
    <w:name w:val="Título 1"/>
    <w:basedOn w:val="1098"/>
    <w:next w:val="1098"/>
    <w:link w:val="1098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1100">
    <w:name w:val="Título 2"/>
    <w:basedOn w:val="1098"/>
    <w:next w:val="1098"/>
    <w:link w:val="1098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1101">
    <w:name w:val="Título 3"/>
    <w:basedOn w:val="1098"/>
    <w:next w:val="1098"/>
    <w:link w:val="1098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1102">
    <w:name w:val="Título 4"/>
    <w:basedOn w:val="1098"/>
    <w:next w:val="1098"/>
    <w:link w:val="1098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1103">
    <w:name w:val="Título 5"/>
    <w:basedOn w:val="1098"/>
    <w:next w:val="1098"/>
    <w:link w:val="1098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1104">
    <w:name w:val="Fuente de párrafo predeter."/>
    <w:next w:val="1104"/>
    <w:link w:val="1098"/>
    <w:semiHidden/>
  </w:style>
  <w:style w:type="table" w:styleId="1105">
    <w:name w:val="Tabla normal"/>
    <w:next w:val="1105"/>
    <w:link w:val="1098"/>
    <w:uiPriority w:val="99"/>
    <w:semiHidden/>
    <w:unhideWhenUsed/>
    <w:tblPr/>
  </w:style>
  <w:style w:type="numbering" w:styleId="1106">
    <w:name w:val="Sin lista"/>
    <w:next w:val="1106"/>
    <w:link w:val="1098"/>
    <w:uiPriority w:val="99"/>
    <w:semiHidden/>
    <w:unhideWhenUsed/>
  </w:style>
  <w:style w:type="character" w:styleId="1107">
    <w:name w:val="Absatz-Standardschriftart"/>
    <w:next w:val="1107"/>
    <w:link w:val="1098"/>
  </w:style>
  <w:style w:type="character" w:styleId="1108">
    <w:name w:val="WW-Absatz-Standardschriftart"/>
    <w:next w:val="1108"/>
    <w:link w:val="1098"/>
  </w:style>
  <w:style w:type="character" w:styleId="1109">
    <w:name w:val="WW-Absatz-Standardschriftart1"/>
    <w:next w:val="1109"/>
    <w:link w:val="1098"/>
  </w:style>
  <w:style w:type="character" w:styleId="1110">
    <w:name w:val="WW-Absatz-Standardschriftart11"/>
    <w:next w:val="1110"/>
    <w:link w:val="1098"/>
  </w:style>
  <w:style w:type="character" w:styleId="1111">
    <w:name w:val="WW8Num7z0"/>
    <w:next w:val="1111"/>
    <w:link w:val="1098"/>
    <w:rPr>
      <w:b w:val="0"/>
      <w:sz w:val="20"/>
    </w:rPr>
  </w:style>
  <w:style w:type="character" w:styleId="1112">
    <w:name w:val="WW8Num9z0"/>
    <w:next w:val="1112"/>
    <w:link w:val="1098"/>
    <w:rPr>
      <w:rFonts w:ascii="Wingdings" w:hAnsi="Wingdings"/>
    </w:rPr>
  </w:style>
  <w:style w:type="character" w:styleId="1113">
    <w:name w:val="Fuente de párrafo predeter.1"/>
    <w:next w:val="1113"/>
    <w:link w:val="1098"/>
  </w:style>
  <w:style w:type="character" w:styleId="1114">
    <w:name w:val="Número de página"/>
    <w:basedOn w:val="1113"/>
    <w:next w:val="1114"/>
    <w:link w:val="1098"/>
    <w:semiHidden/>
  </w:style>
  <w:style w:type="paragraph" w:styleId="1115">
    <w:name w:val="Encabezado1"/>
    <w:basedOn w:val="1098"/>
    <w:next w:val="1116"/>
    <w:link w:val="1098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116">
    <w:name w:val="Texto independiente"/>
    <w:basedOn w:val="1098"/>
    <w:next w:val="1116"/>
    <w:link w:val="1098"/>
    <w:semiHidden/>
    <w:pPr>
      <w:spacing w:before="0" w:after="120"/>
    </w:pPr>
  </w:style>
  <w:style w:type="paragraph" w:styleId="1117">
    <w:name w:val="Lista"/>
    <w:basedOn w:val="1116"/>
    <w:next w:val="1117"/>
    <w:link w:val="1098"/>
    <w:semiHidden/>
    <w:rPr>
      <w:rFonts w:cs="Tahoma"/>
    </w:rPr>
  </w:style>
  <w:style w:type="paragraph" w:styleId="1118">
    <w:name w:val="Etiqueta"/>
    <w:basedOn w:val="1098"/>
    <w:next w:val="1118"/>
    <w:link w:val="1098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1119">
    <w:name w:val="Índice"/>
    <w:basedOn w:val="1098"/>
    <w:next w:val="1119"/>
    <w:link w:val="1098"/>
    <w:pPr>
      <w:suppressLineNumbers/>
    </w:pPr>
    <w:rPr>
      <w:rFonts w:cs="Tahoma"/>
    </w:rPr>
  </w:style>
  <w:style w:type="paragraph" w:styleId="1120">
    <w:name w:val="Encabezado"/>
    <w:basedOn w:val="1098"/>
    <w:next w:val="1120"/>
    <w:link w:val="1098"/>
    <w:semiHidden/>
    <w:pPr>
      <w:tabs>
        <w:tab w:val="center" w:pos="4419" w:leader="none"/>
        <w:tab w:val="right" w:pos="8838" w:leader="none"/>
      </w:tabs>
    </w:pPr>
  </w:style>
  <w:style w:type="paragraph" w:styleId="1121">
    <w:name w:val="Pie de página"/>
    <w:basedOn w:val="1098"/>
    <w:next w:val="1121"/>
    <w:link w:val="1098"/>
    <w:semiHidden/>
    <w:pPr>
      <w:tabs>
        <w:tab w:val="center" w:pos="4419" w:leader="none"/>
        <w:tab w:val="right" w:pos="8838" w:leader="none"/>
      </w:tabs>
    </w:pPr>
  </w:style>
  <w:style w:type="paragraph" w:styleId="1122">
    <w:name w:val="Texto independiente 31"/>
    <w:basedOn w:val="1098"/>
    <w:next w:val="1122"/>
    <w:link w:val="1098"/>
    <w:pPr>
      <w:jc w:val="both"/>
      <w:widowControl w:val="off"/>
    </w:pPr>
    <w:rPr>
      <w:sz w:val="24"/>
      <w:lang w:val="es-ES_tradnl"/>
    </w:rPr>
  </w:style>
  <w:style w:type="paragraph" w:styleId="1123">
    <w:name w:val="Texto independiente 21"/>
    <w:basedOn w:val="1098"/>
    <w:next w:val="1123"/>
    <w:link w:val="1098"/>
    <w:pPr>
      <w:spacing w:before="0" w:after="120" w:line="480" w:lineRule="auto"/>
    </w:pPr>
  </w:style>
  <w:style w:type="paragraph" w:styleId="1124">
    <w:name w:val="Sangría 3 de t. independiente1"/>
    <w:basedOn w:val="1098"/>
    <w:next w:val="1124"/>
    <w:link w:val="1098"/>
    <w:pPr>
      <w:ind w:left="283" w:right="0" w:firstLine="0"/>
      <w:spacing w:before="0" w:after="120"/>
    </w:pPr>
    <w:rPr>
      <w:sz w:val="16"/>
      <w:szCs w:val="16"/>
    </w:rPr>
  </w:style>
  <w:style w:type="paragraph" w:styleId="1125">
    <w:name w:val="Contenido de la tabla"/>
    <w:basedOn w:val="1116"/>
    <w:next w:val="1125"/>
    <w:link w:val="1098"/>
    <w:pPr>
      <w:widowControl w:val="off"/>
    </w:pPr>
    <w:rPr>
      <w:sz w:val="24"/>
      <w:lang w:val="es-ES_tradnl"/>
    </w:rPr>
  </w:style>
  <w:style w:type="paragraph" w:styleId="1126">
    <w:name w:val="Encabezado de la tabla"/>
    <w:basedOn w:val="1125"/>
    <w:next w:val="1126"/>
    <w:link w:val="1098"/>
    <w:pPr>
      <w:jc w:val="center"/>
    </w:pPr>
    <w:rPr>
      <w:b/>
      <w:i/>
    </w:rPr>
  </w:style>
  <w:style w:type="paragraph" w:styleId="1127">
    <w:name w:val="Texto de globo"/>
    <w:basedOn w:val="1098"/>
    <w:next w:val="1127"/>
    <w:link w:val="1128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1128">
    <w:name w:val="Texto de globo Car"/>
    <w:next w:val="1128"/>
    <w:link w:val="1127"/>
    <w:uiPriority w:val="99"/>
    <w:semiHidden/>
    <w:rPr>
      <w:rFonts w:ascii="Tahoma" w:hAnsi="Tahoma" w:cs="Tahoma"/>
      <w:sz w:val="16"/>
      <w:szCs w:val="16"/>
      <w:lang w:eastAsia="ar-SA"/>
    </w:rPr>
  </w:style>
  <w:style w:type="character" w:styleId="1129">
    <w:name w:val="Hipervínculo"/>
    <w:next w:val="1129"/>
    <w:link w:val="1098"/>
    <w:rPr>
      <w:color w:val="0000ff"/>
      <w:u w:val="single"/>
    </w:rPr>
  </w:style>
  <w:style w:type="paragraph" w:styleId="1130">
    <w:name w:val="Párrafo de lista"/>
    <w:basedOn w:val="1098"/>
    <w:next w:val="1130"/>
    <w:link w:val="1098"/>
    <w:uiPriority w:val="34"/>
    <w:qFormat/>
    <w:pPr>
      <w:contextualSpacing/>
      <w:ind w:left="720"/>
    </w:pPr>
    <w:rPr>
      <w:lang w:eastAsia="es-ES"/>
    </w:rPr>
  </w:style>
  <w:style w:type="character" w:styleId="1393" w:default="1">
    <w:name w:val="Default Paragraph Font"/>
    <w:uiPriority w:val="1"/>
    <w:semiHidden/>
    <w:unhideWhenUsed/>
  </w:style>
  <w:style w:type="numbering" w:styleId="1394" w:default="1">
    <w:name w:val="No List"/>
    <w:uiPriority w:val="99"/>
    <w:semiHidden/>
    <w:unhideWhenUsed/>
  </w:style>
  <w:style w:type="table" w:styleId="139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3</cp:revision>
  <dcterms:created xsi:type="dcterms:W3CDTF">2020-10-05T16:05:00Z</dcterms:created>
  <dcterms:modified xsi:type="dcterms:W3CDTF">2025-06-25T15:53:24Z</dcterms:modified>
  <cp:version>786432</cp:version>
</cp:coreProperties>
</file>