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5.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108"/>
        <w:numPr>
          <w:ilvl w:val="0"/>
          <w:numId w:val="3"/>
        </w:numPr>
        <w:jc w:val="both"/>
        <w:spacing w:before="120" w:after="120"/>
      </w:pPr>
      <w:r>
        <w:rPr>
          <w:b/>
          <w:sz w:val="28"/>
          <w:szCs w:val="20"/>
          <w:lang w:val="es-MX"/>
        </w:rPr>
        <w:t xml:space="preserve">OBJETIVO</w:t>
      </w:r>
      <w:r/>
    </w:p>
    <w:p>
      <w:pPr>
        <w:pStyle w:val="1108"/>
        <w:ind w:left="357" w:right="0" w:firstLine="0"/>
        <w:jc w:val="both"/>
        <w:spacing w:before="120" w:after="120"/>
        <w:rPr>
          <w:b/>
          <w:sz w:val="28"/>
          <w:szCs w:val="20"/>
          <w:lang w:val="es-MX"/>
        </w:rPr>
      </w:pPr>
      <w:r>
        <w:t xml:space="preserve">El objetivo del Procedimiento de compras es establecer la metodología en que Control Montevideo se asegura la adquisición de productos o servicios.</w:t>
      </w:r>
      <w:r>
        <w:rPr>
          <w:b/>
          <w:sz w:val="28"/>
          <w:szCs w:val="20"/>
          <w:lang w:val="es-MX"/>
        </w:rPr>
      </w:r>
      <w:r/>
    </w:p>
    <w:p>
      <w:pPr>
        <w:pStyle w:val="1108"/>
        <w:numPr>
          <w:ilvl w:val="0"/>
          <w:numId w:val="3"/>
        </w:numPr>
        <w:jc w:val="both"/>
        <w:spacing w:before="120" w:after="120"/>
      </w:pPr>
      <w:r>
        <w:rPr>
          <w:b/>
          <w:sz w:val="28"/>
          <w:szCs w:val="20"/>
          <w:lang w:val="es-MX"/>
        </w:rPr>
        <w:t xml:space="preserve">ALCANCE</w:t>
      </w:r>
      <w:r/>
    </w:p>
    <w:p>
      <w:pPr>
        <w:pStyle w:val="1108"/>
        <w:ind w:left="360" w:right="0" w:firstLine="0"/>
        <w:jc w:val="both"/>
        <w:rPr>
          <w:b/>
          <w:sz w:val="28"/>
          <w:szCs w:val="20"/>
          <w:lang w:val="es-MX"/>
        </w:rPr>
      </w:pPr>
      <w:r>
        <w:t xml:space="preserve">Este procedimiento se aplica a todo el SGC implantado en CONMO.</w:t>
      </w:r>
      <w:r>
        <w:rPr>
          <w:b/>
          <w:sz w:val="28"/>
          <w:szCs w:val="20"/>
          <w:lang w:val="es-MX"/>
        </w:rPr>
      </w:r>
      <w:r/>
    </w:p>
    <w:p>
      <w:pPr>
        <w:pStyle w:val="1108"/>
        <w:numPr>
          <w:ilvl w:val="0"/>
          <w:numId w:val="3"/>
        </w:numPr>
        <w:jc w:val="both"/>
        <w:spacing w:before="120" w:after="120"/>
      </w:pPr>
      <w:r>
        <w:rPr>
          <w:b/>
          <w:sz w:val="28"/>
          <w:szCs w:val="20"/>
          <w:lang w:val="es-MX"/>
        </w:rPr>
        <w:t xml:space="preserve">REFERENCIAS</w:t>
      </w:r>
      <w:r/>
    </w:p>
    <w:p>
      <w:pPr>
        <w:pStyle w:val="1108"/>
        <w:ind w:left="0" w:right="0" w:firstLine="284"/>
        <w:jc w:val="both"/>
        <w:rPr>
          <w:b/>
          <w:sz w:val="28"/>
          <w:szCs w:val="20"/>
          <w:lang w:val="es-MX"/>
        </w:rPr>
      </w:pPr>
      <w:r>
        <w:t xml:space="preserve">3.1 Norma UNIT-ISO 9001:2015</w:t>
      </w:r>
      <w:r>
        <w:rPr>
          <w:b/>
          <w:sz w:val="28"/>
          <w:szCs w:val="20"/>
          <w:lang w:val="es-MX"/>
        </w:rPr>
      </w:r>
      <w:r/>
    </w:p>
    <w:p>
      <w:pPr>
        <w:pStyle w:val="1108"/>
        <w:numPr>
          <w:ilvl w:val="0"/>
          <w:numId w:val="3"/>
        </w:numPr>
        <w:jc w:val="both"/>
        <w:spacing w:before="120" w:after="120"/>
        <w:rPr>
          <w:szCs w:val="20"/>
        </w:rPr>
      </w:pPr>
      <w:r>
        <w:rPr>
          <w:b/>
          <w:sz w:val="28"/>
          <w:szCs w:val="20"/>
          <w:lang w:val="es-MX"/>
        </w:rPr>
        <w:t xml:space="preserve">RESPONSABILIDADES</w:t>
      </w:r>
      <w:r>
        <w:rPr>
          <w:szCs w:val="20"/>
        </w:rPr>
      </w:r>
      <w:r/>
    </w:p>
    <w:p>
      <w:pPr>
        <w:pStyle w:val="1108"/>
        <w:ind w:left="851" w:right="0" w:hanging="426"/>
        <w:jc w:val="both"/>
        <w:rPr>
          <w:szCs w:val="20"/>
        </w:rPr>
      </w:pPr>
      <w:r>
        <w:rPr>
          <w:szCs w:val="20"/>
        </w:rPr>
        <w:t xml:space="preserve">4.1 Aprobación: Prefecto del Puerto de Montevideo</w:t>
      </w:r>
      <w:r>
        <w:rPr>
          <w:szCs w:val="20"/>
        </w:rPr>
      </w:r>
      <w:r/>
    </w:p>
    <w:p>
      <w:pPr>
        <w:pStyle w:val="1108"/>
        <w:ind w:left="851" w:right="0" w:hanging="426"/>
        <w:jc w:val="both"/>
        <w:rPr>
          <w:szCs w:val="20"/>
        </w:rPr>
      </w:pPr>
      <w:r>
        <w:rPr>
          <w:szCs w:val="20"/>
        </w:rPr>
        <w:t xml:space="preserve">4.2 Revisión, Identificación y Actualización: Jefe de CONMO</w:t>
      </w:r>
      <w:r>
        <w:rPr>
          <w:szCs w:val="20"/>
        </w:rPr>
      </w:r>
      <w:r/>
    </w:p>
    <w:p>
      <w:pPr>
        <w:pStyle w:val="1108"/>
        <w:ind w:left="851" w:right="0" w:hanging="426"/>
        <w:jc w:val="both"/>
        <w:rPr>
          <w:szCs w:val="20"/>
        </w:rPr>
      </w:pPr>
      <w:r>
        <w:rPr>
          <w:szCs w:val="20"/>
        </w:rPr>
        <w:t xml:space="preserve">4.3 Distribución, Identificación de cambios y estado: Encargado del SGC</w:t>
      </w:r>
      <w:r>
        <w:rPr>
          <w:szCs w:val="20"/>
        </w:rPr>
      </w:r>
      <w:r/>
    </w:p>
    <w:p>
      <w:pPr>
        <w:pStyle w:val="1108"/>
        <w:ind w:left="851" w:right="0" w:hanging="426"/>
        <w:jc w:val="both"/>
        <w:rPr>
          <w:b/>
          <w:sz w:val="28"/>
          <w:szCs w:val="20"/>
          <w:lang w:val="es-MX"/>
        </w:rPr>
      </w:pPr>
      <w:r>
        <w:rPr>
          <w:szCs w:val="20"/>
        </w:rPr>
        <w:t xml:space="preserve">4.4 Disponibilidad y legibilidad: Usuario</w:t>
      </w:r>
      <w:r>
        <w:rPr>
          <w:sz w:val="20"/>
          <w:szCs w:val="20"/>
        </w:rPr>
        <w:t xml:space="preserve"> </w:t>
      </w:r>
      <w:r>
        <w:rPr>
          <w:b/>
          <w:sz w:val="28"/>
          <w:szCs w:val="20"/>
          <w:lang w:val="es-MX"/>
        </w:rPr>
      </w:r>
      <w:r/>
    </w:p>
    <w:p>
      <w:pPr>
        <w:pStyle w:val="1108"/>
        <w:numPr>
          <w:ilvl w:val="0"/>
          <w:numId w:val="3"/>
        </w:numPr>
        <w:jc w:val="both"/>
        <w:spacing w:before="120" w:after="120"/>
      </w:pPr>
      <w:r>
        <w:rPr>
          <w:b/>
          <w:sz w:val="28"/>
          <w:szCs w:val="20"/>
          <w:lang w:val="es-MX"/>
        </w:rPr>
        <w:t xml:space="preserve">DEFINICIONES, ABREVIATURAS Y SIMBOLOS</w:t>
      </w:r>
      <w:r/>
    </w:p>
    <w:p>
      <w:pPr>
        <w:pStyle w:val="1108"/>
        <w:ind w:left="720" w:right="0" w:firstLine="0"/>
        <w:jc w:val="both"/>
        <w:spacing w:before="120" w:after="120"/>
        <w:rPr>
          <w:b/>
          <w:sz w:val="28"/>
          <w:szCs w:val="20"/>
          <w:lang w:val="es-MX"/>
        </w:rPr>
      </w:pPr>
      <w:r>
        <w:t xml:space="preserve">MC – 422 – 02 </w:t>
      </w:r>
      <w:r>
        <w:rPr>
          <w:b/>
          <w:sz w:val="28"/>
          <w:szCs w:val="20"/>
          <w:lang w:val="es-MX"/>
        </w:rPr>
      </w:r>
      <w:r/>
    </w:p>
    <w:p>
      <w:pPr>
        <w:pStyle w:val="1108"/>
        <w:numPr>
          <w:ilvl w:val="0"/>
          <w:numId w:val="3"/>
        </w:numPr>
        <w:jc w:val="both"/>
        <w:spacing w:before="120" w:after="120"/>
        <w:rPr>
          <w:rFonts w:ascii="Times New Roman" w:hAnsi="Times New Roman" w:cs="Times New Roman"/>
          <w:b w:val="0"/>
          <w:szCs w:val="20"/>
          <w:lang w:val="es-ES_tradnl"/>
        </w:rPr>
      </w:pPr>
      <w:r>
        <w:rPr>
          <w:b/>
          <w:sz w:val="28"/>
          <w:szCs w:val="20"/>
          <w:lang w:val="es-MX"/>
        </w:rPr>
        <w:t xml:space="preserve">DESARROLLO</w:t>
      </w:r>
      <w:r>
        <w:rPr>
          <w:rFonts w:ascii="Times New Roman" w:hAnsi="Times New Roman" w:cs="Times New Roman"/>
          <w:b w:val="0"/>
          <w:szCs w:val="20"/>
          <w:lang w:val="es-ES_tradnl"/>
        </w:rPr>
      </w:r>
      <w:r/>
    </w:p>
    <w:p>
      <w:pPr>
        <w:pStyle w:val="1190"/>
        <w:numPr>
          <w:ilvl w:val="1"/>
          <w:numId w:val="3"/>
        </w:numPr>
        <w:spacing w:line="276" w:lineRule="auto"/>
        <w:rPr>
          <w:rFonts w:ascii="Times New Roman" w:hAnsi="Times New Roman" w:cs="Times New Roman"/>
          <w:b w:val="0"/>
          <w:szCs w:val="20"/>
          <w:lang w:val="es-ES_tradnl"/>
        </w:rPr>
      </w:pPr>
      <w:r>
        <w:rPr>
          <w:rFonts w:ascii="Times New Roman" w:hAnsi="Times New Roman" w:cs="Times New Roman"/>
          <w:b w:val="0"/>
          <w:szCs w:val="20"/>
          <w:lang w:val="es-ES_tradnl"/>
        </w:rPr>
        <w:t xml:space="preserve">El Centro de Control e Información del Movimiento Marítimo </w:t>
      </w:r>
      <w:r>
        <w:rPr>
          <w:rFonts w:ascii="Times New Roman" w:hAnsi="Times New Roman" w:cs="Times New Roman"/>
          <w:b w:val="0"/>
          <w:szCs w:val="20"/>
          <w:lang w:val="es-ES_tradnl"/>
        </w:rPr>
        <w:t xml:space="preserve">del Puerto de Montevideo en lo referente a las compras de productos  lo hace a través del División III Logística  de PREMO por medio del FO 840-01, quien selecciona a los proveedores según lo establecido por EMPRE-DIVLO (Estado Mayor y División Logística d</w:t>
      </w:r>
      <w:r>
        <w:rPr>
          <w:rFonts w:ascii="Times New Roman" w:hAnsi="Times New Roman" w:cs="Times New Roman"/>
          <w:b w:val="0"/>
          <w:szCs w:val="20"/>
          <w:lang w:val="es-ES_tradnl"/>
        </w:rPr>
        <w:t xml:space="preserve">e Prefectura Nacional Naval) en función de su capacidad para suministrar los productos de acuerdo a los requisitos establecidos, dicha División III Logística  registra y conserva registros de la calidad de los suministradores evaluados y de su seguimiento.</w:t>
      </w:r>
      <w:r>
        <w:rPr>
          <w:rFonts w:ascii="Times New Roman" w:hAnsi="Times New Roman" w:cs="Times New Roman"/>
          <w:b w:val="0"/>
          <w:szCs w:val="20"/>
          <w:lang w:val="es-ES_tradnl"/>
        </w:rPr>
      </w:r>
      <w:r/>
    </w:p>
    <w:p>
      <w:pPr>
        <w:pStyle w:val="1190"/>
        <w:numPr>
          <w:ilvl w:val="1"/>
          <w:numId w:val="3"/>
        </w:numPr>
        <w:spacing w:line="276" w:lineRule="auto"/>
        <w:tabs>
          <w:tab w:val="left" w:pos="1134" w:leader="none"/>
        </w:tabs>
        <w:rPr>
          <w:rFonts w:ascii="Times New Roman" w:hAnsi="Times New Roman" w:cs="Times New Roman"/>
          <w:b w:val="0"/>
          <w:szCs w:val="20"/>
          <w:lang w:val="es-ES_tradnl"/>
        </w:rPr>
      </w:pPr>
      <w:r>
        <w:rPr>
          <w:rFonts w:ascii="Times New Roman" w:hAnsi="Times New Roman" w:cs="Times New Roman"/>
          <w:b w:val="0"/>
          <w:szCs w:val="20"/>
          <w:lang w:val="es-ES_tradnl"/>
        </w:rPr>
        <w:t xml:space="preserve">La solicitud de Compra la realiza el Jefe de CONMO, completando el FO – 840- 01 y entregándolo División III Logística de PREMO, quien evalúa dicha solicitud.</w:t>
      </w:r>
      <w:r>
        <w:rPr>
          <w:rFonts w:ascii="Times New Roman" w:hAnsi="Times New Roman" w:cs="Times New Roman"/>
          <w:b w:val="0"/>
          <w:szCs w:val="20"/>
          <w:lang w:val="es-ES_tradnl"/>
        </w:rPr>
      </w:r>
      <w:r/>
    </w:p>
    <w:p>
      <w:pPr>
        <w:pStyle w:val="1190"/>
        <w:numPr>
          <w:ilvl w:val="1"/>
          <w:numId w:val="3"/>
        </w:numPr>
        <w:ind w:left="1134" w:right="0" w:hanging="708"/>
        <w:spacing w:line="276" w:lineRule="auto"/>
        <w:tabs>
          <w:tab w:val="left" w:pos="1134" w:leader="none"/>
        </w:tabs>
        <w:rPr>
          <w:rFonts w:ascii="Times New Roman" w:hAnsi="Times New Roman" w:cs="Times New Roman"/>
          <w:b w:val="0"/>
          <w:szCs w:val="20"/>
          <w:lang w:val="es-ES_tradnl"/>
        </w:rPr>
        <w:sectPr>
          <w:headerReference w:type="default" r:id="rId9"/>
          <w:headerReference w:type="first" r:id="rId10"/>
          <w:footerReference w:type="default" r:id="rId14"/>
          <w:footerReference w:type="even" r:id="rId15"/>
          <w:footerReference w:type="first" r:id="rId16"/>
          <w:footnotePr/>
          <w:endnotePr/>
          <w:type w:val="nextPage"/>
          <w:pgSz w:w="11906" w:h="16838" w:orient="portrait"/>
          <w:pgMar w:top="1417" w:right="1133" w:bottom="1417" w:left="1701" w:header="708" w:footer="708" w:gutter="0"/>
          <w:cols w:num="1" w:sep="0" w:space="1701" w:equalWidth="1"/>
          <w:docGrid w:linePitch="360"/>
        </w:sectPr>
      </w:pPr>
      <w:r>
        <w:rPr>
          <w:rFonts w:ascii="Times New Roman" w:hAnsi="Times New Roman" w:cs="Times New Roman"/>
          <w:b w:val="0"/>
          <w:szCs w:val="20"/>
          <w:lang w:val="es-ES_tradnl"/>
        </w:rPr>
        <w:t xml:space="preserve">En caso de que el producto adquirido no cumpla con las especificaciones esta</w:t>
      </w:r>
      <w:r>
        <w:rPr>
          <w:rFonts w:ascii="Times New Roman" w:hAnsi="Times New Roman" w:cs="Times New Roman"/>
          <w:b w:val="0"/>
          <w:szCs w:val="20"/>
          <w:lang w:val="es-ES_tradnl"/>
        </w:rPr>
        <w:t xml:space="preserve">blecidas por Control Montevideo, se confeccionará el formulario de “Registro de Incidente con el Proveedor” FO -840 -02 y se enviará al Departamento Contable de PREMO, a los efectos de que coordine con el proveedor la manera de subsanar la falla detectada.</w:t>
      </w:r>
      <w:r>
        <w:rPr>
          <w:rFonts w:ascii="Times New Roman" w:hAnsi="Times New Roman" w:cs="Times New Roman"/>
          <w:b w:val="0"/>
          <w:szCs w:val="20"/>
          <w:lang w:val="es-ES_tradnl"/>
        </w:rPr>
      </w:r>
      <w:r/>
    </w:p>
    <w:p>
      <w:pPr>
        <w:pStyle w:val="1190"/>
        <w:numPr>
          <w:ilvl w:val="1"/>
          <w:numId w:val="3"/>
        </w:numPr>
        <w:ind w:left="1134" w:right="0" w:hanging="708"/>
        <w:spacing w:line="276" w:lineRule="auto"/>
        <w:tabs>
          <w:tab w:val="left" w:pos="1134" w:leader="none"/>
        </w:tabs>
        <w:rPr>
          <w:rFonts w:ascii="Times New Roman" w:hAnsi="Times New Roman" w:cs="Times New Roman"/>
          <w:b w:val="0"/>
        </w:rPr>
      </w:pPr>
      <w:r>
        <w:rPr>
          <w:rFonts w:ascii="Times New Roman" w:hAnsi="Times New Roman" w:cs="Times New Roman"/>
          <w:b w:val="0"/>
          <w:szCs w:val="20"/>
          <w:lang w:val="es-ES_tradnl"/>
        </w:rPr>
        <w:t xml:space="preserve">Todos los proveedores de servicios y/o productos detallados en la ficha de procesos del Ma</w:t>
      </w:r>
      <w:r>
        <w:rPr>
          <w:rFonts w:ascii="Times New Roman" w:hAnsi="Times New Roman" w:cs="Times New Roman"/>
          <w:b w:val="0"/>
          <w:szCs w:val="20"/>
          <w:lang w:val="es-ES_tradnl"/>
        </w:rPr>
        <w:t xml:space="preserve">nual de la Calidad, serán evaluados según el formulario de “Evaluación de Proveedores” RE-840-03 del presente procedimiento. En el caso de que existiese algún incidente también se hará uso del formulario “Registro de Incidente con el Proveedor” RE-840-02. </w:t>
      </w:r>
      <w:r>
        <w:rPr>
          <w:rFonts w:ascii="Times New Roman" w:hAnsi="Times New Roman" w:cs="Times New Roman"/>
          <w:b w:val="0"/>
        </w:rPr>
      </w:r>
      <w:r/>
    </w:p>
    <w:p>
      <w:pPr>
        <w:pStyle w:val="1190"/>
        <w:numPr>
          <w:ilvl w:val="1"/>
          <w:numId w:val="3"/>
        </w:numPr>
        <w:ind w:left="1134" w:right="0" w:hanging="708"/>
        <w:spacing w:line="276" w:lineRule="auto"/>
        <w:tabs>
          <w:tab w:val="left" w:pos="1134" w:leader="none"/>
        </w:tabs>
      </w:pPr>
      <w:r>
        <w:rPr>
          <w:rFonts w:ascii="Times New Roman" w:hAnsi="Times New Roman" w:cs="Times New Roman"/>
          <w:b w:val="0"/>
        </w:rPr>
        <w:t xml:space="preserve">En el RE – 840 -03 se considerarán los siguientes parámetros de calificación:</w:t>
      </w:r>
      <w:r/>
    </w:p>
    <w:p>
      <w:pPr>
        <w:pStyle w:val="1108"/>
        <w:numPr>
          <w:ilvl w:val="0"/>
          <w:numId w:val="2"/>
        </w:numPr>
        <w:ind w:left="1985" w:right="0" w:hanging="851"/>
        <w:spacing w:line="276" w:lineRule="auto"/>
      </w:pPr>
      <w:r>
        <w:t xml:space="preserve">Muy bueno</w:t>
        <w:tab/>
        <w:t xml:space="preserve">5 (sobrepasó las expectativas de CONMO)</w:t>
      </w:r>
      <w:r/>
    </w:p>
    <w:p>
      <w:pPr>
        <w:pStyle w:val="1108"/>
        <w:numPr>
          <w:ilvl w:val="0"/>
          <w:numId w:val="2"/>
        </w:numPr>
        <w:ind w:left="1985" w:right="0" w:hanging="851"/>
        <w:spacing w:line="276" w:lineRule="auto"/>
      </w:pPr>
      <w:r>
        <w:t xml:space="preserve">Bueno</w:t>
        <w:tab/>
        <w:tab/>
        <w:t xml:space="preserve">4 (Cumplió lo solicitado satisfactoriamente)</w:t>
      </w:r>
      <w:r/>
    </w:p>
    <w:p>
      <w:pPr>
        <w:pStyle w:val="1108"/>
        <w:numPr>
          <w:ilvl w:val="0"/>
          <w:numId w:val="2"/>
        </w:numPr>
        <w:ind w:left="1985" w:right="0" w:hanging="851"/>
        <w:spacing w:line="276" w:lineRule="auto"/>
      </w:pPr>
      <w:r>
        <w:t xml:space="preserve">Aceptable</w:t>
        <w:tab/>
        <w:t xml:space="preserve">3 (Sólo cumplió lo estipulado)</w:t>
      </w:r>
      <w:r/>
    </w:p>
    <w:p>
      <w:pPr>
        <w:pStyle w:val="1108"/>
        <w:numPr>
          <w:ilvl w:val="0"/>
          <w:numId w:val="2"/>
        </w:numPr>
        <w:ind w:left="1985" w:right="0" w:hanging="851"/>
        <w:spacing w:line="276" w:lineRule="auto"/>
      </w:pPr>
      <w:r>
        <w:t xml:space="preserve">Irregular</w:t>
        <w:tab/>
        <w:t xml:space="preserve">            2 (Cumplió/No cumplió con lo solicitado – Se poseen registros de Incidentes con el proveedor)</w:t>
      </w:r>
      <w:r/>
    </w:p>
    <w:p>
      <w:pPr>
        <w:pStyle w:val="1108"/>
        <w:numPr>
          <w:ilvl w:val="0"/>
          <w:numId w:val="2"/>
        </w:numPr>
        <w:ind w:left="1985" w:right="0" w:hanging="851"/>
        <w:spacing w:line="276" w:lineRule="auto"/>
      </w:pPr>
      <w:r>
        <w:t xml:space="preserve">Malo</w:t>
        <w:tab/>
        <w:tab/>
        <w:t xml:space="preserve">1 (No Cumplió) </w:t>
      </w:r>
      <w:r/>
    </w:p>
    <w:p>
      <w:pPr>
        <w:pStyle w:val="1108"/>
        <w:numPr>
          <w:ilvl w:val="0"/>
          <w:numId w:val="2"/>
        </w:numPr>
        <w:ind w:left="1985" w:right="0" w:hanging="851"/>
        <w:spacing w:line="276" w:lineRule="auto"/>
      </w:pPr>
      <w:r>
        <w:t xml:space="preserve">NA                    0(No aplica)</w:t>
      </w:r>
      <w:r/>
    </w:p>
    <w:p>
      <w:pPr>
        <w:pStyle w:val="1108"/>
        <w:numPr>
          <w:ilvl w:val="1"/>
          <w:numId w:val="3"/>
        </w:numPr>
        <w:ind w:left="1095" w:right="0" w:hanging="669"/>
        <w:spacing w:line="276" w:lineRule="auto"/>
      </w:pPr>
      <w:r>
        <w:t xml:space="preserve">La evaluación en los ítems detallados, se realizará solamente en el caso de que se aplique y el cálculo del porcentaje total se realizará en función a los ítems evaluados siendo proporcional con respecto un 100%.</w:t>
      </w:r>
      <w:r/>
    </w:p>
    <w:p>
      <w:pPr>
        <w:pStyle w:val="1108"/>
        <w:numPr>
          <w:ilvl w:val="1"/>
          <w:numId w:val="3"/>
        </w:numPr>
        <w:ind w:left="1095" w:right="0" w:hanging="669"/>
        <w:spacing w:line="276" w:lineRule="auto"/>
        <w:rPr>
          <w:rFonts w:eastAsia="+mn-ea"/>
          <w:color w:val="000000"/>
          <w:szCs w:val="22"/>
          <w:lang w:val="es-ES"/>
        </w:rPr>
      </w:pPr>
      <w:r>
        <w:t xml:space="preserve">Una vez obtenido el puntaje total se tendrá en cuenta el siguiente criterio de evaluación:</w:t>
      </w:r>
      <w:r>
        <w:rPr>
          <w:rFonts w:eastAsia="+mn-ea"/>
          <w:color w:val="000000"/>
          <w:szCs w:val="22"/>
          <w:lang w:val="es-ES"/>
        </w:rPr>
      </w:r>
      <w:r/>
    </w:p>
    <w:p>
      <w:pPr>
        <w:pStyle w:val="1192"/>
        <w:numPr>
          <w:ilvl w:val="0"/>
          <w:numId w:val="4"/>
        </w:numPr>
        <w:ind w:left="1843" w:right="0" w:hanging="669"/>
        <w:spacing w:before="0" w:after="0" w:line="276" w:lineRule="auto"/>
        <w:rPr>
          <w:rFonts w:eastAsia="+mn-ea"/>
          <w:color w:val="000000"/>
          <w:szCs w:val="22"/>
          <w:lang w:val="es-ES"/>
        </w:rPr>
      </w:pPr>
      <w:r>
        <w:rPr>
          <w:rFonts w:eastAsia="+mn-ea"/>
          <w:color w:val="000000"/>
          <w:szCs w:val="22"/>
          <w:lang w:val="es-ES"/>
        </w:rPr>
        <w:t xml:space="preserve">Entre 85% y 100%: </w:t>
        <w:tab/>
        <w:t xml:space="preserve">Se evalúa al proveedor con un desempeño notable</w:t>
      </w:r>
      <w:r>
        <w:rPr>
          <w:rFonts w:eastAsia="+mn-ea"/>
          <w:color w:val="000000"/>
          <w:szCs w:val="22"/>
          <w:lang w:val="es-ES"/>
        </w:rPr>
      </w:r>
      <w:r/>
    </w:p>
    <w:p>
      <w:pPr>
        <w:pStyle w:val="1192"/>
        <w:numPr>
          <w:ilvl w:val="0"/>
          <w:numId w:val="4"/>
        </w:numPr>
        <w:ind w:left="1843" w:right="0" w:hanging="669"/>
        <w:spacing w:before="0" w:after="0" w:line="276" w:lineRule="auto"/>
        <w:rPr>
          <w:rFonts w:eastAsia="+mn-ea"/>
          <w:color w:val="000000"/>
          <w:szCs w:val="22"/>
          <w:lang w:val="es-ES"/>
        </w:rPr>
      </w:pPr>
      <w:r>
        <w:rPr>
          <w:rFonts w:eastAsia="+mn-ea"/>
          <w:color w:val="000000"/>
          <w:szCs w:val="22"/>
          <w:lang w:val="es-ES"/>
        </w:rPr>
        <w:t xml:space="preserve">Entre 60% y 84%:</w:t>
        <w:tab/>
        <w:t xml:space="preserve">Se evalúa al proveedor con un desempeño confiable</w:t>
      </w:r>
      <w:r>
        <w:rPr>
          <w:rFonts w:eastAsia="+mn-ea"/>
          <w:color w:val="000000"/>
          <w:szCs w:val="22"/>
        </w:rPr>
        <w:t xml:space="preserve"> </w:t>
      </w:r>
      <w:r>
        <w:rPr>
          <w:rFonts w:eastAsia="+mn-ea"/>
          <w:color w:val="000000"/>
          <w:szCs w:val="22"/>
          <w:lang w:val="es-ES"/>
        </w:rPr>
      </w:r>
      <w:r/>
    </w:p>
    <w:p>
      <w:pPr>
        <w:pStyle w:val="1192"/>
        <w:numPr>
          <w:ilvl w:val="0"/>
          <w:numId w:val="4"/>
        </w:numPr>
        <w:ind w:left="1843" w:right="0" w:hanging="669"/>
        <w:spacing w:before="0" w:after="0" w:line="276" w:lineRule="auto"/>
        <w:rPr>
          <w:rFonts w:eastAsia="+mn-ea"/>
          <w:color w:val="000000"/>
          <w:szCs w:val="22"/>
          <w:lang w:val="es-ES"/>
        </w:rPr>
      </w:pPr>
      <w:r>
        <w:rPr>
          <w:rFonts w:eastAsia="+mn-ea"/>
          <w:color w:val="000000"/>
          <w:szCs w:val="22"/>
          <w:lang w:val="es-ES"/>
        </w:rPr>
        <w:t xml:space="preserve">Entre 40% y 59% : </w:t>
        <w:tab/>
        <w:t xml:space="preserve">Riesgoso Irregular considerar tomar acciones correctivas por no conformidades con el proveedor</w:t>
      </w:r>
      <w:r>
        <w:rPr>
          <w:rFonts w:eastAsia="+mn-ea"/>
          <w:color w:val="000000"/>
          <w:szCs w:val="22"/>
          <w:lang w:val="es-ES"/>
        </w:rPr>
      </w:r>
      <w:r/>
    </w:p>
    <w:p>
      <w:pPr>
        <w:pStyle w:val="1192"/>
        <w:numPr>
          <w:ilvl w:val="0"/>
          <w:numId w:val="4"/>
        </w:numPr>
        <w:ind w:left="1843" w:right="0" w:hanging="669"/>
        <w:spacing w:before="0" w:after="0" w:line="276" w:lineRule="auto"/>
      </w:pPr>
      <w:r>
        <w:rPr>
          <w:rFonts w:eastAsia="+mn-ea"/>
          <w:color w:val="000000"/>
          <w:szCs w:val="22"/>
          <w:lang w:val="es-ES"/>
        </w:rPr>
        <w:t xml:space="preserve">Menos de 39%:</w:t>
        <w:tab/>
        <w:t xml:space="preserve">Crítico Proveedor calificado como Malo se toman acciones correctivas</w:t>
      </w:r>
      <w:r>
        <w:rPr>
          <w:rFonts w:eastAsia="+mn-ea"/>
          <w:color w:val="000000"/>
          <w:szCs w:val="22"/>
        </w:rPr>
        <w:t xml:space="preserve"> </w:t>
      </w:r>
      <w:r/>
    </w:p>
    <w:p>
      <w:pPr>
        <w:pStyle w:val="1192"/>
        <w:ind w:left="1174" w:right="0" w:firstLine="0"/>
        <w:spacing w:before="0" w:after="0" w:line="276" w:lineRule="auto"/>
      </w:pPr>
      <w:r/>
      <w:r/>
    </w:p>
    <w:p>
      <w:pPr>
        <w:pStyle w:val="1192"/>
        <w:numPr>
          <w:ilvl w:val="1"/>
          <w:numId w:val="3"/>
        </w:numPr>
        <w:jc w:val="both"/>
        <w:spacing w:before="0" w:after="0" w:line="276" w:lineRule="auto"/>
        <w:rPr>
          <w:rFonts w:eastAsia="+mn-ea"/>
          <w:color w:val="000000"/>
          <w:szCs w:val="22"/>
        </w:rPr>
      </w:pPr>
      <w:r>
        <w:rPr>
          <w:rFonts w:eastAsia="+mn-ea"/>
          <w:color w:val="000000"/>
          <w:szCs w:val="22"/>
        </w:rPr>
        <w:t xml:space="preserve">Una vez finalizda la Evaluacion a los Provedores, se reliza la comunicacion a los Proveedore mediante Nota de Calificacio</w:t>
      </w:r>
      <w:r>
        <w:rPr>
          <w:rFonts w:eastAsia="+mn-ea"/>
          <w:color w:val="000000"/>
          <w:szCs w:val="22"/>
        </w:rPr>
        <w:t xml:space="preserve">n del Producto/Servicio Prestado, los resultados deben ser sobre el promedio de los criterios mencionados, una calificacion insatisfactoria supodra la no aprovacion como Proveedor de CONMO. Según lo establesido en el Anexo “ECO” Comunicacion a Proveedores”</w:t>
      </w:r>
      <w:r>
        <w:rPr>
          <w:rFonts w:eastAsia="+mn-ea"/>
          <w:color w:val="000000"/>
          <w:szCs w:val="22"/>
        </w:rPr>
      </w:r>
      <w:r/>
    </w:p>
    <w:p>
      <w:pPr>
        <w:pStyle w:val="1192"/>
        <w:numPr>
          <w:ilvl w:val="1"/>
          <w:numId w:val="3"/>
        </w:numPr>
        <w:jc w:val="both"/>
        <w:spacing w:before="0" w:after="0" w:line="276" w:lineRule="auto"/>
        <w:rPr>
          <w:rFonts w:eastAsia="+mn-ea"/>
          <w:color w:val="000000"/>
          <w:szCs w:val="22"/>
        </w:rPr>
      </w:pPr>
      <w:r>
        <w:rPr>
          <w:rFonts w:eastAsia="+mn-ea"/>
          <w:color w:val="000000"/>
          <w:szCs w:val="22"/>
        </w:rPr>
        <w:t xml:space="preserve">En los casos de que el proveedor demuestre un desempeño riesgoso o crítico, se deberá tomar un Plan de Acción enfocado en mejorar los criterios en los cuales obtuvo menor calificación y cuyo peso en la calificación final es considerablemente alto. El pro</w:t>
      </w:r>
      <w:r>
        <w:rPr>
          <w:rFonts w:eastAsia="+mn-ea"/>
          <w:color w:val="000000"/>
          <w:szCs w:val="22"/>
        </w:rPr>
        <w:t xml:space="preserve">veedor deberá presentar mejoría en su calificación en el tiempo que dure la implementación del Plan de acción propuesto, de lo contrario la organización deberá tomar acciones al respecto. Estas consideraciones serán tomadas en la Revisión por la Dirección.</w:t>
      </w:r>
      <w:r>
        <w:rPr>
          <w:rFonts w:eastAsia="+mn-ea"/>
          <w:color w:val="000000"/>
          <w:szCs w:val="22"/>
        </w:rPr>
      </w:r>
      <w:r/>
    </w:p>
    <w:p>
      <w:pPr>
        <w:pStyle w:val="1192"/>
        <w:numPr>
          <w:ilvl w:val="1"/>
          <w:numId w:val="3"/>
        </w:numPr>
        <w:jc w:val="both"/>
        <w:spacing w:before="0" w:after="0" w:line="276" w:lineRule="auto"/>
        <w:rPr>
          <w:rFonts w:eastAsia="+mn-ea"/>
          <w:color w:val="000000"/>
          <w:szCs w:val="22"/>
        </w:rPr>
      </w:pPr>
      <w:r>
        <w:rPr>
          <w:rFonts w:eastAsia="+mn-ea"/>
          <w:color w:val="000000"/>
          <w:szCs w:val="22"/>
        </w:rPr>
        <w:t xml:space="preserve">Para la verificación de los productos o servicios prestados, se establece en el Anexo “DELTA” Verificación de los Productos/Servicios prestados RE – 840 – 04. Dicho formulario se completará en caso de realizarse inspecciones u otras acti</w:t>
      </w:r>
      <w:r>
        <w:rPr>
          <w:rFonts w:eastAsia="+mn-ea"/>
          <w:color w:val="000000"/>
          <w:szCs w:val="22"/>
        </w:rPr>
        <w:t xml:space="preserve">vidades necesarias para asegurar el cumplimiento de los requisitos de compra, o prestación del servicio. También se podrá establecer en la información de compra, las disposiciones para la verificación pretendida y el método para la liberación del producto.</w:t>
      </w:r>
      <w:r>
        <w:rPr>
          <w:rFonts w:eastAsia="+mn-ea"/>
          <w:color w:val="000000"/>
          <w:szCs w:val="22"/>
        </w:rPr>
      </w:r>
      <w:r/>
    </w:p>
    <w:p>
      <w:pPr>
        <w:pStyle w:val="1192"/>
        <w:jc w:val="both"/>
        <w:spacing w:before="0" w:after="0" w:line="276" w:lineRule="auto"/>
        <w:rPr>
          <w:rFonts w:eastAsia="+mn-ea"/>
          <w:color w:val="000000"/>
          <w:szCs w:val="22"/>
        </w:rPr>
      </w:pPr>
      <w:r>
        <w:rPr>
          <w:rFonts w:eastAsia="+mn-ea"/>
          <w:color w:val="000000"/>
          <w:szCs w:val="22"/>
        </w:rPr>
      </w:r>
      <w:r/>
    </w:p>
    <w:p>
      <w:pPr>
        <w:pStyle w:val="1192"/>
        <w:jc w:val="both"/>
        <w:spacing w:before="0" w:after="0" w:line="276" w:lineRule="auto"/>
        <w:rPr>
          <w:rFonts w:eastAsia="+mn-ea"/>
          <w:color w:val="000000"/>
          <w:szCs w:val="22"/>
        </w:rPr>
      </w:pPr>
      <w:r>
        <w:rPr>
          <w:rFonts w:eastAsia="+mn-ea"/>
          <w:color w:val="000000"/>
          <w:szCs w:val="22"/>
        </w:rPr>
      </w:r>
      <w:r/>
    </w:p>
    <w:p>
      <w:pPr>
        <w:pStyle w:val="1192"/>
        <w:numPr>
          <w:ilvl w:val="1"/>
          <w:numId w:val="3"/>
        </w:numPr>
        <w:ind w:left="993" w:right="0" w:hanging="142"/>
        <w:jc w:val="both"/>
        <w:spacing w:before="0" w:after="0" w:line="276" w:lineRule="auto"/>
        <w:rPr>
          <w:rFonts w:eastAsia="+mn-ea"/>
          <w:color w:val="000000"/>
          <w:szCs w:val="22"/>
        </w:rPr>
      </w:pPr>
      <w:r>
        <w:rPr>
          <w:rFonts w:eastAsia="+mn-ea"/>
          <w:color w:val="000000"/>
          <w:szCs w:val="22"/>
        </w:rPr>
        <w:t xml:space="preserve"> </w:t>
      </w:r>
      <w:r>
        <w:rPr>
          <w:rFonts w:eastAsia="+mn-ea"/>
          <w:color w:val="000000"/>
          <w:szCs w:val="22"/>
        </w:rPr>
        <w:t xml:space="preserve">Información para los proveedores externos:</w:t>
      </w:r>
      <w:r>
        <w:rPr>
          <w:rFonts w:eastAsia="+mn-ea"/>
          <w:color w:val="000000"/>
          <w:szCs w:val="22"/>
        </w:rPr>
      </w:r>
      <w:r/>
    </w:p>
    <w:p>
      <w:pPr>
        <w:pStyle w:val="1192"/>
        <w:ind w:left="1134" w:right="0" w:firstLine="0"/>
        <w:jc w:val="both"/>
        <w:spacing w:before="0" w:after="0" w:line="276" w:lineRule="auto"/>
        <w:rPr>
          <w:rFonts w:ascii="Times New Roman" w:hAnsi="Times New Roman" w:cs="Times New Roman"/>
          <w:b w:val="0"/>
          <w:szCs w:val="20"/>
          <w:lang w:val="es-ES_tradnl"/>
        </w:rPr>
      </w:pPr>
      <w:r>
        <w:rPr>
          <w:rFonts w:eastAsia="+mn-ea"/>
          <w:color w:val="000000"/>
          <w:szCs w:val="22"/>
        </w:rPr>
        <w:t xml:space="preserve">De forma anual y de acuerdo al calendario de la calidad se comunicará mediante correo electrónico la sistemática de evaluación a los proveedores externos. </w:t>
      </w:r>
      <w:r>
        <w:rPr>
          <w:rFonts w:ascii="Times New Roman" w:hAnsi="Times New Roman" w:cs="Times New Roman"/>
          <w:b w:val="0"/>
          <w:szCs w:val="20"/>
          <w:lang w:val="es-ES_tradnl"/>
        </w:rPr>
      </w:r>
      <w:r/>
    </w:p>
    <w:p>
      <w:pPr>
        <w:pStyle w:val="1190"/>
        <w:ind w:left="426" w:right="0" w:firstLine="0"/>
        <w:spacing w:line="340" w:lineRule="exact"/>
        <w:tabs>
          <w:tab w:val="left" w:pos="1134" w:leader="none"/>
        </w:tabs>
        <w:rPr>
          <w:rFonts w:ascii="Times New Roman" w:hAnsi="Times New Roman" w:cs="Times New Roman"/>
          <w:b w:val="0"/>
          <w:szCs w:val="20"/>
          <w:lang w:val="es-ES_tradnl"/>
        </w:rPr>
      </w:pPr>
      <w:r>
        <w:rPr>
          <w:rFonts w:ascii="Times New Roman" w:hAnsi="Times New Roman" w:cs="Times New Roman"/>
          <w:b w:val="0"/>
          <w:szCs w:val="20"/>
          <w:lang w:val="es-ES_tradnl"/>
        </w:rPr>
      </w:r>
      <w:r/>
    </w:p>
    <w:p>
      <w:pPr>
        <w:pStyle w:val="1190"/>
        <w:numPr>
          <w:ilvl w:val="0"/>
          <w:numId w:val="3"/>
        </w:numPr>
        <w:spacing w:line="360" w:lineRule="auto"/>
      </w:pPr>
      <w:r>
        <w:rPr>
          <w:rFonts w:ascii="Times New Roman" w:hAnsi="Times New Roman" w:cs="Times New Roman"/>
          <w:sz w:val="28"/>
          <w:szCs w:val="28"/>
          <w:lang w:val="es-ES_tradnl"/>
        </w:rPr>
        <w:t xml:space="preserve">ANEXOS</w:t>
      </w:r>
      <w:r/>
    </w:p>
    <w:p>
      <w:pPr>
        <w:pStyle w:val="1108"/>
        <w:ind w:left="720" w:right="15" w:firstLine="0"/>
        <w:jc w:val="both"/>
        <w:spacing w:line="360" w:lineRule="auto"/>
        <w:tabs>
          <w:tab w:val="center" w:pos="720" w:leader="none"/>
        </w:tabs>
      </w:pPr>
      <w:r>
        <w:t xml:space="preserve">Anexo “ALFA”: Solicitud de Compras “FO – 840- 01”</w:t>
      </w:r>
      <w:r/>
    </w:p>
    <w:p>
      <w:pPr>
        <w:pStyle w:val="1108"/>
        <w:ind w:left="720" w:right="15" w:firstLine="0"/>
        <w:jc w:val="both"/>
        <w:spacing w:line="360" w:lineRule="auto"/>
        <w:tabs>
          <w:tab w:val="center" w:pos="720" w:leader="none"/>
        </w:tabs>
      </w:pPr>
      <w:r>
        <w:t xml:space="preserve">Anexo “BRAVO”: Registro de Incidente con el Proveedor “RE-840-02” </w:t>
      </w:r>
      <w:r/>
    </w:p>
    <w:p>
      <w:pPr>
        <w:pStyle w:val="1108"/>
        <w:ind w:left="720" w:right="15" w:firstLine="0"/>
        <w:jc w:val="both"/>
        <w:spacing w:line="360" w:lineRule="auto"/>
        <w:tabs>
          <w:tab w:val="center" w:pos="720" w:leader="none"/>
        </w:tabs>
      </w:pPr>
      <w:r>
        <w:t xml:space="preserve">Anexo “CHARLIE”. Evaluación de Proveedores “RE-840-03”</w:t>
      </w:r>
      <w:r/>
    </w:p>
    <w:p>
      <w:pPr>
        <w:pStyle w:val="1108"/>
        <w:ind w:left="720" w:right="15" w:firstLine="0"/>
        <w:jc w:val="both"/>
        <w:spacing w:line="360" w:lineRule="auto"/>
        <w:tabs>
          <w:tab w:val="center" w:pos="720" w:leader="none"/>
        </w:tabs>
      </w:pPr>
      <w:r>
        <w:t xml:space="preserve">Anexo “DELTA”. Verificación del Producto/Servicio prestado “RE-840-04”</w:t>
      </w:r>
      <w:r/>
    </w:p>
    <w:p>
      <w:pPr>
        <w:pStyle w:val="1108"/>
        <w:ind w:left="720" w:right="15" w:firstLine="0"/>
        <w:jc w:val="both"/>
        <w:spacing w:line="360" w:lineRule="auto"/>
        <w:tabs>
          <w:tab w:val="center" w:pos="720" w:leader="none"/>
        </w:tabs>
      </w:pPr>
      <w:r>
        <w:t xml:space="preserve">Anexo “ECO” : Comunicación a Proveedores “RE-840-05”</w:t>
      </w:r>
      <w:r/>
    </w:p>
    <w:p>
      <w:pPr>
        <w:pStyle w:val="1108"/>
        <w:ind w:left="720" w:right="15" w:firstLine="0"/>
        <w:jc w:val="both"/>
        <w:tabs>
          <w:tab w:val="center" w:pos="720" w:leader="none"/>
        </w:tabs>
      </w:pPr>
      <w:r/>
      <w:r/>
    </w:p>
    <w:p>
      <w:pPr>
        <w:pStyle w:val="1108"/>
        <w:numPr>
          <w:ilvl w:val="0"/>
          <w:numId w:val="3"/>
        </w:numPr>
        <w:jc w:val="both"/>
        <w:spacing w:before="120" w:after="120"/>
      </w:pPr>
      <w:r>
        <w:rPr>
          <w:b/>
          <w:sz w:val="28"/>
          <w:szCs w:val="20"/>
          <w:lang w:val="es-MX"/>
        </w:rPr>
        <w:t xml:space="preserve">REGISTROS</w:t>
      </w:r>
      <w:r/>
    </w:p>
    <w:p>
      <w:pPr>
        <w:pStyle w:val="1108"/>
        <w:ind w:left="284" w:right="0" w:firstLine="0"/>
        <w:jc w:val="both"/>
        <w:spacing w:line="360" w:lineRule="auto"/>
        <w:rPr>
          <w:rFonts w:ascii="Times New Roman" w:hAnsi="Times New Roman" w:cs="Times New Roman"/>
          <w:bCs w:val="0"/>
          <w:szCs w:val="20"/>
        </w:rPr>
      </w:pPr>
      <w:r>
        <w:t xml:space="preserve">Los registros de datos permanecen archivados en el PC correspondiente, siendo respaldados en soporte informático según el PR – 753 – 02 en vigencia. </w:t>
      </w:r>
      <w:r>
        <w:rPr>
          <w:rFonts w:ascii="Times New Roman" w:hAnsi="Times New Roman" w:cs="Times New Roman"/>
          <w:bCs w:val="0"/>
          <w:szCs w:val="20"/>
        </w:rPr>
      </w:r>
      <w:r/>
    </w:p>
    <w:p>
      <w:pPr>
        <w:pStyle w:val="1190"/>
        <w:spacing w:line="340" w:lineRule="exact"/>
        <w:rPr>
          <w:rFonts w:ascii="Times New Roman" w:hAnsi="Times New Roman" w:cs="Times New Roman"/>
          <w:bCs w:val="0"/>
          <w:szCs w:val="20"/>
        </w:rPr>
      </w:pPr>
      <w:r>
        <w:rPr>
          <w:rFonts w:ascii="Times New Roman" w:hAnsi="Times New Roman" w:cs="Times New Roman"/>
          <w:bCs w:val="0"/>
          <w:szCs w:val="20"/>
        </w:rPr>
      </w:r>
      <w:r/>
    </w:p>
    <w:p>
      <w:pPr>
        <w:pStyle w:val="1190"/>
        <w:spacing w:line="340" w:lineRule="exact"/>
        <w:rPr>
          <w:rFonts w:ascii="Times New Roman" w:hAnsi="Times New Roman" w:cs="Times New Roman"/>
          <w:b w:val="0"/>
          <w:szCs w:val="20"/>
          <w:lang w:val="es-ES_tradnl"/>
        </w:rPr>
      </w:pPr>
      <w:r>
        <w:rPr>
          <w:rFonts w:ascii="Times New Roman" w:hAnsi="Times New Roman" w:cs="Times New Roman"/>
          <w:b w:val="0"/>
          <w:szCs w:val="20"/>
          <w:lang w:val="es-ES_tradnl"/>
        </w:rPr>
      </w:r>
      <w:r/>
    </w:p>
    <w:tbl>
      <w:tblPr>
        <w:tblW w:w="0" w:type="auto"/>
        <w:tblInd w:w="0" w:type="dxa"/>
        <w:tblLayout w:type="fixed"/>
        <w:tblCellMar>
          <w:left w:w="0" w:type="dxa"/>
          <w:top w:w="0" w:type="dxa"/>
          <w:right w:w="0" w:type="dxa"/>
          <w:bottom w:w="0" w:type="dxa"/>
        </w:tblCellMar>
        <w:tblLook w:val="04A0" w:firstRow="1" w:lastRow="0" w:firstColumn="1" w:lastColumn="0" w:noHBand="0" w:noVBand="1"/>
      </w:tblPr>
      <w:tblGrid>
        <w:gridCol w:w="1418"/>
        <w:gridCol w:w="1559"/>
        <w:gridCol w:w="7002"/>
      </w:tblGrid>
      <w:tr>
        <w:trPr>
          <w:tblHeader/>
        </w:trPr>
        <w:tc>
          <w:tcPr>
            <w:tcBorders>
              <w:top w:val="single" w:color="000000" w:sz="1" w:space="0"/>
              <w:left w:val="single" w:color="000000" w:sz="1" w:space="0"/>
              <w:bottom w:val="single" w:color="000000" w:sz="1" w:space="0"/>
              <w:right w:val="none" w:color="000000" w:sz="0" w:space="0"/>
            </w:tcBorders>
            <w:tcW w:w="1418" w:type="dxa"/>
            <w:vAlign w:val="top"/>
            <w:textDirection w:val="lrTb"/>
            <w:noWrap w:val="false"/>
          </w:tcPr>
          <w:p>
            <w:pPr>
              <w:pStyle w:val="1108"/>
              <w:jc w:val="center"/>
              <w:widowControl w:val="off"/>
              <w:rPr>
                <w:b/>
                <w:i/>
                <w:szCs w:val="20"/>
                <w:lang w:val="es-ES_tradnl"/>
              </w:rPr>
            </w:pPr>
            <w:r>
              <w:rPr>
                <w:b/>
                <w:i/>
                <w:szCs w:val="20"/>
                <w:lang w:val="es-ES_tradnl"/>
              </w:rPr>
              <w:t xml:space="preserve">REVISION</w:t>
            </w:r>
            <w:r>
              <w:rPr>
                <w:b/>
                <w:i/>
                <w:szCs w:val="20"/>
                <w:lang w:val="es-ES_tradnl"/>
              </w:rPr>
            </w:r>
            <w:r/>
          </w:p>
        </w:tc>
        <w:tc>
          <w:tcPr>
            <w:tcBorders>
              <w:top w:val="single" w:color="000000" w:sz="1" w:space="0"/>
              <w:left w:val="single" w:color="000000" w:sz="1" w:space="0"/>
              <w:bottom w:val="single" w:color="000000" w:sz="1" w:space="0"/>
              <w:right w:val="none" w:color="000000" w:sz="0" w:space="0"/>
            </w:tcBorders>
            <w:tcW w:w="1559" w:type="dxa"/>
            <w:vAlign w:val="top"/>
            <w:textDirection w:val="lrTb"/>
            <w:noWrap w:val="false"/>
          </w:tcPr>
          <w:p>
            <w:pPr>
              <w:pStyle w:val="1108"/>
              <w:jc w:val="center"/>
              <w:widowControl w:val="off"/>
              <w:rPr>
                <w:b/>
                <w:i/>
                <w:szCs w:val="20"/>
                <w:lang w:val="es-ES_tradnl"/>
              </w:rPr>
            </w:pPr>
            <w:r>
              <w:rPr>
                <w:b/>
                <w:i/>
                <w:szCs w:val="20"/>
                <w:lang w:val="es-ES_tradnl"/>
              </w:rPr>
              <w:t xml:space="preserve">FECHA</w:t>
            </w:r>
            <w:r>
              <w:rPr>
                <w:b/>
                <w:i/>
                <w:szCs w:val="20"/>
                <w:lang w:val="es-ES_tradnl"/>
              </w:rPr>
            </w:r>
            <w:r/>
          </w:p>
        </w:tc>
        <w:tc>
          <w:tcPr>
            <w:tcBorders>
              <w:top w:val="single" w:color="000000" w:sz="1" w:space="0"/>
              <w:left w:val="single" w:color="000000" w:sz="1" w:space="0"/>
              <w:bottom w:val="single" w:color="000000" w:sz="1" w:space="0"/>
              <w:right w:val="single" w:color="000000" w:sz="1" w:space="0"/>
            </w:tcBorders>
            <w:tcW w:w="7002" w:type="dxa"/>
            <w:vAlign w:val="top"/>
            <w:textDirection w:val="lrTb"/>
            <w:noWrap w:val="false"/>
          </w:tcPr>
          <w:p>
            <w:pPr>
              <w:pStyle w:val="1108"/>
              <w:jc w:val="center"/>
              <w:widowControl w:val="off"/>
            </w:pPr>
            <w:r>
              <w:rPr>
                <w:b/>
                <w:i/>
                <w:szCs w:val="20"/>
                <w:lang w:val="es-ES_tradnl"/>
              </w:rPr>
              <w:t xml:space="preserve">MODIFICACIONES</w:t>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108"/>
              <w:jc w:val="center"/>
              <w:widowControl w:val="off"/>
              <w:rPr>
                <w:szCs w:val="20"/>
                <w:lang w:val="es-ES_tradnl"/>
              </w:rPr>
            </w:pPr>
            <w:r>
              <w:rPr>
                <w:sz w:val="20"/>
                <w:szCs w:val="20"/>
                <w:lang w:val="es-ES_tradnl"/>
              </w:rPr>
              <w:t xml:space="preserve">28/08/24</w:t>
            </w:r>
            <w:r>
              <w:rPr>
                <w:szCs w:val="20"/>
                <w:lang w:val="es-ES_tradnl"/>
              </w:r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108"/>
              <w:jc w:val="center"/>
              <w:widowControl w:val="off"/>
              <w:rPr>
                <w:szCs w:val="20"/>
                <w:lang w:val="es-ES_tradnl"/>
              </w:rPr>
            </w:pPr>
            <w:r>
              <w:rPr>
                <w:szCs w:val="20"/>
                <w:lang w:val="es-ES_tradnl"/>
              </w:rPr>
              <w:t xml:space="preserve">2</w:t>
            </w:r>
            <w:r>
              <w:rPr>
                <w:szCs w:val="20"/>
                <w:lang w:val="es-ES_tradnl"/>
              </w:rPr>
            </w:r>
            <w:r/>
          </w:p>
        </w:tc>
        <w:tc>
          <w:tcPr>
            <w:tcBorders>
              <w:top w:val="none" w:color="000000" w:sz="0" w:space="0"/>
              <w:left w:val="single" w:color="000000" w:sz="1" w:space="0"/>
              <w:bottom w:val="single" w:color="000000" w:sz="1" w:space="0"/>
              <w:right w:val="single" w:color="000000" w:sz="1" w:space="0"/>
            </w:tcBorders>
            <w:tcW w:w="7002" w:type="dxa"/>
            <w:vAlign w:val="top"/>
            <w:textDirection w:val="lrTb"/>
            <w:noWrap w:val="false"/>
          </w:tcPr>
          <w:p>
            <w:pPr>
              <w:pStyle w:val="1108"/>
              <w:jc w:val="left"/>
              <w:widowControl w:val="off"/>
            </w:pPr>
            <w:r>
              <w:rPr>
                <w:szCs w:val="20"/>
                <w:lang w:val="es-ES_tradnl"/>
              </w:rPr>
              <w:t xml:space="preserve">Se modifica punto 6,8 agregando “Anexo ECO” Comunicación a Proveedores. </w:t>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108"/>
              <w:jc w:val="center"/>
              <w:widowControl w:val="off"/>
              <w:rPr>
                <w:sz w:val="20"/>
                <w:szCs w:val="20"/>
                <w:lang w:val="es-ES_tradnl"/>
              </w:rPr>
            </w:pPr>
            <w:r>
              <w:rPr>
                <w:sz w:val="20"/>
                <w:szCs w:val="20"/>
                <w:lang w:val="es-ES_tradnl"/>
              </w:r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108"/>
              <w:jc w:val="center"/>
              <w:widowControl w:val="off"/>
              <w:rPr>
                <w:szCs w:val="20"/>
                <w:lang w:val="es-ES_tradnl"/>
              </w:rPr>
            </w:pPr>
            <w:r>
              <w:rPr>
                <w:szCs w:val="20"/>
                <w:lang w:val="es-ES_tradnl"/>
              </w:rPr>
            </w:r>
            <w:r/>
          </w:p>
        </w:tc>
        <w:tc>
          <w:tcPr>
            <w:tcBorders>
              <w:top w:val="none" w:color="000000" w:sz="0" w:space="0"/>
              <w:left w:val="single" w:color="000000" w:sz="1" w:space="0"/>
              <w:bottom w:val="single" w:color="000000" w:sz="1" w:space="0"/>
              <w:right w:val="single" w:color="000000" w:sz="1" w:space="0"/>
            </w:tcBorders>
            <w:tcW w:w="7002" w:type="dxa"/>
            <w:vAlign w:val="top"/>
            <w:textDirection w:val="lrTb"/>
            <w:noWrap w:val="false"/>
          </w:tcPr>
          <w:p>
            <w:pPr>
              <w:pStyle w:val="1108"/>
              <w:jc w:val="center"/>
              <w:widowControl w:val="off"/>
              <w:rPr>
                <w:szCs w:val="20"/>
                <w:lang w:val="es-ES_tradnl"/>
              </w:rPr>
            </w:pPr>
            <w:r>
              <w:rPr>
                <w:szCs w:val="20"/>
                <w:lang w:val="es-ES_tradnl"/>
              </w:rPr>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108"/>
              <w:jc w:val="center"/>
              <w:widowControl w:val="off"/>
              <w:rPr>
                <w:sz w:val="20"/>
                <w:szCs w:val="20"/>
                <w:lang w:val="es-ES_tradnl"/>
              </w:rPr>
            </w:pPr>
            <w:r>
              <w:rPr>
                <w:sz w:val="20"/>
                <w:szCs w:val="20"/>
                <w:lang w:val="es-ES_tradnl"/>
              </w:r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108"/>
              <w:jc w:val="center"/>
              <w:widowControl w:val="off"/>
              <w:rPr>
                <w:szCs w:val="20"/>
                <w:lang w:val="es-ES_tradnl"/>
              </w:rPr>
            </w:pPr>
            <w:r>
              <w:rPr>
                <w:szCs w:val="20"/>
                <w:lang w:val="es-ES_tradnl"/>
              </w:rPr>
            </w:r>
            <w:r/>
          </w:p>
        </w:tc>
        <w:tc>
          <w:tcPr>
            <w:tcBorders>
              <w:top w:val="none" w:color="000000" w:sz="0" w:space="0"/>
              <w:left w:val="single" w:color="000000" w:sz="1" w:space="0"/>
              <w:bottom w:val="single" w:color="000000" w:sz="1" w:space="0"/>
              <w:right w:val="single" w:color="000000" w:sz="1" w:space="0"/>
            </w:tcBorders>
            <w:tcW w:w="7002" w:type="dxa"/>
            <w:vAlign w:val="top"/>
            <w:textDirection w:val="lrTb"/>
            <w:noWrap w:val="false"/>
          </w:tcPr>
          <w:p>
            <w:pPr>
              <w:pStyle w:val="1108"/>
              <w:widowControl w:val="off"/>
              <w:rPr>
                <w:szCs w:val="20"/>
                <w:lang w:val="es-ES_tradnl"/>
              </w:rPr>
            </w:pPr>
            <w:r>
              <w:rPr>
                <w:szCs w:val="20"/>
                <w:lang w:val="es-ES_tradnl"/>
              </w:rPr>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108"/>
              <w:jc w:val="center"/>
              <w:widowControl w:val="off"/>
              <w:rPr>
                <w:sz w:val="20"/>
                <w:szCs w:val="20"/>
                <w:lang w:val="es-ES_tradnl"/>
              </w:rPr>
            </w:pPr>
            <w:r>
              <w:rPr>
                <w:sz w:val="20"/>
                <w:szCs w:val="20"/>
                <w:lang w:val="es-ES_tradnl"/>
              </w:r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108"/>
              <w:jc w:val="center"/>
              <w:widowControl w:val="off"/>
              <w:rPr>
                <w:szCs w:val="20"/>
                <w:lang w:val="es-ES_tradnl"/>
              </w:rPr>
            </w:pPr>
            <w:r>
              <w:rPr>
                <w:szCs w:val="20"/>
                <w:lang w:val="es-ES_tradnl"/>
              </w:rPr>
            </w:r>
            <w:r/>
          </w:p>
        </w:tc>
        <w:tc>
          <w:tcPr>
            <w:tcBorders>
              <w:top w:val="none" w:color="000000" w:sz="0" w:space="0"/>
              <w:left w:val="single" w:color="000000" w:sz="1" w:space="0"/>
              <w:bottom w:val="single" w:color="000000" w:sz="1" w:space="0"/>
              <w:right w:val="single" w:color="000000" w:sz="1" w:space="0"/>
            </w:tcBorders>
            <w:tcW w:w="7002" w:type="dxa"/>
            <w:vAlign w:val="top"/>
            <w:textDirection w:val="lrTb"/>
            <w:noWrap w:val="false"/>
          </w:tcPr>
          <w:p>
            <w:pPr>
              <w:pStyle w:val="1108"/>
              <w:widowControl w:val="off"/>
              <w:rPr>
                <w:szCs w:val="20"/>
                <w:lang w:val="es-ES_tradnl"/>
              </w:rPr>
            </w:pPr>
            <w:r>
              <w:rPr>
                <w:szCs w:val="20"/>
                <w:lang w:val="es-ES_tradnl"/>
              </w:rPr>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108"/>
              <w:jc w:val="center"/>
              <w:widowControl w:val="off"/>
              <w:rPr>
                <w:sz w:val="20"/>
                <w:szCs w:val="20"/>
                <w:lang w:val="es-ES_tradnl"/>
              </w:rPr>
            </w:pPr>
            <w:r>
              <w:rPr>
                <w:sz w:val="20"/>
                <w:szCs w:val="20"/>
                <w:lang w:val="es-ES_tradnl"/>
              </w:r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108"/>
              <w:jc w:val="center"/>
              <w:widowControl w:val="off"/>
              <w:rPr>
                <w:szCs w:val="20"/>
                <w:lang w:val="es-ES_tradnl"/>
              </w:rPr>
            </w:pPr>
            <w:r>
              <w:rPr>
                <w:szCs w:val="20"/>
                <w:lang w:val="es-ES_tradnl"/>
              </w:rPr>
            </w:r>
            <w:r/>
          </w:p>
        </w:tc>
        <w:tc>
          <w:tcPr>
            <w:tcBorders>
              <w:top w:val="none" w:color="000000" w:sz="0" w:space="0"/>
              <w:left w:val="single" w:color="000000" w:sz="1" w:space="0"/>
              <w:bottom w:val="single" w:color="000000" w:sz="1" w:space="0"/>
              <w:right w:val="single" w:color="000000" w:sz="1" w:space="0"/>
            </w:tcBorders>
            <w:tcW w:w="7002" w:type="dxa"/>
            <w:vAlign w:val="top"/>
            <w:textDirection w:val="lrTb"/>
            <w:noWrap w:val="false"/>
          </w:tcPr>
          <w:p>
            <w:pPr>
              <w:pStyle w:val="1108"/>
              <w:jc w:val="both"/>
              <w:widowControl w:val="off"/>
              <w:rPr>
                <w:szCs w:val="20"/>
                <w:lang w:val="es-ES_tradnl"/>
              </w:rPr>
            </w:pPr>
            <w:r>
              <w:rPr>
                <w:szCs w:val="20"/>
                <w:lang w:val="es-ES_tradnl"/>
              </w:rPr>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108"/>
              <w:widowControl w:val="off"/>
              <w:rPr>
                <w:sz w:val="20"/>
                <w:szCs w:val="20"/>
                <w:lang w:val="es-ES_tradnl"/>
              </w:rPr>
            </w:pPr>
            <w:r>
              <w:rPr>
                <w:sz w:val="20"/>
                <w:szCs w:val="20"/>
                <w:lang w:val="es-ES_tradnl"/>
              </w:r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108"/>
              <w:widowControl w:val="off"/>
              <w:rPr>
                <w:szCs w:val="20"/>
                <w:lang w:val="es-ES_tradnl"/>
              </w:rPr>
            </w:pPr>
            <w:r>
              <w:rPr>
                <w:szCs w:val="20"/>
                <w:lang w:val="es-ES_tradnl"/>
              </w:rPr>
            </w:r>
            <w:r/>
          </w:p>
        </w:tc>
        <w:tc>
          <w:tcPr>
            <w:tcBorders>
              <w:top w:val="none" w:color="000000" w:sz="0" w:space="0"/>
              <w:left w:val="single" w:color="000000" w:sz="1" w:space="0"/>
              <w:bottom w:val="single" w:color="000000" w:sz="1" w:space="0"/>
              <w:right w:val="single" w:color="000000" w:sz="1" w:space="0"/>
            </w:tcBorders>
            <w:tcW w:w="7002" w:type="dxa"/>
            <w:vAlign w:val="top"/>
            <w:textDirection w:val="lrTb"/>
            <w:noWrap w:val="false"/>
          </w:tcPr>
          <w:p>
            <w:pPr>
              <w:pStyle w:val="1108"/>
              <w:widowControl w:val="off"/>
              <w:rPr>
                <w:szCs w:val="20"/>
                <w:lang w:val="es-ES_tradnl"/>
              </w:rPr>
            </w:pPr>
            <w:r>
              <w:rPr>
                <w:szCs w:val="20"/>
                <w:lang w:val="es-ES_tradnl"/>
              </w:rPr>
            </w:r>
            <w:r/>
          </w:p>
        </w:tc>
      </w:tr>
    </w:tbl>
    <w:p>
      <w:pPr>
        <w:pStyle w:val="1190"/>
        <w:spacing w:line="340" w:lineRule="exact"/>
        <w:rPr>
          <w:rFonts w:ascii="Times New Roman" w:hAnsi="Times New Roman" w:cs="Times New Roman"/>
          <w:b w:val="0"/>
          <w:szCs w:val="20"/>
          <w:lang w:val="es-ES_tradnl"/>
        </w:rPr>
      </w:pPr>
      <w:r>
        <w:rPr>
          <w:rFonts w:ascii="Times New Roman" w:hAnsi="Times New Roman" w:cs="Times New Roman"/>
          <w:b w:val="0"/>
          <w:szCs w:val="20"/>
          <w:lang w:val="es-ES_tradnl"/>
        </w:rPr>
      </w:r>
      <w:r/>
    </w:p>
    <w:p>
      <w:pPr>
        <w:pStyle w:val="1190"/>
        <w:jc w:val="left"/>
        <w:tabs>
          <w:tab w:val="left" w:pos="5801" w:leader="none"/>
        </w:tabs>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sectPr>
      <w:headerReference w:type="default" r:id="rId11"/>
      <w:headerReference w:type="even" r:id="rId12"/>
      <w:headerReference w:type="first" r:id="rId13"/>
      <w:footerReference w:type="default" r:id="rId17"/>
      <w:footerReference w:type="even" r:id="rId18"/>
      <w:footerReference w:type="first" r:id="rId19"/>
      <w:footnotePr/>
      <w:endnotePr/>
      <w:type w:val="nextPage"/>
      <w:pgSz w:w="11906" w:h="16838" w:orient="portrait"/>
      <w:pgMar w:top="1417" w:right="1133" w:bottom="1417" w:left="1701" w:header="708" w:footer="708"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Wingdings">
    <w:panose1 w:val="05000000000000000000"/>
  </w:font>
  <w:font w:name="Courier New">
    <w:panose1 w:val="02070309020205020404"/>
  </w:font>
  <w:font w:name="Symbol">
    <w:panose1 w:val="05050102010706020507"/>
  </w:font>
  <w:font w:name="Microsoft YaHei">
    <w:panose1 w:val="020B0503020204020204"/>
  </w:font>
  <w:font w:name="+mn-ea">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ind w:left="-142" w:right="0" w:firstLine="0"/>
      <w:jc w:val="both"/>
      <w:spacing w:line="320" w:lineRule="exact"/>
      <w:rPr>
        <w:b/>
        <w:lang w:val="es-ES_tradnl"/>
      </w:rPr>
    </w:pPr>
    <w:r>
      <w:t xml:space="preserve">ELABORADO POR: Grupo de Trabajo</w:t>
    </w:r>
    <w:r>
      <w:rPr>
        <w:b/>
        <w:lang w:val="es-ES_tradnl"/>
      </w:rPr>
    </w:r>
    <w:r/>
  </w:p>
  <w:tbl>
    <w:tblPr>
      <w:tblW w:w="0" w:type="auto"/>
      <w:tblInd w:w="-988" w:type="dxa"/>
      <w:tblLayout w:type="fixed"/>
      <w:tblCellMar>
        <w:left w:w="70" w:type="dxa"/>
        <w:top w:w="0" w:type="dxa"/>
        <w:right w:w="70" w:type="dxa"/>
        <w:bottom w:w="0" w:type="dxa"/>
      </w:tblCellMar>
      <w:tblLook w:val="04A0" w:firstRow="1" w:lastRow="0" w:firstColumn="1" w:lastColumn="0" w:noHBand="0" w:noVBand="1"/>
    </w:tblPr>
    <w:tblGrid>
      <w:gridCol w:w="2127"/>
      <w:gridCol w:w="4111"/>
      <w:gridCol w:w="2551"/>
      <w:gridCol w:w="1553"/>
    </w:tblGrid>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restart"/>
          <w:textDirection w:val="lrTb"/>
          <w:noWrap w:val="false"/>
        </w:tcPr>
        <w:p>
          <w:pPr>
            <w:pStyle w:val="1108"/>
            <w:keepNext/>
            <w:spacing w:line="360" w:lineRule="auto"/>
            <w:widowControl w:val="off"/>
          </w:pPr>
          <w:r>
            <w:rPr>
              <w:b/>
              <w:lang w:val="es-ES_tradnl"/>
            </w:rPr>
            <w:t xml:space="preserve">APROBADO POR</w:t>
          </w:r>
          <w:r/>
        </w:p>
      </w:tc>
      <w:tc>
        <w:tcPr>
          <w:tcBorders>
            <w:top w:val="single" w:color="000000" w:sz="4" w:space="0"/>
            <w:left w:val="single" w:color="000000" w:sz="4" w:space="0"/>
            <w:bottom w:val="single" w:color="000000" w:sz="4" w:space="0"/>
            <w:right w:val="none" w:color="000000" w:sz="0" w:space="0"/>
          </w:tcBorders>
          <w:tcW w:w="4111" w:type="dxa"/>
          <w:vAlign w:val="top"/>
          <w:textDirection w:val="lrTb"/>
          <w:noWrap w:val="false"/>
        </w:tcPr>
        <w:p>
          <w:pPr>
            <w:pStyle w:val="1108"/>
            <w:ind w:left="-540" w:right="0" w:firstLine="540"/>
            <w:jc w:val="center"/>
          </w:pPr>
          <w:r>
            <w:t xml:space="preserve">CARGO</w:t>
          </w:r>
          <w:r/>
        </w:p>
      </w:tc>
      <w:tc>
        <w:tcPr>
          <w:tcBorders>
            <w:top w:val="single" w:color="000000" w:sz="4" w:space="0"/>
            <w:left w:val="single" w:color="000000" w:sz="4" w:space="0"/>
            <w:bottom w:val="single" w:color="000000" w:sz="4" w:space="0"/>
            <w:right w:val="none" w:color="000000" w:sz="0" w:space="0"/>
          </w:tcBorders>
          <w:tcW w:w="2551" w:type="dxa"/>
          <w:vAlign w:val="top"/>
          <w:textDirection w:val="lrTb"/>
          <w:noWrap w:val="false"/>
        </w:tcPr>
        <w:p>
          <w:pPr>
            <w:pStyle w:val="1108"/>
            <w:ind w:left="-540" w:right="0" w:firstLine="540"/>
            <w:jc w:val="center"/>
          </w:pPr>
          <w:r>
            <w:t xml:space="preserve">FIRMA</w:t>
          </w:r>
          <w:r/>
        </w:p>
      </w:tc>
      <w:tc>
        <w:tcPr>
          <w:tcBorders>
            <w:top w:val="single" w:color="000000" w:sz="4" w:space="0"/>
            <w:left w:val="single" w:color="000000" w:sz="4" w:space="0"/>
            <w:bottom w:val="single" w:color="000000" w:sz="4" w:space="0"/>
            <w:right w:val="single" w:color="000000" w:sz="4" w:space="0"/>
          </w:tcBorders>
          <w:tcW w:w="1553" w:type="dxa"/>
          <w:vAlign w:val="top"/>
          <w:textDirection w:val="lrTb"/>
          <w:noWrap w:val="false"/>
        </w:tcPr>
        <w:p>
          <w:pPr>
            <w:pStyle w:val="1108"/>
            <w:ind w:left="-540" w:right="0" w:firstLine="540"/>
            <w:jc w:val="center"/>
          </w:pPr>
          <w:r>
            <w:t xml:space="preserve">FECHA</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continue"/>
          <w:textDirection w:val="lrTb"/>
          <w:noWrap w:val="false"/>
        </w:tcPr>
        <w:p>
          <w:pPr>
            <w:pStyle w:val="1108"/>
            <w:ind w:left="-540" w:right="0" w:firstLine="540"/>
            <w:jc w:val="center"/>
          </w:pPr>
          <w:r/>
          <w:r/>
        </w:p>
      </w:tc>
      <w:tc>
        <w:tcPr>
          <w:tcBorders>
            <w:top w:val="single" w:color="000000" w:sz="4" w:space="0"/>
            <w:left w:val="single" w:color="000000" w:sz="4" w:space="0"/>
            <w:bottom w:val="single" w:color="000000" w:sz="4" w:space="0"/>
            <w:right w:val="none" w:color="000000" w:sz="0" w:space="0"/>
          </w:tcBorders>
          <w:tcW w:w="4111" w:type="dxa"/>
          <w:vAlign w:val="center"/>
          <w:textDirection w:val="lrTb"/>
          <w:noWrap w:val="false"/>
        </w:tcPr>
        <w:p>
          <w:pPr>
            <w:pStyle w:val="1108"/>
            <w:ind w:left="-540" w:right="0" w:firstLine="470"/>
            <w:jc w:val="center"/>
            <w:rPr>
              <w:sz w:val="16"/>
              <w:szCs w:val="16"/>
              <w:lang w:val="es-MX"/>
            </w:rPr>
          </w:pPr>
          <w:r>
            <w:t xml:space="preserve">Prefecto de Puerto Montevideo </w:t>
          </w:r>
          <w:r>
            <w:rPr>
              <w:sz w:val="16"/>
              <w:szCs w:val="16"/>
              <w:lang w:val="es-MX"/>
            </w:rPr>
          </w:r>
          <w:r/>
        </w:p>
      </w:tc>
      <w:tc>
        <w:tcPr>
          <w:tcBorders>
            <w:top w:val="single" w:color="000000" w:sz="4" w:space="0"/>
            <w:left w:val="single" w:color="000000" w:sz="4" w:space="0"/>
            <w:bottom w:val="single" w:color="000000" w:sz="4" w:space="0"/>
            <w:right w:val="none" w:color="000000" w:sz="0" w:space="0"/>
          </w:tcBorders>
          <w:tcW w:w="2551" w:type="dxa"/>
          <w:vAlign w:val="center"/>
          <w:textDirection w:val="lrTb"/>
          <w:noWrap w:val="false"/>
        </w:tcPr>
        <w:p>
          <w:pPr>
            <w:pStyle w:val="1108"/>
            <w:ind w:left="-540" w:right="0" w:firstLine="540"/>
          </w:pPr>
          <w:r>
            <w:rPr>
              <w:sz w:val="16"/>
              <w:szCs w:val="16"/>
              <w:lang w:val="es-MX"/>
            </w:rPr>
            <w:t xml:space="preserve">CN (PM) Néstor LEMOS </w:t>
          </w:r>
          <w:r/>
        </w:p>
      </w:tc>
      <w:tc>
        <w:tcPr>
          <w:tcBorders>
            <w:top w:val="single" w:color="000000" w:sz="4" w:space="0"/>
            <w:left w:val="single" w:color="000000" w:sz="4" w:space="0"/>
            <w:bottom w:val="single" w:color="000000" w:sz="4" w:space="0"/>
            <w:right w:val="single" w:color="000000" w:sz="4" w:space="0"/>
          </w:tcBorders>
          <w:tcW w:w="1553" w:type="dxa"/>
          <w:vAlign w:val="center"/>
          <w:textDirection w:val="lrTb"/>
          <w:noWrap w:val="false"/>
        </w:tcPr>
        <w:p>
          <w:pPr>
            <w:pStyle w:val="1108"/>
            <w:ind w:left="-540" w:right="0" w:firstLine="540"/>
            <w:jc w:val="center"/>
          </w:pPr>
          <w:r>
            <w:t xml:space="preserve">28/08/2024</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1108"/>
            <w:ind w:left="-540" w:right="0" w:firstLine="540"/>
            <w:jc w:val="center"/>
          </w:pPr>
          <w:r>
            <w:t xml:space="preserve">REVISADO POR</w:t>
          </w:r>
          <w:r/>
        </w:p>
      </w:tc>
      <w:tc>
        <w:tcPr>
          <w:tcBorders>
            <w:top w:val="single" w:color="000000" w:sz="4" w:space="0"/>
            <w:left w:val="single" w:color="000000" w:sz="4" w:space="0"/>
            <w:bottom w:val="single" w:color="000000" w:sz="4" w:space="0"/>
            <w:right w:val="none" w:color="000000" w:sz="0" w:space="0"/>
          </w:tcBorders>
          <w:tcW w:w="4111" w:type="dxa"/>
          <w:vAlign w:val="center"/>
          <w:textDirection w:val="lrTb"/>
          <w:noWrap w:val="false"/>
        </w:tcPr>
        <w:p>
          <w:pPr>
            <w:pStyle w:val="1108"/>
            <w:ind w:left="-540" w:right="0" w:firstLine="540"/>
            <w:jc w:val="center"/>
            <w:rPr>
              <w:sz w:val="16"/>
              <w:szCs w:val="16"/>
              <w:lang w:val="es-MX"/>
            </w:rPr>
          </w:pPr>
          <w:r>
            <w:t xml:space="preserve">Encargada SGC</w:t>
          </w:r>
          <w:r>
            <w:rPr>
              <w:sz w:val="16"/>
              <w:szCs w:val="16"/>
              <w:lang w:val="es-MX"/>
            </w:rPr>
          </w:r>
          <w:r/>
        </w:p>
      </w:tc>
      <w:tc>
        <w:tcPr>
          <w:tcBorders>
            <w:top w:val="single" w:color="000000" w:sz="4" w:space="0"/>
            <w:left w:val="single" w:color="000000" w:sz="4" w:space="0"/>
            <w:bottom w:val="single" w:color="000000" w:sz="4" w:space="0"/>
            <w:right w:val="none" w:color="000000" w:sz="0" w:space="0"/>
          </w:tcBorders>
          <w:tcW w:w="2551" w:type="dxa"/>
          <w:vAlign w:val="center"/>
          <w:textDirection w:val="lrTb"/>
          <w:noWrap w:val="false"/>
        </w:tcPr>
        <w:p>
          <w:pPr>
            <w:pStyle w:val="1108"/>
            <w:ind w:left="-540" w:right="0" w:firstLine="540"/>
            <w:rPr>
              <w:lang w:val="es-MX"/>
            </w:rPr>
          </w:pPr>
          <w:r>
            <w:rPr>
              <w:sz w:val="16"/>
              <w:szCs w:val="16"/>
              <w:lang w:val="es-MX"/>
            </w:rPr>
            <w:t xml:space="preserve">MP(PM) Lucía MORA</w:t>
          </w:r>
          <w:r>
            <w:rPr>
              <w:lang w:val="es-MX"/>
            </w:rPr>
          </w:r>
          <w:r/>
        </w:p>
      </w:tc>
      <w:tc>
        <w:tcPr>
          <w:tcBorders>
            <w:top w:val="single" w:color="000000" w:sz="4" w:space="0"/>
            <w:left w:val="single" w:color="000000" w:sz="4" w:space="0"/>
            <w:bottom w:val="single" w:color="000000" w:sz="4" w:space="0"/>
            <w:right w:val="single" w:color="000000" w:sz="4" w:space="0"/>
          </w:tcBorders>
          <w:tcW w:w="1553" w:type="dxa"/>
          <w:vAlign w:val="center"/>
          <w:textDirection w:val="lrTb"/>
          <w:noWrap w:val="false"/>
        </w:tcPr>
        <w:p>
          <w:pPr>
            <w:pStyle w:val="1108"/>
            <w:ind w:left="-540" w:right="0" w:firstLine="540"/>
            <w:jc w:val="center"/>
          </w:pPr>
          <w:r>
            <w:rPr>
              <w:lang w:val="es-MX"/>
            </w:rPr>
            <w:t xml:space="preserve">28/08/2024</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1108"/>
            <w:ind w:left="-540" w:right="0" w:firstLine="540"/>
            <w:jc w:val="center"/>
          </w:pPr>
          <w:r>
            <w:t xml:space="preserve">DOCUMENTO</w:t>
          </w:r>
          <w:r/>
        </w:p>
      </w:tc>
      <w:tc>
        <w:tcPr>
          <w:gridSpan w:val="3"/>
          <w:tcBorders>
            <w:top w:val="single" w:color="000000" w:sz="4" w:space="0"/>
            <w:left w:val="single" w:color="000000" w:sz="4" w:space="0"/>
            <w:bottom w:val="single" w:color="000000" w:sz="4" w:space="0"/>
            <w:right w:val="single" w:color="000000" w:sz="4" w:space="0"/>
          </w:tcBorders>
          <w:tcW w:w="8215" w:type="dxa"/>
          <w:vAlign w:val="center"/>
          <w:textDirection w:val="lrTb"/>
          <w:noWrap w:val="false"/>
        </w:tcPr>
        <w:p>
          <w:pPr>
            <w:pStyle w:val="1108"/>
            <w:ind w:left="-540" w:right="0" w:firstLine="540"/>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1" locked="0" layoutInCell="1" allowOverlap="1">
                    <wp:simplePos x="0" y="0"/>
                    <wp:positionH relativeFrom="column">
                      <wp:posOffset>1170940</wp:posOffset>
                    </wp:positionH>
                    <wp:positionV relativeFrom="paragraph">
                      <wp:posOffset>41910</wp:posOffset>
                    </wp:positionV>
                    <wp:extent cx="224790" cy="116205"/>
                    <wp:effectExtent l="0" t="0" r="0" b="0"/>
                    <wp:wrapNone/>
                    <wp:docPr id="3" name="_x0000_s1025"/>
                    <wp:cNvGraphicFramePr/>
                    <a:graphic xmlns:a="http://schemas.openxmlformats.org/drawingml/2006/main">
                      <a:graphicData uri="http://schemas.microsoft.com/office/word/2010/wordprocessingShape">
                        <wps:wsp>
                          <wps:cNvPr id="0" name=""/>
                          <wps:cNvSpPr/>
                          <wps:spPr bwMode="auto">
                            <a:xfrm>
                              <a:off x="0" y="0"/>
                              <a:ext cx="224790" cy="116205"/>
                            </a:xfrm>
                            <a:prstGeom prst="rect">
                              <a:avLst/>
                            </a:prstGeom>
                            <a:solidFill>
                              <a:srgbClr val="66FF33"/>
                            </a:solidFill>
                            <a:ln w="9360">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524288;o:allowoverlap:true;o:allowincell:true;mso-position-horizontal-relative:text;margin-left:92.2pt;mso-position-horizontal:absolute;mso-position-vertical-relative:text;margin-top:3.3pt;mso-position-vertical:absolute;width:17.7pt;height:9.2pt;mso-wrap-distance-left:9.0pt;mso-wrap-distance-top:0.0pt;mso-wrap-distance-right:9.0pt;mso-wrap-distance-bottom:0.0pt;visibility:visible;" fillcolor="#66FF33"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0609663" behindDoc="1" locked="0" layoutInCell="1" allowOverlap="1">
                    <wp:simplePos x="0" y="0"/>
                    <wp:positionH relativeFrom="column">
                      <wp:posOffset>4642485</wp:posOffset>
                    </wp:positionH>
                    <wp:positionV relativeFrom="paragraph">
                      <wp:posOffset>37465</wp:posOffset>
                    </wp:positionV>
                    <wp:extent cx="114300" cy="114300"/>
                    <wp:effectExtent l="0" t="0" r="0" b="0"/>
                    <wp:wrapNone/>
                    <wp:docPr id="4" name="_x0000_s1026"/>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0609663;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0609662" behindDoc="1" locked="0" layoutInCell="1" allowOverlap="1">
                    <wp:simplePos x="0" y="0"/>
                    <wp:positionH relativeFrom="column">
                      <wp:posOffset>2757805</wp:posOffset>
                    </wp:positionH>
                    <wp:positionV relativeFrom="paragraph">
                      <wp:posOffset>43180</wp:posOffset>
                    </wp:positionV>
                    <wp:extent cx="114300" cy="114300"/>
                    <wp:effectExtent l="0" t="0" r="0" b="0"/>
                    <wp:wrapNone/>
                    <wp:docPr id="5" name="_x0000_s102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250609662;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strokeweight="0.74pt"/>
                </w:pict>
              </mc:Fallback>
            </mc:AlternateContent>
          </w:r>
          <w:r>
            <w:rPr>
              <w:lang w:val="es-MX"/>
            </w:rPr>
            <w:t xml:space="preserve">O</w:t>
          </w:r>
          <w:r>
            <w:rPr>
              <w:lang w:val="es-MX"/>
            </w:rPr>
            <w:t xml:space="preserve">riginal      </w:t>
          </w:r>
          <w:r>
            <w:rPr>
              <w:color w:val="ff0000"/>
              <w:sz w:val="32"/>
              <w:szCs w:val="32"/>
              <w:lang w:val="es-MX"/>
            </w:rPr>
            <w:t xml:space="preserve">x</w:t>
          </w:r>
          <w:r>
            <w:rPr>
              <w:lang w:val="es-MX"/>
            </w:rPr>
            <w:t xml:space="preserve">        Copia Controlada              Copia No Controlada </w:t>
          </w:r>
          <w:r/>
        </w:p>
      </w:tc>
    </w:tr>
  </w:tbl>
  <w:p>
    <w:pPr>
      <w:pStyle w:val="1189"/>
      <w:jc w:val="center"/>
    </w:pPr>
    <w:r>
      <w:rPr>
        <w:lang w:val="es-MX"/>
      </w:rPr>
      <w:t xml:space="preserve">   </w:t>
    </w:r>
    <w:r/>
  </w:p>
  <w:p>
    <w:pPr>
      <w:pStyle w:val="1189"/>
      <w:jc w:val="center"/>
      <w:rPr>
        <w:lang w:val="es-MX"/>
      </w:rPr>
    </w:pPr>
    <w:r>
      <w:t xml:space="preserve">Página </w:t>
    </w:r>
    <w:r>
      <w:rPr>
        <w:b/>
      </w:rPr>
      <w:fldChar w:fldCharType="begin"/>
    </w:r>
    <w:r>
      <w:rPr>
        <w:b/>
      </w:rPr>
      <w:instrText xml:space="preserve"> PAGE </w:instrText>
    </w:r>
    <w:r>
      <w:rPr>
        <w:b/>
      </w:rPr>
      <w:fldChar w:fldCharType="separate"/>
    </w:r>
    <w:r>
      <w:rPr>
        <w:b/>
      </w:rPr>
      <w:t xml:space="preserve">1</w:t>
    </w:r>
    <w:r>
      <w:rPr>
        <w:b/>
      </w:rPr>
      <w:fldChar w:fldCharType="end"/>
    </w:r>
    <w:r>
      <w:t xml:space="preserve"> de </w:t>
    </w:r>
    <w:r>
      <w:rPr>
        <w:b/>
      </w:rPr>
      <w:fldChar w:fldCharType="begin"/>
    </w:r>
    <w:r>
      <w:rPr>
        <w:b/>
      </w:rPr>
      <w:instrText xml:space="preserve"> NUMPAGES \*Arabic </w:instrText>
    </w:r>
    <w:r>
      <w:rPr>
        <w:b/>
      </w:rPr>
      <w:fldChar w:fldCharType="separate"/>
    </w:r>
    <w:r>
      <w:rPr>
        <w:b/>
      </w:rPr>
      <w:t xml:space="preserve">4</w:t>
    </w:r>
    <w:r>
      <w:rPr>
        <w:b/>
      </w:rPr>
      <w:fldChar w:fldCharType="end"/>
    </w:r>
    <w:r>
      <w:rPr>
        <w:lang w:val="es-MX"/>
      </w:rPr>
    </w:r>
    <w:r/>
  </w:p>
  <w:p>
    <w:pPr>
      <w:pStyle w:val="1189"/>
      <w:jc w:val="center"/>
      <w:rPr>
        <w:lang w:val="es-MX"/>
      </w:rPr>
    </w:pPr>
    <w:r>
      <w:rPr>
        <w:lang w:val="es-MX"/>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89"/>
      <w:jc w:val="center"/>
      <w:rPr>
        <w:lang w:val="es-MX"/>
      </w:rPr>
    </w:pPr>
    <w:r>
      <w:t xml:space="preserve">Página </w:t>
    </w:r>
    <w:r>
      <w:rPr>
        <w:b/>
      </w:rPr>
      <w:fldChar w:fldCharType="begin"/>
    </w:r>
    <w:r>
      <w:rPr>
        <w:b/>
      </w:rPr>
      <w:instrText xml:space="preserve"> PAGE </w:instrText>
    </w:r>
    <w:r>
      <w:rPr>
        <w:b/>
      </w:rPr>
      <w:fldChar w:fldCharType="separate"/>
    </w:r>
    <w:r>
      <w:rPr>
        <w:b/>
      </w:rPr>
      <w:t xml:space="preserve">4</w:t>
    </w:r>
    <w:r>
      <w:rPr>
        <w:b/>
      </w:rPr>
      <w:fldChar w:fldCharType="end"/>
    </w:r>
    <w:r>
      <w:t xml:space="preserve"> de </w:t>
    </w:r>
    <w:r>
      <w:rPr>
        <w:b/>
      </w:rPr>
      <w:fldChar w:fldCharType="begin"/>
    </w:r>
    <w:r>
      <w:rPr>
        <w:b/>
      </w:rPr>
      <w:instrText xml:space="preserve"> NUMPAGES \*Arabic </w:instrText>
    </w:r>
    <w:r>
      <w:rPr>
        <w:b/>
      </w:rPr>
      <w:fldChar w:fldCharType="separate"/>
    </w:r>
    <w:r>
      <w:rPr>
        <w:b/>
      </w:rPr>
      <w:t xml:space="preserve">4</w:t>
    </w:r>
    <w:r>
      <w:rPr>
        <w:b/>
      </w:rPr>
      <w:fldChar w:fldCharType="end"/>
    </w:r>
    <w:r>
      <w:rPr>
        <w:lang w:val="es-MX"/>
      </w:rPr>
    </w:r>
    <w:r/>
  </w:p>
  <w:p>
    <w:pPr>
      <w:pStyle w:val="1189"/>
      <w:ind w:left="0" w:right="0" w:firstLine="708"/>
      <w:tabs>
        <w:tab w:val="left" w:pos="2070" w:leader="none"/>
        <w:tab w:val="clear" w:pos="4252" w:leader="none"/>
        <w:tab w:val="clear" w:pos="8504" w:leader="none"/>
      </w:tabs>
      <w:rPr>
        <w:lang w:val="es-MX"/>
      </w:rPr>
    </w:pPr>
    <w:r>
      <w:rPr>
        <w:lang w:val="es-MX"/>
      </w:rPr>
    </w:r>
    <w:r/>
  </w:p>
  <w:p>
    <w:pPr>
      <w:pStyle w:val="1189"/>
      <w:rPr>
        <w:lang w:val="es-MX"/>
      </w:rPr>
    </w:pPr>
    <w:r>
      <w:rPr>
        <w:lang w:val="es-MX"/>
      </w:r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34"/>
      <w:gridCol w:w="2495"/>
      <w:gridCol w:w="2991"/>
      <w:gridCol w:w="2540"/>
    </w:tblGrid>
    <w:tr>
      <w:trPr>
        <w:cantSplit/>
        <w:trHeight w:val="741"/>
      </w:trPr>
      <w:tc>
        <w:tcPr>
          <w:tcBorders>
            <w:top w:val="single" w:color="000000" w:sz="4" w:space="0"/>
            <w:left w:val="single" w:color="000000" w:sz="4" w:space="0"/>
            <w:bottom w:val="single" w:color="000000" w:sz="4" w:space="0"/>
            <w:right w:val="none" w:color="000000" w:sz="0" w:space="0"/>
          </w:tcBorders>
          <w:tcW w:w="1534" w:type="dxa"/>
          <w:vAlign w:val="center"/>
          <w:vMerge w:val="restart"/>
          <w:textDirection w:val="lrTb"/>
          <w:noWrap w:val="false"/>
        </w:tcPr>
        <w:p>
          <w:pPr>
            <w:pStyle w:val="1188"/>
            <w:ind w:left="72" w:right="0" w:firstLine="0"/>
            <w:jc w:val="center"/>
          </w:pPr>
          <w:r>
            <mc:AlternateContent>
              <mc:Choice Requires="wpg">
                <w:drawing>
                  <wp:inline xmlns:wp="http://schemas.openxmlformats.org/drawingml/2006/wordprocessingDrawing" distT="0" distB="0" distL="0" distR="0">
                    <wp:extent cx="838940" cy="731886"/>
                    <wp:effectExtent l="0" t="0" r="0" b="0"/>
                    <wp:docPr id="1" name="_x0000_i205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838940" cy="73188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6.1pt;height:57.6pt;mso-wrap-distance-left:0.0pt;mso-wrap-distance-top:0.0pt;mso-wrap-distance-right:0.0pt;mso-wrap-distance-bottom:0.0pt;" stroked="f">
                    <v:path textboxrect="0,0,0,0"/>
                    <v:imagedata r:id="rId1" o:title=""/>
                  </v:shape>
                </w:pict>
              </mc:Fallback>
            </mc:AlternateContent>
          </w:r>
          <w:r/>
        </w:p>
        <w:p>
          <w:pPr>
            <w:pStyle w:val="1188"/>
            <w:jc w:val="center"/>
          </w:pPr>
          <w:r/>
          <w:r/>
        </w:p>
      </w:tc>
      <w:tc>
        <w:tcPr>
          <w:tcBorders>
            <w:top w:val="single" w:color="000000" w:sz="4" w:space="0"/>
            <w:left w:val="single" w:color="000000" w:sz="4" w:space="0"/>
            <w:bottom w:val="single" w:color="000000" w:sz="4" w:space="0"/>
            <w:right w:val="none" w:color="000000" w:sz="0" w:space="0"/>
          </w:tcBorders>
          <w:tcW w:w="2495" w:type="dxa"/>
          <w:vAlign w:val="center"/>
          <w:vMerge w:val="restart"/>
          <w:textDirection w:val="lrTb"/>
          <w:noWrap w:val="false"/>
        </w:tcPr>
        <w:p>
          <w:pPr>
            <w:pStyle w:val="1188"/>
            <w:jc w:val="center"/>
            <w:spacing w:line="360" w:lineRule="auto"/>
            <w:rPr>
              <w:b/>
              <w:bCs/>
              <w:sz w:val="24"/>
            </w:rPr>
          </w:pPr>
          <w:r>
            <w:rPr>
              <w:b/>
              <w:bCs/>
              <w:sz w:val="24"/>
            </w:rPr>
            <w:t xml:space="preserve">Sistema de Gestión de Calidad de Control Montevideo</w:t>
          </w:r>
          <w:r>
            <w:rPr>
              <w:b/>
              <w:bCs/>
              <w:sz w:val="24"/>
            </w:rPr>
          </w:r>
          <w:r/>
        </w:p>
      </w:tc>
      <w:tc>
        <w:tcPr>
          <w:tcBorders>
            <w:top w:val="single" w:color="000000" w:sz="4" w:space="0"/>
            <w:left w:val="single" w:color="000000" w:sz="4" w:space="0"/>
            <w:bottom w:val="single" w:color="000000" w:sz="4" w:space="0"/>
            <w:right w:val="none" w:color="000000" w:sz="0" w:space="0"/>
          </w:tcBorders>
          <w:tcW w:w="2991" w:type="dxa"/>
          <w:vAlign w:val="center"/>
          <w:vMerge w:val="restart"/>
          <w:textDirection w:val="lrTb"/>
          <w:noWrap w:val="false"/>
        </w:tcPr>
        <w:p>
          <w:pPr>
            <w:pStyle w:val="1188"/>
            <w:jc w:val="center"/>
            <w:rPr>
              <w:b/>
              <w:bCs/>
              <w:sz w:val="24"/>
            </w:rPr>
          </w:pPr>
          <w:r>
            <w:rPr>
              <w:b/>
              <w:bCs/>
              <w:sz w:val="24"/>
            </w:rPr>
            <w:t xml:space="preserve">COMPRAS</w:t>
          </w:r>
          <w:r>
            <w:rPr>
              <w:b/>
              <w:bCs/>
              <w:sz w:val="24"/>
            </w:rPr>
          </w:r>
          <w:r/>
        </w:p>
      </w:tc>
      <w:tc>
        <w:tcPr>
          <w:tcBorders>
            <w:top w:val="single" w:color="000000" w:sz="4" w:space="0"/>
            <w:left w:val="single" w:color="000000" w:sz="4" w:space="0"/>
            <w:bottom w:val="single" w:color="000000" w:sz="4" w:space="0"/>
            <w:right w:val="single" w:color="000000" w:sz="4" w:space="0"/>
          </w:tcBorders>
          <w:tcW w:w="2540" w:type="dxa"/>
          <w:vAlign w:val="center"/>
          <w:textDirection w:val="lrTb"/>
          <w:noWrap w:val="false"/>
        </w:tcPr>
        <w:p>
          <w:pPr>
            <w:pStyle w:val="1188"/>
            <w:jc w:val="center"/>
            <w:spacing w:line="360" w:lineRule="auto"/>
          </w:pPr>
          <w:r>
            <w:rPr>
              <w:b/>
              <w:bCs/>
              <w:sz w:val="24"/>
            </w:rPr>
            <w:t xml:space="preserve">PR – 840 - 01</w:t>
          </w:r>
          <w:r/>
        </w:p>
      </w:tc>
    </w:tr>
    <w:tr>
      <w:trPr>
        <w:cantSplit/>
        <w:trHeight w:val="501"/>
      </w:trPr>
      <w:tc>
        <w:tcPr>
          <w:tcBorders>
            <w:top w:val="single" w:color="000000" w:sz="4" w:space="0"/>
            <w:left w:val="single" w:color="000000" w:sz="4" w:space="0"/>
            <w:bottom w:val="single" w:color="000000" w:sz="4" w:space="0"/>
            <w:right w:val="none" w:color="000000" w:sz="0" w:space="0"/>
          </w:tcBorders>
          <w:tcW w:w="1534" w:type="dxa"/>
          <w:vAlign w:val="center"/>
          <w:vMerge w:val="continue"/>
          <w:textDirection w:val="lrTb"/>
          <w:noWrap w:val="false"/>
        </w:tcPr>
        <w:p>
          <w:pPr>
            <w:pStyle w:val="1188"/>
            <w:jc w:val="center"/>
            <w:rPr>
              <w:b/>
              <w:bCs/>
            </w:rPr>
          </w:pPr>
          <w:r>
            <w:rPr>
              <w:b/>
              <w:bCs/>
            </w:rPr>
          </w:r>
          <w:r/>
        </w:p>
      </w:tc>
      <w:tc>
        <w:tcPr>
          <w:tcBorders>
            <w:top w:val="single" w:color="000000" w:sz="4" w:space="0"/>
            <w:left w:val="single" w:color="000000" w:sz="4" w:space="0"/>
            <w:bottom w:val="single" w:color="000000" w:sz="4" w:space="0"/>
            <w:right w:val="none" w:color="000000" w:sz="0" w:space="0"/>
          </w:tcBorders>
          <w:tcW w:w="2495" w:type="dxa"/>
          <w:vAlign w:val="center"/>
          <w:vMerge w:val="continue"/>
          <w:textDirection w:val="lrTb"/>
          <w:noWrap w:val="false"/>
        </w:tcPr>
        <w:p>
          <w:pPr>
            <w:pStyle w:val="1188"/>
            <w:jc w:val="center"/>
            <w:spacing w:line="360" w:lineRule="auto"/>
            <w:rPr>
              <w:sz w:val="24"/>
            </w:rPr>
          </w:pPr>
          <w:r>
            <w:rPr>
              <w:sz w:val="24"/>
            </w:rPr>
          </w:r>
          <w:r/>
        </w:p>
      </w:tc>
      <w:tc>
        <w:tcPr>
          <w:tcBorders>
            <w:top w:val="single" w:color="000000" w:sz="4" w:space="0"/>
            <w:left w:val="single" w:color="000000" w:sz="4" w:space="0"/>
            <w:bottom w:val="single" w:color="000000" w:sz="4" w:space="0"/>
            <w:right w:val="none" w:color="000000" w:sz="0" w:space="0"/>
          </w:tcBorders>
          <w:tcW w:w="2991" w:type="dxa"/>
          <w:vAlign w:val="center"/>
          <w:vMerge w:val="continue"/>
          <w:textDirection w:val="lrTb"/>
          <w:noWrap w:val="false"/>
        </w:tcPr>
        <w:p>
          <w:pPr>
            <w:pStyle w:val="1188"/>
            <w:jc w:val="center"/>
            <w:spacing w:line="360" w:lineRule="auto"/>
            <w:rPr>
              <w:sz w:val="24"/>
            </w:rPr>
          </w:pPr>
          <w:r>
            <w:rPr>
              <w:sz w:val="24"/>
            </w:rPr>
          </w:r>
          <w:r/>
        </w:p>
      </w:tc>
      <w:tc>
        <w:tcPr>
          <w:tcBorders>
            <w:top w:val="single" w:color="000000" w:sz="4" w:space="0"/>
            <w:left w:val="single" w:color="000000" w:sz="4" w:space="0"/>
            <w:bottom w:val="single" w:color="000000" w:sz="4" w:space="0"/>
            <w:right w:val="single" w:color="000000" w:sz="4" w:space="0"/>
          </w:tcBorders>
          <w:tcW w:w="2540" w:type="dxa"/>
          <w:vAlign w:val="center"/>
          <w:textDirection w:val="lrTb"/>
          <w:noWrap w:val="false"/>
        </w:tcPr>
        <w:p>
          <w:pPr>
            <w:pStyle w:val="1188"/>
            <w:ind w:left="0" w:right="-69" w:firstLine="0"/>
            <w:jc w:val="center"/>
            <w:spacing w:line="360" w:lineRule="auto"/>
          </w:pPr>
          <w:r>
            <w:rPr>
              <w:b/>
              <w:bCs/>
              <w:sz w:val="24"/>
            </w:rPr>
            <w:t xml:space="preserve">Revisión: 2</w:t>
          </w:r>
          <w:r/>
        </w:p>
      </w:tc>
    </w:tr>
  </w:tbl>
  <w:p>
    <w:pPr>
      <w:pStyle w:val="1188"/>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34"/>
      <w:gridCol w:w="2495"/>
      <w:gridCol w:w="2991"/>
      <w:gridCol w:w="2540"/>
    </w:tblGrid>
    <w:tr>
      <w:trPr>
        <w:cantSplit/>
        <w:trHeight w:val="741"/>
      </w:trPr>
      <w:tc>
        <w:tcPr>
          <w:tcBorders>
            <w:top w:val="single" w:color="000000" w:sz="4" w:space="0"/>
            <w:left w:val="single" w:color="000000" w:sz="4" w:space="0"/>
            <w:bottom w:val="single" w:color="000000" w:sz="4" w:space="0"/>
            <w:right w:val="none" w:color="000000" w:sz="0" w:space="0"/>
          </w:tcBorders>
          <w:tcW w:w="1534" w:type="dxa"/>
          <w:vAlign w:val="center"/>
          <w:vMerge w:val="restart"/>
          <w:textDirection w:val="lrTb"/>
          <w:noWrap w:val="false"/>
        </w:tcPr>
        <w:p>
          <w:pPr>
            <w:pStyle w:val="1188"/>
            <w:ind w:left="72" w:right="0" w:firstLine="0"/>
            <w:jc w:val="center"/>
          </w:pPr>
          <w:r>
            <mc:AlternateContent>
              <mc:Choice Requires="wpg">
                <w:drawing>
                  <wp:inline xmlns:wp="http://schemas.openxmlformats.org/drawingml/2006/wordprocessingDrawing" distT="0" distB="0" distL="0" distR="0">
                    <wp:extent cx="838940" cy="731886"/>
                    <wp:effectExtent l="0" t="0" r="0" b="0"/>
                    <wp:docPr id="2" name="_x0000_i2050"/>
                    <wp:cNvGraphicFramePr/>
                    <a:graphic xmlns:a="http://schemas.openxmlformats.org/drawingml/2006/main">
                      <a:graphicData uri="http://schemas.openxmlformats.org/drawingml/2006/picture">
                        <pic:pic xmlns:pic="http://schemas.openxmlformats.org/drawingml/2006/picture">
                          <pic:nvPicPr>
                            <pic:cNvPr id="1586882552" name=""/>
                            <pic:cNvPicPr/>
                            <pic:nvPr/>
                          </pic:nvPicPr>
                          <pic:blipFill>
                            <a:blip r:embed="rId1"/>
                            <a:stretch/>
                          </pic:blipFill>
                          <pic:spPr bwMode="auto">
                            <a:xfrm>
                              <a:off x="0" y="0"/>
                              <a:ext cx="838939" cy="73188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66.1pt;height:57.6pt;mso-wrap-distance-left:0.0pt;mso-wrap-distance-top:0.0pt;mso-wrap-distance-right:0.0pt;mso-wrap-distance-bottom:0.0pt;" stroked="f">
                    <v:path textboxrect="0,0,0,0"/>
                    <v:imagedata r:id="rId1" o:title=""/>
                  </v:shape>
                </w:pict>
              </mc:Fallback>
            </mc:AlternateContent>
          </w:r>
          <w:r/>
          <w:r/>
        </w:p>
        <w:p>
          <w:pPr>
            <w:pStyle w:val="1188"/>
            <w:jc w:val="center"/>
          </w:pPr>
          <w:r/>
          <w:r/>
          <w:r/>
        </w:p>
      </w:tc>
      <w:tc>
        <w:tcPr>
          <w:tcBorders>
            <w:top w:val="single" w:color="000000" w:sz="4" w:space="0"/>
            <w:left w:val="single" w:color="000000" w:sz="4" w:space="0"/>
            <w:bottom w:val="single" w:color="000000" w:sz="4" w:space="0"/>
            <w:right w:val="none" w:color="000000" w:sz="0" w:space="0"/>
          </w:tcBorders>
          <w:tcW w:w="2495" w:type="dxa"/>
          <w:vAlign w:val="center"/>
          <w:vMerge w:val="restart"/>
          <w:textDirection w:val="lrTb"/>
          <w:noWrap w:val="false"/>
        </w:tcPr>
        <w:p>
          <w:pPr>
            <w:pStyle w:val="1188"/>
            <w:jc w:val="center"/>
            <w:spacing w:line="360" w:lineRule="auto"/>
            <w:rPr>
              <w:szCs w:val="24"/>
            </w:rPr>
          </w:pPr>
          <w:r>
            <w:rPr>
              <w:b/>
              <w:bCs/>
              <w:sz w:val="24"/>
            </w:rPr>
            <w:t xml:space="preserve">Sistema de Gestión de Calidad de Control Montevideo</w:t>
          </w:r>
          <w:r>
            <w:rPr>
              <w:b/>
              <w:bCs/>
              <w:sz w:val="24"/>
            </w:rPr>
          </w:r>
          <w:r/>
        </w:p>
      </w:tc>
      <w:tc>
        <w:tcPr>
          <w:tcBorders>
            <w:top w:val="single" w:color="000000" w:sz="4" w:space="0"/>
            <w:left w:val="single" w:color="000000" w:sz="4" w:space="0"/>
            <w:bottom w:val="single" w:color="000000" w:sz="4" w:space="0"/>
            <w:right w:val="none" w:color="000000" w:sz="0" w:space="0"/>
          </w:tcBorders>
          <w:tcW w:w="2991" w:type="dxa"/>
          <w:vAlign w:val="center"/>
          <w:vMerge w:val="restart"/>
          <w:textDirection w:val="lrTb"/>
          <w:noWrap w:val="false"/>
        </w:tcPr>
        <w:p>
          <w:pPr>
            <w:pStyle w:val="1188"/>
            <w:jc w:val="center"/>
            <w:rPr>
              <w:szCs w:val="24"/>
            </w:rPr>
          </w:pPr>
          <w:r>
            <w:rPr>
              <w:b/>
              <w:bCs/>
              <w:sz w:val="24"/>
            </w:rPr>
            <w:t xml:space="preserve">COMPRAS</w:t>
          </w:r>
          <w:r>
            <w:rPr>
              <w:b/>
              <w:bCs/>
              <w:sz w:val="24"/>
            </w:rPr>
          </w:r>
          <w:r/>
        </w:p>
      </w:tc>
      <w:tc>
        <w:tcPr>
          <w:tcBorders>
            <w:top w:val="single" w:color="000000" w:sz="4" w:space="0"/>
            <w:left w:val="single" w:color="000000" w:sz="4" w:space="0"/>
            <w:bottom w:val="single" w:color="000000" w:sz="4" w:space="0"/>
            <w:right w:val="single" w:color="000000" w:sz="4" w:space="0"/>
          </w:tcBorders>
          <w:tcW w:w="2540" w:type="dxa"/>
          <w:vAlign w:val="center"/>
          <w:textDirection w:val="lrTb"/>
          <w:noWrap w:val="false"/>
        </w:tcPr>
        <w:p>
          <w:pPr>
            <w:pStyle w:val="1188"/>
            <w:jc w:val="center"/>
            <w:spacing w:line="360" w:lineRule="auto"/>
          </w:pPr>
          <w:r>
            <w:rPr>
              <w:b/>
              <w:bCs/>
              <w:sz w:val="24"/>
            </w:rPr>
            <w:t xml:space="preserve">PR – 840 - 01</w:t>
          </w:r>
          <w:r/>
          <w:r/>
        </w:p>
      </w:tc>
    </w:tr>
    <w:tr>
      <w:trPr>
        <w:cantSplit/>
        <w:trHeight w:val="501"/>
      </w:trPr>
      <w:tc>
        <w:tcPr>
          <w:tcBorders>
            <w:top w:val="single" w:color="000000" w:sz="4" w:space="0"/>
            <w:left w:val="single" w:color="000000" w:sz="4" w:space="0"/>
            <w:bottom w:val="single" w:color="000000" w:sz="4" w:space="0"/>
            <w:right w:val="none" w:color="000000" w:sz="0" w:space="0"/>
          </w:tcBorders>
          <w:tcW w:w="1534" w:type="dxa"/>
          <w:vAlign w:val="center"/>
          <w:vMerge w:val="continue"/>
          <w:textDirection w:val="lrTb"/>
          <w:noWrap w:val="false"/>
        </w:tcPr>
        <w:p>
          <w:pPr>
            <w:pStyle w:val="1188"/>
            <w:jc w:val="center"/>
          </w:pPr>
          <w:r>
            <w:rPr>
              <w:b/>
              <w:bCs/>
            </w:rPr>
          </w:r>
          <w:r>
            <w:rPr>
              <w:b/>
              <w:bCs/>
            </w:rPr>
          </w:r>
          <w:r/>
        </w:p>
      </w:tc>
      <w:tc>
        <w:tcPr>
          <w:tcBorders>
            <w:top w:val="single" w:color="000000" w:sz="4" w:space="0"/>
            <w:left w:val="single" w:color="000000" w:sz="4" w:space="0"/>
            <w:bottom w:val="single" w:color="000000" w:sz="4" w:space="0"/>
            <w:right w:val="none" w:color="000000" w:sz="0" w:space="0"/>
          </w:tcBorders>
          <w:tcW w:w="2495" w:type="dxa"/>
          <w:vAlign w:val="center"/>
          <w:vMerge w:val="continue"/>
          <w:textDirection w:val="lrTb"/>
          <w:noWrap w:val="false"/>
        </w:tcPr>
        <w:p>
          <w:pPr>
            <w:pStyle w:val="1188"/>
            <w:jc w:val="center"/>
            <w:spacing w:line="360" w:lineRule="auto"/>
            <w:rPr>
              <w:szCs w:val="24"/>
            </w:rPr>
          </w:pPr>
          <w:r>
            <w:rPr>
              <w:sz w:val="24"/>
            </w:rPr>
          </w:r>
          <w:r>
            <w:rPr>
              <w:sz w:val="24"/>
            </w:rPr>
          </w:r>
          <w:r/>
        </w:p>
      </w:tc>
      <w:tc>
        <w:tcPr>
          <w:tcBorders>
            <w:top w:val="single" w:color="000000" w:sz="4" w:space="0"/>
            <w:left w:val="single" w:color="000000" w:sz="4" w:space="0"/>
            <w:bottom w:val="single" w:color="000000" w:sz="4" w:space="0"/>
            <w:right w:val="none" w:color="000000" w:sz="0" w:space="0"/>
          </w:tcBorders>
          <w:tcW w:w="2991" w:type="dxa"/>
          <w:vAlign w:val="center"/>
          <w:vMerge w:val="continue"/>
          <w:textDirection w:val="lrTb"/>
          <w:noWrap w:val="false"/>
        </w:tcPr>
        <w:p>
          <w:pPr>
            <w:pStyle w:val="1188"/>
            <w:jc w:val="center"/>
            <w:spacing w:line="360" w:lineRule="auto"/>
            <w:rPr>
              <w:szCs w:val="24"/>
            </w:rPr>
          </w:pPr>
          <w:r>
            <w:rPr>
              <w:sz w:val="24"/>
            </w:rPr>
          </w:r>
          <w:r>
            <w:rPr>
              <w:sz w:val="24"/>
            </w:rPr>
          </w:r>
          <w:r/>
        </w:p>
      </w:tc>
      <w:tc>
        <w:tcPr>
          <w:tcBorders>
            <w:top w:val="single" w:color="000000" w:sz="4" w:space="0"/>
            <w:left w:val="single" w:color="000000" w:sz="4" w:space="0"/>
            <w:bottom w:val="single" w:color="000000" w:sz="4" w:space="0"/>
            <w:right w:val="single" w:color="000000" w:sz="4" w:space="0"/>
          </w:tcBorders>
          <w:tcW w:w="2540" w:type="dxa"/>
          <w:vAlign w:val="center"/>
          <w:textDirection w:val="lrTb"/>
          <w:noWrap w:val="false"/>
        </w:tcPr>
        <w:p>
          <w:pPr>
            <w:pStyle w:val="1188"/>
            <w:ind w:left="0" w:right="-69" w:firstLine="0"/>
            <w:jc w:val="center"/>
            <w:spacing w:line="360" w:lineRule="auto"/>
          </w:pPr>
          <w:r>
            <w:rPr>
              <w:b/>
              <w:bCs/>
              <w:sz w:val="24"/>
            </w:rPr>
            <w:t xml:space="preserve">Revisión: 2</w:t>
          </w:r>
          <w:r/>
          <w:r/>
        </w:p>
      </w:tc>
    </w:tr>
  </w:tbl>
  <w:p>
    <w:pPr>
      <w:pStyle w:val="1188"/>
      <w:jc w:val="left"/>
      <w:spacing w:line="360" w:lineRule="auto"/>
      <w:rPr>
        <w:sz w:val="24"/>
      </w:rPr>
    </w:pPr>
    <w:r>
      <w:rPr>
        <w:sz w:val="24"/>
      </w:rPr>
    </w:r>
    <w:r/>
  </w:p>
  <w:p>
    <w:pPr>
      <w:pStyle w:val="1188"/>
    </w:pPr>
    <w:r/>
    <w:r/>
  </w:p>
  <w:p>
    <w:pPr>
      <w:pStyle w:val="1188"/>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8"/>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109"/>
      <w:isLgl w:val="false"/>
      <w:suff w:val="nothing"/>
      <w:lvlText w:val=""/>
      <w:lvlJc w:val="left"/>
      <w:pPr>
        <w:pStyle w:val="1108"/>
        <w:ind w:left="432" w:hanging="432"/>
        <w:tabs>
          <w:tab w:val="num" w:pos="0" w:leader="none"/>
        </w:tabs>
      </w:pPr>
    </w:lvl>
    <w:lvl w:ilvl="1">
      <w:start w:val="1"/>
      <w:numFmt w:val="decimal"/>
      <w:isLgl w:val="false"/>
      <w:suff w:val="nothing"/>
      <w:lvlText w:val=""/>
      <w:lvlJc w:val="left"/>
      <w:pPr>
        <w:pStyle w:val="1108"/>
        <w:ind w:left="576" w:hanging="576"/>
        <w:tabs>
          <w:tab w:val="num" w:pos="576" w:leader="none"/>
        </w:tabs>
      </w:pPr>
    </w:lvl>
    <w:lvl w:ilvl="2">
      <w:start w:val="1"/>
      <w:numFmt w:val="decimal"/>
      <w:pStyle w:val="1110"/>
      <w:isLgl w:val="false"/>
      <w:suff w:val="nothing"/>
      <w:lvlText w:val=""/>
      <w:lvlJc w:val="left"/>
      <w:pPr>
        <w:pStyle w:val="1108"/>
        <w:ind w:left="720" w:hanging="720"/>
        <w:tabs>
          <w:tab w:val="num" w:pos="0" w:leader="none"/>
        </w:tabs>
      </w:pPr>
    </w:lvl>
    <w:lvl w:ilvl="3">
      <w:start w:val="1"/>
      <w:numFmt w:val="decimal"/>
      <w:pStyle w:val="1111"/>
      <w:isLgl w:val="false"/>
      <w:suff w:val="nothing"/>
      <w:lvlText w:val=""/>
      <w:lvlJc w:val="left"/>
      <w:pPr>
        <w:pStyle w:val="1108"/>
        <w:ind w:left="864" w:hanging="864"/>
        <w:tabs>
          <w:tab w:val="num" w:pos="0" w:leader="none"/>
        </w:tabs>
      </w:pPr>
    </w:lvl>
    <w:lvl w:ilvl="4">
      <w:start w:val="1"/>
      <w:numFmt w:val="decimal"/>
      <w:pStyle w:val="1112"/>
      <w:isLgl w:val="false"/>
      <w:suff w:val="nothing"/>
      <w:lvlText w:val=""/>
      <w:lvlJc w:val="left"/>
      <w:pPr>
        <w:pStyle w:val="1108"/>
        <w:ind w:left="1008" w:hanging="1008"/>
        <w:tabs>
          <w:tab w:val="num" w:pos="0" w:leader="none"/>
        </w:tabs>
      </w:pPr>
    </w:lvl>
    <w:lvl w:ilvl="5">
      <w:start w:val="1"/>
      <w:numFmt w:val="decimal"/>
      <w:pStyle w:val="1113"/>
      <w:isLgl w:val="false"/>
      <w:suff w:val="nothing"/>
      <w:lvlText w:val=""/>
      <w:lvlJc w:val="left"/>
      <w:pPr>
        <w:pStyle w:val="1108"/>
        <w:ind w:left="1152" w:hanging="1152"/>
        <w:tabs>
          <w:tab w:val="num" w:pos="0" w:leader="none"/>
        </w:tabs>
      </w:pPr>
    </w:lvl>
    <w:lvl w:ilvl="6">
      <w:start w:val="1"/>
      <w:numFmt w:val="decimal"/>
      <w:pStyle w:val="1114"/>
      <w:isLgl w:val="false"/>
      <w:suff w:val="nothing"/>
      <w:lvlText w:val=""/>
      <w:lvlJc w:val="left"/>
      <w:pPr>
        <w:pStyle w:val="1108"/>
        <w:ind w:left="1296" w:hanging="1296"/>
        <w:tabs>
          <w:tab w:val="num" w:pos="0" w:leader="none"/>
        </w:tabs>
      </w:pPr>
    </w:lvl>
    <w:lvl w:ilvl="7">
      <w:start w:val="1"/>
      <w:numFmt w:val="decimal"/>
      <w:isLgl w:val="false"/>
      <w:suff w:val="nothing"/>
      <w:lvlText w:val=""/>
      <w:lvlJc w:val="left"/>
      <w:pPr>
        <w:pStyle w:val="1108"/>
        <w:ind w:left="1440" w:hanging="1440"/>
        <w:tabs>
          <w:tab w:val="num" w:pos="1440" w:leader="none"/>
        </w:tabs>
      </w:pPr>
    </w:lvl>
    <w:lvl w:ilvl="8">
      <w:start w:val="1"/>
      <w:numFmt w:val="decimal"/>
      <w:isLgl w:val="false"/>
      <w:suff w:val="nothing"/>
      <w:lvlText w:val=""/>
      <w:lvlJc w:val="left"/>
      <w:pPr>
        <w:pStyle w:val="1108"/>
        <w:ind w:left="1584" w:hanging="1584"/>
        <w:tabs>
          <w:tab w:val="num" w:pos="1584" w:leader="none"/>
        </w:tabs>
      </w:pPr>
    </w:lvl>
  </w:abstractNum>
  <w:abstractNum w:abstractNumId="1">
    <w:multiLevelType w:val="hybridMultilevel"/>
    <w:lvl w:ilvl="0">
      <w:start w:val="1"/>
      <w:numFmt w:val="bullet"/>
      <w:isLgl w:val="false"/>
      <w:suff w:val="tab"/>
      <w:lvlText w:val=""/>
      <w:lvlJc w:val="left"/>
      <w:pPr>
        <w:pStyle w:val="1108"/>
        <w:ind w:left="1080" w:hanging="360"/>
        <w:tabs>
          <w:tab w:val="num" w:pos="0" w:leader="none"/>
        </w:tabs>
      </w:pPr>
      <w:rPr>
        <w:rFonts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decimal"/>
      <w:isLgl w:val="false"/>
      <w:suff w:val="tab"/>
      <w:lvlText w:val="%1."/>
      <w:lvlJc w:val="left"/>
      <w:pPr>
        <w:pStyle w:val="1108"/>
        <w:ind w:left="644" w:hanging="360"/>
        <w:tabs>
          <w:tab w:val="num" w:pos="0" w:leader="none"/>
        </w:tabs>
      </w:pPr>
      <w:rPr>
        <w:rFonts w:ascii="Symbol" w:hAnsi="Symbol" w:eastAsia="+mn-ea" w:cs="Symbol"/>
        <w:color w:val="000000"/>
        <w:szCs w:val="22"/>
        <w:lang w:val="es-ES"/>
      </w:rPr>
    </w:lvl>
    <w:lvl w:ilvl="1">
      <w:start w:val="1"/>
      <w:numFmt w:val="decimal"/>
      <w:isLgl w:val="false"/>
      <w:suff w:val="tab"/>
      <w:lvlText w:val="%1.%2"/>
      <w:lvlJc w:val="left"/>
      <w:pPr>
        <w:pStyle w:val="1108"/>
        <w:ind w:left="1095" w:hanging="375"/>
        <w:tabs>
          <w:tab w:val="num" w:pos="708" w:leader="none"/>
        </w:tabs>
      </w:pPr>
      <w:rPr>
        <w:rFonts w:ascii="Symbol" w:hAnsi="Symbol" w:eastAsia="+mn-ea" w:cs="Symbol"/>
        <w:color w:val="000000"/>
        <w:szCs w:val="22"/>
        <w:lang w:val="es-ES"/>
      </w:rPr>
    </w:lvl>
    <w:lvl w:ilvl="2">
      <w:start w:val="1"/>
      <w:numFmt w:val="decimal"/>
      <w:isLgl w:val="false"/>
      <w:suff w:val="tab"/>
      <w:lvlText w:val="%1.%2.%3"/>
      <w:lvlJc w:val="left"/>
      <w:pPr>
        <w:pStyle w:val="1108"/>
        <w:ind w:left="1800" w:hanging="720"/>
        <w:tabs>
          <w:tab w:val="num" w:pos="0" w:leader="none"/>
        </w:tabs>
      </w:pPr>
      <w:rPr>
        <w:rFonts w:ascii="Symbol" w:hAnsi="Symbol" w:eastAsia="+mn-ea" w:cs="Symbol"/>
        <w:color w:val="000000"/>
        <w:szCs w:val="22"/>
        <w:lang w:val="es-ES"/>
      </w:rPr>
    </w:lvl>
    <w:lvl w:ilvl="3">
      <w:start w:val="1"/>
      <w:numFmt w:val="decimal"/>
      <w:isLgl w:val="false"/>
      <w:suff w:val="tab"/>
      <w:lvlText w:val="%1.%2.%3.%4"/>
      <w:lvlJc w:val="left"/>
      <w:pPr>
        <w:pStyle w:val="1108"/>
        <w:ind w:left="2160" w:hanging="720"/>
        <w:tabs>
          <w:tab w:val="num" w:pos="0" w:leader="none"/>
        </w:tabs>
      </w:pPr>
      <w:rPr>
        <w:rFonts w:ascii="Symbol" w:hAnsi="Symbol" w:eastAsia="+mn-ea" w:cs="Symbol"/>
        <w:color w:val="000000"/>
        <w:szCs w:val="22"/>
        <w:lang w:val="es-ES"/>
      </w:rPr>
    </w:lvl>
    <w:lvl w:ilvl="4">
      <w:start w:val="1"/>
      <w:numFmt w:val="decimal"/>
      <w:isLgl w:val="false"/>
      <w:suff w:val="tab"/>
      <w:lvlText w:val="%1.%2.%3.%4.%5"/>
      <w:lvlJc w:val="left"/>
      <w:pPr>
        <w:pStyle w:val="1108"/>
        <w:ind w:left="2880" w:hanging="1080"/>
        <w:tabs>
          <w:tab w:val="num" w:pos="0" w:leader="none"/>
        </w:tabs>
      </w:pPr>
      <w:rPr>
        <w:rFonts w:ascii="Symbol" w:hAnsi="Symbol" w:eastAsia="+mn-ea" w:cs="Symbol"/>
        <w:color w:val="000000"/>
        <w:szCs w:val="22"/>
        <w:lang w:val="es-ES"/>
      </w:rPr>
    </w:lvl>
    <w:lvl w:ilvl="5">
      <w:start w:val="1"/>
      <w:numFmt w:val="decimal"/>
      <w:isLgl w:val="false"/>
      <w:suff w:val="tab"/>
      <w:lvlText w:val="%1.%2.%3.%4.%5.%6"/>
      <w:lvlJc w:val="left"/>
      <w:pPr>
        <w:pStyle w:val="1108"/>
        <w:ind w:left="3240" w:hanging="1080"/>
        <w:tabs>
          <w:tab w:val="num" w:pos="0" w:leader="none"/>
        </w:tabs>
      </w:pPr>
      <w:rPr>
        <w:rFonts w:ascii="Symbol" w:hAnsi="Symbol" w:eastAsia="+mn-ea" w:cs="Symbol"/>
        <w:color w:val="000000"/>
        <w:szCs w:val="22"/>
        <w:lang w:val="es-ES"/>
      </w:rPr>
    </w:lvl>
    <w:lvl w:ilvl="6">
      <w:start w:val="1"/>
      <w:numFmt w:val="decimal"/>
      <w:isLgl w:val="false"/>
      <w:suff w:val="tab"/>
      <w:lvlText w:val="%1.%2.%3.%4.%5.%6.%7"/>
      <w:lvlJc w:val="left"/>
      <w:pPr>
        <w:pStyle w:val="1108"/>
        <w:ind w:left="3960" w:hanging="1440"/>
        <w:tabs>
          <w:tab w:val="num" w:pos="0" w:leader="none"/>
        </w:tabs>
      </w:pPr>
      <w:rPr>
        <w:rFonts w:ascii="Symbol" w:hAnsi="Symbol" w:eastAsia="+mn-ea" w:cs="Symbol"/>
        <w:color w:val="000000"/>
        <w:szCs w:val="22"/>
        <w:lang w:val="es-ES"/>
      </w:rPr>
    </w:lvl>
    <w:lvl w:ilvl="7">
      <w:start w:val="1"/>
      <w:numFmt w:val="decimal"/>
      <w:isLgl w:val="false"/>
      <w:suff w:val="tab"/>
      <w:lvlText w:val="%1.%2.%3.%4.%5.%6.%7.%8"/>
      <w:lvlJc w:val="left"/>
      <w:pPr>
        <w:pStyle w:val="1108"/>
        <w:ind w:left="4320" w:hanging="1440"/>
        <w:tabs>
          <w:tab w:val="num" w:pos="0" w:leader="none"/>
        </w:tabs>
      </w:pPr>
      <w:rPr>
        <w:rFonts w:ascii="Symbol" w:hAnsi="Symbol" w:eastAsia="+mn-ea" w:cs="Symbol"/>
        <w:color w:val="000000"/>
        <w:szCs w:val="22"/>
        <w:lang w:val="es-ES"/>
      </w:rPr>
    </w:lvl>
    <w:lvl w:ilvl="8">
      <w:start w:val="1"/>
      <w:numFmt w:val="decimal"/>
      <w:isLgl w:val="false"/>
      <w:suff w:val="tab"/>
      <w:lvlText w:val="%1.%2.%3.%4.%5.%6.%7.%8.%9"/>
      <w:lvlJc w:val="left"/>
      <w:pPr>
        <w:pStyle w:val="1108"/>
        <w:ind w:left="5040" w:hanging="1800"/>
        <w:tabs>
          <w:tab w:val="num" w:pos="0" w:leader="none"/>
        </w:tabs>
      </w:pPr>
      <w:rPr>
        <w:rFonts w:ascii="Symbol" w:hAnsi="Symbol" w:eastAsia="+mn-ea" w:cs="Symbol"/>
        <w:color w:val="000000"/>
        <w:szCs w:val="22"/>
        <w:lang w:val="es-ES"/>
      </w:rPr>
    </w:lvl>
  </w:abstractNum>
  <w:abstractNum w:abstractNumId="3">
    <w:multiLevelType w:val="hybridMultilevel"/>
    <w:lvl w:ilvl="0">
      <w:start w:val="1"/>
      <w:numFmt w:val="bullet"/>
      <w:isLgl w:val="false"/>
      <w:suff w:val="tab"/>
      <w:lvlText w:val=""/>
      <w:lvlJc w:val="left"/>
      <w:pPr>
        <w:pStyle w:val="1108"/>
        <w:ind w:left="1080" w:hanging="360"/>
        <w:tabs>
          <w:tab w:val="num" w:pos="0" w:leader="none"/>
        </w:tabs>
      </w:pPr>
      <w:rPr>
        <w:rFonts w:ascii="Symbol" w:hAnsi="Symbol" w:cs="Times New Roman"/>
        <w:b w:val="0"/>
        <w:color w:val="000000"/>
        <w:szCs w:val="20"/>
        <w:lang w:val="es-ES_tradn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1108"/>
    <w:next w:val="1108"/>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1108"/>
    <w:next w:val="1108"/>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1108"/>
    <w:next w:val="1108"/>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1108"/>
    <w:next w:val="1108"/>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1108"/>
    <w:next w:val="1108"/>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1108"/>
    <w:next w:val="1108"/>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1108"/>
    <w:next w:val="1108"/>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1108"/>
    <w:next w:val="1108"/>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1108"/>
    <w:next w:val="1108"/>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1108"/>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1108"/>
    <w:next w:val="1108"/>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1108"/>
    <w:next w:val="1108"/>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1108"/>
    <w:next w:val="1108"/>
    <w:link w:val="39"/>
    <w:uiPriority w:val="29"/>
    <w:qFormat/>
    <w:pPr>
      <w:ind w:left="720" w:right="720"/>
    </w:pPr>
    <w:rPr>
      <w:i/>
    </w:rPr>
  </w:style>
  <w:style w:type="character" w:styleId="39">
    <w:name w:val="Quote Char"/>
    <w:link w:val="38"/>
    <w:uiPriority w:val="29"/>
    <w:rPr>
      <w:i/>
    </w:rPr>
  </w:style>
  <w:style w:type="paragraph" w:styleId="40">
    <w:name w:val="Intense Quote"/>
    <w:basedOn w:val="1108"/>
    <w:next w:val="1108"/>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1108"/>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1108"/>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1108"/>
    <w:next w:val="1108"/>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110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110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110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110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11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11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110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110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110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110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110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110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110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110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110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110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110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110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110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110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110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110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110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110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110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110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110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110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110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110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110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110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110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110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110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110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110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110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110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110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110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110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110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110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110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110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110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110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110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110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110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1107"/>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1107"/>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1107"/>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1107"/>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1107"/>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1107"/>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110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110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110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110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110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110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110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110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110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110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110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110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110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110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110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110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110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110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110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110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110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110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110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110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110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110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110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110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110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110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110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110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110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110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110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110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110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110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110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110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110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110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110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110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110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110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110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110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110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110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110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110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110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110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110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110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110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1108"/>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1108"/>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1108"/>
    <w:next w:val="1108"/>
    <w:uiPriority w:val="39"/>
    <w:unhideWhenUsed/>
    <w:pPr>
      <w:ind w:left="0" w:right="0" w:firstLine="0"/>
      <w:spacing w:after="57"/>
    </w:pPr>
  </w:style>
  <w:style w:type="paragraph" w:styleId="182">
    <w:name w:val="toc 2"/>
    <w:basedOn w:val="1108"/>
    <w:next w:val="1108"/>
    <w:uiPriority w:val="39"/>
    <w:unhideWhenUsed/>
    <w:pPr>
      <w:ind w:left="283" w:right="0" w:firstLine="0"/>
      <w:spacing w:after="57"/>
    </w:pPr>
  </w:style>
  <w:style w:type="paragraph" w:styleId="183">
    <w:name w:val="toc 3"/>
    <w:basedOn w:val="1108"/>
    <w:next w:val="1108"/>
    <w:uiPriority w:val="39"/>
    <w:unhideWhenUsed/>
    <w:pPr>
      <w:ind w:left="567" w:right="0" w:firstLine="0"/>
      <w:spacing w:after="57"/>
    </w:pPr>
  </w:style>
  <w:style w:type="paragraph" w:styleId="184">
    <w:name w:val="toc 4"/>
    <w:basedOn w:val="1108"/>
    <w:next w:val="1108"/>
    <w:uiPriority w:val="39"/>
    <w:unhideWhenUsed/>
    <w:pPr>
      <w:ind w:left="850" w:right="0" w:firstLine="0"/>
      <w:spacing w:after="57"/>
    </w:pPr>
  </w:style>
  <w:style w:type="paragraph" w:styleId="185">
    <w:name w:val="toc 5"/>
    <w:basedOn w:val="1108"/>
    <w:next w:val="1108"/>
    <w:uiPriority w:val="39"/>
    <w:unhideWhenUsed/>
    <w:pPr>
      <w:ind w:left="1134" w:right="0" w:firstLine="0"/>
      <w:spacing w:after="57"/>
    </w:pPr>
  </w:style>
  <w:style w:type="paragraph" w:styleId="186">
    <w:name w:val="toc 6"/>
    <w:basedOn w:val="1108"/>
    <w:next w:val="1108"/>
    <w:uiPriority w:val="39"/>
    <w:unhideWhenUsed/>
    <w:pPr>
      <w:ind w:left="1417" w:right="0" w:firstLine="0"/>
      <w:spacing w:after="57"/>
    </w:pPr>
  </w:style>
  <w:style w:type="paragraph" w:styleId="187">
    <w:name w:val="toc 7"/>
    <w:basedOn w:val="1108"/>
    <w:next w:val="1108"/>
    <w:uiPriority w:val="39"/>
    <w:unhideWhenUsed/>
    <w:pPr>
      <w:ind w:left="1701" w:right="0" w:firstLine="0"/>
      <w:spacing w:after="57"/>
    </w:pPr>
  </w:style>
  <w:style w:type="paragraph" w:styleId="188">
    <w:name w:val="toc 8"/>
    <w:basedOn w:val="1108"/>
    <w:next w:val="1108"/>
    <w:uiPriority w:val="39"/>
    <w:unhideWhenUsed/>
    <w:pPr>
      <w:ind w:left="1984" w:right="0" w:firstLine="0"/>
      <w:spacing w:after="57"/>
    </w:pPr>
  </w:style>
  <w:style w:type="paragraph" w:styleId="189">
    <w:name w:val="toc 9"/>
    <w:basedOn w:val="1108"/>
    <w:next w:val="1108"/>
    <w:uiPriority w:val="39"/>
    <w:unhideWhenUsed/>
    <w:pPr>
      <w:ind w:left="2268" w:right="0" w:firstLine="0"/>
      <w:spacing w:after="57"/>
    </w:pPr>
  </w:style>
  <w:style w:type="paragraph" w:styleId="190">
    <w:name w:val="TOC Heading"/>
    <w:uiPriority w:val="39"/>
    <w:unhideWhenUsed/>
  </w:style>
  <w:style w:type="paragraph" w:styleId="191">
    <w:name w:val="table of figures"/>
    <w:basedOn w:val="1108"/>
    <w:next w:val="1108"/>
    <w:uiPriority w:val="99"/>
    <w:unhideWhenUsed/>
    <w:pPr>
      <w:spacing w:after="0" w:afterAutospacing="0"/>
    </w:pPr>
  </w:style>
  <w:style w:type="table" w:styleId="1107" w:default="1">
    <w:name w:val="Normal Table"/>
    <w:uiPriority w:val="99"/>
    <w:semiHidden/>
    <w:unhideWhenUsed/>
    <w:qFormat/>
    <w:tblPr>
      <w:tblInd w:w="0" w:type="dxa"/>
      <w:tblCellMar>
        <w:left w:w="108" w:type="dxa"/>
        <w:top w:w="0" w:type="dxa"/>
        <w:right w:w="108" w:type="dxa"/>
        <w:bottom w:w="0" w:type="dxa"/>
      </w:tblCellMar>
    </w:tblPr>
  </w:style>
  <w:style w:type="paragraph" w:styleId="1108" w:default="1">
    <w:name w:val="Normal"/>
    <w:next w:val="1108"/>
    <w:link w:val="1108"/>
    <w:pPr>
      <w:widowControl/>
    </w:pPr>
    <w:rPr>
      <w:rFonts w:ascii="Times New Roman" w:hAnsi="Times New Roman" w:eastAsia="Times New Roman" w:cs="Times New Roman"/>
      <w:color w:val="auto"/>
      <w:sz w:val="24"/>
      <w:szCs w:val="24"/>
      <w:lang w:val="es-ES" w:eastAsia="zh-CN" w:bidi="ar-SA"/>
    </w:rPr>
  </w:style>
  <w:style w:type="paragraph" w:styleId="1109">
    <w:name w:val="Encabezado 1"/>
    <w:basedOn w:val="1108"/>
    <w:next w:val="1108"/>
    <w:link w:val="1108"/>
    <w:pPr>
      <w:numPr>
        <w:ilvl w:val="0"/>
        <w:numId w:val="1"/>
      </w:numPr>
      <w:jc w:val="center"/>
      <w:keepNext/>
      <w:spacing w:line="360" w:lineRule="auto"/>
      <w:widowControl w:val="off"/>
      <w:outlineLvl w:val="0"/>
    </w:pPr>
    <w:rPr>
      <w:b/>
      <w:szCs w:val="20"/>
      <w:lang w:val="es-ES_tradnl"/>
    </w:rPr>
  </w:style>
  <w:style w:type="paragraph" w:styleId="1110">
    <w:name w:val="Encabezado 3"/>
    <w:basedOn w:val="1108"/>
    <w:next w:val="1108"/>
    <w:link w:val="1108"/>
    <w:pPr>
      <w:numPr>
        <w:ilvl w:val="2"/>
        <w:numId w:val="1"/>
      </w:numPr>
      <w:keepNext/>
      <w:spacing w:line="360" w:lineRule="auto"/>
      <w:outlineLvl w:val="2"/>
    </w:pPr>
    <w:rPr>
      <w:b/>
      <w:sz w:val="20"/>
      <w:szCs w:val="20"/>
    </w:rPr>
  </w:style>
  <w:style w:type="paragraph" w:styleId="1111">
    <w:name w:val="Encabezado 4"/>
    <w:basedOn w:val="1108"/>
    <w:next w:val="1108"/>
    <w:link w:val="1108"/>
    <w:pPr>
      <w:numPr>
        <w:ilvl w:val="3"/>
        <w:numId w:val="1"/>
      </w:numPr>
      <w:jc w:val="center"/>
      <w:keepNext/>
      <w:spacing w:line="360" w:lineRule="auto"/>
      <w:outlineLvl w:val="3"/>
    </w:pPr>
    <w:rPr>
      <w:b/>
      <w:szCs w:val="20"/>
    </w:rPr>
  </w:style>
  <w:style w:type="paragraph" w:styleId="1112">
    <w:name w:val="Encabezado 5"/>
    <w:basedOn w:val="1108"/>
    <w:next w:val="1108"/>
    <w:link w:val="1108"/>
    <w:pPr>
      <w:numPr>
        <w:ilvl w:val="4"/>
        <w:numId w:val="1"/>
      </w:numPr>
      <w:jc w:val="center"/>
      <w:keepNext/>
      <w:spacing w:line="360" w:lineRule="auto"/>
      <w:outlineLvl w:val="4"/>
    </w:pPr>
    <w:rPr>
      <w:szCs w:val="20"/>
    </w:rPr>
  </w:style>
  <w:style w:type="paragraph" w:styleId="1113">
    <w:name w:val="Encabezado 6"/>
    <w:basedOn w:val="1108"/>
    <w:next w:val="1108"/>
    <w:link w:val="1108"/>
    <w:pPr>
      <w:numPr>
        <w:ilvl w:val="5"/>
        <w:numId w:val="1"/>
      </w:numPr>
      <w:jc w:val="both"/>
      <w:keepNext/>
      <w:spacing w:line="360" w:lineRule="auto"/>
      <w:outlineLvl w:val="5"/>
    </w:pPr>
    <w:rPr>
      <w:b/>
      <w:bCs/>
      <w:sz w:val="20"/>
      <w:szCs w:val="20"/>
    </w:rPr>
  </w:style>
  <w:style w:type="paragraph" w:styleId="1114">
    <w:name w:val="Encabezado 7"/>
    <w:basedOn w:val="1108"/>
    <w:next w:val="1108"/>
    <w:link w:val="1108"/>
    <w:pPr>
      <w:numPr>
        <w:ilvl w:val="6"/>
        <w:numId w:val="1"/>
      </w:numPr>
      <w:jc w:val="both"/>
      <w:keepNext/>
      <w:spacing w:line="360" w:lineRule="auto"/>
      <w:outlineLvl w:val="6"/>
    </w:pPr>
    <w:rPr>
      <w:szCs w:val="20"/>
    </w:rPr>
  </w:style>
  <w:style w:type="character" w:styleId="1115">
    <w:name w:val="WW8Num1z0"/>
    <w:next w:val="1115"/>
    <w:link w:val="1108"/>
  </w:style>
  <w:style w:type="character" w:styleId="1116">
    <w:name w:val="WW8Num1z1"/>
    <w:next w:val="1116"/>
    <w:link w:val="1108"/>
  </w:style>
  <w:style w:type="character" w:styleId="1117">
    <w:name w:val="WW8Num1z2"/>
    <w:next w:val="1117"/>
    <w:link w:val="1108"/>
  </w:style>
  <w:style w:type="character" w:styleId="1118">
    <w:name w:val="WW8Num1z3"/>
    <w:next w:val="1118"/>
    <w:link w:val="1108"/>
  </w:style>
  <w:style w:type="character" w:styleId="1119">
    <w:name w:val="WW8Num1z4"/>
    <w:next w:val="1119"/>
    <w:link w:val="1108"/>
  </w:style>
  <w:style w:type="character" w:styleId="1120">
    <w:name w:val="WW8Num1z5"/>
    <w:next w:val="1120"/>
    <w:link w:val="1108"/>
  </w:style>
  <w:style w:type="character" w:styleId="1121">
    <w:name w:val="WW8Num1z6"/>
    <w:next w:val="1121"/>
    <w:link w:val="1108"/>
  </w:style>
  <w:style w:type="character" w:styleId="1122">
    <w:name w:val="WW8Num1z7"/>
    <w:next w:val="1122"/>
    <w:link w:val="1108"/>
  </w:style>
  <w:style w:type="character" w:styleId="1123">
    <w:name w:val="WW8Num1z8"/>
    <w:next w:val="1123"/>
    <w:link w:val="1108"/>
  </w:style>
  <w:style w:type="character" w:styleId="1124">
    <w:name w:val="WW8Num2z0"/>
    <w:next w:val="1124"/>
    <w:link w:val="1108"/>
  </w:style>
  <w:style w:type="character" w:styleId="1125">
    <w:name w:val="WW8Num3z0"/>
    <w:next w:val="1125"/>
    <w:link w:val="1108"/>
    <w:rPr>
      <w:rFonts w:ascii="Symbol" w:hAnsi="Symbol" w:eastAsia="+mn-ea" w:cs="Symbol"/>
      <w:color w:val="000000"/>
      <w:szCs w:val="22"/>
      <w:lang w:val="es-ES"/>
    </w:rPr>
  </w:style>
  <w:style w:type="character" w:styleId="1126">
    <w:name w:val="WW8Num4z0"/>
    <w:next w:val="1126"/>
    <w:link w:val="1108"/>
    <w:rPr>
      <w:rFonts w:ascii="Times New Roman" w:hAnsi="Times New Roman" w:eastAsia="+mn-ea" w:cs="Times New Roman"/>
      <w:b w:val="0"/>
      <w:color w:val="000000"/>
      <w:szCs w:val="20"/>
      <w:lang w:val="es-ES_tradnl"/>
    </w:rPr>
  </w:style>
  <w:style w:type="character" w:styleId="1127">
    <w:name w:val="WW8Num2z1"/>
    <w:next w:val="1127"/>
    <w:link w:val="1108"/>
  </w:style>
  <w:style w:type="character" w:styleId="1128">
    <w:name w:val="WW8Num2z2"/>
    <w:next w:val="1128"/>
    <w:link w:val="1108"/>
  </w:style>
  <w:style w:type="character" w:styleId="1129">
    <w:name w:val="WW8Num2z3"/>
    <w:next w:val="1129"/>
    <w:link w:val="1108"/>
  </w:style>
  <w:style w:type="character" w:styleId="1130">
    <w:name w:val="WW8Num2z4"/>
    <w:next w:val="1130"/>
    <w:link w:val="1108"/>
  </w:style>
  <w:style w:type="character" w:styleId="1131">
    <w:name w:val="WW8Num2z5"/>
    <w:next w:val="1131"/>
    <w:link w:val="1108"/>
  </w:style>
  <w:style w:type="character" w:styleId="1132">
    <w:name w:val="WW8Num2z6"/>
    <w:next w:val="1132"/>
    <w:link w:val="1108"/>
  </w:style>
  <w:style w:type="character" w:styleId="1133">
    <w:name w:val="WW8Num2z7"/>
    <w:next w:val="1133"/>
    <w:link w:val="1108"/>
  </w:style>
  <w:style w:type="character" w:styleId="1134">
    <w:name w:val="WW8Num2z8"/>
    <w:next w:val="1134"/>
    <w:link w:val="1108"/>
  </w:style>
  <w:style w:type="character" w:styleId="1135">
    <w:name w:val="WW8Num3z1"/>
    <w:next w:val="1135"/>
    <w:link w:val="1108"/>
    <w:rPr>
      <w:rFonts w:ascii="Courier New" w:hAnsi="Courier New" w:cs="Courier New"/>
    </w:rPr>
  </w:style>
  <w:style w:type="character" w:styleId="1136">
    <w:name w:val="WW8Num3z2"/>
    <w:next w:val="1136"/>
    <w:link w:val="1108"/>
    <w:rPr>
      <w:rFonts w:ascii="Wingdings" w:hAnsi="Wingdings" w:cs="Wingdings"/>
    </w:rPr>
  </w:style>
  <w:style w:type="character" w:styleId="1137">
    <w:name w:val="WW8Num5z0"/>
    <w:next w:val="1137"/>
    <w:link w:val="1108"/>
  </w:style>
  <w:style w:type="character" w:styleId="1138">
    <w:name w:val="WW8Num5z1"/>
    <w:next w:val="1138"/>
    <w:link w:val="1108"/>
  </w:style>
  <w:style w:type="character" w:styleId="1139">
    <w:name w:val="WW8Num5z2"/>
    <w:next w:val="1139"/>
    <w:link w:val="1108"/>
  </w:style>
  <w:style w:type="character" w:styleId="1140">
    <w:name w:val="WW8Num5z3"/>
    <w:next w:val="1140"/>
    <w:link w:val="1108"/>
  </w:style>
  <w:style w:type="character" w:styleId="1141">
    <w:name w:val="WW8Num5z4"/>
    <w:next w:val="1141"/>
    <w:link w:val="1108"/>
  </w:style>
  <w:style w:type="character" w:styleId="1142">
    <w:name w:val="WW8Num5z5"/>
    <w:next w:val="1142"/>
    <w:link w:val="1108"/>
  </w:style>
  <w:style w:type="character" w:styleId="1143">
    <w:name w:val="WW8Num5z6"/>
    <w:next w:val="1143"/>
    <w:link w:val="1108"/>
  </w:style>
  <w:style w:type="character" w:styleId="1144">
    <w:name w:val="WW8Num5z7"/>
    <w:next w:val="1144"/>
    <w:link w:val="1108"/>
  </w:style>
  <w:style w:type="character" w:styleId="1145">
    <w:name w:val="WW8Num5z8"/>
    <w:next w:val="1145"/>
    <w:link w:val="1108"/>
  </w:style>
  <w:style w:type="character" w:styleId="1146">
    <w:name w:val="WW8Num6z0"/>
    <w:next w:val="1146"/>
    <w:link w:val="1108"/>
  </w:style>
  <w:style w:type="character" w:styleId="1147">
    <w:name w:val="WW8Num6z1"/>
    <w:next w:val="1147"/>
    <w:link w:val="1108"/>
  </w:style>
  <w:style w:type="character" w:styleId="1148">
    <w:name w:val="WW8Num6z2"/>
    <w:next w:val="1148"/>
    <w:link w:val="1108"/>
  </w:style>
  <w:style w:type="character" w:styleId="1149">
    <w:name w:val="WW8Num6z3"/>
    <w:next w:val="1149"/>
    <w:link w:val="1108"/>
  </w:style>
  <w:style w:type="character" w:styleId="1150">
    <w:name w:val="WW8Num6z4"/>
    <w:next w:val="1150"/>
  </w:style>
  <w:style w:type="character" w:styleId="1151">
    <w:name w:val="WW8Num6z5"/>
    <w:next w:val="1151"/>
    <w:link w:val="1108"/>
  </w:style>
  <w:style w:type="character" w:styleId="1152">
    <w:name w:val="WW8Num6z6"/>
    <w:next w:val="1152"/>
    <w:link w:val="1108"/>
  </w:style>
  <w:style w:type="character" w:styleId="1153">
    <w:name w:val="WW8Num6z7"/>
    <w:next w:val="1153"/>
    <w:link w:val="1108"/>
  </w:style>
  <w:style w:type="character" w:styleId="1154">
    <w:name w:val="WW8Num6z8"/>
    <w:next w:val="1154"/>
  </w:style>
  <w:style w:type="character" w:styleId="1155">
    <w:name w:val="WW8Num7z0"/>
    <w:next w:val="1155"/>
    <w:link w:val="1108"/>
    <w:rPr>
      <w:rFonts w:ascii="Wingdings" w:hAnsi="Wingdings" w:cs="Wingdings"/>
    </w:rPr>
  </w:style>
  <w:style w:type="character" w:styleId="1156">
    <w:name w:val="WW8Num7z1"/>
    <w:next w:val="1156"/>
    <w:link w:val="1108"/>
    <w:rPr>
      <w:b w:val="0"/>
      <w:i w:val="0"/>
    </w:rPr>
  </w:style>
  <w:style w:type="character" w:styleId="1157">
    <w:name w:val="WW8Num7z3"/>
    <w:next w:val="1157"/>
    <w:link w:val="1108"/>
    <w:rPr>
      <w:rFonts w:ascii="Symbol" w:hAnsi="Symbol" w:cs="Symbol"/>
    </w:rPr>
  </w:style>
  <w:style w:type="character" w:styleId="1158">
    <w:name w:val="WW8Num7z4"/>
    <w:next w:val="1158"/>
    <w:link w:val="1108"/>
    <w:rPr>
      <w:rFonts w:ascii="Courier New" w:hAnsi="Courier New" w:cs="Courier New"/>
    </w:rPr>
  </w:style>
  <w:style w:type="character" w:styleId="1159">
    <w:name w:val="WW8Num8z0"/>
    <w:next w:val="1159"/>
    <w:link w:val="1108"/>
  </w:style>
  <w:style w:type="character" w:styleId="1160">
    <w:name w:val="WW8Num8z1"/>
    <w:next w:val="1160"/>
    <w:link w:val="1108"/>
  </w:style>
  <w:style w:type="character" w:styleId="1161">
    <w:name w:val="WW8Num8z2"/>
    <w:next w:val="1161"/>
    <w:link w:val="1108"/>
  </w:style>
  <w:style w:type="character" w:styleId="1162">
    <w:name w:val="WW8Num8z3"/>
    <w:next w:val="1162"/>
    <w:link w:val="1108"/>
  </w:style>
  <w:style w:type="character" w:styleId="1163">
    <w:name w:val="WW8Num8z4"/>
    <w:next w:val="1163"/>
    <w:link w:val="1108"/>
  </w:style>
  <w:style w:type="character" w:styleId="1164">
    <w:name w:val="WW8Num8z5"/>
    <w:next w:val="1164"/>
    <w:link w:val="1108"/>
  </w:style>
  <w:style w:type="character" w:styleId="1165">
    <w:name w:val="WW8Num8z6"/>
    <w:next w:val="1165"/>
    <w:link w:val="1108"/>
  </w:style>
  <w:style w:type="character" w:styleId="1166">
    <w:name w:val="WW8Num8z7"/>
    <w:next w:val="1166"/>
    <w:link w:val="1108"/>
  </w:style>
  <w:style w:type="character" w:styleId="1167">
    <w:name w:val="WW8Num8z8"/>
    <w:next w:val="1167"/>
    <w:link w:val="1108"/>
  </w:style>
  <w:style w:type="character" w:styleId="1168">
    <w:name w:val="WW8Num9z0"/>
    <w:next w:val="1168"/>
    <w:link w:val="1108"/>
    <w:rPr>
      <w:b w:val="0"/>
      <w:i w:val="0"/>
    </w:rPr>
  </w:style>
  <w:style w:type="character" w:styleId="1169">
    <w:name w:val="WW8Num9z1"/>
    <w:next w:val="1169"/>
    <w:link w:val="1108"/>
  </w:style>
  <w:style w:type="character" w:styleId="1170">
    <w:name w:val="WW8Num9z2"/>
    <w:next w:val="1170"/>
    <w:link w:val="1108"/>
  </w:style>
  <w:style w:type="character" w:styleId="1171">
    <w:name w:val="WW8Num9z3"/>
    <w:next w:val="1171"/>
    <w:link w:val="1108"/>
  </w:style>
  <w:style w:type="character" w:styleId="1172">
    <w:name w:val="WW8Num9z4"/>
    <w:next w:val="1172"/>
    <w:link w:val="1108"/>
  </w:style>
  <w:style w:type="character" w:styleId="1173">
    <w:name w:val="WW8Num9z5"/>
    <w:next w:val="1173"/>
    <w:link w:val="1108"/>
  </w:style>
  <w:style w:type="character" w:styleId="1174">
    <w:name w:val="WW8Num9z6"/>
    <w:next w:val="1174"/>
    <w:link w:val="1108"/>
  </w:style>
  <w:style w:type="character" w:styleId="1175">
    <w:name w:val="WW8Num9z7"/>
    <w:next w:val="1175"/>
    <w:link w:val="1108"/>
  </w:style>
  <w:style w:type="character" w:styleId="1176">
    <w:name w:val="WW8Num9z8"/>
    <w:next w:val="1176"/>
    <w:link w:val="1108"/>
  </w:style>
  <w:style w:type="character" w:styleId="1177">
    <w:name w:val="WW8Num10z0"/>
    <w:next w:val="1177"/>
    <w:link w:val="1108"/>
    <w:rPr>
      <w:rFonts w:ascii="Symbol" w:hAnsi="Symbol" w:eastAsia="+mn-ea" w:cs="Symbol"/>
      <w:color w:val="000000"/>
      <w:sz w:val="28"/>
      <w:szCs w:val="22"/>
    </w:rPr>
  </w:style>
  <w:style w:type="character" w:styleId="1178">
    <w:name w:val="WW8Num10z1"/>
    <w:next w:val="1178"/>
    <w:link w:val="1108"/>
    <w:rPr>
      <w:rFonts w:ascii="Courier New" w:hAnsi="Courier New" w:cs="Courier New"/>
    </w:rPr>
  </w:style>
  <w:style w:type="character" w:styleId="1179">
    <w:name w:val="WW8Num10z2"/>
    <w:next w:val="1179"/>
    <w:link w:val="1108"/>
    <w:rPr>
      <w:rFonts w:ascii="Wingdings" w:hAnsi="Wingdings" w:cs="Wingdings"/>
    </w:rPr>
  </w:style>
  <w:style w:type="character" w:styleId="1180">
    <w:name w:val="Fuente de párrafo predeter."/>
    <w:next w:val="1180"/>
    <w:link w:val="1108"/>
  </w:style>
  <w:style w:type="character" w:styleId="1181">
    <w:name w:val="Pie de página Car"/>
    <w:next w:val="1181"/>
    <w:link w:val="1108"/>
    <w:rPr>
      <w:sz w:val="24"/>
      <w:szCs w:val="24"/>
      <w:lang w:val="es-ES"/>
    </w:rPr>
  </w:style>
  <w:style w:type="character" w:styleId="1182">
    <w:name w:val="Texto de globo Car"/>
    <w:next w:val="1182"/>
    <w:link w:val="1108"/>
    <w:rPr>
      <w:rFonts w:ascii="Tahoma" w:hAnsi="Tahoma" w:cs="Tahoma"/>
      <w:sz w:val="16"/>
      <w:szCs w:val="16"/>
      <w:lang w:val="es-ES"/>
    </w:rPr>
  </w:style>
  <w:style w:type="paragraph" w:styleId="1183">
    <w:name w:val="Encabezado"/>
    <w:basedOn w:val="1108"/>
    <w:next w:val="1184"/>
    <w:link w:val="1108"/>
    <w:pPr>
      <w:keepNext/>
      <w:spacing w:before="240" w:after="120"/>
    </w:pPr>
    <w:rPr>
      <w:rFonts w:ascii="Arial" w:hAnsi="Arial" w:eastAsia="Microsoft YaHei" w:cs="Arial"/>
      <w:sz w:val="28"/>
      <w:szCs w:val="28"/>
    </w:rPr>
  </w:style>
  <w:style w:type="paragraph" w:styleId="1184">
    <w:name w:val="Cuerpo de texto"/>
    <w:basedOn w:val="1108"/>
    <w:next w:val="1184"/>
    <w:link w:val="1108"/>
    <w:pPr>
      <w:spacing w:before="0" w:after="120"/>
    </w:pPr>
  </w:style>
  <w:style w:type="paragraph" w:styleId="1185">
    <w:name w:val="Lista"/>
    <w:basedOn w:val="1184"/>
    <w:next w:val="1185"/>
    <w:link w:val="1108"/>
    <w:rPr>
      <w:rFonts w:cs="Arial"/>
    </w:rPr>
  </w:style>
  <w:style w:type="paragraph" w:styleId="1186">
    <w:name w:val="Etiqueta"/>
    <w:basedOn w:val="1108"/>
    <w:next w:val="1186"/>
    <w:link w:val="1108"/>
    <w:pPr>
      <w:spacing w:before="120" w:after="120"/>
      <w:suppressLineNumbers/>
    </w:pPr>
    <w:rPr>
      <w:rFonts w:cs="Arial"/>
      <w:i/>
      <w:iCs/>
      <w:sz w:val="24"/>
      <w:szCs w:val="24"/>
    </w:rPr>
  </w:style>
  <w:style w:type="paragraph" w:styleId="1187">
    <w:name w:val="Índice"/>
    <w:basedOn w:val="1108"/>
    <w:next w:val="1187"/>
    <w:link w:val="1108"/>
    <w:pPr>
      <w:suppressLineNumbers/>
    </w:pPr>
    <w:rPr>
      <w:rFonts w:cs="Arial"/>
    </w:rPr>
  </w:style>
  <w:style w:type="paragraph" w:styleId="1188">
    <w:name w:val="Encabezamiento"/>
    <w:basedOn w:val="1108"/>
    <w:next w:val="1188"/>
    <w:link w:val="1108"/>
    <w:pPr>
      <w:tabs>
        <w:tab w:val="center" w:pos="4419" w:leader="none"/>
        <w:tab w:val="right" w:pos="8838" w:leader="none"/>
      </w:tabs>
    </w:pPr>
    <w:rPr>
      <w:sz w:val="20"/>
      <w:szCs w:val="20"/>
    </w:rPr>
  </w:style>
  <w:style w:type="paragraph" w:styleId="1189">
    <w:name w:val="Pie de página"/>
    <w:basedOn w:val="1108"/>
    <w:next w:val="1189"/>
    <w:link w:val="1108"/>
    <w:pPr>
      <w:tabs>
        <w:tab w:val="center" w:pos="4252" w:leader="none"/>
        <w:tab w:val="right" w:pos="8504" w:leader="none"/>
      </w:tabs>
    </w:pPr>
  </w:style>
  <w:style w:type="paragraph" w:styleId="1190">
    <w:name w:val="Texto independiente 2"/>
    <w:basedOn w:val="1108"/>
    <w:next w:val="1190"/>
    <w:link w:val="1108"/>
    <w:pPr>
      <w:jc w:val="both"/>
    </w:pPr>
    <w:rPr>
      <w:rFonts w:ascii="Arial" w:hAnsi="Arial" w:cs="Arial"/>
      <w:b/>
      <w:bCs/>
    </w:rPr>
  </w:style>
  <w:style w:type="paragraph" w:styleId="1191">
    <w:name w:val="Texto de globo"/>
    <w:basedOn w:val="1108"/>
    <w:next w:val="1191"/>
    <w:link w:val="1108"/>
    <w:rPr>
      <w:rFonts w:ascii="Tahoma" w:hAnsi="Tahoma" w:cs="Tahoma"/>
      <w:sz w:val="16"/>
      <w:szCs w:val="16"/>
    </w:rPr>
  </w:style>
  <w:style w:type="paragraph" w:styleId="1192">
    <w:name w:val="Normal (Web)"/>
    <w:basedOn w:val="1108"/>
    <w:next w:val="1192"/>
    <w:link w:val="1108"/>
    <w:pPr>
      <w:spacing w:before="280" w:after="280"/>
    </w:pPr>
    <w:rPr>
      <w:lang w:val="es-UY"/>
    </w:rPr>
  </w:style>
  <w:style w:type="paragraph" w:styleId="1193">
    <w:name w:val="Contenido de la tabla"/>
    <w:basedOn w:val="1108"/>
    <w:next w:val="1193"/>
    <w:link w:val="1108"/>
    <w:pPr>
      <w:suppressLineNumbers/>
    </w:pPr>
  </w:style>
  <w:style w:type="paragraph" w:styleId="1194">
    <w:name w:val="Encabezado de la tabla"/>
    <w:basedOn w:val="1193"/>
    <w:next w:val="1194"/>
    <w:link w:val="1108"/>
    <w:pPr>
      <w:jc w:val="center"/>
      <w:suppressLineNumbers/>
    </w:pPr>
    <w:rPr>
      <w:b/>
      <w:bCs/>
    </w:rPr>
  </w:style>
  <w:style w:type="character" w:styleId="1674" w:default="1">
    <w:name w:val="Default Paragraph Font"/>
    <w:uiPriority w:val="1"/>
    <w:semiHidden/>
    <w:unhideWhenUsed/>
  </w:style>
  <w:style w:type="numbering" w:styleId="1675"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footer" Target="footer6.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jpg"/></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FUENTE DE INFORMACION</dc:title>
  <dc:creator>EMPRE_JEFE</dc:creator>
  <cp:revision>5</cp:revision>
  <dcterms:created xsi:type="dcterms:W3CDTF">2020-10-22T00:27:00Z</dcterms:created>
  <dcterms:modified xsi:type="dcterms:W3CDTF">2025-09-12T13:07:02Z</dcterms:modified>
</cp:coreProperties>
</file>