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67"/>
        <w:rPr>
          <w:sz w:val="20"/>
        </w:rPr>
      </w:pPr>
      <w:r>
        <w:rPr>
          <w:sz w:val="20"/>
        </w:rPr>
        <w:t xml:space="preserve">PARAMETROS DE CALIFICACIÓN</w:t>
      </w:r>
      <w:r>
        <w:rPr>
          <w:sz w:val="20"/>
        </w:rPr>
      </w:r>
      <w:r/>
    </w:p>
    <w:p>
      <w:pPr>
        <w:pStyle w:val="767"/>
        <w:rPr>
          <w:sz w:val="20"/>
        </w:rPr>
      </w:pPr>
      <w:r>
        <w:rPr>
          <w:sz w:val="20"/>
        </w:rPr>
        <w:t xml:space="preserve">Muy bueno</w:t>
        <w:tab/>
        <w:t xml:space="preserve">5 (sobrepasó las expectativas de CONMO)</w:t>
      </w:r>
      <w:r>
        <w:rPr>
          <w:sz w:val="20"/>
        </w:rPr>
      </w:r>
      <w:r/>
    </w:p>
    <w:p>
      <w:pPr>
        <w:pStyle w:val="767"/>
        <w:rPr>
          <w:sz w:val="20"/>
        </w:rPr>
      </w:pPr>
      <w:r>
        <w:rPr>
          <w:sz w:val="20"/>
        </w:rPr>
        <w:t xml:space="preserve">Bueno</w:t>
        <w:tab/>
        <w:tab/>
        <w:t xml:space="preserve">4 (Cumplió lo solicitado satisfactoriamente)</w:t>
      </w:r>
      <w:r>
        <w:rPr>
          <w:sz w:val="20"/>
        </w:rPr>
      </w:r>
      <w:r/>
    </w:p>
    <w:p>
      <w:pPr>
        <w:pStyle w:val="767"/>
        <w:rPr>
          <w:sz w:val="20"/>
        </w:rPr>
      </w:pPr>
      <w:r>
        <w:rPr>
          <w:sz w:val="20"/>
        </w:rPr>
        <w:t xml:space="preserve">Aceptable</w:t>
        <w:tab/>
        <w:t xml:space="preserve">3 (Sólo cumplió lo estipulado)</w:t>
      </w:r>
      <w:r>
        <w:rPr>
          <w:sz w:val="20"/>
        </w:rPr>
      </w:r>
      <w:r/>
    </w:p>
    <w:p>
      <w:pPr>
        <w:pStyle w:val="767"/>
        <w:rPr>
          <w:sz w:val="20"/>
        </w:rPr>
      </w:pPr>
      <w:r>
        <w:rPr>
          <w:sz w:val="20"/>
        </w:rPr>
        <w:t xml:space="preserve">Irregular</w:t>
        <w:tab/>
        <w:t xml:space="preserve">              2 (Cumplió/No cumplió con lo solicitado – Se poseen registros de Incidentes con el proveedor)</w:t>
      </w:r>
      <w:r>
        <w:rPr>
          <w:sz w:val="20"/>
        </w:rPr>
      </w:r>
      <w:r/>
    </w:p>
    <w:p>
      <w:pPr>
        <w:pStyle w:val="767"/>
        <w:rPr>
          <w:sz w:val="20"/>
          <w:szCs w:val="20"/>
        </w:rPr>
      </w:pPr>
      <w:r>
        <w:rPr>
          <w:sz w:val="20"/>
        </w:rPr>
        <w:t xml:space="preserve">Malo</w:t>
        <w:tab/>
        <w:tab/>
        <w:t xml:space="preserve">1 (No Cumplió)   </w:t>
      </w:r>
      <w:r>
        <w:rPr>
          <w:sz w:val="20"/>
          <w:szCs w:val="20"/>
          <w:highlight w:val="none"/>
        </w:rPr>
      </w:r>
    </w:p>
    <w:p>
      <w:pPr>
        <w:rPr>
          <w:sz w:val="20"/>
          <w:szCs w:val="20"/>
          <w:highlight w:val="none"/>
        </w:rPr>
      </w:pPr>
      <w:r>
        <w:rPr>
          <w:sz w:val="20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NA                  0(No aplica)</w:t>
      </w:r>
      <w:r>
        <w:rPr>
          <w:sz w:val="20"/>
          <w:szCs w:val="20"/>
          <w:highlight w:val="none"/>
        </w:rPr>
      </w:r>
      <w:r/>
    </w:p>
    <w:p>
      <w:pPr>
        <w:rPr>
          <w:sz w:val="20"/>
          <w:szCs w:val="20"/>
        </w:rPr>
      </w:pPr>
      <w:r>
        <w:rPr>
          <w:sz w:val="20"/>
          <w:highlight w:val="none"/>
        </w:rPr>
      </w:r>
      <w:r>
        <w:rPr>
          <w:sz w:val="20"/>
          <w:highlight w:val="none"/>
        </w:rPr>
      </w:r>
    </w:p>
    <w:p>
      <w:pPr>
        <w:pStyle w:val="767"/>
        <w:rPr>
          <w:sz w:val="20"/>
        </w:rPr>
      </w:pPr>
      <w:r>
        <w:rPr>
          <w:sz w:val="20"/>
        </w:rPr>
      </w:r>
      <w:r/>
    </w:p>
    <w:p>
      <w:pPr>
        <w:pStyle w:val="767"/>
      </w:pPr>
      <w:r>
        <w:t xml:space="preserve">PERÍODO DE EVALUACIÓN: </w:t>
      </w:r>
      <w:r/>
    </w:p>
    <w:p>
      <w:pPr>
        <w:pStyle w:val="767"/>
      </w:pPr>
      <w:r/>
      <w:r/>
    </w:p>
    <w:tbl>
      <w:tblPr>
        <w:tblW w:w="0" w:type="auto"/>
        <w:tblInd w:w="-113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310"/>
        <w:gridCol w:w="1996"/>
        <w:gridCol w:w="1930"/>
        <w:gridCol w:w="1983"/>
        <w:gridCol w:w="1948"/>
        <w:gridCol w:w="2008"/>
        <w:gridCol w:w="1979"/>
      </w:tblGrid>
      <w:tr>
        <w:trPr/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767"/>
            </w:pPr>
            <w:r>
              <w:t xml:space="preserve">Proveedor</w:t>
            </w:r>
            <w:r/>
          </w:p>
        </w:tc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top"/>
            <w:textDirection w:val="lrTb"/>
            <w:noWrap w:val="false"/>
          </w:tcPr>
          <w:p>
            <w:pPr>
              <w:pStyle w:val="767"/>
            </w:pPr>
            <w:r>
              <w:t xml:space="preserve">Tiempo de espera a la obtención del servicio (disponibilidad)</w:t>
            </w:r>
            <w:r/>
          </w:p>
        </w:tc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top"/>
            <w:textDirection w:val="lrTb"/>
            <w:noWrap w:val="false"/>
          </w:tcPr>
          <w:p>
            <w:pPr>
              <w:pStyle w:val="767"/>
            </w:pPr>
            <w:r>
              <w:t xml:space="preserve">Calidad del Servicio prestado</w:t>
            </w:r>
            <w:r/>
          </w:p>
        </w:tc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top"/>
            <w:textDirection w:val="lrTb"/>
            <w:noWrap w:val="false"/>
          </w:tcPr>
          <w:p>
            <w:pPr>
              <w:pStyle w:val="767"/>
            </w:pPr>
            <w:r>
              <w:t xml:space="preserve">Cumplimiento de plazos de entrega</w:t>
            </w:r>
            <w:r/>
          </w:p>
        </w:tc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top"/>
            <w:textDirection w:val="lrTb"/>
            <w:noWrap w:val="false"/>
          </w:tcPr>
          <w:p>
            <w:pPr>
              <w:pStyle w:val="767"/>
            </w:pPr>
            <w:r>
              <w:t xml:space="preserve">Asistencia Técnica antes y/o después del servicio</w:t>
            </w:r>
            <w:r/>
          </w:p>
        </w:tc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top"/>
            <w:textDirection w:val="lrTb"/>
            <w:noWrap w:val="false"/>
          </w:tcPr>
          <w:p>
            <w:pPr>
              <w:pStyle w:val="767"/>
            </w:pPr>
            <w:r>
              <w:t xml:space="preserve">Gestión (Requerimientos, garantía)</w:t>
            </w:r>
            <w:r/>
          </w:p>
        </w:tc>
        <w:tc>
          <w:tcPr>
            <w:shd w:val="clear" w:color="auto" w:fill="b6dde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top"/>
            <w:textDirection w:val="lrTb"/>
            <w:noWrap w:val="false"/>
          </w:tcPr>
          <w:p>
            <w:pPr>
              <w:pStyle w:val="767"/>
            </w:pPr>
            <w:r>
              <w:t xml:space="preserve">TOTAL (en los ítems que aplica proporcional a un 100%)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767"/>
              <w:rPr>
                <w:sz w:val="20"/>
                <w:szCs w:val="20"/>
                <w:lang w:val="es-UY" w:eastAsia="es-UY"/>
              </w:rPr>
            </w:pPr>
            <w:r>
              <w:rPr>
                <w:sz w:val="20"/>
                <w:szCs w:val="20"/>
                <w:lang w:val="es-UY" w:eastAsia="es-UY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767"/>
              <w:rPr>
                <w:sz w:val="20"/>
                <w:szCs w:val="20"/>
                <w:lang w:val="es-UY" w:eastAsia="es-UY"/>
              </w:rPr>
            </w:pPr>
            <w:r>
              <w:rPr>
                <w:sz w:val="20"/>
                <w:szCs w:val="20"/>
                <w:lang w:val="es-UY" w:eastAsia="es-UY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767"/>
              <w:rPr>
                <w:sz w:val="20"/>
                <w:szCs w:val="20"/>
                <w:lang w:val="es-UY" w:eastAsia="es-UY"/>
              </w:rPr>
            </w:pPr>
            <w:r>
              <w:rPr>
                <w:sz w:val="20"/>
                <w:szCs w:val="20"/>
                <w:lang w:val="es-UY" w:eastAsia="es-UY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767"/>
              <w:rPr>
                <w:sz w:val="20"/>
                <w:szCs w:val="20"/>
                <w:lang w:val="es-UY" w:eastAsia="es-UY"/>
              </w:rPr>
            </w:pPr>
            <w:r>
              <w:rPr>
                <w:sz w:val="20"/>
                <w:szCs w:val="20"/>
                <w:lang w:val="es-UY" w:eastAsia="es-UY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767"/>
              <w:rPr>
                <w:sz w:val="20"/>
                <w:szCs w:val="20"/>
                <w:lang w:val="es-UY" w:eastAsia="es-UY"/>
              </w:rPr>
            </w:pPr>
            <w:r>
              <w:rPr>
                <w:sz w:val="20"/>
                <w:szCs w:val="20"/>
                <w:lang w:val="es-UY" w:eastAsia="es-UY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767"/>
              <w:rPr>
                <w:sz w:val="20"/>
                <w:szCs w:val="20"/>
                <w:lang w:val="es-UY" w:eastAsia="es-UY"/>
              </w:rPr>
            </w:pPr>
            <w:r>
              <w:rPr>
                <w:sz w:val="20"/>
                <w:szCs w:val="20"/>
                <w:lang w:val="es-UY" w:eastAsia="es-UY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767"/>
              <w:rPr>
                <w:sz w:val="20"/>
                <w:szCs w:val="20"/>
                <w:lang w:val="es-UY" w:eastAsia="es-UY"/>
              </w:rPr>
            </w:pPr>
            <w:r>
              <w:rPr>
                <w:sz w:val="20"/>
                <w:szCs w:val="20"/>
                <w:lang w:val="es-UY" w:eastAsia="es-UY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767"/>
              <w:rPr>
                <w:sz w:val="20"/>
                <w:szCs w:val="20"/>
                <w:lang w:val="es-UY" w:eastAsia="es-UY"/>
              </w:rPr>
            </w:pPr>
            <w:r>
              <w:rPr>
                <w:sz w:val="20"/>
                <w:szCs w:val="20"/>
                <w:lang w:val="es-UY" w:eastAsia="es-UY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767"/>
              <w:rPr>
                <w:sz w:val="20"/>
                <w:szCs w:val="20"/>
                <w:lang w:val="es-UY" w:eastAsia="es-UY"/>
              </w:rPr>
            </w:pPr>
            <w:r>
              <w:rPr>
                <w:sz w:val="20"/>
                <w:szCs w:val="20"/>
                <w:lang w:val="es-UY" w:eastAsia="es-UY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767"/>
              <w:rPr>
                <w:sz w:val="20"/>
                <w:szCs w:val="20"/>
                <w:lang w:val="es-UY" w:eastAsia="es-UY"/>
              </w:rPr>
            </w:pPr>
            <w:r>
              <w:rPr>
                <w:sz w:val="20"/>
                <w:szCs w:val="20"/>
                <w:lang w:val="es-UY" w:eastAsia="es-UY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767"/>
              <w:rPr>
                <w:sz w:val="20"/>
                <w:szCs w:val="20"/>
                <w:lang w:val="es-UY" w:eastAsia="es-UY"/>
              </w:rPr>
            </w:pPr>
            <w:r>
              <w:rPr>
                <w:sz w:val="20"/>
                <w:szCs w:val="20"/>
                <w:lang w:val="es-UY" w:eastAsia="es-UY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767"/>
              <w:rPr>
                <w:sz w:val="20"/>
                <w:szCs w:val="20"/>
                <w:lang w:val="es-UY" w:eastAsia="es-UY"/>
              </w:rPr>
            </w:pPr>
            <w:r>
              <w:rPr>
                <w:sz w:val="20"/>
                <w:szCs w:val="20"/>
                <w:lang w:val="es-UY" w:eastAsia="es-UY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310" w:type="dxa"/>
            <w:vAlign w:val="top"/>
            <w:textDirection w:val="lrTb"/>
            <w:noWrap w:val="false"/>
          </w:tcPr>
          <w:p>
            <w:pPr>
              <w:pStyle w:val="767"/>
              <w:rPr>
                <w:sz w:val="20"/>
                <w:szCs w:val="20"/>
                <w:lang w:val="es-UY" w:eastAsia="es-UY"/>
              </w:rPr>
            </w:pPr>
            <w:r>
              <w:rPr>
                <w:sz w:val="20"/>
                <w:szCs w:val="20"/>
                <w:lang w:val="es-UY" w:eastAsia="es-UY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96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30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83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94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8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vAlign w:val="top"/>
            <w:textDirection w:val="lrTb"/>
            <w:noWrap w:val="false"/>
          </w:tcPr>
          <w:p>
            <w:pPr>
              <w:pStyle w:val="767"/>
              <w:jc w:val="center"/>
            </w:pPr>
            <w:r/>
            <w:r/>
          </w:p>
        </w:tc>
      </w:tr>
    </w:tbl>
    <w:p>
      <w:r/>
    </w:p>
    <w:sectPr>
      <w:headerReference w:type="default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6838" w:h="11906" w:orient="landscape"/>
      <w:pgMar w:top="1701" w:right="1417" w:bottom="1701" w:left="1417" w:header="426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Tahoma">
    <w:panose1 w:val="020B0604030504040204"/>
  </w:font>
  <w:font w:name="Microsoft YaHei">
    <w:panose1 w:val="020B05030202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3"/>
      <w:jc w:val="center"/>
      <w:rPr>
        <w:lang w:val="es-MX"/>
      </w:rPr>
    </w:pPr>
    <w:r>
      <w:rPr>
        <w:lang w:val="es-MX"/>
      </w:rPr>
      <w:t xml:space="preserve">   </w:t>
    </w:r>
    <w:r>
      <w:rPr>
        <w:lang w:val="es-MX"/>
      </w:rPr>
    </w:r>
    <w:r/>
  </w:p>
  <w:p>
    <w:pPr>
      <w:pStyle w:val="783"/>
      <w:jc w:val="center"/>
    </w:pPr>
    <w:r>
      <w:rPr>
        <w:lang w:val="es-MX"/>
      </w:rPr>
      <w:t xml:space="preserve">Página 1 de1</w:t>
    </w:r>
    <w:r/>
  </w:p>
  <w:p>
    <w:pPr>
      <w:pStyle w:val="78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7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7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34"/>
      <w:gridCol w:w="3428"/>
      <w:gridCol w:w="6322"/>
      <w:gridCol w:w="3192"/>
    </w:tblGrid>
    <w:tr>
      <w:trPr>
        <w:cantSplit/>
        <w:trHeight w:val="741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1534" w:type="dxa"/>
          <w:vAlign w:val="center"/>
          <w:vMerge w:val="restart"/>
          <w:textDirection w:val="lrTb"/>
          <w:noWrap w:val="false"/>
        </w:tcPr>
        <w:p>
          <w:pPr>
            <w:pStyle w:val="782"/>
            <w:ind w:left="72" w:right="0" w:firstLine="0"/>
            <w:jc w:val="center"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38940" cy="731886"/>
                    <wp:effectExtent l="0" t="0" r="0" b="0"/>
                    <wp:docPr id="1" name="_x0000_i1025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838940" cy="7318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66.1pt;height:57.6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  <w:p>
          <w:pPr>
            <w:pStyle w:val="782"/>
            <w:jc w:val="center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3428" w:type="dxa"/>
          <w:vAlign w:val="center"/>
          <w:vMerge w:val="restart"/>
          <w:textDirection w:val="lrTb"/>
          <w:noWrap w:val="false"/>
        </w:tcPr>
        <w:p>
          <w:pPr>
            <w:pStyle w:val="782"/>
            <w:jc w:val="center"/>
            <w:spacing w:line="360" w:lineRule="auto"/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 xml:space="preserve">Sistema de Gestión de Calidad de Control Montevideo</w:t>
          </w:r>
          <w:r>
            <w:rPr>
              <w:b/>
              <w:bCs/>
              <w:sz w:val="24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6322" w:type="dxa"/>
          <w:vAlign w:val="center"/>
          <w:vMerge w:val="restart"/>
          <w:textDirection w:val="lrTb"/>
          <w:noWrap w:val="false"/>
        </w:tcPr>
        <w:p>
          <w:pPr>
            <w:pStyle w:val="782"/>
            <w:jc w:val="center"/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 xml:space="preserve">ANEXO “CHARLIE” </w:t>
          </w:r>
          <w:r>
            <w:rPr>
              <w:b/>
              <w:bCs/>
              <w:sz w:val="24"/>
            </w:rPr>
          </w:r>
          <w:r/>
        </w:p>
        <w:p>
          <w:pPr>
            <w:pStyle w:val="782"/>
            <w:jc w:val="center"/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 xml:space="preserve">Evaluación del Proveedor</w:t>
          </w:r>
          <w:r>
            <w:rPr>
              <w:b/>
              <w:bCs/>
              <w:sz w:val="24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3192" w:type="dxa"/>
          <w:vAlign w:val="center"/>
          <w:textDirection w:val="lrTb"/>
          <w:noWrap w:val="false"/>
        </w:tcPr>
        <w:p>
          <w:pPr>
            <w:pStyle w:val="782"/>
            <w:jc w:val="center"/>
            <w:spacing w:line="360" w:lineRule="auto"/>
          </w:pPr>
          <w:r>
            <w:rPr>
              <w:b/>
              <w:bCs/>
              <w:sz w:val="24"/>
            </w:rPr>
            <w:t xml:space="preserve">RE – 840 - 03</w:t>
          </w:r>
          <w:r/>
        </w:p>
      </w:tc>
    </w:tr>
    <w:tr>
      <w:trPr>
        <w:cantSplit/>
        <w:trHeight w:val="501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1534" w:type="dxa"/>
          <w:vAlign w:val="center"/>
          <w:vMerge w:val="continue"/>
          <w:textDirection w:val="lrTb"/>
          <w:noWrap w:val="false"/>
        </w:tcPr>
        <w:p>
          <w:pPr>
            <w:pStyle w:val="782"/>
            <w:jc w:val="center"/>
            <w:rPr>
              <w:b/>
              <w:bCs/>
            </w:rPr>
          </w:pPr>
          <w:r>
            <w:rPr>
              <w:b/>
              <w:bCs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3428" w:type="dxa"/>
          <w:vAlign w:val="center"/>
          <w:vMerge w:val="continue"/>
          <w:textDirection w:val="lrTb"/>
          <w:noWrap w:val="false"/>
        </w:tcPr>
        <w:p>
          <w:pPr>
            <w:pStyle w:val="782"/>
            <w:jc w:val="center"/>
            <w:spacing w:line="360" w:lineRule="auto"/>
            <w:rPr>
              <w:sz w:val="24"/>
            </w:rPr>
          </w:pPr>
          <w:r>
            <w:rPr>
              <w:sz w:val="24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6322" w:type="dxa"/>
          <w:vAlign w:val="center"/>
          <w:vMerge w:val="continue"/>
          <w:textDirection w:val="lrTb"/>
          <w:noWrap w:val="false"/>
        </w:tcPr>
        <w:p>
          <w:pPr>
            <w:pStyle w:val="782"/>
            <w:jc w:val="center"/>
            <w:spacing w:line="360" w:lineRule="auto"/>
            <w:rPr>
              <w:sz w:val="24"/>
            </w:rPr>
          </w:pPr>
          <w:r>
            <w:rPr>
              <w:sz w:val="24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3192" w:type="dxa"/>
          <w:vAlign w:val="center"/>
          <w:textDirection w:val="lrTb"/>
          <w:noWrap w:val="false"/>
        </w:tcPr>
        <w:p>
          <w:pPr>
            <w:pStyle w:val="782"/>
            <w:ind w:left="0" w:right="-69" w:firstLine="0"/>
            <w:jc w:val="center"/>
            <w:spacing w:line="360" w:lineRule="auto"/>
          </w:pPr>
          <w:r>
            <w:rPr>
              <w:b/>
              <w:bCs/>
              <w:sz w:val="24"/>
            </w:rPr>
            <w:t xml:space="preserve">Revisión: 2</w:t>
          </w:r>
          <w:r/>
        </w:p>
      </w:tc>
    </w:tr>
  </w:tbl>
  <w:p>
    <w:pPr>
      <w:pStyle w:val="782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7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768"/>
      <w:isLgl w:val="false"/>
      <w:suff w:val="nothing"/>
      <w:lvlText w:val=""/>
      <w:lvlJc w:val="left"/>
      <w:pPr>
        <w:pStyle w:val="767"/>
        <w:ind w:left="432" w:hanging="432"/>
        <w:tabs>
          <w:tab w:val="num" w:pos="432" w:leader="none"/>
        </w:tabs>
      </w:pPr>
    </w:lvl>
    <w:lvl w:ilvl="1">
      <w:start w:val="1"/>
      <w:numFmt w:val="decimal"/>
      <w:isLgl w:val="false"/>
      <w:suff w:val="nothing"/>
      <w:lvlText w:val=""/>
      <w:lvlJc w:val="left"/>
      <w:pPr>
        <w:pStyle w:val="767"/>
        <w:ind w:left="576" w:hanging="576"/>
        <w:tabs>
          <w:tab w:val="num" w:pos="576" w:leader="none"/>
        </w:tabs>
      </w:pPr>
    </w:lvl>
    <w:lvl w:ilvl="2">
      <w:start w:val="1"/>
      <w:numFmt w:val="decimal"/>
      <w:pStyle w:val="769"/>
      <w:isLgl w:val="false"/>
      <w:suff w:val="nothing"/>
      <w:lvlText w:val=""/>
      <w:lvlJc w:val="left"/>
      <w:pPr>
        <w:pStyle w:val="767"/>
        <w:ind w:left="720" w:hanging="720"/>
        <w:tabs>
          <w:tab w:val="num" w:pos="720" w:leader="none"/>
        </w:tabs>
      </w:pPr>
    </w:lvl>
    <w:lvl w:ilvl="3">
      <w:start w:val="1"/>
      <w:numFmt w:val="decimal"/>
      <w:pStyle w:val="770"/>
      <w:isLgl w:val="false"/>
      <w:suff w:val="nothing"/>
      <w:lvlText w:val=""/>
      <w:lvlJc w:val="left"/>
      <w:pPr>
        <w:pStyle w:val="767"/>
        <w:ind w:left="864" w:hanging="864"/>
        <w:tabs>
          <w:tab w:val="num" w:pos="864" w:leader="none"/>
        </w:tabs>
      </w:pPr>
    </w:lvl>
    <w:lvl w:ilvl="4">
      <w:start w:val="1"/>
      <w:numFmt w:val="decimal"/>
      <w:pStyle w:val="771"/>
      <w:isLgl w:val="false"/>
      <w:suff w:val="nothing"/>
      <w:lvlText w:val=""/>
      <w:lvlJc w:val="left"/>
      <w:pPr>
        <w:pStyle w:val="767"/>
        <w:ind w:left="1008" w:hanging="1008"/>
        <w:tabs>
          <w:tab w:val="num" w:pos="1008" w:leader="none"/>
        </w:tabs>
      </w:pPr>
    </w:lvl>
    <w:lvl w:ilvl="5">
      <w:start w:val="1"/>
      <w:numFmt w:val="decimal"/>
      <w:pStyle w:val="772"/>
      <w:isLgl w:val="false"/>
      <w:suff w:val="nothing"/>
      <w:lvlText w:val=""/>
      <w:lvlJc w:val="left"/>
      <w:pPr>
        <w:pStyle w:val="767"/>
        <w:ind w:left="1152" w:hanging="1152"/>
        <w:tabs>
          <w:tab w:val="num" w:pos="1152" w:leader="none"/>
        </w:tabs>
      </w:pPr>
    </w:lvl>
    <w:lvl w:ilvl="6">
      <w:start w:val="1"/>
      <w:numFmt w:val="decimal"/>
      <w:pStyle w:val="773"/>
      <w:isLgl w:val="false"/>
      <w:suff w:val="nothing"/>
      <w:lvlText w:val=""/>
      <w:lvlJc w:val="left"/>
      <w:pPr>
        <w:pStyle w:val="767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pStyle w:val="767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pStyle w:val="767"/>
        <w:ind w:left="1584" w:hanging="1584"/>
        <w:tabs>
          <w:tab w:val="num" w:pos="1584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767"/>
    <w:next w:val="76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67"/>
    <w:next w:val="76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767"/>
    <w:next w:val="76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67"/>
    <w:next w:val="76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67"/>
    <w:next w:val="76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67"/>
    <w:next w:val="76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67"/>
    <w:next w:val="76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67"/>
    <w:next w:val="76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67"/>
    <w:next w:val="76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76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67"/>
    <w:next w:val="76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767"/>
    <w:next w:val="76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767"/>
    <w:next w:val="76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67"/>
    <w:next w:val="76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76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76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767"/>
    <w:next w:val="76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76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7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6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7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7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7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7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7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7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7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7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7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7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7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7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76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76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767"/>
    <w:next w:val="76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67"/>
    <w:next w:val="76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67"/>
    <w:next w:val="76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67"/>
    <w:next w:val="76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67"/>
    <w:next w:val="76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67"/>
    <w:next w:val="76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67"/>
    <w:next w:val="76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67"/>
    <w:next w:val="76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67"/>
    <w:next w:val="76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67"/>
    <w:next w:val="767"/>
    <w:uiPriority w:val="99"/>
    <w:unhideWhenUsed/>
    <w:pPr>
      <w:spacing w:after="0" w:afterAutospacing="0"/>
    </w:pPr>
  </w:style>
  <w:style w:type="table" w:styleId="766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767" w:default="1">
    <w:name w:val="Normal"/>
    <w:next w:val="767"/>
    <w:link w:val="767"/>
    <w:pPr>
      <w:widowControl/>
    </w:pPr>
    <w:rPr>
      <w:rFonts w:ascii="Times New Roman" w:hAnsi="Times New Roman" w:eastAsia="Times New Roman" w:cs="Times New Roman"/>
      <w:color w:val="auto"/>
      <w:sz w:val="24"/>
      <w:szCs w:val="24"/>
      <w:lang w:val="es-ES" w:eastAsia="ar-SA" w:bidi="ar-SA"/>
    </w:rPr>
  </w:style>
  <w:style w:type="paragraph" w:styleId="768">
    <w:name w:val="Encabezado 1"/>
    <w:basedOn w:val="767"/>
    <w:next w:val="767"/>
    <w:pPr>
      <w:numPr>
        <w:ilvl w:val="0"/>
        <w:numId w:val="1"/>
      </w:numPr>
      <w:jc w:val="center"/>
      <w:keepNext/>
      <w:spacing w:line="360" w:lineRule="auto"/>
      <w:widowControl w:val="off"/>
      <w:outlineLvl w:val="0"/>
    </w:pPr>
    <w:rPr>
      <w:b/>
      <w:szCs w:val="20"/>
      <w:lang w:val="es-ES_tradnl"/>
    </w:rPr>
  </w:style>
  <w:style w:type="paragraph" w:styleId="769">
    <w:name w:val="Encabezado 3"/>
    <w:basedOn w:val="767"/>
    <w:next w:val="767"/>
    <w:link w:val="767"/>
    <w:pPr>
      <w:numPr>
        <w:ilvl w:val="2"/>
        <w:numId w:val="1"/>
      </w:numPr>
      <w:keepNext/>
      <w:spacing w:line="360" w:lineRule="auto"/>
      <w:outlineLvl w:val="2"/>
    </w:pPr>
    <w:rPr>
      <w:b/>
      <w:sz w:val="20"/>
      <w:szCs w:val="20"/>
    </w:rPr>
  </w:style>
  <w:style w:type="paragraph" w:styleId="770">
    <w:name w:val="Encabezado 4"/>
    <w:basedOn w:val="767"/>
    <w:next w:val="767"/>
    <w:link w:val="767"/>
    <w:pPr>
      <w:numPr>
        <w:ilvl w:val="3"/>
        <w:numId w:val="1"/>
      </w:numPr>
      <w:jc w:val="center"/>
      <w:keepNext/>
      <w:spacing w:line="360" w:lineRule="auto"/>
      <w:outlineLvl w:val="3"/>
    </w:pPr>
    <w:rPr>
      <w:b/>
      <w:szCs w:val="20"/>
    </w:rPr>
  </w:style>
  <w:style w:type="paragraph" w:styleId="771">
    <w:name w:val="Encabezado 5"/>
    <w:basedOn w:val="767"/>
    <w:next w:val="767"/>
    <w:link w:val="767"/>
    <w:pPr>
      <w:numPr>
        <w:ilvl w:val="4"/>
        <w:numId w:val="1"/>
      </w:numPr>
      <w:jc w:val="center"/>
      <w:keepNext/>
      <w:spacing w:line="360" w:lineRule="auto"/>
      <w:outlineLvl w:val="4"/>
    </w:pPr>
    <w:rPr>
      <w:szCs w:val="20"/>
    </w:rPr>
  </w:style>
  <w:style w:type="paragraph" w:styleId="772">
    <w:name w:val="Encabezado 6"/>
    <w:basedOn w:val="767"/>
    <w:next w:val="767"/>
    <w:link w:val="767"/>
    <w:pPr>
      <w:numPr>
        <w:ilvl w:val="5"/>
        <w:numId w:val="1"/>
      </w:numPr>
      <w:jc w:val="both"/>
      <w:keepNext/>
      <w:spacing w:line="360" w:lineRule="auto"/>
      <w:outlineLvl w:val="5"/>
    </w:pPr>
    <w:rPr>
      <w:b/>
      <w:bCs/>
      <w:sz w:val="20"/>
      <w:szCs w:val="20"/>
    </w:rPr>
  </w:style>
  <w:style w:type="paragraph" w:styleId="773">
    <w:name w:val="Encabezado 7"/>
    <w:basedOn w:val="767"/>
    <w:next w:val="767"/>
    <w:link w:val="767"/>
    <w:pPr>
      <w:numPr>
        <w:ilvl w:val="6"/>
        <w:numId w:val="1"/>
      </w:numPr>
      <w:jc w:val="both"/>
      <w:keepNext/>
      <w:spacing w:line="360" w:lineRule="auto"/>
      <w:outlineLvl w:val="6"/>
    </w:pPr>
    <w:rPr>
      <w:szCs w:val="20"/>
    </w:rPr>
  </w:style>
  <w:style w:type="character" w:styleId="774">
    <w:name w:val="Fuente de párrafo predeter."/>
    <w:next w:val="774"/>
    <w:link w:val="767"/>
  </w:style>
  <w:style w:type="character" w:styleId="775">
    <w:name w:val="Pie de página Car"/>
    <w:next w:val="775"/>
    <w:link w:val="767"/>
    <w:rPr>
      <w:sz w:val="24"/>
      <w:szCs w:val="24"/>
      <w:lang w:val="es-ES"/>
    </w:rPr>
  </w:style>
  <w:style w:type="character" w:styleId="776">
    <w:name w:val="Texto de globo Car"/>
    <w:next w:val="776"/>
    <w:rPr>
      <w:rFonts w:ascii="Tahoma" w:hAnsi="Tahoma" w:cs="Tahoma"/>
      <w:sz w:val="16"/>
      <w:szCs w:val="16"/>
      <w:lang w:val="es-ES"/>
    </w:rPr>
  </w:style>
  <w:style w:type="paragraph" w:styleId="777">
    <w:name w:val="Encabezado"/>
    <w:basedOn w:val="767"/>
    <w:next w:val="778"/>
    <w:link w:val="767"/>
    <w:pPr>
      <w:keepNext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778">
    <w:name w:val="Cuerpo de texto"/>
    <w:basedOn w:val="767"/>
    <w:next w:val="778"/>
    <w:link w:val="767"/>
    <w:pPr>
      <w:spacing w:before="0" w:after="120"/>
    </w:pPr>
  </w:style>
  <w:style w:type="paragraph" w:styleId="779">
    <w:name w:val="Lista"/>
    <w:basedOn w:val="778"/>
    <w:next w:val="779"/>
    <w:rPr>
      <w:rFonts w:cs="Arial"/>
    </w:rPr>
  </w:style>
  <w:style w:type="paragraph" w:styleId="780">
    <w:name w:val="Etiqueta"/>
    <w:basedOn w:val="767"/>
    <w:next w:val="780"/>
    <w:link w:val="767"/>
    <w:pPr>
      <w:spacing w:before="120" w:after="120"/>
      <w:suppressLineNumbers/>
    </w:pPr>
    <w:rPr>
      <w:rFonts w:cs="Arial"/>
      <w:i/>
      <w:iCs/>
      <w:sz w:val="24"/>
      <w:szCs w:val="24"/>
    </w:rPr>
  </w:style>
  <w:style w:type="paragraph" w:styleId="781">
    <w:name w:val="Índice"/>
    <w:basedOn w:val="767"/>
    <w:next w:val="781"/>
    <w:link w:val="767"/>
    <w:pPr>
      <w:suppressLineNumbers/>
    </w:pPr>
    <w:rPr>
      <w:rFonts w:cs="Arial"/>
    </w:rPr>
  </w:style>
  <w:style w:type="paragraph" w:styleId="782">
    <w:name w:val="Encabezamiento"/>
    <w:basedOn w:val="767"/>
    <w:next w:val="782"/>
    <w:link w:val="767"/>
    <w:pPr>
      <w:tabs>
        <w:tab w:val="center" w:pos="4419" w:leader="none"/>
        <w:tab w:val="right" w:pos="8838" w:leader="none"/>
      </w:tabs>
    </w:pPr>
    <w:rPr>
      <w:sz w:val="20"/>
      <w:szCs w:val="20"/>
    </w:rPr>
  </w:style>
  <w:style w:type="paragraph" w:styleId="783">
    <w:name w:val="Pie de página"/>
    <w:basedOn w:val="767"/>
    <w:next w:val="783"/>
    <w:link w:val="767"/>
    <w:pPr>
      <w:tabs>
        <w:tab w:val="center" w:pos="4252" w:leader="none"/>
        <w:tab w:val="right" w:pos="8504" w:leader="none"/>
      </w:tabs>
    </w:pPr>
  </w:style>
  <w:style w:type="paragraph" w:styleId="784">
    <w:name w:val="Texto de globo"/>
    <w:basedOn w:val="767"/>
    <w:next w:val="784"/>
    <w:link w:val="767"/>
    <w:rPr>
      <w:rFonts w:ascii="Tahoma" w:hAnsi="Tahoma" w:cs="Tahoma"/>
      <w:sz w:val="16"/>
      <w:szCs w:val="16"/>
    </w:rPr>
  </w:style>
  <w:style w:type="paragraph" w:styleId="785">
    <w:name w:val="Normal (Web)"/>
    <w:basedOn w:val="767"/>
    <w:next w:val="785"/>
    <w:link w:val="767"/>
    <w:pPr>
      <w:spacing w:before="280" w:after="280"/>
    </w:pPr>
    <w:rPr>
      <w:lang w:val="es-UY"/>
    </w:rPr>
  </w:style>
  <w:style w:type="paragraph" w:styleId="786">
    <w:name w:val="Contenido de la tabla"/>
    <w:basedOn w:val="767"/>
    <w:next w:val="786"/>
    <w:link w:val="767"/>
    <w:pPr>
      <w:suppressLineNumbers/>
    </w:pPr>
  </w:style>
  <w:style w:type="paragraph" w:styleId="787">
    <w:name w:val="Encabezado de la tabla"/>
    <w:basedOn w:val="786"/>
    <w:next w:val="787"/>
    <w:link w:val="767"/>
    <w:pPr>
      <w:jc w:val="center"/>
      <w:suppressLineNumbers/>
    </w:pPr>
    <w:rPr>
      <w:b/>
      <w:bCs/>
    </w:rPr>
  </w:style>
  <w:style w:type="character" w:styleId="1825" w:default="1">
    <w:name w:val="Default Paragraph Font"/>
    <w:uiPriority w:val="1"/>
    <w:semiHidden/>
    <w:unhideWhenUsed/>
  </w:style>
  <w:style w:type="numbering" w:styleId="182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FUENTE DE INFORMACION</dc:title>
  <dc:creator>EMPRE_JEFE</dc:creator>
  <cp:revision>4</cp:revision>
  <dcterms:created xsi:type="dcterms:W3CDTF">2018-10-04T14:33:00Z</dcterms:created>
  <dcterms:modified xsi:type="dcterms:W3CDTF">2025-09-05T17:30:57Z</dcterms:modified>
</cp:coreProperties>
</file>