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OBJETIVO</w:t>
      </w:r>
      <w:r/>
    </w:p>
    <w:p>
      <w:pPr>
        <w:ind w:left="357"/>
        <w:jc w:val="both"/>
        <w:spacing w:before="120" w:after="120"/>
        <w:rPr>
          <w:b/>
          <w:sz w:val="24"/>
          <w:szCs w:val="24"/>
        </w:rPr>
      </w:pPr>
      <w:r>
        <w:rPr>
          <w:sz w:val="24"/>
          <w:szCs w:val="24"/>
        </w:rPr>
        <w:t xml:space="preserve">El objetivo del Procedimiento de Revisión por </w:t>
      </w:r>
      <w:r>
        <w:rPr>
          <w:sz w:val="24"/>
          <w:szCs w:val="24"/>
        </w:rPr>
        <w:t xml:space="preserve">la Dirección</w:t>
      </w:r>
      <w:r>
        <w:rPr>
          <w:sz w:val="24"/>
          <w:szCs w:val="24"/>
        </w:rPr>
        <w:t xml:space="preserve"> es establecer la forma en que </w:t>
      </w:r>
      <w:r>
        <w:rPr>
          <w:sz w:val="24"/>
          <w:szCs w:val="24"/>
        </w:rPr>
        <w:t xml:space="preserve">la Alta Dirección</w:t>
      </w:r>
      <w:r>
        <w:rPr>
          <w:sz w:val="24"/>
          <w:szCs w:val="24"/>
        </w:rPr>
        <w:t xml:space="preserve"> se asegura periódicamente de la adecuación, conveniencia y eficacia continua del Sistema de Gestión de </w:t>
      </w:r>
      <w:r>
        <w:rPr>
          <w:sz w:val="24"/>
          <w:szCs w:val="24"/>
        </w:rPr>
        <w:t xml:space="preserve">la Calidad</w:t>
      </w:r>
      <w:r>
        <w:rPr>
          <w:sz w:val="24"/>
          <w:szCs w:val="24"/>
        </w:rPr>
        <w:t xml:space="preserve"> (SGC) de </w:t>
      </w:r>
      <w:r>
        <w:rPr>
          <w:sz w:val="24"/>
          <w:szCs w:val="24"/>
        </w:rPr>
        <w:t xml:space="preserve">Control Montevideo</w:t>
      </w:r>
      <w:r>
        <w:rPr>
          <w:sz w:val="24"/>
          <w:szCs w:val="24"/>
        </w:rPr>
        <w:t xml:space="preserve">, así como evalúa las oportunidades de mejora,  cambios al mismo y  determina  ciertos parámetros de prioridad</w:t>
      </w:r>
      <w:r>
        <w:rPr>
          <w:sz w:val="24"/>
          <w:szCs w:val="24"/>
        </w:rPr>
        <w:t xml:space="preserve">.</w:t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ALCANCE</w:t>
      </w:r>
      <w:r/>
    </w:p>
    <w:p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Este procedimiento se aplica a todo el SGC implantado.</w:t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REFERENCIAS</w:t>
      </w:r>
      <w:r/>
    </w:p>
    <w:p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sz w:val="24"/>
          <w:szCs w:val="24"/>
        </w:rPr>
        <w:t xml:space="preserve">Norma UNIT-ISO 9001:2015</w:t>
      </w:r>
      <w:r/>
    </w:p>
    <w:p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sz w:val="24"/>
          <w:szCs w:val="24"/>
        </w:rPr>
        <w:t xml:space="preserve">PR-</w:t>
      </w:r>
      <w:r>
        <w:rPr>
          <w:sz w:val="24"/>
          <w:szCs w:val="24"/>
        </w:rPr>
        <w:t xml:space="preserve">102</w:t>
      </w:r>
      <w:r>
        <w:rPr>
          <w:sz w:val="24"/>
          <w:szCs w:val="24"/>
        </w:rPr>
        <w:t xml:space="preserve">-01 “Acciones correctivas” </w:t>
      </w:r>
      <w:r/>
    </w:p>
    <w:p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3.3 </w:t>
      </w:r>
      <w:r>
        <w:rPr>
          <w:sz w:val="24"/>
          <w:szCs w:val="24"/>
        </w:rPr>
        <w:t xml:space="preserve">PR-852-0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Oportunidades de mejora</w:t>
      </w:r>
      <w:r>
        <w:rPr>
          <w:sz w:val="24"/>
          <w:szCs w:val="24"/>
        </w:rPr>
        <w:t xml:space="preserve">”</w:t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RESPONSABILIDADES</w:t>
      </w:r>
      <w:r/>
    </w:p>
    <w:p>
      <w:pPr>
        <w:ind w:left="851" w:hanging="426"/>
        <w:jc w:val="both"/>
        <w:rPr>
          <w:sz w:val="24"/>
        </w:rPr>
      </w:pPr>
      <w:r>
        <w:rPr>
          <w:sz w:val="24"/>
        </w:rPr>
        <w:t xml:space="preserve">4.1 Aprobación: Prefecto del Puerto de Montevideo</w:t>
      </w:r>
      <w:r/>
    </w:p>
    <w:p>
      <w:pPr>
        <w:ind w:left="851" w:hanging="426"/>
        <w:jc w:val="both"/>
        <w:rPr>
          <w:sz w:val="24"/>
        </w:rPr>
      </w:pPr>
      <w:r>
        <w:rPr>
          <w:sz w:val="24"/>
        </w:rPr>
        <w:t xml:space="preserve">4.2 Revisión, Identificación y Actualizació</w:t>
      </w:r>
      <w:r>
        <w:rPr>
          <w:sz w:val="24"/>
        </w:rPr>
        <w:t xml:space="preserve">n: Jefe de CONMO</w:t>
      </w:r>
      <w:r/>
    </w:p>
    <w:p>
      <w:pPr>
        <w:ind w:left="851" w:hanging="426"/>
        <w:jc w:val="both"/>
        <w:rPr>
          <w:sz w:val="24"/>
        </w:rPr>
      </w:pPr>
      <w:r>
        <w:rPr>
          <w:sz w:val="24"/>
        </w:rPr>
        <w:t xml:space="preserve">4.3 Distribución, Identificación de cambios y estado: </w:t>
      </w:r>
      <w:r>
        <w:rPr>
          <w:sz w:val="24"/>
        </w:rPr>
        <w:t xml:space="preserve">Encargado del SGC</w:t>
      </w:r>
      <w:r/>
    </w:p>
    <w:p>
      <w:pPr>
        <w:ind w:left="851" w:hanging="426"/>
        <w:jc w:val="both"/>
      </w:pPr>
      <w:r>
        <w:rPr>
          <w:sz w:val="24"/>
        </w:rPr>
        <w:t xml:space="preserve">4.4 Disponibilidad y legibilidad: Usuario</w:t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DEFINICIONES, ABREVIATURAS Y SIMBOLOS</w:t>
      </w:r>
      <w:r/>
    </w:p>
    <w:p>
      <w:pPr>
        <w:ind w:left="357"/>
        <w:jc w:val="both"/>
        <w:spacing w:before="120" w:after="120"/>
        <w:rPr>
          <w:sz w:val="24"/>
          <w:szCs w:val="24"/>
        </w:rPr>
      </w:pPr>
      <w:r>
        <w:rPr>
          <w:sz w:val="24"/>
          <w:szCs w:val="24"/>
        </w:rPr>
        <w:t xml:space="preserve">No se aplica.</w:t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DESARROLLO</w:t>
      </w:r>
      <w:r/>
    </w:p>
    <w:p>
      <w:pPr>
        <w:pStyle w:val="1136"/>
        <w:numPr>
          <w:ilvl w:val="0"/>
          <w:numId w:val="23"/>
        </w:numPr>
        <w:jc w:val="both"/>
        <w:spacing w:after="0" w:line="360" w:lineRule="auto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r>
        <w:rPr>
          <w:sz w:val="24"/>
          <w:szCs w:val="24"/>
        </w:rPr>
        <w:t xml:space="preserve"> encargado del SGC </w:t>
      </w:r>
      <w:r>
        <w:rPr>
          <w:sz w:val="24"/>
          <w:szCs w:val="24"/>
        </w:rPr>
        <w:t xml:space="preserve">en coordinación con </w:t>
      </w:r>
      <w:r>
        <w:rPr>
          <w:sz w:val="24"/>
          <w:szCs w:val="24"/>
        </w:rPr>
        <w:t xml:space="preserve">el </w:t>
      </w:r>
      <w:r>
        <w:rPr>
          <w:sz w:val="24"/>
          <w:szCs w:val="24"/>
        </w:rPr>
        <w:t xml:space="preserve">Prefecto del Puerto de Montevideo</w:t>
      </w:r>
      <w:r>
        <w:rPr>
          <w:sz w:val="24"/>
          <w:szCs w:val="24"/>
        </w:rPr>
        <w:t xml:space="preserve"> y el Jefe de CONMO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se </w:t>
      </w:r>
      <w:r>
        <w:rPr>
          <w:sz w:val="24"/>
          <w:szCs w:val="24"/>
        </w:rPr>
        <w:t xml:space="preserve">planifica</w:t>
      </w:r>
      <w:r>
        <w:rPr>
          <w:sz w:val="24"/>
          <w:szCs w:val="24"/>
        </w:rPr>
        <w:t xml:space="preserve"> la Revisión por la Dirección, la que se realiza  con una frecuencia anual y abarca la totalidad de las áreas con sistema de gestión de la calidad implantado, determinando: el cronograma, fechas, el tiempo asignado y la modalidad escogida para la revisión.</w:t>
      </w:r>
      <w:r/>
    </w:p>
    <w:p>
      <w:pPr>
        <w:pStyle w:val="1136"/>
        <w:numPr>
          <w:ilvl w:val="0"/>
          <w:numId w:val="23"/>
        </w:numPr>
        <w:jc w:val="both"/>
        <w:spacing w:after="0" w:line="360" w:lineRule="auto"/>
        <w:shd w:val="clear" w:color="auto" w:fill="ffffff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r>
        <w:rPr>
          <w:sz w:val="24"/>
          <w:szCs w:val="24"/>
        </w:rPr>
        <w:t xml:space="preserve">encargado de SGC </w:t>
      </w:r>
      <w:r>
        <w:rPr>
          <w:sz w:val="24"/>
          <w:szCs w:val="24"/>
        </w:rPr>
        <w:t xml:space="preserve">prepara la revisión mediante el análisis de los elementos de </w:t>
      </w:r>
      <w:r>
        <w:rPr>
          <w:sz w:val="24"/>
          <w:szCs w:val="24"/>
        </w:rPr>
        <w:t xml:space="preserve">entrada definidos en el FO-930-01</w:t>
      </w:r>
      <w:r>
        <w:rPr>
          <w:sz w:val="24"/>
          <w:szCs w:val="24"/>
        </w:rPr>
        <w:t xml:space="preserve">, realizando un documento primario y borrador de registro considerando  los elementos analizados y el período de tiempo</w:t>
      </w:r>
      <w:r>
        <w:rPr>
          <w:sz w:val="24"/>
          <w:szCs w:val="24"/>
        </w:rPr>
        <w:t xml:space="preserve">. </w:t>
      </w:r>
      <w:r/>
    </w:p>
    <w:p>
      <w:pPr>
        <w:pStyle w:val="1136"/>
        <w:numPr>
          <w:ilvl w:val="0"/>
          <w:numId w:val="23"/>
        </w:numPr>
        <w:jc w:val="both"/>
        <w:spacing w:after="0" w:line="360" w:lineRule="auto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La planificación prevé un mínimo de quince días para la preparación de la Revisión por la Dirección.</w:t>
      </w:r>
      <w:r/>
    </w:p>
    <w:p>
      <w:pPr>
        <w:pStyle w:val="1136"/>
        <w:numPr>
          <w:ilvl w:val="0"/>
          <w:numId w:val="23"/>
        </w:numPr>
        <w:jc w:val="both"/>
        <w:spacing w:after="0" w:line="276" w:lineRule="auto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El </w:t>
      </w:r>
      <w:r>
        <w:rPr>
          <w:sz w:val="24"/>
          <w:szCs w:val="24"/>
        </w:rPr>
        <w:t xml:space="preserve">encargado de SGC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proporciona a la Alta Dirección toda otra documentación solicitada.</w:t>
      </w:r>
      <w:r/>
    </w:p>
    <w:p>
      <w:pPr>
        <w:pStyle w:val="1136"/>
        <w:numPr>
          <w:ilvl w:val="0"/>
          <w:numId w:val="23"/>
        </w:numPr>
        <w:jc w:val="both"/>
        <w:spacing w:after="0" w:line="276" w:lineRule="auto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La Revisión se realiza en un máximo de dos días.</w:t>
      </w:r>
      <w:r/>
    </w:p>
    <w:p>
      <w:pPr>
        <w:pStyle w:val="1136"/>
        <w:numPr>
          <w:ilvl w:val="0"/>
          <w:numId w:val="23"/>
        </w:numPr>
        <w:jc w:val="both"/>
        <w:spacing w:after="0" w:line="276" w:lineRule="auto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La Dirección realiza la Revisión de acuerdo a su planificación mediante la o las modalidades escogidas: visitas a los puestos de trabajo, llamado a los diferentes actores, encuestas, etc.</w:t>
      </w:r>
      <w:r/>
    </w:p>
    <w:p>
      <w:pPr>
        <w:pStyle w:val="1136"/>
        <w:numPr>
          <w:ilvl w:val="0"/>
          <w:numId w:val="23"/>
        </w:numPr>
        <w:jc w:val="both"/>
        <w:spacing w:after="0" w:line="276" w:lineRule="auto"/>
        <w:widowControl w:val="off"/>
        <w:tabs>
          <w:tab w:val="center" w:pos="780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El resultado de la Revisión por la Dirección se registra en </w:t>
      </w:r>
      <w:r>
        <w:rPr>
          <w:sz w:val="24"/>
          <w:szCs w:val="24"/>
        </w:rPr>
        <w:t xml:space="preserve">el FO-</w:t>
      </w:r>
      <w:r>
        <w:rPr>
          <w:sz w:val="24"/>
          <w:szCs w:val="24"/>
        </w:rPr>
        <w:t xml:space="preserve">930-</w:t>
      </w:r>
      <w:r>
        <w:rPr>
          <w:sz w:val="24"/>
          <w:szCs w:val="24"/>
        </w:rPr>
        <w:t xml:space="preserve">01</w:t>
      </w:r>
      <w:r>
        <w:rPr>
          <w:sz w:val="24"/>
          <w:szCs w:val="24"/>
        </w:rPr>
        <w:t xml:space="preserve"> colocando las entradas consideradas,  numerando y colocando la prioridad, además  se establecen  las fortalezas, las oportunidades de mejora y las acciones que se deben de tomar tendientes a lograr: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mejora del sistema de gestión de la calidad y sus procesos.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szCs w:val="24"/>
        </w:rPr>
        <w:t xml:space="preserve">El análisis del desempeño del proceso de realización 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mejora en la prestación del servicio en relación a los requisitos del cliente.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determinación de recursos.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aprobación de los objetivos anuales.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adecuación de la estructura de la organización y de los recursos.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gestión de los riesgos.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planificación de los recursos futuros.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El cumplimiento de los requisitos legales y reglamentarios.</w:t>
      </w:r>
      <w:bookmarkStart w:id="0" w:name="_GoBack"/>
      <w:r/>
      <w:bookmarkEnd w:id="0"/>
      <w:r/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aprobación del plan de capacitación.</w:t>
      </w:r>
      <w:r/>
    </w:p>
    <w:p>
      <w:pPr>
        <w:pStyle w:val="1118"/>
        <w:numPr>
          <w:ilvl w:val="0"/>
          <w:numId w:val="22"/>
        </w:numPr>
        <w:jc w:val="both"/>
        <w:tabs>
          <w:tab w:val="num" w:pos="1418" w:leader="none"/>
        </w:tabs>
        <w:rPr>
          <w:bCs/>
          <w:szCs w:val="24"/>
        </w:rPr>
      </w:pPr>
      <w:r>
        <w:rPr>
          <w:bCs/>
          <w:szCs w:val="24"/>
        </w:rPr>
        <w:t xml:space="preserve">La aprobación del plan anual de auditorías.</w:t>
      </w:r>
      <w:r/>
    </w:p>
    <w:p>
      <w:r/>
      <w:r/>
    </w:p>
    <w:p>
      <w:pPr>
        <w:pStyle w:val="1131"/>
        <w:ind w:left="993" w:hanging="567"/>
        <w:jc w:val="both"/>
        <w:spacing w:after="0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6.8.- </w:t>
      </w:r>
      <w:r>
        <w:rPr>
          <w:sz w:val="24"/>
          <w:szCs w:val="24"/>
        </w:rPr>
        <w:t xml:space="preserve">El </w:t>
      </w:r>
      <w:r>
        <w:rPr>
          <w:sz w:val="24"/>
          <w:szCs w:val="24"/>
        </w:rPr>
        <w:t xml:space="preserve">FO-</w:t>
      </w:r>
      <w:r>
        <w:rPr>
          <w:sz w:val="24"/>
          <w:szCs w:val="24"/>
        </w:rPr>
        <w:t xml:space="preserve">930</w:t>
      </w:r>
      <w:r>
        <w:rPr>
          <w:sz w:val="24"/>
          <w:szCs w:val="24"/>
        </w:rPr>
        <w:t xml:space="preserve">-01</w:t>
      </w:r>
      <w:r>
        <w:rPr>
          <w:sz w:val="24"/>
          <w:szCs w:val="24"/>
        </w:rPr>
        <w:t xml:space="preserve">como documento final </w:t>
      </w:r>
      <w:r>
        <w:rPr>
          <w:sz w:val="24"/>
          <w:szCs w:val="24"/>
        </w:rPr>
        <w:t xml:space="preserve">es firmado por el </w:t>
      </w:r>
      <w:r>
        <w:rPr>
          <w:sz w:val="24"/>
          <w:szCs w:val="24"/>
        </w:rPr>
        <w:t xml:space="preserve">Sr. </w:t>
      </w:r>
      <w:r>
        <w:rPr>
          <w:sz w:val="24"/>
          <w:szCs w:val="24"/>
        </w:rPr>
        <w:t xml:space="preserve">Prefecto, Sub Prefecto, Jefe de </w:t>
      </w:r>
      <w:r>
        <w:rPr>
          <w:sz w:val="24"/>
          <w:szCs w:val="24"/>
        </w:rPr>
        <w:t xml:space="preserve">CONMO</w:t>
      </w:r>
      <w:r>
        <w:rPr>
          <w:sz w:val="24"/>
          <w:szCs w:val="24"/>
        </w:rPr>
        <w:t xml:space="preserve"> y el Representante de </w:t>
      </w:r>
      <w:r>
        <w:rPr>
          <w:sz w:val="24"/>
          <w:szCs w:val="24"/>
        </w:rPr>
        <w:t xml:space="preserve">la Dirección</w:t>
      </w:r>
      <w:r>
        <w:rPr>
          <w:sz w:val="24"/>
          <w:szCs w:val="24"/>
        </w:rPr>
        <w:t xml:space="preserve">, quienes analizando en conjunto el resultado ítem por ítem,</w:t>
      </w:r>
      <w:r>
        <w:rPr>
          <w:sz w:val="24"/>
          <w:szCs w:val="24"/>
        </w:rPr>
        <w:t xml:space="preserve"> resuman las actividades y las decisiones tomadas para el cumplimiento de lo establecido en el ítem 6.7</w:t>
      </w:r>
      <w:r>
        <w:rPr>
          <w:sz w:val="24"/>
          <w:szCs w:val="24"/>
        </w:rPr>
        <w:t xml:space="preserve">.</w:t>
      </w:r>
      <w:r/>
    </w:p>
    <w:p>
      <w:pPr>
        <w:pStyle w:val="1131"/>
        <w:ind w:left="993" w:hanging="567"/>
        <w:jc w:val="both"/>
        <w:spacing w:after="0"/>
        <w:widowControl w:val="off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31"/>
        <w:numPr>
          <w:ilvl w:val="1"/>
          <w:numId w:val="22"/>
        </w:numPr>
        <w:ind w:left="993" w:hanging="567"/>
        <w:jc w:val="both"/>
        <w:spacing w:after="0"/>
        <w:widowControl w:val="off"/>
        <w:tabs>
          <w:tab w:val="num" w:pos="993" w:leader="none"/>
          <w:tab w:val="clear" w:pos="323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Los formularios que se originen de la aplicación del </w:t>
      </w:r>
      <w:r>
        <w:rPr>
          <w:sz w:val="24"/>
          <w:szCs w:val="24"/>
        </w:rPr>
        <w:t xml:space="preserve">PR-</w:t>
      </w:r>
      <w:r>
        <w:rPr>
          <w:sz w:val="24"/>
          <w:szCs w:val="24"/>
        </w:rPr>
        <w:t xml:space="preserve">102</w:t>
      </w:r>
      <w:r>
        <w:rPr>
          <w:sz w:val="24"/>
          <w:szCs w:val="24"/>
        </w:rPr>
        <w:t xml:space="preserve">-01</w:t>
      </w:r>
      <w:r>
        <w:rPr>
          <w:sz w:val="24"/>
          <w:szCs w:val="24"/>
        </w:rPr>
        <w:t xml:space="preserve"> “Acciones Correctivas” o PR-</w:t>
      </w:r>
      <w:r>
        <w:rPr>
          <w:sz w:val="24"/>
          <w:szCs w:val="24"/>
        </w:rPr>
        <w:t xml:space="preserve">101</w:t>
      </w:r>
      <w:r>
        <w:rPr>
          <w:sz w:val="24"/>
          <w:szCs w:val="24"/>
        </w:rPr>
        <w:t xml:space="preserve">-01“Oportunidad de mejoras</w:t>
      </w:r>
      <w:r>
        <w:rPr>
          <w:sz w:val="24"/>
          <w:szCs w:val="24"/>
        </w:rPr>
        <w:t xml:space="preserve">”, </w:t>
      </w:r>
      <w:r>
        <w:rPr>
          <w:sz w:val="24"/>
          <w:szCs w:val="24"/>
        </w:rPr>
        <w:t xml:space="preserve">para</w:t>
      </w:r>
      <w:r>
        <w:rPr>
          <w:sz w:val="24"/>
          <w:szCs w:val="24"/>
        </w:rPr>
        <w:t xml:space="preserve"> cada</w:t>
      </w:r>
      <w:r>
        <w:rPr>
          <w:sz w:val="24"/>
          <w:szCs w:val="24"/>
        </w:rPr>
        <w:t xml:space="preserve"> No conformidad detectada u</w:t>
      </w:r>
      <w:r>
        <w:rPr>
          <w:sz w:val="24"/>
          <w:szCs w:val="24"/>
        </w:rPr>
        <w:t xml:space="preserve"> Oportunidad de Mejora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se adjunta</w:t>
      </w:r>
      <w:r>
        <w:rPr>
          <w:sz w:val="24"/>
          <w:szCs w:val="24"/>
        </w:rPr>
        <w:t xml:space="preserve">rá</w:t>
      </w:r>
      <w:r>
        <w:rPr>
          <w:sz w:val="24"/>
          <w:szCs w:val="24"/>
        </w:rPr>
        <w:t xml:space="preserve">n a </w:t>
      </w:r>
      <w:r>
        <w:rPr>
          <w:sz w:val="24"/>
          <w:szCs w:val="24"/>
        </w:rPr>
        <w:t xml:space="preserve">los FO-</w:t>
      </w:r>
      <w:r>
        <w:rPr>
          <w:sz w:val="24"/>
          <w:szCs w:val="24"/>
        </w:rPr>
        <w:t xml:space="preserve">930</w:t>
      </w:r>
      <w:r>
        <w:rPr>
          <w:sz w:val="24"/>
          <w:szCs w:val="24"/>
        </w:rPr>
        <w:t xml:space="preserve">-01 generados</w:t>
      </w:r>
      <w:r>
        <w:rPr>
          <w:sz w:val="24"/>
          <w:szCs w:val="24"/>
        </w:rPr>
        <w:t xml:space="preserve"> en la Revisión por la Dirección.</w:t>
      </w:r>
      <w:r/>
    </w:p>
    <w:p>
      <w:pPr>
        <w:pStyle w:val="1131"/>
        <w:ind w:left="993"/>
        <w:jc w:val="both"/>
        <w:spacing w:after="0"/>
        <w:widowControl w:val="off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pStyle w:val="1131"/>
        <w:numPr>
          <w:ilvl w:val="1"/>
          <w:numId w:val="22"/>
        </w:numPr>
        <w:ind w:left="993" w:hanging="567"/>
        <w:jc w:val="both"/>
        <w:spacing w:after="0"/>
        <w:widowControl w:val="off"/>
        <w:tabs>
          <w:tab w:val="num" w:pos="993" w:leader="none"/>
          <w:tab w:val="clear" w:pos="3235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El Representante de la Dirección realiza el seguimiento e informa personalmente a la Dirección sobre el resultado de las acciones tomadas.</w:t>
      </w:r>
      <w:r/>
    </w:p>
    <w:p>
      <w:pPr>
        <w:pStyle w:val="1135"/>
        <w:rPr>
          <w:sz w:val="24"/>
          <w:szCs w:val="24"/>
        </w:rPr>
      </w:pPr>
      <w:r>
        <w:rPr>
          <w:sz w:val="24"/>
          <w:szCs w:val="24"/>
        </w:rPr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ANEXOS</w:t>
      </w:r>
      <w:r/>
    </w:p>
    <w:p>
      <w:pPr>
        <w:ind w:left="360" w:right="15"/>
        <w:jc w:val="both"/>
        <w:tabs>
          <w:tab w:val="center" w:pos="720" w:leader="none"/>
        </w:tabs>
        <w:rPr>
          <w:sz w:val="24"/>
        </w:rPr>
      </w:pPr>
      <w:r>
        <w:rPr>
          <w:sz w:val="24"/>
        </w:rPr>
        <w:t xml:space="preserve">Anexo “ALFA”</w:t>
      </w:r>
      <w:r>
        <w:rPr>
          <w:sz w:val="24"/>
        </w:rPr>
        <w:t xml:space="preserve">: Registro de la Revisión por la Dirección FO-</w:t>
      </w:r>
      <w:r>
        <w:rPr>
          <w:sz w:val="24"/>
        </w:rPr>
        <w:t xml:space="preserve">9</w:t>
      </w:r>
      <w:r>
        <w:rPr>
          <w:sz w:val="24"/>
        </w:rPr>
        <w:t xml:space="preserve">30</w:t>
      </w:r>
      <w:r>
        <w:rPr>
          <w:sz w:val="24"/>
        </w:rPr>
        <w:t xml:space="preserve">-01 </w:t>
      </w:r>
      <w:r/>
    </w:p>
    <w:p>
      <w:pPr>
        <w:ind w:left="360" w:right="15"/>
        <w:jc w:val="both"/>
        <w:tabs>
          <w:tab w:val="center" w:pos="720" w:leader="none"/>
        </w:tabs>
        <w:rPr>
          <w:sz w:val="24"/>
        </w:rPr>
      </w:pPr>
      <w:r>
        <w:rPr>
          <w:sz w:val="24"/>
        </w:rPr>
        <w:t xml:space="preserve">Anexo “BRAVO”. Plan de Acción de la Revisión por la Dirección FO – </w:t>
      </w:r>
      <w:r>
        <w:rPr>
          <w:sz w:val="24"/>
        </w:rPr>
        <w:t xml:space="preserve">930</w:t>
      </w:r>
      <w:r>
        <w:rPr>
          <w:sz w:val="24"/>
        </w:rPr>
        <w:t xml:space="preserve">- 02</w:t>
      </w:r>
      <w:r/>
    </w:p>
    <w:p>
      <w:pPr>
        <w:ind w:left="283" w:right="15"/>
        <w:jc w:val="both"/>
        <w:tabs>
          <w:tab w:val="center" w:pos="720" w:leader="none"/>
        </w:tabs>
        <w:rPr>
          <w:sz w:val="14"/>
        </w:rPr>
      </w:pPr>
      <w:r>
        <w:rPr>
          <w:sz w:val="14"/>
        </w:rPr>
      </w:r>
      <w:r/>
    </w:p>
    <w:p>
      <w:pPr>
        <w:numPr>
          <w:ilvl w:val="0"/>
          <w:numId w:val="1"/>
        </w:numPr>
        <w:ind w:left="357" w:hanging="357"/>
        <w:jc w:val="both"/>
        <w:spacing w:before="120" w:after="120"/>
        <w:rPr>
          <w:b/>
          <w:sz w:val="28"/>
        </w:rPr>
      </w:pPr>
      <w:r>
        <w:rPr>
          <w:b/>
          <w:sz w:val="28"/>
          <w:lang w:val="es-MX"/>
        </w:rPr>
        <w:t xml:space="preserve">REGISTROS</w:t>
      </w:r>
      <w:r/>
    </w:p>
    <w:p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Los registros generados correspondientes</w:t>
      </w:r>
      <w:r>
        <w:rPr>
          <w:sz w:val="24"/>
          <w:szCs w:val="24"/>
        </w:rPr>
        <w:t xml:space="preserve">,</w:t>
      </w:r>
      <w:r>
        <w:rPr>
          <w:sz w:val="24"/>
          <w:szCs w:val="24"/>
        </w:rPr>
        <w:t xml:space="preserve"> permanecen archivados por el Representante de la Dirección en el Bibliorato “Revisión por la Dirección” ordenados cronológicamente, se conservan por </w:t>
      </w:r>
      <w:r>
        <w:rPr>
          <w:sz w:val="24"/>
          <w:szCs w:val="24"/>
        </w:rPr>
        <w:t xml:space="preserve">cinco</w:t>
      </w:r>
      <w:r>
        <w:rPr>
          <w:sz w:val="24"/>
          <w:szCs w:val="24"/>
        </w:rPr>
        <w:t xml:space="preserve"> años, transcurrido este tiempo se </w:t>
      </w:r>
      <w:r>
        <w:rPr>
          <w:sz w:val="24"/>
          <w:szCs w:val="24"/>
        </w:rPr>
        <w:t xml:space="preserve">desechan</w:t>
      </w:r>
      <w:r>
        <w:rPr>
          <w:sz w:val="24"/>
          <w:szCs w:val="24"/>
        </w:rPr>
        <w:t xml:space="preserve">.</w:t>
      </w:r>
      <w:r/>
    </w:p>
    <w:p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</w:r>
      <w:r/>
    </w:p>
    <w:tbl>
      <w:tblPr>
        <w:tblW w:w="0" w:type="auto"/>
        <w:tblInd w:w="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1559"/>
        <w:gridCol w:w="6998"/>
      </w:tblGrid>
      <w:tr>
        <w:trPr>
          <w:tblHeader/>
        </w:trPr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1418" w:type="dxa"/>
            <w:textDirection w:val="lrTb"/>
            <w:noWrap w:val="false"/>
          </w:tcPr>
          <w:p>
            <w:pPr>
              <w:pStyle w:val="1133"/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REVISION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cW w:w="1559" w:type="dxa"/>
            <w:textDirection w:val="lrTb"/>
            <w:noWrap w:val="false"/>
          </w:tcPr>
          <w:p>
            <w:pPr>
              <w:pStyle w:val="1133"/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FECHA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6998" w:type="dxa"/>
            <w:textDirection w:val="lrTb"/>
            <w:noWrap w:val="false"/>
          </w:tcPr>
          <w:p>
            <w:pPr>
              <w:pStyle w:val="1133"/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MODIFICACIONES</w:t>
            </w:r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6998" w:type="dxa"/>
            <w:textDirection w:val="lrTb"/>
            <w:noWrap w:val="false"/>
          </w:tcPr>
          <w:p>
            <w:pPr>
              <w:pStyle w:val="1132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6998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6998" w:type="dxa"/>
            <w:textDirection w:val="lrTb"/>
            <w:noWrap w:val="false"/>
          </w:tcPr>
          <w:p>
            <w:pPr>
              <w:pStyle w:val="1132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</w:tr>
      <w:tr>
        <w:trPr/>
        <w:tc>
          <w:tcPr>
            <w:tcBorders>
              <w:left w:val="single" w:color="000000" w:sz="1" w:space="0"/>
              <w:bottom w:val="single" w:color="000000" w:sz="1" w:space="0"/>
            </w:tcBorders>
            <w:tcW w:w="1418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</w:tcBorders>
            <w:tcW w:w="1559" w:type="dxa"/>
            <w:textDirection w:val="lrTb"/>
            <w:noWrap w:val="false"/>
          </w:tcPr>
          <w:p>
            <w:pPr>
              <w:pStyle w:val="1132"/>
              <w:jc w:val="center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  <w:tc>
          <w:tcPr>
            <w:tcBorders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W w:w="6998" w:type="dxa"/>
            <w:textDirection w:val="lrTb"/>
            <w:noWrap w:val="false"/>
          </w:tcPr>
          <w:p>
            <w:pPr>
              <w:pStyle w:val="1132"/>
              <w:spacing w:after="0"/>
              <w:rPr>
                <w:sz w:val="22"/>
              </w:rPr>
            </w:pPr>
            <w:r>
              <w:rPr>
                <w:sz w:val="22"/>
              </w:rPr>
            </w:r>
            <w:r/>
          </w:p>
        </w:tc>
      </w:tr>
    </w:tbl>
    <w:p>
      <w:pPr>
        <w:tabs>
          <w:tab w:val="left" w:pos="8550" w:leader="none"/>
        </w:tabs>
      </w:pPr>
      <w:r>
        <w:tab/>
      </w:r>
      <w:r/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w="11907" w:h="16840" w:orient="portrait"/>
      <w:pgMar w:top="2268" w:right="992" w:bottom="993" w:left="851" w:header="720" w:footer="720" w:gutter="0"/>
      <w:pgNumType w:start="1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7"/>
      <w:jc w:val="center"/>
      <w:rPr>
        <w:lang w:val="es-MX"/>
      </w:rPr>
    </w:pPr>
    <w:r>
      <w:rPr>
        <w:lang w:val="es-MX"/>
      </w:rPr>
      <w:t xml:space="preserve">Página </w:t>
    </w:r>
    <w:r>
      <w:rPr>
        <w:lang w:val="es-MX"/>
      </w:rPr>
      <w:fldChar w:fldCharType="begin"/>
    </w:r>
    <w:r>
      <w:rPr>
        <w:lang w:val="es-MX"/>
      </w:rPr>
      <w:instrText xml:space="preserve"> PAGE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>
      <w:rPr>
        <w:lang w:val="es-MX"/>
      </w:rPr>
      <w:t xml:space="preserve"> de </w:t>
    </w:r>
    <w:r>
      <w:rPr>
        <w:lang w:val="es-MX"/>
      </w:rPr>
      <w:fldChar w:fldCharType="begin"/>
    </w:r>
    <w:r>
      <w:rPr>
        <w:lang w:val="es-MX"/>
      </w:rPr>
      <w:instrText xml:space="preserve"> NUMPAGES </w:instrText>
    </w:r>
    <w:r>
      <w:rPr>
        <w:lang w:val="es-MX"/>
      </w:rPr>
      <w:fldChar w:fldCharType="separate"/>
    </w:r>
    <w:r>
      <w:rPr>
        <w:lang w:val="es-MX"/>
      </w:rPr>
      <w:t xml:space="preserve">2</w:t>
    </w:r>
    <w:r>
      <w:rPr>
        <w:lang w:val="es-MX"/>
      </w:rPr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142"/>
      <w:jc w:val="both"/>
      <w:spacing w:line="320" w:lineRule="exact"/>
      <w:rPr>
        <w:sz w:val="24"/>
      </w:rPr>
    </w:pPr>
    <w:r>
      <w:rPr>
        <w:sz w:val="24"/>
      </w:rPr>
      <w:t xml:space="preserve">ELABORADO POR: Grupo de Trabajo</w:t>
    </w:r>
    <w:r/>
  </w:p>
  <w:tbl>
    <w:tblPr>
      <w:tblW w:w="10322" w:type="dxa"/>
      <w:tblInd w:w="-7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>
      <w:trPr>
        <w:cantSplit/>
        <w:trHeight w:val="386"/>
      </w:trPr>
      <w:tc>
        <w:tcPr>
          <w:tcW w:w="2127" w:type="dxa"/>
          <w:vAlign w:val="center"/>
          <w:vMerge w:val="restart"/>
          <w:textDirection w:val="lrTb"/>
          <w:noWrap w:val="false"/>
        </w:tcPr>
        <w:p>
          <w:pPr>
            <w:keepNext/>
            <w:spacing w:line="360" w:lineRule="auto"/>
            <w:widowControl w:val="off"/>
            <w:rPr>
              <w:b/>
              <w:sz w:val="24"/>
              <w:lang w:val="es-ES_tradnl"/>
            </w:rPr>
            <w:outlineLvl w:val="0"/>
          </w:pPr>
          <w:r>
            <w:rPr>
              <w:b/>
              <w:sz w:val="24"/>
              <w:lang w:val="es-ES_tradnl"/>
            </w:rPr>
            <w:t xml:space="preserve">APROBADO POR</w:t>
          </w:r>
          <w:r/>
        </w:p>
      </w:tc>
      <w:tc>
        <w:tcPr>
          <w:tcW w:w="4111" w:type="dxa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CARGO</w:t>
          </w:r>
          <w:r/>
        </w:p>
      </w:tc>
      <w:tc>
        <w:tcPr>
          <w:tcW w:w="2551" w:type="dxa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FIRMA</w:t>
          </w:r>
          <w:r/>
        </w:p>
      </w:tc>
      <w:tc>
        <w:tcPr>
          <w:tcW w:w="1533" w:type="dxa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FECHA</w:t>
          </w:r>
          <w:r/>
        </w:p>
      </w:tc>
    </w:tr>
    <w:tr>
      <w:trPr>
        <w:cantSplit/>
      </w:trPr>
      <w:tc>
        <w:tcPr>
          <w:tcW w:w="2127" w:type="dxa"/>
          <w:vAlign w:val="center"/>
          <w:vMerge w:val="continue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ind w:left="-540" w:firstLine="47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Prefecto del Puerto de Montevideo</w:t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ind w:left="-540" w:firstLine="540"/>
            <w:rPr>
              <w:sz w:val="16"/>
              <w:szCs w:val="16"/>
              <w:lang w:val="es-MX"/>
            </w:rPr>
          </w:pPr>
          <w:r>
            <w:rPr>
              <w:sz w:val="16"/>
              <w:szCs w:val="16"/>
              <w:lang w:val="es-MX"/>
            </w:rPr>
            <w:t xml:space="preserve">C</w:t>
          </w:r>
          <w:r>
            <w:rPr>
              <w:sz w:val="16"/>
              <w:szCs w:val="16"/>
              <w:lang w:val="es-MX"/>
            </w:rPr>
            <w:t xml:space="preserve">N (CP) </w:t>
          </w:r>
          <w:r>
            <w:rPr>
              <w:sz w:val="16"/>
              <w:szCs w:val="16"/>
              <w:lang w:val="es-MX"/>
            </w:rPr>
            <w:t xml:space="preserve">Marcos</w:t>
          </w:r>
          <w:r>
            <w:rPr>
              <w:sz w:val="16"/>
              <w:szCs w:val="16"/>
              <w:lang w:val="es-MX"/>
            </w:rPr>
            <w:t xml:space="preserve"> PAOLINI</w:t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01/10/2018</w:t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REVISADO POR</w:t>
          </w:r>
          <w:r/>
        </w:p>
      </w:tc>
      <w:tc>
        <w:tcPr>
          <w:tcW w:w="4111" w:type="dxa"/>
          <w:vAlign w:val="center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Encargada SGC</w:t>
          </w:r>
          <w:r/>
        </w:p>
      </w:tc>
      <w:tc>
        <w:tcPr>
          <w:tcW w:w="2551" w:type="dxa"/>
          <w:vAlign w:val="center"/>
          <w:textDirection w:val="lrTb"/>
          <w:noWrap w:val="false"/>
        </w:tcPr>
        <w:p>
          <w:pPr>
            <w:ind w:left="-540" w:firstLine="540"/>
            <w:rPr>
              <w:sz w:val="16"/>
              <w:szCs w:val="16"/>
              <w:lang w:val="es-MX"/>
            </w:rPr>
          </w:pPr>
          <w:r>
            <w:rPr>
              <w:sz w:val="16"/>
              <w:szCs w:val="16"/>
              <w:lang w:val="es-MX"/>
            </w:rPr>
            <w:t xml:space="preserve">SOP</w:t>
          </w:r>
          <w:r>
            <w:rPr>
              <w:sz w:val="16"/>
              <w:szCs w:val="16"/>
              <w:lang w:val="es-MX"/>
            </w:rPr>
            <w:t xml:space="preserve"> (PM) Susana </w:t>
          </w:r>
          <w:r>
            <w:rPr>
              <w:sz w:val="16"/>
              <w:szCs w:val="16"/>
              <w:lang w:val="es-MX"/>
            </w:rPr>
            <w:t xml:space="preserve">LEE</w:t>
          </w:r>
          <w:r/>
        </w:p>
      </w:tc>
      <w:tc>
        <w:tcPr>
          <w:tcW w:w="1533" w:type="dxa"/>
          <w:vAlign w:val="center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  <w:lang w:val="es-MX"/>
            </w:rPr>
          </w:pPr>
          <w:r>
            <w:rPr>
              <w:sz w:val="24"/>
              <w:szCs w:val="24"/>
              <w:lang w:val="es-MX"/>
            </w:rPr>
            <w:t xml:space="preserve">01/10/2018</w:t>
          </w:r>
          <w:r/>
        </w:p>
      </w:tc>
    </w:tr>
    <w:tr>
      <w:trPr>
        <w:cantSplit/>
      </w:trPr>
      <w:tc>
        <w:tcPr>
          <w:tcW w:w="2127" w:type="dxa"/>
          <w:vAlign w:val="center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DOCUMENTO</w:t>
          </w:r>
          <w:r/>
        </w:p>
      </w:tc>
      <w:tc>
        <w:tcPr>
          <w:gridSpan w:val="3"/>
          <w:tcW w:w="8195" w:type="dxa"/>
          <w:vAlign w:val="center"/>
          <w:textDirection w:val="lrTb"/>
          <w:noWrap w:val="false"/>
        </w:tcPr>
        <w:p>
          <w:pPr>
            <w:ind w:left="-540" w:firstLine="540"/>
            <w:jc w:val="center"/>
            <w:rPr>
              <w:sz w:val="24"/>
              <w:szCs w:val="24"/>
              <w:lang w:val="es-MX"/>
            </w:rPr>
          </w:pPr>
          <w:r>
            <w:rPr>
              <w:sz w:val="24"/>
              <w:szCs w:val="24"/>
              <w:lang w:val="es-UY" w:eastAsia="es-UY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02790656" behindDoc="0" locked="0" layoutInCell="1" allowOverlap="1">
                    <wp:simplePos x="0" y="0"/>
                    <wp:positionH relativeFrom="column">
                      <wp:posOffset>1170940</wp:posOffset>
                    </wp:positionH>
                    <wp:positionV relativeFrom="paragraph">
                      <wp:posOffset>41910</wp:posOffset>
                    </wp:positionV>
                    <wp:extent cx="130175" cy="116205"/>
                    <wp:effectExtent l="0" t="0" r="0" b="0"/>
                    <wp:wrapNone/>
                    <wp:docPr id="3" name="Rectangle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30175" cy="116205"/>
                            </a:xfrm>
                            <a:prstGeom prst="rect">
                              <a:avLst/>
                            </a:prstGeom>
                            <a:solidFill>
                              <a:srgbClr val="66FF33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2" o:spid="_x0000_s2" o:spt="1" type="#_x0000_t1" style="position:absolute;z-index:502790656;o:allowoverlap:true;o:allowincell:true;mso-position-horizontal-relative:text;margin-left:92.2pt;mso-position-horizontal:absolute;mso-position-vertical-relative:text;margin-top:3.3pt;mso-position-vertical:absolute;width:10.2pt;height:9.2pt;mso-wrap-distance-left:9.0pt;mso-wrap-distance-top:0.0pt;mso-wrap-distance-right:9.0pt;mso-wrap-distance-bottom:0.0pt;visibility:visible;" fillcolor="#66FF33" strokecolor="#000000"/>
                </w:pict>
              </mc:Fallback>
            </mc:AlternateContent>
          </w:r>
          <w:r>
            <w:rPr>
              <w:sz w:val="24"/>
              <w:szCs w:val="24"/>
              <w:lang w:val="es-UY" w:eastAsia="es-UY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502791680" behindDoc="0" locked="0" layoutInCell="1" allowOverlap="1">
                    <wp:simplePos x="0" y="0"/>
                    <wp:positionH relativeFrom="column">
                      <wp:posOffset>4642485</wp:posOffset>
                    </wp:positionH>
                    <wp:positionV relativeFrom="paragraph">
                      <wp:posOffset>37465</wp:posOffset>
                    </wp:positionV>
                    <wp:extent cx="114300" cy="114300"/>
                    <wp:effectExtent l="0" t="0" r="0" b="0"/>
                    <wp:wrapNone/>
                    <wp:docPr id="4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3" o:spid="_x0000_s3" o:spt="1" type="#_x0000_t1" style="position:absolute;z-index:502791680;o:allowoverlap:true;o:allowincell:true;mso-position-horizontal-relative:text;margin-left:365.5pt;mso-position-horizontal:absolute;mso-position-vertical-relative:text;margin-top:2.9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</w:r>
          <w:r>
            <w:rPr>
              <w:sz w:val="24"/>
              <w:szCs w:val="24"/>
              <w:lang w:val="es-UY" w:eastAsia="es-UY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8752" behindDoc="0" locked="0" layoutInCell="1" allowOverlap="1">
                    <wp:simplePos x="0" y="0"/>
                    <wp:positionH relativeFrom="column">
                      <wp:posOffset>2757805</wp:posOffset>
                    </wp:positionH>
                    <wp:positionV relativeFrom="paragraph">
                      <wp:posOffset>43180</wp:posOffset>
                    </wp:positionV>
                    <wp:extent cx="114300" cy="114300"/>
                    <wp:effectExtent l="0" t="0" r="0" b="0"/>
                    <wp:wrapNone/>
                    <wp:docPr id="5" name="Rectangle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/>
                          <wps:spPr bwMode="auto">
                            <a:xfrm>
                              <a:off x="0" y="0"/>
                              <a:ext cx="114300" cy="1143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solidFill>
                                <a:srgbClr val="000000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4" o:spid="_x0000_s4" o:spt="1" type="#_x0000_t1" style="position:absolute;z-index:251658752;o:allowoverlap:true;o:allowincell:true;mso-position-horizontal-relative:text;margin-left:217.1pt;mso-position-horizontal:absolute;mso-position-vertical-relative:text;margin-top:3.4pt;mso-position-vertical:absolute;width:9.0pt;height:9.0pt;mso-wrap-distance-left:9.0pt;mso-wrap-distance-top:0.0pt;mso-wrap-distance-right:9.0pt;mso-wrap-distance-bottom:0.0pt;visibility:visible;" fillcolor="#FFFFFF" strokecolor="#000000"/>
                </w:pict>
              </mc:Fallback>
            </mc:AlternateContent>
          </w:r>
          <w:r>
            <w:rPr>
              <w:sz w:val="24"/>
              <w:szCs w:val="24"/>
              <w:lang w:val="es-MX"/>
            </w:rPr>
            <w:t xml:space="preserve">Original              Copia Controlada              Copia No Controlada </w:t>
          </w:r>
          <w:r/>
        </w:p>
      </w:tc>
    </w:tr>
  </w:tbl>
  <w:p>
    <w:pPr>
      <w:pStyle w:val="1127"/>
      <w:jc w:val="center"/>
      <w:rPr>
        <w:lang w:val="es-MX"/>
      </w:rPr>
    </w:pPr>
    <w:r>
      <w:rPr>
        <w:lang w:val="es-MX"/>
      </w:rPr>
      <w:t xml:space="preserve">Página</w:t>
    </w:r>
    <w:r>
      <w:rPr>
        <w:lang w:val="es-MX"/>
      </w:rPr>
      <w:t xml:space="preserve"> 1 de 2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349" w:type="dxa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3118"/>
      <w:gridCol w:w="3827"/>
      <w:gridCol w:w="1844"/>
    </w:tblGrid>
    <w:tr>
      <w:trPr>
        <w:cantSplit/>
        <w:trHeight w:val="693"/>
      </w:trPr>
      <w:tc>
        <w:tcPr>
          <w:tcW w:w="1560" w:type="dxa"/>
          <w:vAlign w:val="center"/>
          <w:vMerge w:val="restart"/>
          <w:textDirection w:val="lrTb"/>
          <w:noWrap w:val="false"/>
        </w:tcPr>
        <w:p>
          <w:pPr>
            <w:pStyle w:val="1126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19050" t="0" r="9525" b="0"/>
                    <wp:docPr id="1" name="Imagen 1" descr="pn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 descr="pnn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59.2pt;height:50.2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W w:w="3118" w:type="dxa"/>
          <w:vAlign w:val="center"/>
          <w:vMerge w:val="restart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/>
        </w:p>
      </w:tc>
      <w:tc>
        <w:tcPr>
          <w:tcW w:w="3827" w:type="dxa"/>
          <w:vAlign w:val="center"/>
          <w:vMerge w:val="restart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REVISION POR LA DIRECCION</w:t>
          </w:r>
          <w:r/>
        </w:p>
      </w:tc>
      <w:tc>
        <w:tcPr>
          <w:tcW w:w="1844" w:type="dxa"/>
          <w:vAlign w:val="center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 </w:t>
          </w:r>
          <w:r>
            <w:rPr>
              <w:b/>
              <w:bCs/>
            </w:rPr>
            <w:t xml:space="preserve">930-</w:t>
          </w:r>
          <w:r>
            <w:rPr>
              <w:b/>
              <w:bCs/>
            </w:rPr>
            <w:t xml:space="preserve"> 01</w:t>
          </w:r>
          <w:r/>
        </w:p>
      </w:tc>
    </w:tr>
    <w:tr>
      <w:trPr>
        <w:cantSplit/>
        <w:trHeight w:val="738"/>
      </w:trPr>
      <w:tc>
        <w:tcPr>
          <w:tcW w:w="1560" w:type="dxa"/>
          <w:vAlign w:val="center"/>
          <w:vMerge w:val="continue"/>
          <w:textDirection w:val="lrTb"/>
          <w:noWrap w:val="false"/>
        </w:tcPr>
        <w:p>
          <w:pPr>
            <w:pStyle w:val="1126"/>
            <w:jc w:val="center"/>
          </w:pPr>
          <w:r/>
          <w:r/>
        </w:p>
      </w:tc>
      <w:tc>
        <w:tcPr>
          <w:tcW w:w="3118" w:type="dxa"/>
          <w:vAlign w:val="center"/>
          <w:vMerge w:val="continue"/>
          <w:textDirection w:val="lrTb"/>
          <w:noWrap w:val="false"/>
        </w:tcPr>
        <w:p>
          <w:pPr>
            <w:pStyle w:val="1126"/>
            <w:jc w:val="center"/>
          </w:pPr>
          <w:r/>
          <w:r/>
        </w:p>
      </w:tc>
      <w:tc>
        <w:tcPr>
          <w:tcW w:w="3827" w:type="dxa"/>
          <w:vAlign w:val="center"/>
          <w:vMerge w:val="continue"/>
          <w:textDirection w:val="lrTb"/>
          <w:noWrap w:val="false"/>
        </w:tcPr>
        <w:p>
          <w:pPr>
            <w:pStyle w:val="1126"/>
            <w:jc w:val="center"/>
          </w:pPr>
          <w:r/>
          <w:r/>
        </w:p>
      </w:tc>
      <w:tc>
        <w:tcPr>
          <w:tcW w:w="1844" w:type="dxa"/>
          <w:vAlign w:val="center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</w:t>
          </w:r>
          <w:r>
            <w:rPr>
              <w:b/>
              <w:bCs/>
            </w:rPr>
            <w:t xml:space="preserve">sión: </w:t>
          </w:r>
          <w:r>
            <w:rPr>
              <w:b/>
              <w:bCs/>
            </w:rPr>
            <w:t xml:space="preserve">1</w:t>
          </w:r>
          <w:r/>
        </w:p>
      </w:tc>
    </w:tr>
  </w:tbl>
  <w:p>
    <w:pPr>
      <w:pStyle w:val="1126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349" w:type="dxa"/>
      <w:tblInd w:w="7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34"/>
    </w:tblGrid>
    <w:tr>
      <w:trPr>
        <w:cantSplit/>
        <w:trHeight w:val="693"/>
      </w:trPr>
      <w:tc>
        <w:tcPr>
          <w:tcW w:w="1560" w:type="dxa"/>
          <w:vAlign w:val="center"/>
          <w:vMerge w:val="restart"/>
          <w:textDirection w:val="lrTb"/>
          <w:noWrap w:val="false"/>
        </w:tcPr>
        <w:p>
          <w:pPr>
            <w:pStyle w:val="1126"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752475" cy="638175"/>
                    <wp:effectExtent l="19050" t="0" r="9525" b="0"/>
                    <wp:docPr id="2" name="Imagen 2" descr="pn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pnn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752475" cy="63817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1" o:spid="_x0000_s1" type="#_x0000_t75" style="width:59.2pt;height:50.2pt;mso-wrap-distance-left:0.0pt;mso-wrap-distance-top:0.0pt;mso-wrap-distance-right:0.0pt;mso-wrap-distance-bottom:0.0pt;" stroked="f" strokeweight="0.75pt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</w:tc>
      <w:tc>
        <w:tcPr>
          <w:tcW w:w="2905" w:type="dxa"/>
          <w:vAlign w:val="center"/>
          <w:vMerge w:val="restart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/>
        </w:p>
      </w:tc>
      <w:tc>
        <w:tcPr>
          <w:tcW w:w="4050" w:type="dxa"/>
          <w:vAlign w:val="center"/>
          <w:vMerge w:val="restart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  <w:sz w:val="28"/>
            </w:rPr>
          </w:pPr>
          <w:r>
            <w:rPr>
              <w:b/>
              <w:bCs/>
              <w:sz w:val="28"/>
            </w:rPr>
            <w:t xml:space="preserve">REVISION POR LA DIRECCION</w:t>
          </w:r>
          <w:r/>
        </w:p>
      </w:tc>
      <w:tc>
        <w:tcPr>
          <w:tcW w:w="1834" w:type="dxa"/>
          <w:vAlign w:val="center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PR – 930</w:t>
          </w:r>
          <w:r>
            <w:rPr>
              <w:b/>
              <w:bCs/>
            </w:rPr>
            <w:t xml:space="preserve"> - 01</w:t>
          </w:r>
          <w:r/>
        </w:p>
      </w:tc>
    </w:tr>
    <w:tr>
      <w:trPr>
        <w:cantSplit/>
        <w:trHeight w:val="702"/>
      </w:trPr>
      <w:tc>
        <w:tcPr>
          <w:tcW w:w="1560" w:type="dxa"/>
          <w:vAlign w:val="center"/>
          <w:vMerge w:val="continue"/>
          <w:textDirection w:val="lrTb"/>
          <w:noWrap w:val="false"/>
        </w:tcPr>
        <w:p>
          <w:pPr>
            <w:pStyle w:val="1126"/>
            <w:jc w:val="center"/>
          </w:pPr>
          <w:r/>
          <w:r/>
        </w:p>
      </w:tc>
      <w:tc>
        <w:tcPr>
          <w:tcW w:w="2905" w:type="dxa"/>
          <w:vAlign w:val="center"/>
          <w:vMerge w:val="continue"/>
          <w:textDirection w:val="lrTb"/>
          <w:noWrap w:val="false"/>
        </w:tcPr>
        <w:p>
          <w:pPr>
            <w:pStyle w:val="1126"/>
            <w:jc w:val="center"/>
          </w:pPr>
          <w:r/>
          <w:r/>
        </w:p>
      </w:tc>
      <w:tc>
        <w:tcPr>
          <w:tcW w:w="4050" w:type="dxa"/>
          <w:vAlign w:val="center"/>
          <w:vMerge w:val="continue"/>
          <w:textDirection w:val="lrTb"/>
          <w:noWrap w:val="false"/>
        </w:tcPr>
        <w:p>
          <w:pPr>
            <w:pStyle w:val="1126"/>
            <w:jc w:val="center"/>
          </w:pPr>
          <w:r/>
          <w:r/>
        </w:p>
      </w:tc>
      <w:tc>
        <w:tcPr>
          <w:tcW w:w="1834" w:type="dxa"/>
          <w:vAlign w:val="center"/>
          <w:textDirection w:val="lrTb"/>
          <w:noWrap w:val="false"/>
        </w:tcPr>
        <w:p>
          <w:pPr>
            <w:pStyle w:val="1126"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</w:rPr>
            <w:t xml:space="preserve">1</w:t>
          </w:r>
          <w:r/>
        </w:p>
      </w:tc>
    </w:tr>
  </w:tbl>
  <w:p>
    <w:pPr>
      <w:pStyle w:val="112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720"/>
        <w:tabs>
          <w:tab w:val="num" w:pos="72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077" w:hanging="720"/>
        <w:tabs>
          <w:tab w:val="num" w:pos="1077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34" w:hanging="720"/>
        <w:tabs>
          <w:tab w:val="num" w:pos="1434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791" w:hanging="720"/>
        <w:tabs>
          <w:tab w:val="num" w:pos="1791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08" w:hanging="1080"/>
        <w:tabs>
          <w:tab w:val="num" w:pos="25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65" w:hanging="1080"/>
        <w:tabs>
          <w:tab w:val="num" w:pos="2865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582" w:hanging="1440"/>
        <w:tabs>
          <w:tab w:val="num" w:pos="3582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39" w:hanging="1440"/>
        <w:tabs>
          <w:tab w:val="num" w:pos="3939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56" w:hanging="1800"/>
        <w:tabs>
          <w:tab w:val="num" w:pos="4656" w:leader="none"/>
        </w:tabs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isLgl w:val="false"/>
      <w:suff w:val="tab"/>
      <w:lvlText w:val="6.1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80" w:hanging="480"/>
        <w:tabs>
          <w:tab w:val="num" w:pos="480" w:leader="none"/>
        </w:tabs>
      </w:pPr>
      <w:rPr>
        <w:rFonts w:hint="default"/>
      </w:rPr>
    </w:lvl>
    <w:lvl w:ilvl="1">
      <w:start w:val="4"/>
      <w:numFmt w:val="decimal"/>
      <w:isLgl w:val="false"/>
      <w:suff w:val="tab"/>
      <w:lvlText w:val="%1.%2"/>
      <w:lvlJc w:val="left"/>
      <w:pPr>
        <w:ind w:left="658" w:hanging="480"/>
        <w:tabs>
          <w:tab w:val="num" w:pos="658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076" w:hanging="720"/>
        <w:tabs>
          <w:tab w:val="num" w:pos="1076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254" w:hanging="720"/>
        <w:tabs>
          <w:tab w:val="num" w:pos="1254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1792" w:hanging="1080"/>
        <w:tabs>
          <w:tab w:val="num" w:pos="1792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1970" w:hanging="1080"/>
        <w:tabs>
          <w:tab w:val="num" w:pos="197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2508" w:hanging="1440"/>
        <w:tabs>
          <w:tab w:val="num" w:pos="2508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2686" w:hanging="1440"/>
        <w:tabs>
          <w:tab w:val="num" w:pos="2686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3224" w:hanging="1800"/>
        <w:tabs>
          <w:tab w:val="num" w:pos="3224" w:leader="none"/>
        </w:tabs>
      </w:pPr>
      <w:rPr>
        <w:rFonts w:hint="default"/>
      </w:rPr>
    </w:lvl>
  </w:abstractNum>
  <w:abstractNum w:abstractNumId="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2160" w:hanging="600"/>
        <w:tabs>
          <w:tab w:val="num" w:pos="2160" w:leader="none"/>
        </w:tabs>
      </w:pPr>
      <w:rPr>
        <w:rFonts w:hint="default"/>
        <w:b w:val="0"/>
        <w:sz w:val="20"/>
      </w:rPr>
    </w:lvl>
    <w:lvl w:ilvl="1">
      <w:start w:val="1"/>
      <w:numFmt w:val="lowerLetter"/>
      <w:isLgl w:val="false"/>
      <w:suff w:val="tab"/>
      <w:lvlText w:val="%2."/>
      <w:lvlJc w:val="left"/>
      <w:pPr>
        <w:ind w:left="2640" w:hanging="360"/>
        <w:tabs>
          <w:tab w:val="num" w:pos="26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3360" w:hanging="180"/>
        <w:tabs>
          <w:tab w:val="num" w:pos="33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4080" w:hanging="360"/>
        <w:tabs>
          <w:tab w:val="num" w:pos="40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800" w:hanging="360"/>
        <w:tabs>
          <w:tab w:val="num" w:pos="48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5520" w:hanging="180"/>
        <w:tabs>
          <w:tab w:val="num" w:pos="5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6240" w:hanging="360"/>
        <w:tabs>
          <w:tab w:val="num" w:pos="62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960" w:hanging="360"/>
        <w:tabs>
          <w:tab w:val="num" w:pos="69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7680" w:hanging="180"/>
        <w:tabs>
          <w:tab w:val="num" w:pos="7680" w:leader="none"/>
        </w:tabs>
      </w:pPr>
    </w:lvl>
  </w:abstractNum>
  <w:abstractNum w:abstractNumId="7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840" w:hanging="840"/>
        <w:tabs>
          <w:tab w:val="num" w:pos="84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265" w:hanging="840"/>
        <w:tabs>
          <w:tab w:val="num" w:pos="1265" w:leader="none"/>
        </w:tabs>
      </w:pPr>
      <w:rPr>
        <w:rFonts w:hint="default"/>
      </w:rPr>
    </w:lvl>
    <w:lvl w:ilvl="2">
      <w:start w:val="2"/>
      <w:numFmt w:val="decimal"/>
      <w:isLgl w:val="false"/>
      <w:suff w:val="tab"/>
      <w:lvlText w:val="%1.%2.%3"/>
      <w:lvlJc w:val="left"/>
      <w:pPr>
        <w:ind w:left="1690" w:hanging="840"/>
        <w:tabs>
          <w:tab w:val="num" w:pos="1690" w:leader="none"/>
        </w:tabs>
      </w:pPr>
      <w:rPr>
        <w:rFonts w:hint="default"/>
      </w:rPr>
    </w:lvl>
    <w:lvl w:ilvl="3">
      <w:start w:val="2"/>
      <w:numFmt w:val="decimal"/>
      <w:isLgl w:val="false"/>
      <w:suff w:val="tab"/>
      <w:lvlText w:val="%1.%2.%3.%4"/>
      <w:lvlJc w:val="left"/>
      <w:pPr>
        <w:ind w:left="2115" w:hanging="840"/>
        <w:tabs>
          <w:tab w:val="num" w:pos="2115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780" w:hanging="1080"/>
        <w:tabs>
          <w:tab w:val="num" w:pos="278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05" w:hanging="1080"/>
        <w:tabs>
          <w:tab w:val="num" w:pos="3205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990" w:hanging="1440"/>
        <w:tabs>
          <w:tab w:val="num" w:pos="399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415" w:hanging="1440"/>
        <w:tabs>
          <w:tab w:val="num" w:pos="4415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5200" w:hanging="1800"/>
        <w:tabs>
          <w:tab w:val="num" w:pos="5200" w:leader="none"/>
        </w:tabs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360" w:hanging="360"/>
        <w:tabs>
          <w:tab w:val="num" w:pos="360" w:leader="none"/>
        </w:tabs>
      </w:pPr>
      <w:rPr>
        <w:rFonts w:hint="default" w:ascii="Wingdings" w:hAnsi="Wingdings"/>
      </w:rPr>
    </w:lvl>
    <w:lvl w:ilvl="1">
      <w:start w:val="1"/>
      <w:numFmt w:val="decimal"/>
      <w:isLgl w:val="false"/>
      <w:suff w:val="tab"/>
      <w:lvlText w:val="%1.%2"/>
      <w:lvlJc w:val="left"/>
      <w:pPr>
        <w:ind w:left="846" w:hanging="420"/>
        <w:tabs>
          <w:tab w:val="num" w:pos="846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572" w:hanging="720"/>
        <w:tabs>
          <w:tab w:val="num" w:pos="1572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998" w:hanging="720"/>
        <w:tabs>
          <w:tab w:val="num" w:pos="1998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784" w:hanging="1080"/>
        <w:tabs>
          <w:tab w:val="num" w:pos="2784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10" w:hanging="1080"/>
        <w:tabs>
          <w:tab w:val="num" w:pos="321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996" w:hanging="1440"/>
        <w:tabs>
          <w:tab w:val="num" w:pos="39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422" w:hanging="1440"/>
        <w:tabs>
          <w:tab w:val="num" w:pos="4422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5208" w:hanging="1800"/>
        <w:tabs>
          <w:tab w:val="num" w:pos="5208" w:leader="none"/>
        </w:tabs>
      </w:pPr>
      <w:rPr>
        <w:rFonts w:hint="default"/>
      </w:rPr>
    </w:lvl>
  </w:abstractNum>
  <w:abstractNum w:abstractNumId="9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3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1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2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3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4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5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7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  <w:lvl w:ilvl="8">
      <w:start w:val="1"/>
      <w:numFmt w:val="none"/>
      <w:isLgl w:val="false"/>
      <w:suff w:val="tab"/>
      <w:lvlText w:val=""/>
      <w:lvlJc w:val="left"/>
      <w:pPr>
        <w:tabs>
          <w:tab w:val="num" w:pos="360" w:leader="none"/>
        </w:tabs>
      </w:pPr>
    </w:lvl>
  </w:abstractNum>
  <w:abstractNum w:abstractNumId="11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420" w:hanging="420"/>
        <w:tabs>
          <w:tab w:val="num" w:pos="42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846" w:hanging="420"/>
        <w:tabs>
          <w:tab w:val="num" w:pos="846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572" w:hanging="720"/>
        <w:tabs>
          <w:tab w:val="num" w:pos="1572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998" w:hanging="720"/>
        <w:tabs>
          <w:tab w:val="num" w:pos="1998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784" w:hanging="1080"/>
        <w:tabs>
          <w:tab w:val="num" w:pos="2784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10" w:hanging="1080"/>
        <w:tabs>
          <w:tab w:val="num" w:pos="321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996" w:hanging="1440"/>
        <w:tabs>
          <w:tab w:val="num" w:pos="3996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422" w:hanging="1440"/>
        <w:tabs>
          <w:tab w:val="num" w:pos="4422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5208" w:hanging="1800"/>
        <w:tabs>
          <w:tab w:val="num" w:pos="5208" w:leader="none"/>
        </w:tabs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2138" w:hanging="360"/>
        <w:tabs>
          <w:tab w:val="num" w:pos="2138" w:leader="none"/>
        </w:tabs>
      </w:pPr>
      <w:rPr>
        <w:rFonts w:hint="default" w:ascii="Wingdings" w:hAnsi="Wingdings"/>
      </w:rPr>
    </w:lvl>
    <w:lvl w:ilvl="1">
      <w:start w:val="9"/>
      <w:numFmt w:val="decimal"/>
      <w:isLgl w:val="false"/>
      <w:suff w:val="tab"/>
      <w:lvlText w:val="6.%2.-"/>
      <w:lvlJc w:val="left"/>
      <w:pPr>
        <w:ind w:left="3235" w:hanging="737"/>
        <w:tabs>
          <w:tab w:val="num" w:pos="3235" w:leader="none"/>
        </w:tabs>
      </w:pPr>
      <w:rPr>
        <w:rFonts w:hint="default"/>
        <w:b w:val="0"/>
        <w:i w:val="0"/>
      </w:rPr>
    </w:lvl>
    <w:lvl w:ilvl="2">
      <w:start w:val="1"/>
      <w:numFmt w:val="bullet"/>
      <w:isLgl w:val="false"/>
      <w:suff w:val="tab"/>
      <w:lvlText w:val=""/>
      <w:lvlJc w:val="left"/>
      <w:pPr>
        <w:ind w:left="3578" w:hanging="360"/>
        <w:tabs>
          <w:tab w:val="num" w:pos="3578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298" w:hanging="360"/>
        <w:tabs>
          <w:tab w:val="num" w:pos="4298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18" w:hanging="360"/>
        <w:tabs>
          <w:tab w:val="num" w:pos="5018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738" w:hanging="360"/>
        <w:tabs>
          <w:tab w:val="num" w:pos="5738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458" w:hanging="360"/>
        <w:tabs>
          <w:tab w:val="num" w:pos="6458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78" w:hanging="360"/>
        <w:tabs>
          <w:tab w:val="num" w:pos="7178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898" w:hanging="360"/>
        <w:tabs>
          <w:tab w:val="num" w:pos="7898" w:leader="none"/>
        </w:tabs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510" w:hanging="510"/>
        <w:tabs>
          <w:tab w:val="num" w:pos="51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870" w:hanging="510"/>
        <w:tabs>
          <w:tab w:val="num" w:pos="870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1800" w:hanging="72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20" w:hanging="1080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2880" w:hanging="1080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600" w:hanging="1440"/>
        <w:tabs>
          <w:tab w:val="num" w:pos="3600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3960" w:hanging="1440"/>
        <w:tabs>
          <w:tab w:val="num" w:pos="3960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80" w:hanging="1800"/>
        <w:tabs>
          <w:tab w:val="num" w:pos="4680" w:leader="none"/>
        </w:tabs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6.%1.-"/>
      <w:lvlJc w:val="left"/>
      <w:pPr>
        <w:ind w:left="992" w:hanging="567"/>
        <w:tabs>
          <w:tab w:val="num" w:pos="992" w:leader="none"/>
        </w:tabs>
      </w:pPr>
      <w:rPr>
        <w:rFonts w:hint="default"/>
        <w:b w:val="0"/>
        <w:i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50" w:hanging="450"/>
        <w:tabs>
          <w:tab w:val="num" w:pos="450" w:leader="none"/>
        </w:tabs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807" w:hanging="450"/>
        <w:tabs>
          <w:tab w:val="num" w:pos="807" w:leader="none"/>
        </w:tabs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1434" w:hanging="720"/>
        <w:tabs>
          <w:tab w:val="num" w:pos="1434" w:leader="none"/>
        </w:tabs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2151" w:hanging="1080"/>
        <w:tabs>
          <w:tab w:val="num" w:pos="2151" w:leader="none"/>
        </w:tabs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2508" w:hanging="1080"/>
        <w:tabs>
          <w:tab w:val="num" w:pos="2508" w:leader="none"/>
        </w:tabs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3225" w:hanging="1440"/>
        <w:tabs>
          <w:tab w:val="num" w:pos="3225" w:leader="none"/>
        </w:tabs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3582" w:hanging="1440"/>
        <w:tabs>
          <w:tab w:val="num" w:pos="3582" w:leader="none"/>
        </w:tabs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4299" w:hanging="1800"/>
        <w:tabs>
          <w:tab w:val="num" w:pos="4299" w:leader="none"/>
        </w:tabs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4656" w:hanging="1800"/>
        <w:tabs>
          <w:tab w:val="num" w:pos="4656" w:leader="none"/>
        </w:tabs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2"/>
      <w:numFmt w:val="decimal"/>
      <w:isLgl/>
      <w:suff w:val="tab"/>
      <w:lvlText w:val="%1.%2"/>
      <w:lvlJc w:val="left"/>
      <w:pPr>
        <w:ind w:left="720" w:hanging="360"/>
        <w:tabs>
          <w:tab w:val="num" w:pos="720" w:leader="none"/>
        </w:tabs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440" w:hanging="720"/>
        <w:tabs>
          <w:tab w:val="num" w:pos="1440" w:leader="none"/>
        </w:tabs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800" w:hanging="720"/>
        <w:tabs>
          <w:tab w:val="num" w:pos="1800" w:leader="none"/>
        </w:tabs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2520" w:hanging="1080"/>
        <w:tabs>
          <w:tab w:val="num" w:pos="2520" w:leader="none"/>
        </w:tabs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2880" w:hanging="1080"/>
        <w:tabs>
          <w:tab w:val="num" w:pos="2880" w:leader="none"/>
        </w:tabs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3600" w:hanging="1440"/>
        <w:tabs>
          <w:tab w:val="num" w:pos="3600" w:leader="none"/>
        </w:tabs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3960" w:hanging="1440"/>
        <w:tabs>
          <w:tab w:val="num" w:pos="3960" w:leader="none"/>
        </w:tabs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4680" w:hanging="1800"/>
        <w:tabs>
          <w:tab w:val="num" w:pos="4680" w:leader="none"/>
        </w:tabs>
      </w:pPr>
      <w:rPr>
        <w:rFonts w:hint="default"/>
      </w:rPr>
    </w:lvl>
  </w:abstractNum>
  <w:num w:numId="1">
    <w:abstractNumId w:val="20"/>
  </w:num>
  <w:num w:numId="2">
    <w:abstractNumId w:val="9"/>
  </w:num>
  <w:num w:numId="3">
    <w:abstractNumId w:val="15"/>
  </w:num>
  <w:num w:numId="4">
    <w:abstractNumId w:val="2"/>
  </w:num>
  <w:num w:numId="5">
    <w:abstractNumId w:val="17"/>
  </w:num>
  <w:num w:numId="6">
    <w:abstractNumId w:val="0"/>
  </w:num>
  <w:num w:numId="7">
    <w:abstractNumId w:val="16"/>
  </w:num>
  <w:num w:numId="8">
    <w:abstractNumId w:val="12"/>
  </w:num>
  <w:num w:numId="9">
    <w:abstractNumId w:val="14"/>
  </w:num>
  <w:num w:numId="10">
    <w:abstractNumId w:val="7"/>
  </w:num>
  <w:num w:numId="11">
    <w:abstractNumId w:val="20"/>
  </w:num>
  <w:num w:numId="12">
    <w:abstractNumId w:val="20"/>
    <w:lvlOverride w:ilvl="0">
      <w:startOverride w:val="6"/>
    </w:lvlOverride>
    <w:lvlOverride w:ilvl="1">
      <w:startOverride w:val="2"/>
    </w:lvlOverride>
    <w:lvlOverride w:ilvl="2">
      <w:startOverride w:val="3"/>
    </w:lvlOverride>
  </w:num>
  <w:num w:numId="13">
    <w:abstractNumId w:val="11"/>
  </w:num>
  <w:num w:numId="14">
    <w:abstractNumId w:val="5"/>
  </w:num>
  <w:num w:numId="15">
    <w:abstractNumId w:val="8"/>
  </w:num>
  <w:num w:numId="16">
    <w:abstractNumId w:val="19"/>
  </w:num>
  <w:num w:numId="17">
    <w:abstractNumId w:val="1"/>
  </w:num>
  <w:num w:numId="18">
    <w:abstractNumId w:val="3"/>
  </w:num>
  <w:num w:numId="19">
    <w:abstractNumId w:val="6"/>
  </w:num>
  <w:num w:numId="20">
    <w:abstractNumId w:val="4"/>
  </w:num>
  <w:num w:numId="21">
    <w:abstractNumId w:val="10"/>
  </w:num>
  <w:num w:numId="22">
    <w:abstractNumId w:val="13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UY" w:eastAsia="es-UY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23"/>
    <w:link w:val="111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23"/>
    <w:link w:val="111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23"/>
    <w:link w:val="112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23"/>
    <w:link w:val="112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23"/>
    <w:link w:val="1122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117"/>
    <w:next w:val="11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23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117"/>
    <w:next w:val="11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23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117"/>
    <w:next w:val="11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23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117"/>
    <w:next w:val="11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23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117"/>
    <w:next w:val="11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23"/>
    <w:link w:val="34"/>
    <w:uiPriority w:val="10"/>
    <w:rPr>
      <w:sz w:val="48"/>
      <w:szCs w:val="48"/>
    </w:rPr>
  </w:style>
  <w:style w:type="paragraph" w:styleId="36">
    <w:name w:val="Subtitle"/>
    <w:basedOn w:val="1117"/>
    <w:next w:val="11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23"/>
    <w:link w:val="36"/>
    <w:uiPriority w:val="11"/>
    <w:rPr>
      <w:sz w:val="24"/>
      <w:szCs w:val="24"/>
    </w:rPr>
  </w:style>
  <w:style w:type="paragraph" w:styleId="38">
    <w:name w:val="Quote"/>
    <w:basedOn w:val="1117"/>
    <w:next w:val="11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117"/>
    <w:next w:val="11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1123"/>
    <w:link w:val="1126"/>
    <w:uiPriority w:val="99"/>
  </w:style>
  <w:style w:type="character" w:styleId="45">
    <w:name w:val="Footer Char"/>
    <w:basedOn w:val="1123"/>
    <w:link w:val="1127"/>
    <w:uiPriority w:val="99"/>
  </w:style>
  <w:style w:type="paragraph" w:styleId="46">
    <w:name w:val="Caption"/>
    <w:basedOn w:val="1117"/>
    <w:next w:val="11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1127"/>
    <w:uiPriority w:val="99"/>
  </w:style>
  <w:style w:type="table" w:styleId="48">
    <w:name w:val="Table Grid"/>
    <w:basedOn w:val="112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11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112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112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112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112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112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1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23"/>
    <w:uiPriority w:val="99"/>
    <w:unhideWhenUsed/>
    <w:rPr>
      <w:vertAlign w:val="superscript"/>
    </w:rPr>
  </w:style>
  <w:style w:type="paragraph" w:styleId="178">
    <w:name w:val="endnote text"/>
    <w:basedOn w:val="11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23"/>
    <w:uiPriority w:val="99"/>
    <w:semiHidden/>
    <w:unhideWhenUsed/>
    <w:rPr>
      <w:vertAlign w:val="superscript"/>
    </w:rPr>
  </w:style>
  <w:style w:type="paragraph" w:styleId="181">
    <w:name w:val="toc 1"/>
    <w:basedOn w:val="1117"/>
    <w:next w:val="11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117"/>
    <w:next w:val="11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117"/>
    <w:next w:val="11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117"/>
    <w:next w:val="11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117"/>
    <w:next w:val="11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117"/>
    <w:next w:val="11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117"/>
    <w:next w:val="11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117"/>
    <w:next w:val="11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117"/>
    <w:next w:val="11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117"/>
    <w:next w:val="1117"/>
    <w:uiPriority w:val="99"/>
    <w:unhideWhenUsed/>
    <w:pPr>
      <w:spacing w:after="0" w:afterAutospacing="0"/>
    </w:pPr>
  </w:style>
  <w:style w:type="paragraph" w:styleId="1117" w:default="1">
    <w:name w:val="Normal"/>
    <w:qFormat/>
    <w:rPr>
      <w:lang w:val="es-ES" w:eastAsia="es-ES"/>
    </w:rPr>
  </w:style>
  <w:style w:type="paragraph" w:styleId="1118">
    <w:name w:val="Heading 1"/>
    <w:basedOn w:val="1117"/>
    <w:next w:val="1117"/>
    <w:qFormat/>
    <w:pPr>
      <w:jc w:val="center"/>
      <w:keepNext/>
      <w:outlineLvl w:val="0"/>
    </w:pPr>
    <w:rPr>
      <w:sz w:val="24"/>
    </w:rPr>
  </w:style>
  <w:style w:type="paragraph" w:styleId="1119">
    <w:name w:val="Heading 2"/>
    <w:basedOn w:val="1117"/>
    <w:next w:val="1117"/>
    <w:qFormat/>
    <w:pPr>
      <w:jc w:val="both"/>
      <w:keepNext/>
      <w:spacing w:line="320" w:lineRule="exact"/>
      <w:outlineLvl w:val="1"/>
    </w:pPr>
    <w:rPr>
      <w:sz w:val="24"/>
    </w:rPr>
  </w:style>
  <w:style w:type="paragraph" w:styleId="1120">
    <w:name w:val="Heading 3"/>
    <w:basedOn w:val="1117"/>
    <w:next w:val="1117"/>
    <w:qFormat/>
    <w:pPr>
      <w:ind w:left="284"/>
      <w:jc w:val="both"/>
      <w:keepNext/>
      <w:spacing w:after="120"/>
      <w:outlineLvl w:val="2"/>
    </w:pPr>
    <w:rPr>
      <w:sz w:val="24"/>
    </w:rPr>
  </w:style>
  <w:style w:type="paragraph" w:styleId="1121">
    <w:name w:val="Heading 4"/>
    <w:basedOn w:val="1117"/>
    <w:next w:val="1117"/>
    <w:qFormat/>
    <w:pPr>
      <w:ind w:left="357"/>
      <w:jc w:val="both"/>
      <w:keepNext/>
      <w:spacing w:line="340" w:lineRule="exact"/>
      <w:outlineLvl w:val="3"/>
    </w:pPr>
    <w:rPr>
      <w:sz w:val="24"/>
    </w:rPr>
  </w:style>
  <w:style w:type="paragraph" w:styleId="1122">
    <w:name w:val="Heading 5"/>
    <w:basedOn w:val="1117"/>
    <w:next w:val="1117"/>
    <w:qFormat/>
    <w:pPr>
      <w:ind w:firstLine="357"/>
      <w:jc w:val="both"/>
      <w:keepNext/>
      <w:outlineLvl w:val="4"/>
    </w:pPr>
    <w:rPr>
      <w:sz w:val="24"/>
    </w:rPr>
  </w:style>
  <w:style w:type="character" w:styleId="1123" w:default="1">
    <w:name w:val="Default Paragraph Font"/>
    <w:uiPriority w:val="1"/>
    <w:semiHidden/>
    <w:unhideWhenUsed/>
  </w:style>
  <w:style w:type="table" w:styleId="1124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125" w:default="1">
    <w:name w:val="No List"/>
    <w:uiPriority w:val="99"/>
    <w:semiHidden/>
    <w:unhideWhenUsed/>
  </w:style>
  <w:style w:type="paragraph" w:styleId="1126">
    <w:name w:val="Header"/>
    <w:basedOn w:val="1117"/>
    <w:pPr>
      <w:tabs>
        <w:tab w:val="center" w:pos="4419" w:leader="none"/>
        <w:tab w:val="right" w:pos="8838" w:leader="none"/>
      </w:tabs>
    </w:pPr>
  </w:style>
  <w:style w:type="paragraph" w:styleId="1127">
    <w:name w:val="Footer"/>
    <w:basedOn w:val="1117"/>
    <w:pPr>
      <w:tabs>
        <w:tab w:val="center" w:pos="4419" w:leader="none"/>
        <w:tab w:val="right" w:pos="8838" w:leader="none"/>
      </w:tabs>
    </w:pPr>
  </w:style>
  <w:style w:type="character" w:styleId="1128">
    <w:name w:val="page number"/>
    <w:basedOn w:val="1123"/>
  </w:style>
  <w:style w:type="paragraph" w:styleId="1129">
    <w:name w:val="Body Text 3"/>
    <w:basedOn w:val="1117"/>
    <w:pPr>
      <w:jc w:val="both"/>
      <w:widowControl w:val="off"/>
    </w:pPr>
    <w:rPr>
      <w:sz w:val="24"/>
      <w:lang w:val="es-ES_tradnl"/>
    </w:rPr>
  </w:style>
  <w:style w:type="paragraph" w:styleId="1130">
    <w:name w:val="Body Text 2"/>
    <w:basedOn w:val="1117"/>
    <w:pPr>
      <w:spacing w:after="120" w:line="480" w:lineRule="auto"/>
    </w:pPr>
  </w:style>
  <w:style w:type="paragraph" w:styleId="1131">
    <w:name w:val="Body Text Indent 3"/>
    <w:basedOn w:val="1117"/>
    <w:pPr>
      <w:ind w:left="283"/>
      <w:spacing w:after="120"/>
    </w:pPr>
    <w:rPr>
      <w:sz w:val="16"/>
      <w:szCs w:val="16"/>
    </w:rPr>
  </w:style>
  <w:style w:type="paragraph" w:styleId="1132" w:customStyle="1">
    <w:name w:val="Contenido de la tabla"/>
    <w:basedOn w:val="1134"/>
    <w:pPr>
      <w:widowControl w:val="off"/>
    </w:pPr>
    <w:rPr>
      <w:sz w:val="24"/>
      <w:lang w:val="es-ES_tradnl"/>
    </w:rPr>
  </w:style>
  <w:style w:type="paragraph" w:styleId="1133" w:customStyle="1">
    <w:name w:val="Encabezado de la tabla"/>
    <w:basedOn w:val="1132"/>
    <w:pPr>
      <w:jc w:val="center"/>
    </w:pPr>
    <w:rPr>
      <w:b/>
      <w:i/>
    </w:rPr>
  </w:style>
  <w:style w:type="paragraph" w:styleId="1134">
    <w:name w:val="Body Text"/>
    <w:basedOn w:val="1117"/>
    <w:pPr>
      <w:spacing w:after="120"/>
    </w:pPr>
  </w:style>
  <w:style w:type="paragraph" w:styleId="1135">
    <w:name w:val="List Paragraph"/>
    <w:basedOn w:val="1117"/>
    <w:uiPriority w:val="34"/>
    <w:qFormat/>
    <w:pPr>
      <w:ind w:left="708"/>
    </w:pPr>
  </w:style>
  <w:style w:type="paragraph" w:styleId="1136">
    <w:name w:val="Body Text Indent"/>
    <w:basedOn w:val="1117"/>
    <w:link w:val="1137"/>
    <w:pPr>
      <w:ind w:left="283"/>
      <w:spacing w:after="120"/>
    </w:pPr>
  </w:style>
  <w:style w:type="character" w:styleId="1137" w:customStyle="1">
    <w:name w:val="Sangría de texto normal Car"/>
    <w:basedOn w:val="1123"/>
    <w:link w:val="1136"/>
    <w:rPr>
      <w:lang w:val="es-ES" w:eastAsia="es-ES"/>
    </w:rPr>
  </w:style>
  <w:style w:type="paragraph" w:styleId="1138">
    <w:name w:val="Balloon Text"/>
    <w:basedOn w:val="1117"/>
    <w:link w:val="1139"/>
    <w:rPr>
      <w:rFonts w:ascii="Tahoma" w:hAnsi="Tahoma" w:cs="Tahoma"/>
      <w:sz w:val="16"/>
      <w:szCs w:val="16"/>
    </w:rPr>
  </w:style>
  <w:style w:type="character" w:styleId="1139" w:customStyle="1">
    <w:name w:val="Texto de globo Car"/>
    <w:basedOn w:val="1123"/>
    <w:link w:val="1138"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>ESNAL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OMI</dc:creator>
  <cp:revision>17</cp:revision>
  <dcterms:created xsi:type="dcterms:W3CDTF">2018-09-25T15:46:00Z</dcterms:created>
  <dcterms:modified xsi:type="dcterms:W3CDTF">2025-06-25T16:48:50Z</dcterms:modified>
</cp:coreProperties>
</file>